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070" w:type="dxa"/>
        <w:tblLook w:val="04A0" w:firstRow="1" w:lastRow="0" w:firstColumn="1" w:lastColumn="0" w:noHBand="0" w:noVBand="1"/>
      </w:tblPr>
      <w:tblGrid>
        <w:gridCol w:w="9070"/>
      </w:tblGrid>
      <w:tr w:rsidR="00293C4B" w:rsidRPr="0023709A" w14:paraId="10296DCC" w14:textId="77777777" w:rsidTr="004B53AF">
        <w:trPr>
          <w:trHeight w:val="300"/>
        </w:trPr>
        <w:tc>
          <w:tcPr>
            <w:tcW w:w="5000" w:type="pct"/>
            <w:shd w:val="clear" w:color="auto" w:fill="auto"/>
            <w:vAlign w:val="center"/>
          </w:tcPr>
          <w:p w14:paraId="3B7EF27D" w14:textId="32363160" w:rsidR="00293C4B" w:rsidRPr="003A7FFE" w:rsidRDefault="00823830" w:rsidP="003A7FFE">
            <w:pPr>
              <w:pStyle w:val="Heading2"/>
            </w:pPr>
            <w:bookmarkStart w:id="0" w:name="_Ref69990914"/>
            <w:r w:rsidRPr="00013302">
              <w:t>Regional Internal Migration Estimates</w:t>
            </w:r>
            <w:r w:rsidR="004D235B">
              <w:t xml:space="preserve">, </w:t>
            </w:r>
            <w:r w:rsidR="00527F9A">
              <w:t>p</w:t>
            </w:r>
            <w:r w:rsidR="004D235B">
              <w:t>rovisional</w:t>
            </w:r>
            <w:r w:rsidR="00BD20D7" w:rsidRPr="003A7FFE">
              <w:t xml:space="preserve">, </w:t>
            </w:r>
            <w:bookmarkEnd w:id="0"/>
            <w:r w:rsidR="00134C99">
              <w:t>March 2021</w:t>
            </w:r>
          </w:p>
        </w:tc>
      </w:tr>
      <w:tr w:rsidR="00293C4B" w:rsidRPr="0023709A" w14:paraId="35587571" w14:textId="77777777" w:rsidTr="009E166B">
        <w:trPr>
          <w:trHeight w:val="300"/>
        </w:trPr>
        <w:tc>
          <w:tcPr>
            <w:tcW w:w="5000" w:type="pct"/>
            <w:shd w:val="clear" w:color="auto" w:fill="CCE3F6" w:themeFill="accent2" w:themeFillTint="33"/>
            <w:vAlign w:val="center"/>
          </w:tcPr>
          <w:p w14:paraId="246279CC" w14:textId="30B0CFFC" w:rsidR="006732E9" w:rsidRPr="006732E9" w:rsidRDefault="006732E9" w:rsidP="00285BD4">
            <w:pPr>
              <w:jc w:val="both"/>
              <w:rPr>
                <w:rFonts w:eastAsia="Calibri"/>
              </w:rPr>
            </w:pPr>
            <w:r w:rsidRPr="006732E9">
              <w:rPr>
                <w:rFonts w:eastAsia="Calibri"/>
              </w:rPr>
              <w:t>In the year to March 2021 there was a recovery in the number of interstate moves, with 37</w:t>
            </w:r>
            <w:r w:rsidR="007619FB">
              <w:rPr>
                <w:rFonts w:eastAsia="Calibri"/>
              </w:rPr>
              <w:t>1</w:t>
            </w:r>
            <w:r w:rsidRPr="006732E9">
              <w:rPr>
                <w:rFonts w:eastAsia="Calibri"/>
              </w:rPr>
              <w:t>,</w:t>
            </w:r>
            <w:r w:rsidR="007619FB">
              <w:rPr>
                <w:rFonts w:eastAsia="Calibri"/>
              </w:rPr>
              <w:t>0</w:t>
            </w:r>
            <w:r w:rsidRPr="006732E9">
              <w:rPr>
                <w:rFonts w:eastAsia="Calibri"/>
              </w:rPr>
              <w:t xml:space="preserve">00 people moving interstate compared with </w:t>
            </w:r>
            <w:r w:rsidR="007619FB">
              <w:rPr>
                <w:rFonts w:eastAsia="Calibri"/>
              </w:rPr>
              <w:t>354,000</w:t>
            </w:r>
            <w:r w:rsidRPr="006732E9">
              <w:rPr>
                <w:rFonts w:eastAsia="Calibri"/>
              </w:rPr>
              <w:t xml:space="preserve"> moves in the year to December 2020. This </w:t>
            </w:r>
            <w:r w:rsidR="004E6687">
              <w:rPr>
                <w:rFonts w:eastAsia="Calibri"/>
              </w:rPr>
              <w:t xml:space="preserve">recovery </w:t>
            </w:r>
            <w:r w:rsidRPr="006732E9">
              <w:rPr>
                <w:rFonts w:eastAsia="Calibri"/>
              </w:rPr>
              <w:t>was driven</w:t>
            </w:r>
            <w:r w:rsidR="00C70FBC">
              <w:rPr>
                <w:rFonts w:eastAsia="Calibri"/>
              </w:rPr>
              <w:t xml:space="preserve"> by</w:t>
            </w:r>
            <w:r w:rsidRPr="006732E9">
              <w:rPr>
                <w:rFonts w:eastAsia="Calibri"/>
              </w:rPr>
              <w:t xml:space="preserve"> </w:t>
            </w:r>
            <w:r w:rsidR="00F46609">
              <w:rPr>
                <w:rFonts w:eastAsia="Calibri"/>
              </w:rPr>
              <w:t xml:space="preserve">the highest </w:t>
            </w:r>
            <w:r w:rsidRPr="006732E9">
              <w:rPr>
                <w:rFonts w:eastAsia="Calibri"/>
              </w:rPr>
              <w:t xml:space="preserve">number of interstate moves </w:t>
            </w:r>
            <w:r w:rsidR="00EC6798" w:rsidRPr="00CA15B6">
              <w:rPr>
                <w:rFonts w:eastAsia="Calibri"/>
              </w:rPr>
              <w:t>for</w:t>
            </w:r>
            <w:r w:rsidRPr="006732E9">
              <w:rPr>
                <w:rFonts w:eastAsia="Calibri"/>
              </w:rPr>
              <w:t xml:space="preserve"> </w:t>
            </w:r>
            <w:r w:rsidR="00F46609">
              <w:rPr>
                <w:rFonts w:eastAsia="Calibri"/>
              </w:rPr>
              <w:t>a</w:t>
            </w:r>
            <w:r w:rsidRPr="006732E9">
              <w:rPr>
                <w:rFonts w:eastAsia="Calibri"/>
              </w:rPr>
              <w:t xml:space="preserve"> March quarter</w:t>
            </w:r>
            <w:r w:rsidR="00F46609">
              <w:rPr>
                <w:rFonts w:eastAsia="Calibri"/>
              </w:rPr>
              <w:t xml:space="preserve"> since 1996</w:t>
            </w:r>
            <w:r w:rsidRPr="006732E9">
              <w:rPr>
                <w:rFonts w:eastAsia="Calibri"/>
              </w:rPr>
              <w:t xml:space="preserve">, with </w:t>
            </w:r>
            <w:r w:rsidR="00F46609">
              <w:rPr>
                <w:rFonts w:eastAsia="Calibri"/>
              </w:rPr>
              <w:t>around</w:t>
            </w:r>
            <w:r w:rsidRPr="006732E9">
              <w:rPr>
                <w:rFonts w:eastAsia="Calibri"/>
              </w:rPr>
              <w:t xml:space="preserve"> 10</w:t>
            </w:r>
            <w:r w:rsidR="00F46609">
              <w:rPr>
                <w:rFonts w:eastAsia="Calibri"/>
              </w:rPr>
              <w:t>4</w:t>
            </w:r>
            <w:r w:rsidRPr="006732E9">
              <w:rPr>
                <w:rFonts w:eastAsia="Calibri"/>
              </w:rPr>
              <w:t xml:space="preserve">,000 people moving. </w:t>
            </w:r>
          </w:p>
          <w:p w14:paraId="25B9B5ED" w14:textId="32FCF2BE" w:rsidR="006B405D" w:rsidRDefault="00105D89">
            <w:pPr>
              <w:jc w:val="both"/>
              <w:rPr>
                <w:rFonts w:eastAsia="Calibri"/>
              </w:rPr>
            </w:pPr>
            <w:r>
              <w:rPr>
                <w:rFonts w:eastAsia="Calibri"/>
              </w:rPr>
              <w:t>Close to a quarter</w:t>
            </w:r>
            <w:r w:rsidR="004E6687">
              <w:rPr>
                <w:rFonts w:eastAsia="Calibri"/>
              </w:rPr>
              <w:t xml:space="preserve"> of the increase in </w:t>
            </w:r>
            <w:r w:rsidR="00C67323">
              <w:rPr>
                <w:rFonts w:eastAsia="Calibri"/>
              </w:rPr>
              <w:t>interstate m</w:t>
            </w:r>
            <w:r w:rsidR="004E6687">
              <w:rPr>
                <w:rFonts w:eastAsia="Calibri"/>
              </w:rPr>
              <w:t>oves</w:t>
            </w:r>
            <w:r w:rsidR="00C67323">
              <w:rPr>
                <w:rFonts w:eastAsia="Calibri"/>
              </w:rPr>
              <w:t xml:space="preserve"> was driven by increase</w:t>
            </w:r>
            <w:r w:rsidR="00527F9A">
              <w:rPr>
                <w:rFonts w:eastAsia="Calibri"/>
              </w:rPr>
              <w:t>d</w:t>
            </w:r>
            <w:r w:rsidR="00C67323">
              <w:rPr>
                <w:rFonts w:eastAsia="Calibri"/>
              </w:rPr>
              <w:t xml:space="preserve"> </w:t>
            </w:r>
            <w:r w:rsidR="006732E9" w:rsidRPr="006732E9">
              <w:rPr>
                <w:rFonts w:eastAsia="Calibri"/>
              </w:rPr>
              <w:t xml:space="preserve">departures from </w:t>
            </w:r>
            <w:r w:rsidR="00C67323">
              <w:rPr>
                <w:rFonts w:eastAsia="Calibri"/>
              </w:rPr>
              <w:t>Victoria</w:t>
            </w:r>
            <w:r w:rsidR="006732E9" w:rsidRPr="006732E9">
              <w:rPr>
                <w:rFonts w:eastAsia="Calibri"/>
              </w:rPr>
              <w:t xml:space="preserve">, </w:t>
            </w:r>
            <w:r w:rsidR="00ED1A89">
              <w:rPr>
                <w:rFonts w:eastAsia="Calibri"/>
              </w:rPr>
              <w:t>as</w:t>
            </w:r>
            <w:r w:rsidR="006928B2" w:rsidRPr="00CA15B6">
              <w:rPr>
                <w:rFonts w:eastAsia="Calibri"/>
              </w:rPr>
              <w:t xml:space="preserve"> Melbourne </w:t>
            </w:r>
            <w:r w:rsidR="00ED1A89">
              <w:rPr>
                <w:rFonts w:eastAsia="Calibri"/>
              </w:rPr>
              <w:t xml:space="preserve">exited its second </w:t>
            </w:r>
            <w:r w:rsidR="006928B2" w:rsidRPr="00CA15B6">
              <w:rPr>
                <w:rFonts w:eastAsia="Calibri"/>
              </w:rPr>
              <w:t>lockdown</w:t>
            </w:r>
            <w:r w:rsidR="009A6E44">
              <w:rPr>
                <w:rFonts w:eastAsia="Calibri"/>
              </w:rPr>
              <w:t xml:space="preserve"> in November 2020</w:t>
            </w:r>
            <w:r w:rsidR="006732E9" w:rsidRPr="006732E9">
              <w:rPr>
                <w:rFonts w:eastAsia="Calibri"/>
              </w:rPr>
              <w:t xml:space="preserve">. </w:t>
            </w:r>
            <w:r w:rsidR="006B405D">
              <w:rPr>
                <w:rFonts w:eastAsia="Calibri"/>
              </w:rPr>
              <w:t xml:space="preserve">This was </w:t>
            </w:r>
            <w:r w:rsidR="00ED1A89">
              <w:rPr>
                <w:rFonts w:eastAsia="Calibri"/>
              </w:rPr>
              <w:t xml:space="preserve">due to </w:t>
            </w:r>
            <w:r w:rsidR="006B405D">
              <w:rPr>
                <w:rFonts w:eastAsia="Calibri"/>
              </w:rPr>
              <w:t xml:space="preserve">an outflow of 28,500 people from Melbourne to the eastern states, </w:t>
            </w:r>
            <w:r w:rsidR="00ED1A89">
              <w:rPr>
                <w:rFonts w:eastAsia="Calibri"/>
              </w:rPr>
              <w:t>with</w:t>
            </w:r>
            <w:r w:rsidR="006B405D">
              <w:rPr>
                <w:rFonts w:eastAsia="Calibri"/>
              </w:rPr>
              <w:t xml:space="preserve"> the majority of people leaving Melbourne settl</w:t>
            </w:r>
            <w:r w:rsidR="00ED1A89">
              <w:rPr>
                <w:rFonts w:eastAsia="Calibri"/>
              </w:rPr>
              <w:t>ing</w:t>
            </w:r>
            <w:r w:rsidR="006B405D">
              <w:rPr>
                <w:rFonts w:eastAsia="Calibri"/>
              </w:rPr>
              <w:t xml:space="preserve"> in regional Victoria. </w:t>
            </w:r>
          </w:p>
          <w:p w14:paraId="2ADAB30B" w14:textId="1746172B" w:rsidR="00B63754" w:rsidRDefault="00B63754" w:rsidP="00285BD4">
            <w:pPr>
              <w:jc w:val="both"/>
              <w:rPr>
                <w:rFonts w:eastAsia="Calibri"/>
              </w:rPr>
            </w:pPr>
            <w:r w:rsidRPr="00B63754">
              <w:rPr>
                <w:rFonts w:eastAsia="Calibri"/>
              </w:rPr>
              <w:t xml:space="preserve">Net internal migration for regions outside the capital cities continued to increase, with net migration of 44,700 people in the year to March 2021. The number of capital city residents moving to the regions </w:t>
            </w:r>
            <w:r w:rsidR="00653303">
              <w:rPr>
                <w:rFonts w:eastAsia="Calibri"/>
              </w:rPr>
              <w:t>is</w:t>
            </w:r>
            <w:r w:rsidRPr="00B63754">
              <w:rPr>
                <w:rFonts w:eastAsia="Calibri"/>
              </w:rPr>
              <w:t xml:space="preserve"> now </w:t>
            </w:r>
            <w:r w:rsidR="00653303">
              <w:rPr>
                <w:rFonts w:eastAsia="Calibri"/>
              </w:rPr>
              <w:t xml:space="preserve">higher than </w:t>
            </w:r>
            <w:r w:rsidRPr="00B63754">
              <w:rPr>
                <w:rFonts w:eastAsia="Calibri"/>
              </w:rPr>
              <w:t>it was prior to the onset of the pandemic (</w:t>
            </w:r>
            <w:r w:rsidR="00653303">
              <w:rPr>
                <w:rFonts w:eastAsia="Calibri"/>
              </w:rPr>
              <w:t>244</w:t>
            </w:r>
            <w:r w:rsidRPr="00B63754">
              <w:rPr>
                <w:rFonts w:eastAsia="Calibri"/>
              </w:rPr>
              <w:t>,000</w:t>
            </w:r>
            <w:r w:rsidR="00653303">
              <w:rPr>
                <w:rFonts w:eastAsia="Calibri"/>
              </w:rPr>
              <w:t xml:space="preserve"> departures compared with 230,000 in March 2020</w:t>
            </w:r>
            <w:r w:rsidRPr="00B63754">
              <w:rPr>
                <w:rFonts w:eastAsia="Calibri"/>
              </w:rPr>
              <w:t>)</w:t>
            </w:r>
            <w:r w:rsidR="00F22687">
              <w:rPr>
                <w:rFonts w:eastAsia="Calibri"/>
              </w:rPr>
              <w:t>.</w:t>
            </w:r>
          </w:p>
          <w:p w14:paraId="195A3964" w14:textId="63CD8AA3" w:rsidR="00815D89" w:rsidRPr="000F65C4" w:rsidRDefault="006732E9" w:rsidP="00285BD4">
            <w:pPr>
              <w:jc w:val="both"/>
              <w:rPr>
                <w:rFonts w:eastAsia="Calibri"/>
              </w:rPr>
            </w:pPr>
            <w:r w:rsidRPr="006732E9">
              <w:rPr>
                <w:rFonts w:eastAsia="Calibri"/>
              </w:rPr>
              <w:t xml:space="preserve">The recovery in the number of people moving interstate has affected states and territories differently, with </w:t>
            </w:r>
            <w:r w:rsidR="00ED1A89">
              <w:rPr>
                <w:rFonts w:eastAsia="Calibri"/>
              </w:rPr>
              <w:t>smaller</w:t>
            </w:r>
            <w:r w:rsidR="00ED1A89" w:rsidRPr="006732E9">
              <w:rPr>
                <w:rFonts w:eastAsia="Calibri"/>
              </w:rPr>
              <w:t xml:space="preserve"> </w:t>
            </w:r>
            <w:r w:rsidRPr="006732E9">
              <w:rPr>
                <w:rFonts w:eastAsia="Calibri"/>
              </w:rPr>
              <w:t xml:space="preserve">states </w:t>
            </w:r>
            <w:r w:rsidR="00ED1A89">
              <w:rPr>
                <w:rFonts w:eastAsia="Calibri"/>
              </w:rPr>
              <w:t xml:space="preserve">seeing fewer </w:t>
            </w:r>
            <w:r w:rsidR="00783987">
              <w:rPr>
                <w:rFonts w:eastAsia="Calibri"/>
              </w:rPr>
              <w:t>departures</w:t>
            </w:r>
            <w:r w:rsidR="0008778E">
              <w:rPr>
                <w:rFonts w:eastAsia="Calibri"/>
              </w:rPr>
              <w:t>,</w:t>
            </w:r>
            <w:r w:rsidR="00ED1A89">
              <w:rPr>
                <w:rFonts w:eastAsia="Calibri"/>
              </w:rPr>
              <w:t xml:space="preserve"> </w:t>
            </w:r>
            <w:r w:rsidR="002F49FA">
              <w:rPr>
                <w:rFonts w:eastAsia="Calibri"/>
              </w:rPr>
              <w:t xml:space="preserve">reversing </w:t>
            </w:r>
            <w:r w:rsidR="004F020F">
              <w:rPr>
                <w:rFonts w:eastAsia="Calibri"/>
              </w:rPr>
              <w:t xml:space="preserve">recent </w:t>
            </w:r>
            <w:r w:rsidR="002F49FA">
              <w:rPr>
                <w:rFonts w:eastAsia="Calibri"/>
              </w:rPr>
              <w:t>historical trends</w:t>
            </w:r>
            <w:r w:rsidRPr="006732E9">
              <w:rPr>
                <w:rFonts w:eastAsia="Calibri"/>
              </w:rPr>
              <w:t>.</w:t>
            </w:r>
          </w:p>
        </w:tc>
      </w:tr>
      <w:tr w:rsidR="00AE6BF9" w:rsidRPr="0023709A" w14:paraId="357663B1" w14:textId="77777777" w:rsidTr="00AE6BF9">
        <w:trPr>
          <w:trHeight w:val="300"/>
        </w:trPr>
        <w:tc>
          <w:tcPr>
            <w:tcW w:w="5000" w:type="pct"/>
            <w:shd w:val="clear" w:color="auto" w:fill="auto"/>
            <w:vAlign w:val="center"/>
          </w:tcPr>
          <w:p w14:paraId="3DD96900" w14:textId="0978B7D0" w:rsidR="00FA6B81" w:rsidRDefault="00E441D0" w:rsidP="0072391E">
            <w:pPr>
              <w:pStyle w:val="Heading3"/>
            </w:pPr>
            <w:r>
              <w:t>Net interstate migration</w:t>
            </w:r>
            <w:r w:rsidDel="004D3259">
              <w:t xml:space="preserve"> </w:t>
            </w:r>
            <w:r w:rsidR="004D3259">
              <w:t>has slowed</w:t>
            </w:r>
            <w:r>
              <w:t xml:space="preserve"> due to COVID</w:t>
            </w:r>
            <w:r w:rsidR="004D3259">
              <w:t xml:space="preserve">, but started to </w:t>
            </w:r>
            <w:r w:rsidR="008167D6">
              <w:t xml:space="preserve">recover in </w:t>
            </w:r>
            <w:r w:rsidR="008325D0">
              <w:t>March 2021</w:t>
            </w:r>
          </w:p>
          <w:p w14:paraId="1F9646C0" w14:textId="5B4BAA28" w:rsidR="00EF7803" w:rsidRDefault="004D3259">
            <w:pPr>
              <w:jc w:val="both"/>
            </w:pPr>
            <w:r>
              <w:t>Since the onset of the COVID-19 pandemic</w:t>
            </w:r>
            <w:r w:rsidR="002E47A7">
              <w:t xml:space="preserve"> </w:t>
            </w:r>
            <w:r>
              <w:t>net interstate migration has fallen from</w:t>
            </w:r>
            <w:r w:rsidR="00631AC4">
              <w:t xml:space="preserve"> a high of 404,000 </w:t>
            </w:r>
            <w:r w:rsidR="0013783C">
              <w:t xml:space="preserve">in </w:t>
            </w:r>
            <w:r w:rsidR="00631AC4">
              <w:t>June 2019</w:t>
            </w:r>
            <w:r>
              <w:t xml:space="preserve">, to a low of </w:t>
            </w:r>
            <w:r w:rsidR="009E1ED9">
              <w:t>354</w:t>
            </w:r>
            <w:r>
              <w:t xml:space="preserve">,000 people in </w:t>
            </w:r>
            <w:r w:rsidR="009E1ED9">
              <w:t>December</w:t>
            </w:r>
            <w:r>
              <w:t xml:space="preserve"> 2020.</w:t>
            </w:r>
            <w:r w:rsidR="00992094">
              <w:t xml:space="preserve"> </w:t>
            </w:r>
            <w:r w:rsidR="002B5103">
              <w:t>I</w:t>
            </w:r>
            <w:r>
              <w:t xml:space="preserve">nterstate migration has started to </w:t>
            </w:r>
            <w:r w:rsidR="00A16116">
              <w:t>recover</w:t>
            </w:r>
            <w:r w:rsidR="006C1E21">
              <w:t xml:space="preserve"> </w:t>
            </w:r>
            <w:r w:rsidR="000F1929">
              <w:t>with</w:t>
            </w:r>
            <w:r>
              <w:t xml:space="preserve"> </w:t>
            </w:r>
            <w:r w:rsidR="004A4361">
              <w:t xml:space="preserve">371,000 </w:t>
            </w:r>
            <w:r w:rsidR="00075FE1" w:rsidRPr="00075FE1">
              <w:t xml:space="preserve">people </w:t>
            </w:r>
            <w:r w:rsidR="000F1929">
              <w:t>moving</w:t>
            </w:r>
            <w:r w:rsidR="000F1929" w:rsidRPr="00075FE1">
              <w:t xml:space="preserve"> </w:t>
            </w:r>
            <w:r w:rsidR="00075FE1" w:rsidRPr="00075FE1">
              <w:t xml:space="preserve">interstate </w:t>
            </w:r>
            <w:r w:rsidR="006C1E21">
              <w:t>over the year to March 2021.</w:t>
            </w:r>
            <w:r w:rsidR="00C70FBC">
              <w:t xml:space="preserve"> </w:t>
            </w:r>
            <w:r w:rsidR="001C0205">
              <w:t xml:space="preserve">The number of people moving interstate in the March quarter 2021 was 104,000, the highest number of moves for a </w:t>
            </w:r>
            <w:r w:rsidR="002476BE">
              <w:t>M</w:t>
            </w:r>
            <w:r w:rsidR="001C0205">
              <w:t>arch quarter since 1996.</w:t>
            </w:r>
          </w:p>
          <w:p w14:paraId="74AF5DDF" w14:textId="156C995A" w:rsidR="008325D0" w:rsidRPr="008325D0" w:rsidRDefault="00156C4F" w:rsidP="00285BD4">
            <w:pPr>
              <w:jc w:val="both"/>
            </w:pPr>
            <w:r>
              <w:t xml:space="preserve">This </w:t>
            </w:r>
            <w:r w:rsidR="006C1E21">
              <w:t>recovery in interstate migration was</w:t>
            </w:r>
            <w:r>
              <w:t xml:space="preserve"> driven by an increase in people leaving </w:t>
            </w:r>
            <w:r w:rsidR="00455BB3">
              <w:t xml:space="preserve">Victoria </w:t>
            </w:r>
            <w:r w:rsidR="00527F9A">
              <w:t xml:space="preserve">which accounted for </w:t>
            </w:r>
            <w:r w:rsidR="00105D89">
              <w:t>23</w:t>
            </w:r>
            <w:r w:rsidR="000B2211">
              <w:t xml:space="preserve"> </w:t>
            </w:r>
            <w:r w:rsidR="00765F4F">
              <w:t xml:space="preserve">per cent of </w:t>
            </w:r>
            <w:r w:rsidR="00455BB3">
              <w:t>the increase in</w:t>
            </w:r>
            <w:r w:rsidR="00765F4F">
              <w:t xml:space="preserve"> interstate moves</w:t>
            </w:r>
            <w:r w:rsidR="00631AC4">
              <w:t xml:space="preserve"> in the March quarter</w:t>
            </w:r>
            <w:r w:rsidR="007B57BA">
              <w:t>.</w:t>
            </w:r>
          </w:p>
          <w:p w14:paraId="710C08DF" w14:textId="390625BD" w:rsidR="00AE6BF9" w:rsidRDefault="00FA6B81" w:rsidP="00FA6B81">
            <w:pPr>
              <w:pStyle w:val="Heading9"/>
            </w:pPr>
            <w:r>
              <w:t xml:space="preserve">Level of </w:t>
            </w:r>
            <w:r w:rsidR="00631AC4">
              <w:t>i</w:t>
            </w:r>
            <w:r>
              <w:t xml:space="preserve">nterstate </w:t>
            </w:r>
            <w:r w:rsidR="00631AC4">
              <w:t>m</w:t>
            </w:r>
            <w:r>
              <w:t>igration</w:t>
            </w:r>
            <w:r w:rsidR="00EC4403">
              <w:t xml:space="preserve">, </w:t>
            </w:r>
            <w:r w:rsidR="00105D89">
              <w:t xml:space="preserve">year ending, </w:t>
            </w:r>
            <w:r w:rsidR="00EC4403">
              <w:t>20</w:t>
            </w:r>
            <w:r w:rsidR="00717988">
              <w:t>10</w:t>
            </w:r>
            <w:r w:rsidR="00EC4403">
              <w:t xml:space="preserve"> to 2021</w:t>
            </w:r>
          </w:p>
          <w:p w14:paraId="3829C4F9" w14:textId="3A2ECE65" w:rsidR="00AE6BF9" w:rsidRPr="00945E30" w:rsidRDefault="00527F9A" w:rsidP="00876A50">
            <w:pPr>
              <w:jc w:val="both"/>
            </w:pPr>
            <w:r w:rsidRPr="00527F9A">
              <w:rPr>
                <w:noProof/>
              </w:rPr>
              <w:drawing>
                <wp:inline distT="0" distB="0" distL="0" distR="0" wp14:anchorId="10B55524" wp14:editId="63B537E9">
                  <wp:extent cx="5753100" cy="24765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3100" cy="2476500"/>
                          </a:xfrm>
                          <a:prstGeom prst="rect">
                            <a:avLst/>
                          </a:prstGeom>
                          <a:noFill/>
                          <a:ln>
                            <a:noFill/>
                          </a:ln>
                        </pic:spPr>
                      </pic:pic>
                    </a:graphicData>
                  </a:graphic>
                </wp:inline>
              </w:drawing>
            </w:r>
          </w:p>
        </w:tc>
      </w:tr>
    </w:tbl>
    <w:p w14:paraId="014B4E14" w14:textId="610D3971" w:rsidR="00AE6BF9" w:rsidRDefault="00AE6BF9" w:rsidP="002A1031">
      <w:pPr>
        <w:spacing w:before="0" w:after="200" w:line="276" w:lineRule="auto"/>
        <w:sectPr w:rsidR="00AE6BF9" w:rsidSect="002A1031">
          <w:headerReference w:type="even" r:id="rId8"/>
          <w:headerReference w:type="default" r:id="rId9"/>
          <w:footerReference w:type="even" r:id="rId10"/>
          <w:footerReference w:type="default" r:id="rId11"/>
          <w:headerReference w:type="first" r:id="rId12"/>
          <w:footerReference w:type="first" r:id="rId13"/>
          <w:pgSz w:w="11906" w:h="16838" w:code="9"/>
          <w:pgMar w:top="2552" w:right="1418" w:bottom="1134" w:left="1418" w:header="737" w:footer="737" w:gutter="0"/>
          <w:cols w:space="708"/>
          <w:titlePg/>
          <w:docGrid w:linePitch="360"/>
        </w:sectPr>
      </w:pPr>
    </w:p>
    <w:tbl>
      <w:tblPr>
        <w:tblW w:w="9072" w:type="dxa"/>
        <w:tblLayout w:type="fixed"/>
        <w:tblLook w:val="04A0" w:firstRow="1" w:lastRow="0" w:firstColumn="1" w:lastColumn="0" w:noHBand="0" w:noVBand="1"/>
      </w:tblPr>
      <w:tblGrid>
        <w:gridCol w:w="9072"/>
      </w:tblGrid>
      <w:tr w:rsidR="00A21A3E" w:rsidRPr="0023709A" w14:paraId="722A6EE2" w14:textId="77777777" w:rsidTr="002068E6">
        <w:trPr>
          <w:trHeight w:val="300"/>
        </w:trPr>
        <w:tc>
          <w:tcPr>
            <w:tcW w:w="5000" w:type="pct"/>
          </w:tcPr>
          <w:p w14:paraId="02C193DC" w14:textId="5B32E3FB" w:rsidR="007B7950" w:rsidRDefault="001731E9" w:rsidP="007B7950">
            <w:pPr>
              <w:pStyle w:val="Heading3"/>
            </w:pPr>
            <w:r>
              <w:lastRenderedPageBreak/>
              <w:t xml:space="preserve">The </w:t>
            </w:r>
            <w:r w:rsidR="000742FA">
              <w:t>second Melbourne lockdown</w:t>
            </w:r>
            <w:r>
              <w:t xml:space="preserve"> continues to weigh on migration to Victoria</w:t>
            </w:r>
          </w:p>
          <w:p w14:paraId="7C676A0C" w14:textId="6984E0B3" w:rsidR="00010D04" w:rsidRDefault="003D5819" w:rsidP="00285BD4">
            <w:pPr>
              <w:jc w:val="both"/>
            </w:pPr>
            <w:r>
              <w:t xml:space="preserve">Victoria continued to have </w:t>
            </w:r>
            <w:r w:rsidR="00876A50">
              <w:t xml:space="preserve">a </w:t>
            </w:r>
            <w:r w:rsidR="007162BF">
              <w:t xml:space="preserve">historically low level of net interstate migration </w:t>
            </w:r>
            <w:r>
              <w:t>in the year to March 2021</w:t>
            </w:r>
            <w:r w:rsidR="006A1C43">
              <w:t>, with a net 18,200</w:t>
            </w:r>
            <w:r w:rsidR="00F24F1A">
              <w:t xml:space="preserve"> people</w:t>
            </w:r>
            <w:r w:rsidR="00706B60">
              <w:t xml:space="preserve"> moving interstate</w:t>
            </w:r>
            <w:r w:rsidR="00CF73A5">
              <w:t xml:space="preserve"> due to the impact of Melbourne’s second lockdown</w:t>
            </w:r>
            <w:r w:rsidR="00010D04">
              <w:t xml:space="preserve">. </w:t>
            </w:r>
            <w:r w:rsidR="00CF73A5">
              <w:t>Since</w:t>
            </w:r>
            <w:r w:rsidR="00CF73A5" w:rsidRPr="00FF324B">
              <w:t xml:space="preserve"> the end of the second</w:t>
            </w:r>
            <w:r w:rsidR="00CF73A5">
              <w:t xml:space="preserve"> Melbourne</w:t>
            </w:r>
            <w:r w:rsidR="00CF73A5" w:rsidRPr="00FF324B">
              <w:t xml:space="preserve"> lockdown in late November 2020</w:t>
            </w:r>
            <w:r w:rsidR="00CF73A5">
              <w:t xml:space="preserve">, </w:t>
            </w:r>
            <w:r w:rsidR="00F778A4">
              <w:t xml:space="preserve">quarterly </w:t>
            </w:r>
            <w:r w:rsidR="00CF73A5">
              <w:t xml:space="preserve">net internal migration for Melbourne has continued to </w:t>
            </w:r>
            <w:r w:rsidR="00F778A4">
              <w:t>be negative</w:t>
            </w:r>
            <w:r w:rsidR="00CF73A5">
              <w:t xml:space="preserve">, driven by an increase in the number of departures from the city (28,500 people). </w:t>
            </w:r>
            <w:r w:rsidR="00D378C4">
              <w:t xml:space="preserve">For the first time, this </w:t>
            </w:r>
            <w:r w:rsidR="00010D04">
              <w:t xml:space="preserve">record net loss of </w:t>
            </w:r>
            <w:r w:rsidR="00CF73A5">
              <w:t>internal</w:t>
            </w:r>
            <w:r w:rsidR="00C248A9">
              <w:t xml:space="preserve"> migrants</w:t>
            </w:r>
            <w:r w:rsidR="00010D04">
              <w:t xml:space="preserve"> has seen </w:t>
            </w:r>
            <w:r w:rsidR="00CF73A5">
              <w:t>Melbourne</w:t>
            </w:r>
            <w:r w:rsidR="00010D04">
              <w:t xml:space="preserve"> have a larger net loss of people </w:t>
            </w:r>
            <w:r w:rsidR="00D378C4">
              <w:t>compared with</w:t>
            </w:r>
            <w:r w:rsidR="00010D04">
              <w:t xml:space="preserve"> </w:t>
            </w:r>
            <w:r w:rsidR="00CF73A5">
              <w:t>Sydney</w:t>
            </w:r>
            <w:r w:rsidR="003049FB">
              <w:t xml:space="preserve"> (</w:t>
            </w:r>
            <w:r w:rsidR="00F778A4">
              <w:t>32,200 compared with</w:t>
            </w:r>
            <w:r w:rsidR="003049FB">
              <w:t xml:space="preserve"> </w:t>
            </w:r>
            <w:r w:rsidR="00F778A4">
              <w:t>31</w:t>
            </w:r>
            <w:r w:rsidR="00CF73A5">
              <w:t>,</w:t>
            </w:r>
            <w:r w:rsidR="00F778A4">
              <w:t>6</w:t>
            </w:r>
            <w:r w:rsidR="00CF73A5">
              <w:t>00</w:t>
            </w:r>
            <w:r w:rsidR="003049FB">
              <w:t xml:space="preserve"> people</w:t>
            </w:r>
            <w:r w:rsidR="0008778E">
              <w:t xml:space="preserve"> </w:t>
            </w:r>
            <w:r w:rsidR="00027B0D">
              <w:t>respectively</w:t>
            </w:r>
            <w:r w:rsidR="003049FB">
              <w:t>)</w:t>
            </w:r>
            <w:r w:rsidR="00010D04">
              <w:t>.</w:t>
            </w:r>
          </w:p>
          <w:p w14:paraId="34580A4E" w14:textId="4EDEAEFE" w:rsidR="00285BD4" w:rsidRPr="00DC545B" w:rsidRDefault="00F778A4" w:rsidP="00285BD4">
            <w:pPr>
              <w:pStyle w:val="Heading9"/>
            </w:pPr>
            <w:r>
              <w:t>N</w:t>
            </w:r>
            <w:r w:rsidR="00285BD4">
              <w:t>et internal migration, capital cities and rest of state areas</w:t>
            </w:r>
            <w:r w:rsidR="00285BD4" w:rsidRPr="00DC545B">
              <w:t xml:space="preserve">, </w:t>
            </w:r>
            <w:r w:rsidR="00285BD4">
              <w:t>year ending</w:t>
            </w:r>
            <w:r w:rsidR="00285BD4" w:rsidRPr="00DC545B">
              <w:t>, 201</w:t>
            </w:r>
            <w:r w:rsidR="00285BD4">
              <w:t>1</w:t>
            </w:r>
            <w:r w:rsidR="00285BD4" w:rsidRPr="00DC545B">
              <w:t>-202</w:t>
            </w:r>
            <w:r w:rsidR="00285BD4">
              <w:t>1</w:t>
            </w:r>
          </w:p>
          <w:p w14:paraId="1501502A" w14:textId="10DCFB7C" w:rsidR="00A03FB9" w:rsidRPr="00A03FB9" w:rsidRDefault="00717988">
            <w:r w:rsidRPr="00717988">
              <w:rPr>
                <w:noProof/>
              </w:rPr>
              <w:drawing>
                <wp:inline distT="0" distB="0" distL="0" distR="0" wp14:anchorId="5084C945" wp14:editId="06EEC3DF">
                  <wp:extent cx="5619750" cy="26193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9750" cy="2619375"/>
                          </a:xfrm>
                          <a:prstGeom prst="rect">
                            <a:avLst/>
                          </a:prstGeom>
                          <a:noFill/>
                          <a:ln>
                            <a:noFill/>
                          </a:ln>
                        </pic:spPr>
                      </pic:pic>
                    </a:graphicData>
                  </a:graphic>
                </wp:inline>
              </w:drawing>
            </w:r>
          </w:p>
          <w:p w14:paraId="1CEA0862" w14:textId="621EEC16" w:rsidR="007A0972" w:rsidRDefault="00D378C4" w:rsidP="007A0972">
            <w:pPr>
              <w:pStyle w:val="Heading3"/>
            </w:pPr>
            <w:r>
              <w:t>Residents departing Melbourne are going to regional Victoria and the eastern states</w:t>
            </w:r>
          </w:p>
          <w:p w14:paraId="6AD0F033" w14:textId="6CA07E31" w:rsidR="005856DC" w:rsidRDefault="005E31A6" w:rsidP="005856DC">
            <w:r>
              <w:t xml:space="preserve">Residents </w:t>
            </w:r>
            <w:r w:rsidR="005856DC">
              <w:t>depart</w:t>
            </w:r>
            <w:r>
              <w:t>ing</w:t>
            </w:r>
            <w:r w:rsidR="005856DC">
              <w:t xml:space="preserve"> from Melbourne</w:t>
            </w:r>
            <w:r w:rsidR="00BE6230">
              <w:t xml:space="preserve"> in the March</w:t>
            </w:r>
            <w:r w:rsidR="0071090E">
              <w:t xml:space="preserve"> </w:t>
            </w:r>
            <w:r w:rsidR="00E73680">
              <w:t>quarter</w:t>
            </w:r>
            <w:r w:rsidR="00BE6230">
              <w:t xml:space="preserve"> 2021</w:t>
            </w:r>
            <w:r w:rsidR="005856DC">
              <w:t xml:space="preserve"> </w:t>
            </w:r>
            <w:r w:rsidR="00932EC0">
              <w:t>we</w:t>
            </w:r>
            <w:r>
              <w:t>re most likely to settle in</w:t>
            </w:r>
            <w:r w:rsidR="005856DC">
              <w:t xml:space="preserve"> regional Victoria</w:t>
            </w:r>
            <w:r w:rsidR="00BE6230">
              <w:t xml:space="preserve"> (</w:t>
            </w:r>
            <w:r w:rsidR="008F18F3">
              <w:t>44</w:t>
            </w:r>
            <w:r w:rsidR="00BE6230">
              <w:t>,</w:t>
            </w:r>
            <w:r w:rsidR="00F778A4">
              <w:t>1</w:t>
            </w:r>
            <w:r w:rsidR="00BE6230">
              <w:t>00 people)</w:t>
            </w:r>
            <w:r w:rsidR="005856DC">
              <w:t>,</w:t>
            </w:r>
            <w:r>
              <w:t xml:space="preserve"> but there are also large flows to</w:t>
            </w:r>
            <w:r w:rsidR="00AE56BB">
              <w:t xml:space="preserve"> </w:t>
            </w:r>
            <w:r w:rsidR="005E77CB">
              <w:t xml:space="preserve">New South Wales </w:t>
            </w:r>
            <w:r w:rsidR="00BE6230">
              <w:t>(</w:t>
            </w:r>
            <w:r w:rsidR="0094717E">
              <w:t>19</w:t>
            </w:r>
            <w:r w:rsidR="00BE6230">
              <w:t>,</w:t>
            </w:r>
            <w:r w:rsidR="0094717E">
              <w:t>9</w:t>
            </w:r>
            <w:r w:rsidR="00BE6230">
              <w:t>00 people)</w:t>
            </w:r>
            <w:r>
              <w:t xml:space="preserve"> </w:t>
            </w:r>
            <w:r w:rsidR="004B43D6">
              <w:t>and</w:t>
            </w:r>
            <w:r>
              <w:t xml:space="preserve"> Q</w:t>
            </w:r>
            <w:r w:rsidR="00AE56BB">
              <w:t>ueensland</w:t>
            </w:r>
            <w:r w:rsidR="00BE6230">
              <w:t xml:space="preserve"> (</w:t>
            </w:r>
            <w:r w:rsidR="0094717E">
              <w:t>20</w:t>
            </w:r>
            <w:r w:rsidR="00BE6230">
              <w:t>,</w:t>
            </w:r>
            <w:r w:rsidR="0094717E">
              <w:t>3</w:t>
            </w:r>
            <w:r w:rsidR="00BE6230">
              <w:t>00 people)</w:t>
            </w:r>
            <w:r w:rsidR="005856DC">
              <w:t>.</w:t>
            </w:r>
            <w:r w:rsidR="00D95507">
              <w:t xml:space="preserve"> </w:t>
            </w:r>
            <w:r w:rsidR="00BE6230">
              <w:t xml:space="preserve">The distribution of departures from Melbourne </w:t>
            </w:r>
            <w:r w:rsidR="00461F6E">
              <w:t xml:space="preserve">follows historical </w:t>
            </w:r>
            <w:r w:rsidR="00BE6230">
              <w:t>patterns</w:t>
            </w:r>
            <w:r w:rsidR="00461F6E">
              <w:t xml:space="preserve">, </w:t>
            </w:r>
            <w:r w:rsidR="00BE6230">
              <w:t xml:space="preserve">however </w:t>
            </w:r>
            <w:r w:rsidR="00461F6E">
              <w:t xml:space="preserve">the </w:t>
            </w:r>
            <w:r w:rsidR="00BE6230">
              <w:t xml:space="preserve">increase </w:t>
            </w:r>
            <w:r w:rsidR="00461F6E">
              <w:t xml:space="preserve">in </w:t>
            </w:r>
            <w:r w:rsidR="00BE6230">
              <w:t xml:space="preserve">the level of </w:t>
            </w:r>
            <w:r w:rsidR="00461F6E">
              <w:t xml:space="preserve">departures from Melbourne </w:t>
            </w:r>
            <w:r w:rsidR="003124A0">
              <w:t xml:space="preserve">is </w:t>
            </w:r>
            <w:r w:rsidR="002731F0">
              <w:t xml:space="preserve">the largest </w:t>
            </w:r>
            <w:r w:rsidR="002731F0" w:rsidRPr="00636A7C">
              <w:t>since the start of this series</w:t>
            </w:r>
            <w:r w:rsidR="003124A0" w:rsidRPr="00636A7C">
              <w:t>.</w:t>
            </w:r>
          </w:p>
          <w:p w14:paraId="03911043" w14:textId="40BA809A" w:rsidR="00DC62D9" w:rsidRDefault="00F778A4" w:rsidP="005856DC">
            <w:pPr>
              <w:pStyle w:val="Heading9"/>
            </w:pPr>
            <w:r>
              <w:t>D</w:t>
            </w:r>
            <w:r w:rsidR="005856DC">
              <w:t xml:space="preserve">estinations </w:t>
            </w:r>
            <w:r w:rsidR="00EC4403">
              <w:t xml:space="preserve">of </w:t>
            </w:r>
            <w:r w:rsidR="005856DC">
              <w:t>departures from Melbourne</w:t>
            </w:r>
            <w:r w:rsidR="00EC4403">
              <w:t>, year to March 2021</w:t>
            </w:r>
          </w:p>
          <w:p w14:paraId="32DA9037" w14:textId="15CDB464" w:rsidR="00F778A4" w:rsidRDefault="00F37B67" w:rsidP="008759DD">
            <w:r w:rsidRPr="00F37B67">
              <w:rPr>
                <w:strike/>
                <w:noProof/>
              </w:rPr>
              <w:drawing>
                <wp:inline distT="0" distB="0" distL="0" distR="0" wp14:anchorId="6A92D146" wp14:editId="06842009">
                  <wp:extent cx="5581650" cy="2409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81650" cy="2409825"/>
                          </a:xfrm>
                          <a:prstGeom prst="rect">
                            <a:avLst/>
                          </a:prstGeom>
                          <a:noFill/>
                          <a:ln>
                            <a:noFill/>
                          </a:ln>
                        </pic:spPr>
                      </pic:pic>
                    </a:graphicData>
                  </a:graphic>
                </wp:inline>
              </w:drawing>
            </w:r>
            <w:r w:rsidR="00094EA9" w:rsidRPr="00BA52CB">
              <w:rPr>
                <w:strike/>
              </w:rPr>
              <w:br/>
            </w:r>
            <w:r w:rsidR="00F778A4" w:rsidRPr="00F778A4">
              <w:rPr>
                <w:rStyle w:val="Heading3Char"/>
              </w:rPr>
              <w:t>Regional Victoria is driving high net internal migration for all regional areas</w:t>
            </w:r>
          </w:p>
          <w:p w14:paraId="354B1EA7" w14:textId="36514DB6" w:rsidR="003B53C0" w:rsidRDefault="00812635" w:rsidP="00094EA9">
            <w:r>
              <w:t xml:space="preserve">Net internal migration for regions outside the capital cities continued to increase, with a net </w:t>
            </w:r>
            <w:r w:rsidR="0069606C">
              <w:t>migration</w:t>
            </w:r>
            <w:r>
              <w:t xml:space="preserve"> of </w:t>
            </w:r>
            <w:r w:rsidR="009B1B7D">
              <w:t>44,7</w:t>
            </w:r>
            <w:r>
              <w:t xml:space="preserve">00 people in the year to March </w:t>
            </w:r>
            <w:r w:rsidR="0069606C">
              <w:t>2021</w:t>
            </w:r>
            <w:r>
              <w:t>.</w:t>
            </w:r>
            <w:r w:rsidR="00E81F4A">
              <w:t xml:space="preserve"> </w:t>
            </w:r>
            <w:r w:rsidR="000F0E7A" w:rsidRPr="00B63754">
              <w:rPr>
                <w:rFonts w:eastAsia="Calibri"/>
              </w:rPr>
              <w:t xml:space="preserve">The number of capital city residents moving to the regions </w:t>
            </w:r>
            <w:r w:rsidR="000F0E7A">
              <w:rPr>
                <w:rFonts w:eastAsia="Calibri"/>
              </w:rPr>
              <w:t>is</w:t>
            </w:r>
            <w:r w:rsidR="000F0E7A" w:rsidRPr="00B63754">
              <w:rPr>
                <w:rFonts w:eastAsia="Calibri"/>
              </w:rPr>
              <w:t xml:space="preserve"> now </w:t>
            </w:r>
            <w:r w:rsidR="000F0E7A">
              <w:rPr>
                <w:rFonts w:eastAsia="Calibri"/>
              </w:rPr>
              <w:t xml:space="preserve">higher than </w:t>
            </w:r>
            <w:r w:rsidR="000F0E7A" w:rsidRPr="00B63754">
              <w:rPr>
                <w:rFonts w:eastAsia="Calibri"/>
              </w:rPr>
              <w:t>it was prior to the onset of the pandemic (</w:t>
            </w:r>
            <w:r w:rsidR="000F0E7A">
              <w:rPr>
                <w:rFonts w:eastAsia="Calibri"/>
              </w:rPr>
              <w:t>244</w:t>
            </w:r>
            <w:r w:rsidR="000F0E7A" w:rsidRPr="00B63754">
              <w:rPr>
                <w:rFonts w:eastAsia="Calibri"/>
              </w:rPr>
              <w:t>,000</w:t>
            </w:r>
            <w:r w:rsidR="000F0E7A">
              <w:rPr>
                <w:rFonts w:eastAsia="Calibri"/>
              </w:rPr>
              <w:t xml:space="preserve"> departures compared with 230,000 in</w:t>
            </w:r>
            <w:r w:rsidR="00636A7C">
              <w:rPr>
                <w:rFonts w:eastAsia="Calibri"/>
              </w:rPr>
              <w:t xml:space="preserve"> the year to</w:t>
            </w:r>
            <w:r w:rsidR="000F0E7A">
              <w:rPr>
                <w:rFonts w:eastAsia="Calibri"/>
              </w:rPr>
              <w:t xml:space="preserve"> March 2020</w:t>
            </w:r>
            <w:r w:rsidR="000F0E7A" w:rsidRPr="00B63754">
              <w:rPr>
                <w:rFonts w:eastAsia="Calibri"/>
              </w:rPr>
              <w:t>)</w:t>
            </w:r>
            <w:r w:rsidR="000F0E7A">
              <w:rPr>
                <w:rFonts w:eastAsia="Calibri"/>
              </w:rPr>
              <w:t>.</w:t>
            </w:r>
            <w:r w:rsidR="0008778E">
              <w:rPr>
                <w:rFonts w:eastAsia="Calibri"/>
              </w:rPr>
              <w:t xml:space="preserve"> </w:t>
            </w:r>
            <w:r w:rsidR="00E75B9C">
              <w:t xml:space="preserve">Along with a continued </w:t>
            </w:r>
            <w:r w:rsidR="00046FCC">
              <w:t>low level of departures</w:t>
            </w:r>
            <w:r w:rsidR="00506340">
              <w:t xml:space="preserve"> from regions</w:t>
            </w:r>
            <w:r w:rsidR="009C6B31">
              <w:t xml:space="preserve"> to capital cities</w:t>
            </w:r>
            <w:r w:rsidR="00E75B9C">
              <w:t>,</w:t>
            </w:r>
            <w:r w:rsidR="009C6B31">
              <w:t xml:space="preserve"> this</w:t>
            </w:r>
            <w:r w:rsidR="00506340">
              <w:t xml:space="preserve"> has </w:t>
            </w:r>
            <w:r w:rsidR="00DF6294">
              <w:lastRenderedPageBreak/>
              <w:t xml:space="preserve">contributed to </w:t>
            </w:r>
            <w:r w:rsidR="009C6B31">
              <w:t xml:space="preserve">a </w:t>
            </w:r>
            <w:r w:rsidR="00506340">
              <w:t>record</w:t>
            </w:r>
            <w:r w:rsidR="00047079">
              <w:t xml:space="preserve"> increase in </w:t>
            </w:r>
            <w:r w:rsidR="00DF6294">
              <w:t>net internal migration</w:t>
            </w:r>
            <w:r w:rsidR="00527F9A">
              <w:t xml:space="preserve"> for</w:t>
            </w:r>
            <w:r w:rsidR="00DF6294">
              <w:t xml:space="preserve"> regional areas.</w:t>
            </w:r>
            <w:r w:rsidR="009B1B7D" w:rsidRPr="00DA1566">
              <w:t xml:space="preserve"> </w:t>
            </w:r>
            <w:r w:rsidR="009B1B7D" w:rsidRPr="004D2367">
              <w:t xml:space="preserve">This was </w:t>
            </w:r>
            <w:r w:rsidR="009B1B7D">
              <w:t xml:space="preserve">almost </w:t>
            </w:r>
            <w:r w:rsidR="0008778E">
              <w:t>double</w:t>
            </w:r>
            <w:r w:rsidR="009B1B7D" w:rsidRPr="004D2367">
              <w:t xml:space="preserve"> the net </w:t>
            </w:r>
            <w:r w:rsidR="00636A7C">
              <w:t>internal migration</w:t>
            </w:r>
            <w:r w:rsidR="009B1B7D" w:rsidRPr="004D2367">
              <w:t xml:space="preserve"> </w:t>
            </w:r>
            <w:r w:rsidR="002731F0">
              <w:t>for</w:t>
            </w:r>
            <w:r w:rsidR="009B1B7D" w:rsidRPr="004D2367">
              <w:t xml:space="preserve"> </w:t>
            </w:r>
            <w:r w:rsidR="00225EA3">
              <w:t xml:space="preserve">regional areas </w:t>
            </w:r>
            <w:r w:rsidR="009B1B7D" w:rsidRPr="004D2367">
              <w:t>in March 2020</w:t>
            </w:r>
            <w:r w:rsidR="009B1B7D">
              <w:t>.</w:t>
            </w:r>
          </w:p>
          <w:p w14:paraId="1B8DA7C1" w14:textId="2BC08D71" w:rsidR="00FC7DE5" w:rsidRDefault="00F778A4" w:rsidP="007B44C9">
            <w:pPr>
              <w:pStyle w:val="Heading9"/>
            </w:pPr>
            <w:r>
              <w:t>I</w:t>
            </w:r>
            <w:r w:rsidR="007B44C9" w:rsidRPr="007B44C9">
              <w:t>nternal migration for regions outside the capital cities, year ending, 20</w:t>
            </w:r>
            <w:r w:rsidR="007837A3">
              <w:t>03</w:t>
            </w:r>
            <w:r w:rsidR="007B44C9" w:rsidRPr="007B44C9">
              <w:t xml:space="preserve"> to 202</w:t>
            </w:r>
            <w:r w:rsidR="00F77D89">
              <w:t>1</w:t>
            </w:r>
          </w:p>
          <w:p w14:paraId="4D631927" w14:textId="191C1F4A" w:rsidR="00EC4403" w:rsidRDefault="0047179D" w:rsidP="0047179D">
            <w:r w:rsidRPr="0047179D">
              <w:rPr>
                <w:noProof/>
              </w:rPr>
              <w:drawing>
                <wp:inline distT="0" distB="0" distL="0" distR="0" wp14:anchorId="030DE186" wp14:editId="2F81941E">
                  <wp:extent cx="5619750" cy="240982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19750" cy="2409825"/>
                          </a:xfrm>
                          <a:prstGeom prst="rect">
                            <a:avLst/>
                          </a:prstGeom>
                          <a:noFill/>
                          <a:ln>
                            <a:noFill/>
                          </a:ln>
                        </pic:spPr>
                      </pic:pic>
                    </a:graphicData>
                  </a:graphic>
                </wp:inline>
              </w:drawing>
            </w:r>
          </w:p>
          <w:p w14:paraId="51954D3C" w14:textId="109C6D13" w:rsidR="00917063" w:rsidRDefault="00105D89" w:rsidP="00917063">
            <w:pPr>
              <w:pStyle w:val="Heading3"/>
            </w:pPr>
            <w:r>
              <w:t>Across</w:t>
            </w:r>
            <w:r w:rsidR="001836C3">
              <w:t xml:space="preserve"> </w:t>
            </w:r>
            <w:r w:rsidR="00041D14">
              <w:t>s</w:t>
            </w:r>
            <w:r w:rsidR="001836C3">
              <w:t xml:space="preserve">tates and </w:t>
            </w:r>
            <w:r w:rsidR="00041D14">
              <w:t>t</w:t>
            </w:r>
            <w:r w:rsidR="001836C3">
              <w:t>erritories</w:t>
            </w:r>
            <w:r>
              <w:t xml:space="preserve">, people are </w:t>
            </w:r>
            <w:r w:rsidR="0008778E">
              <w:t>moving more as economic conditions improve</w:t>
            </w:r>
          </w:p>
          <w:p w14:paraId="2A35F4B0" w14:textId="68ACBEC2" w:rsidR="00A46255" w:rsidRDefault="00A46255" w:rsidP="00A46255">
            <w:pPr>
              <w:pStyle w:val="Bullet"/>
            </w:pPr>
            <w:r w:rsidRPr="00B32C2B">
              <w:rPr>
                <w:b/>
                <w:bCs/>
              </w:rPr>
              <w:t>Queensland</w:t>
            </w:r>
            <w:r w:rsidRPr="00BB6B4E">
              <w:t xml:space="preserve"> </w:t>
            </w:r>
            <w:r w:rsidR="005C1A37">
              <w:t>had</w:t>
            </w:r>
            <w:r w:rsidRPr="00BB6B4E">
              <w:t xml:space="preserve"> the largest net </w:t>
            </w:r>
            <w:r>
              <w:t xml:space="preserve">interstate migration </w:t>
            </w:r>
            <w:r w:rsidRPr="00BB6B4E">
              <w:t>compared to other states and territories</w:t>
            </w:r>
            <w:r w:rsidR="005C1A37">
              <w:t>, with a</w:t>
            </w:r>
            <w:r>
              <w:t>nnual net interstate migration reach</w:t>
            </w:r>
            <w:r w:rsidR="005C1A37">
              <w:t>ing</w:t>
            </w:r>
            <w:r>
              <w:t xml:space="preserve"> 30,800 people in March 2021.</w:t>
            </w:r>
          </w:p>
          <w:p w14:paraId="72F8C905" w14:textId="12630CC6" w:rsidR="00A46255" w:rsidRDefault="00A46255" w:rsidP="00A46255">
            <w:pPr>
              <w:pStyle w:val="Bullet"/>
            </w:pPr>
            <w:r w:rsidRPr="00B32C2B">
              <w:rPr>
                <w:b/>
                <w:bCs/>
              </w:rPr>
              <w:t>South Australia</w:t>
            </w:r>
            <w:r>
              <w:t xml:space="preserve"> had its highest quarterly net interstate migration on record (</w:t>
            </w:r>
            <w:r w:rsidR="00B725C0">
              <w:t>650</w:t>
            </w:r>
            <w:r>
              <w:t xml:space="preserve"> people), </w:t>
            </w:r>
            <w:r w:rsidR="00B725C0">
              <w:t xml:space="preserve">reversing </w:t>
            </w:r>
            <w:r>
              <w:t>recent historical trends of negative net interstate migration.</w:t>
            </w:r>
          </w:p>
          <w:p w14:paraId="4D44B0CA" w14:textId="5FD65725" w:rsidR="00A46255" w:rsidRDefault="00A46255" w:rsidP="00A46255">
            <w:pPr>
              <w:pStyle w:val="Bullet"/>
            </w:pPr>
            <w:r w:rsidRPr="00B32C2B">
              <w:rPr>
                <w:b/>
                <w:bCs/>
              </w:rPr>
              <w:t>Western Australia</w:t>
            </w:r>
            <w:r>
              <w:t xml:space="preserve"> also reversed recent historical trends of negative net interstate migration with arrivals continuing to outstrip departures with </w:t>
            </w:r>
            <w:r w:rsidR="007F0B64">
              <w:t xml:space="preserve">annual </w:t>
            </w:r>
            <w:r>
              <w:t xml:space="preserve">net interstate migration of </w:t>
            </w:r>
            <w:r w:rsidR="00020E1B">
              <w:t>3,2</w:t>
            </w:r>
            <w:r>
              <w:t>00 people.</w:t>
            </w:r>
          </w:p>
          <w:p w14:paraId="5EB6E9D8" w14:textId="3038A7E0" w:rsidR="00A46255" w:rsidRPr="00285BD4" w:rsidRDefault="00A46255" w:rsidP="00285BD4">
            <w:pPr>
              <w:pStyle w:val="Bullet"/>
              <w:rPr>
                <w:strike/>
              </w:rPr>
            </w:pPr>
            <w:r w:rsidRPr="00B32C2B">
              <w:rPr>
                <w:b/>
                <w:bCs/>
              </w:rPr>
              <w:t>The Northern Territory</w:t>
            </w:r>
            <w:r>
              <w:t xml:space="preserve"> </w:t>
            </w:r>
            <w:r w:rsidR="005C1A37">
              <w:t>had</w:t>
            </w:r>
            <w:r>
              <w:t xml:space="preserve"> a net loss of people in the year to March 2021, </w:t>
            </w:r>
            <w:r w:rsidR="001E2D31">
              <w:t>though</w:t>
            </w:r>
            <w:r>
              <w:t xml:space="preserve"> this was less negative than in the year to March 2020 (-1,100 compared with -3,400 respectively). The increase in </w:t>
            </w:r>
            <w:r w:rsidR="00834793">
              <w:t>net inter</w:t>
            </w:r>
            <w:r w:rsidR="0025419F">
              <w:t>s</w:t>
            </w:r>
            <w:r w:rsidR="00834793">
              <w:t>tate migration</w:t>
            </w:r>
            <w:r>
              <w:t xml:space="preserve"> to the Northern Territory over this period has been driven by an increase in arrivals to </w:t>
            </w:r>
            <w:r w:rsidR="0032699B">
              <w:t>Darwin</w:t>
            </w:r>
            <w:r w:rsidR="005C1A37">
              <w:t>.</w:t>
            </w:r>
          </w:p>
          <w:p w14:paraId="6271E9B8" w14:textId="5A76CE85" w:rsidR="00EC4403" w:rsidRPr="00834409" w:rsidRDefault="00020E1B" w:rsidP="00EC4403">
            <w:pPr>
              <w:pStyle w:val="Heading9"/>
            </w:pPr>
            <w:r>
              <w:t>A</w:t>
            </w:r>
            <w:r w:rsidR="007837A3">
              <w:t>rrivals and departures</w:t>
            </w:r>
            <w:r w:rsidR="00EC4403">
              <w:t xml:space="preserve">, </w:t>
            </w:r>
            <w:r w:rsidR="00B91675">
              <w:t>states and territories</w:t>
            </w:r>
            <w:r w:rsidR="00EC4403">
              <w:t>, 2010 to 202</w:t>
            </w:r>
            <w:r w:rsidR="007837A3">
              <w:t>1</w:t>
            </w:r>
          </w:p>
          <w:p w14:paraId="770411C3" w14:textId="23570A88" w:rsidR="00A21A3E" w:rsidRPr="00A21A3E" w:rsidRDefault="0047179D">
            <w:r>
              <w:rPr>
                <w:noProof/>
              </w:rPr>
              <w:drawing>
                <wp:inline distT="0" distB="0" distL="0" distR="0" wp14:anchorId="5D3BBD06" wp14:editId="534F10FB">
                  <wp:extent cx="5622290" cy="3004185"/>
                  <wp:effectExtent l="0" t="0" r="0" b="5715"/>
                  <wp:docPr id="15" name="Picture 15"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Chart, line chart&#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5622290" cy="3004185"/>
                          </a:xfrm>
                          <a:prstGeom prst="rect">
                            <a:avLst/>
                          </a:prstGeom>
                        </pic:spPr>
                      </pic:pic>
                    </a:graphicData>
                  </a:graphic>
                </wp:inline>
              </w:drawing>
            </w:r>
          </w:p>
        </w:tc>
      </w:tr>
      <w:tr w:rsidR="005E52FB" w:rsidRPr="0023709A" w14:paraId="3121FA89" w14:textId="77777777" w:rsidTr="002068E6">
        <w:trPr>
          <w:trHeight w:val="300"/>
        </w:trPr>
        <w:tc>
          <w:tcPr>
            <w:tcW w:w="5000" w:type="pct"/>
          </w:tcPr>
          <w:p w14:paraId="5D02E645" w14:textId="77777777" w:rsidR="005E52FB" w:rsidRDefault="005E52FB" w:rsidP="005E52FB">
            <w:pPr>
              <w:pStyle w:val="TableHeadingContinued"/>
              <w:numPr>
                <w:ilvl w:val="0"/>
                <w:numId w:val="27"/>
              </w:numPr>
              <w:spacing w:after="120"/>
              <w:ind w:left="992" w:hanging="992"/>
            </w:pPr>
            <w:r w:rsidRPr="00737787">
              <w:lastRenderedPageBreak/>
              <w:t>Upcoming major population releases</w:t>
            </w:r>
          </w:p>
          <w:tbl>
            <w:tblPr>
              <w:tblW w:w="7748" w:type="dxa"/>
              <w:jc w:val="center"/>
              <w:tblBorders>
                <w:top w:val="single" w:sz="4" w:space="0" w:color="auto"/>
                <w:bottom w:val="single" w:sz="4" w:space="0" w:color="auto"/>
              </w:tblBorders>
              <w:tblLayout w:type="fixed"/>
              <w:tblLook w:val="04A0" w:firstRow="1" w:lastRow="0" w:firstColumn="1" w:lastColumn="0" w:noHBand="0" w:noVBand="1"/>
            </w:tblPr>
            <w:tblGrid>
              <w:gridCol w:w="4731"/>
              <w:gridCol w:w="1425"/>
              <w:gridCol w:w="1592"/>
            </w:tblGrid>
            <w:tr w:rsidR="005E52FB" w:rsidRPr="009C2B09" w14:paraId="5FB81AAA" w14:textId="77777777" w:rsidTr="007F0CCD">
              <w:trPr>
                <w:trHeight w:val="271"/>
                <w:jc w:val="center"/>
              </w:trPr>
              <w:tc>
                <w:tcPr>
                  <w:tcW w:w="4731" w:type="dxa"/>
                  <w:tcBorders>
                    <w:top w:val="single" w:sz="4" w:space="0" w:color="002C47" w:themeColor="accent1"/>
                    <w:bottom w:val="single" w:sz="4" w:space="0" w:color="002C47" w:themeColor="accent1"/>
                  </w:tcBorders>
                  <w:shd w:val="clear" w:color="auto" w:fill="auto"/>
                  <w:noWrap/>
                  <w:tcMar>
                    <w:left w:w="28" w:type="dxa"/>
                    <w:right w:w="0" w:type="dxa"/>
                  </w:tcMar>
                  <w:hideMark/>
                </w:tcPr>
                <w:p w14:paraId="5348D83B" w14:textId="77777777" w:rsidR="005E52FB" w:rsidRPr="00DC62D9" w:rsidRDefault="005E52FB" w:rsidP="005E52FB">
                  <w:pPr>
                    <w:spacing w:before="40" w:after="40" w:line="276" w:lineRule="auto"/>
                    <w:rPr>
                      <w:rFonts w:asciiTheme="minorHAnsi" w:eastAsia="Times New Roman" w:hAnsiTheme="minorHAnsi" w:cstheme="minorHAnsi"/>
                      <w:b/>
                      <w:bCs/>
                      <w:color w:val="002C47" w:themeColor="accent1"/>
                      <w:sz w:val="18"/>
                      <w:szCs w:val="18"/>
                      <w:lang w:eastAsia="en-AU"/>
                    </w:rPr>
                  </w:pPr>
                  <w:r>
                    <w:rPr>
                      <w:rFonts w:asciiTheme="minorHAnsi" w:eastAsia="Times New Roman" w:hAnsiTheme="minorHAnsi" w:cstheme="minorHAnsi"/>
                      <w:b/>
                      <w:bCs/>
                      <w:color w:val="002C47" w:themeColor="accent1"/>
                      <w:sz w:val="18"/>
                      <w:szCs w:val="18"/>
                      <w:lang w:eastAsia="en-AU"/>
                    </w:rPr>
                    <w:t>Release</w:t>
                  </w:r>
                </w:p>
              </w:tc>
              <w:tc>
                <w:tcPr>
                  <w:tcW w:w="1425" w:type="dxa"/>
                  <w:tcBorders>
                    <w:top w:val="single" w:sz="4" w:space="0" w:color="002C47" w:themeColor="accent1"/>
                    <w:bottom w:val="single" w:sz="4" w:space="0" w:color="002C47" w:themeColor="accent1"/>
                  </w:tcBorders>
                  <w:shd w:val="clear" w:color="auto" w:fill="auto"/>
                  <w:tcMar>
                    <w:left w:w="28" w:type="dxa"/>
                    <w:right w:w="0" w:type="dxa"/>
                  </w:tcMar>
                  <w:hideMark/>
                </w:tcPr>
                <w:p w14:paraId="2C9C303E" w14:textId="77777777" w:rsidR="005E52FB" w:rsidRPr="00DC62D9" w:rsidRDefault="005E52FB" w:rsidP="005E52FB">
                  <w:pPr>
                    <w:spacing w:before="40" w:after="40" w:line="276" w:lineRule="auto"/>
                    <w:jc w:val="center"/>
                    <w:rPr>
                      <w:rFonts w:asciiTheme="minorHAnsi" w:eastAsia="Times New Roman" w:hAnsiTheme="minorHAnsi" w:cstheme="minorHAnsi"/>
                      <w:b/>
                      <w:bCs/>
                      <w:color w:val="002C47" w:themeColor="accent1"/>
                      <w:sz w:val="18"/>
                      <w:szCs w:val="18"/>
                      <w:lang w:eastAsia="en-AU"/>
                    </w:rPr>
                  </w:pPr>
                  <w:r>
                    <w:rPr>
                      <w:rFonts w:asciiTheme="minorHAnsi" w:eastAsia="Times New Roman" w:hAnsiTheme="minorHAnsi" w:cstheme="minorHAnsi"/>
                      <w:b/>
                      <w:bCs/>
                      <w:color w:val="002C47" w:themeColor="accent1"/>
                      <w:sz w:val="18"/>
                      <w:szCs w:val="18"/>
                      <w:lang w:eastAsia="en-AU"/>
                    </w:rPr>
                    <w:t>Former catalogue</w:t>
                  </w:r>
                </w:p>
              </w:tc>
              <w:tc>
                <w:tcPr>
                  <w:tcW w:w="1592" w:type="dxa"/>
                  <w:tcBorders>
                    <w:top w:val="single" w:sz="4" w:space="0" w:color="002C47" w:themeColor="accent1"/>
                    <w:bottom w:val="single" w:sz="4" w:space="0" w:color="002C47" w:themeColor="accent1"/>
                  </w:tcBorders>
                  <w:shd w:val="clear" w:color="auto" w:fill="auto"/>
                  <w:tcMar>
                    <w:left w:w="28" w:type="dxa"/>
                    <w:right w:w="0" w:type="dxa"/>
                  </w:tcMar>
                  <w:hideMark/>
                </w:tcPr>
                <w:p w14:paraId="7EF38812" w14:textId="77777777" w:rsidR="005E52FB" w:rsidRPr="00DC62D9" w:rsidRDefault="005E52FB" w:rsidP="005E52FB">
                  <w:pPr>
                    <w:spacing w:before="40" w:after="40" w:line="276" w:lineRule="auto"/>
                    <w:jc w:val="center"/>
                    <w:rPr>
                      <w:rFonts w:asciiTheme="minorHAnsi" w:eastAsia="Times New Roman" w:hAnsiTheme="minorHAnsi" w:cstheme="minorHAnsi"/>
                      <w:b/>
                      <w:bCs/>
                      <w:color w:val="002C47" w:themeColor="accent1"/>
                      <w:sz w:val="18"/>
                      <w:szCs w:val="18"/>
                      <w:lang w:eastAsia="en-AU"/>
                    </w:rPr>
                  </w:pPr>
                  <w:r>
                    <w:rPr>
                      <w:rFonts w:asciiTheme="minorHAnsi" w:eastAsia="Times New Roman" w:hAnsiTheme="minorHAnsi" w:cstheme="minorHAnsi"/>
                      <w:b/>
                      <w:bCs/>
                      <w:color w:val="002C47" w:themeColor="accent1"/>
                      <w:sz w:val="18"/>
                      <w:szCs w:val="18"/>
                      <w:lang w:eastAsia="en-AU"/>
                    </w:rPr>
                    <w:t>Release date</w:t>
                  </w:r>
                </w:p>
              </w:tc>
            </w:tr>
            <w:tr w:rsidR="005E52FB" w:rsidRPr="009C2B09" w14:paraId="5F1C5EDA" w14:textId="77777777" w:rsidTr="007F0CCD">
              <w:trPr>
                <w:trHeight w:val="204"/>
                <w:jc w:val="center"/>
              </w:trPr>
              <w:tc>
                <w:tcPr>
                  <w:tcW w:w="4731" w:type="dxa"/>
                  <w:tcBorders>
                    <w:top w:val="single" w:sz="4" w:space="0" w:color="002C47" w:themeColor="accent1"/>
                  </w:tcBorders>
                  <w:shd w:val="clear" w:color="auto" w:fill="auto"/>
                  <w:noWrap/>
                  <w:tcMar>
                    <w:left w:w="28" w:type="dxa"/>
                  </w:tcMar>
                  <w:vAlign w:val="bottom"/>
                </w:tcPr>
                <w:p w14:paraId="34E3DCFA" w14:textId="120A638E" w:rsidR="005E52FB" w:rsidRPr="009C2B09" w:rsidRDefault="005E52FB" w:rsidP="005E52FB">
                  <w:pPr>
                    <w:spacing w:before="40" w:after="40" w:line="276" w:lineRule="auto"/>
                    <w:rPr>
                      <w:rFonts w:asciiTheme="minorHAnsi" w:eastAsia="Times New Roman" w:hAnsiTheme="minorHAnsi" w:cstheme="minorHAnsi"/>
                      <w:b/>
                      <w:bCs/>
                      <w:color w:val="000000"/>
                      <w:sz w:val="18"/>
                      <w:szCs w:val="18"/>
                      <w:lang w:eastAsia="en-AU"/>
                    </w:rPr>
                  </w:pPr>
                  <w:r>
                    <w:rPr>
                      <w:rFonts w:asciiTheme="minorHAnsi" w:eastAsia="Times New Roman" w:hAnsiTheme="minorHAnsi" w:cstheme="minorHAnsi"/>
                      <w:b/>
                      <w:bCs/>
                      <w:color w:val="000000"/>
                      <w:sz w:val="18"/>
                      <w:szCs w:val="18"/>
                      <w:lang w:eastAsia="en-AU"/>
                    </w:rPr>
                    <w:t>Regional population by age and sex</w:t>
                  </w:r>
                  <w:r w:rsidR="00FD21D5">
                    <w:rPr>
                      <w:rFonts w:asciiTheme="minorHAnsi" w:eastAsia="Times New Roman" w:hAnsiTheme="minorHAnsi" w:cstheme="minorHAnsi"/>
                      <w:b/>
                      <w:bCs/>
                      <w:color w:val="000000"/>
                      <w:sz w:val="18"/>
                      <w:szCs w:val="18"/>
                      <w:lang w:eastAsia="en-AU"/>
                    </w:rPr>
                    <w:t>, 2019-20</w:t>
                  </w:r>
                </w:p>
              </w:tc>
              <w:tc>
                <w:tcPr>
                  <w:tcW w:w="1425" w:type="dxa"/>
                  <w:tcBorders>
                    <w:top w:val="single" w:sz="4" w:space="0" w:color="002C47" w:themeColor="accent1"/>
                    <w:left w:val="nil"/>
                    <w:bottom w:val="nil"/>
                    <w:right w:val="nil"/>
                  </w:tcBorders>
                  <w:shd w:val="clear" w:color="auto" w:fill="auto"/>
                  <w:noWrap/>
                  <w:vAlign w:val="bottom"/>
                </w:tcPr>
                <w:p w14:paraId="24A127E8" w14:textId="77777777" w:rsidR="005E52FB" w:rsidRPr="009C2B09" w:rsidRDefault="005E52FB" w:rsidP="005E52FB">
                  <w:pPr>
                    <w:spacing w:before="40" w:after="40" w:line="276" w:lineRule="auto"/>
                    <w:jc w:val="right"/>
                    <w:rPr>
                      <w:rFonts w:asciiTheme="minorHAnsi" w:eastAsia="Times New Roman" w:hAnsiTheme="minorHAnsi" w:cstheme="minorHAnsi"/>
                      <w:color w:val="000000"/>
                      <w:sz w:val="18"/>
                      <w:szCs w:val="18"/>
                      <w:lang w:eastAsia="en-AU"/>
                    </w:rPr>
                  </w:pPr>
                  <w:r w:rsidRPr="00C86822">
                    <w:rPr>
                      <w:rFonts w:asciiTheme="minorHAnsi" w:eastAsia="Times New Roman" w:hAnsiTheme="minorHAnsi" w:cstheme="minorHAnsi"/>
                      <w:color w:val="000000"/>
                      <w:sz w:val="18"/>
                      <w:szCs w:val="18"/>
                      <w:lang w:eastAsia="en-AU"/>
                    </w:rPr>
                    <w:t>3235</w:t>
                  </w:r>
                  <w:r w:rsidRPr="00513619">
                    <w:rPr>
                      <w:rFonts w:asciiTheme="minorHAnsi" w:eastAsia="Times New Roman" w:hAnsiTheme="minorHAnsi" w:cstheme="minorHAnsi"/>
                      <w:color w:val="000000"/>
                      <w:sz w:val="18"/>
                      <w:szCs w:val="18"/>
                      <w:lang w:eastAsia="en-AU"/>
                    </w:rPr>
                    <w:t>.0</w:t>
                  </w:r>
                </w:p>
              </w:tc>
              <w:tc>
                <w:tcPr>
                  <w:tcW w:w="1592" w:type="dxa"/>
                  <w:tcBorders>
                    <w:top w:val="single" w:sz="4" w:space="0" w:color="002C47" w:themeColor="accent1"/>
                    <w:left w:val="nil"/>
                    <w:bottom w:val="nil"/>
                    <w:right w:val="nil"/>
                  </w:tcBorders>
                  <w:shd w:val="clear" w:color="auto" w:fill="auto"/>
                  <w:noWrap/>
                  <w:vAlign w:val="bottom"/>
                </w:tcPr>
                <w:p w14:paraId="5584B4E3" w14:textId="77777777" w:rsidR="005E52FB" w:rsidRPr="009C2B09" w:rsidRDefault="005E52FB" w:rsidP="005E52FB">
                  <w:pPr>
                    <w:tabs>
                      <w:tab w:val="decimal" w:pos="741"/>
                    </w:tabs>
                    <w:spacing w:before="40" w:after="40" w:line="276" w:lineRule="auto"/>
                    <w:jc w:val="right"/>
                    <w:rPr>
                      <w:rFonts w:asciiTheme="minorHAnsi" w:eastAsia="Times New Roman" w:hAnsiTheme="minorHAnsi" w:cstheme="minorHAnsi"/>
                      <w:color w:val="000000"/>
                      <w:sz w:val="18"/>
                      <w:szCs w:val="18"/>
                      <w:lang w:eastAsia="en-AU"/>
                    </w:rPr>
                  </w:pPr>
                  <w:r w:rsidRPr="00513619">
                    <w:rPr>
                      <w:rFonts w:asciiTheme="minorHAnsi" w:eastAsia="Times New Roman" w:hAnsiTheme="minorHAnsi" w:cstheme="minorHAnsi"/>
                      <w:color w:val="000000"/>
                      <w:sz w:val="18"/>
                      <w:szCs w:val="18"/>
                      <w:lang w:eastAsia="en-AU"/>
                    </w:rPr>
                    <w:t>2</w:t>
                  </w:r>
                  <w:r>
                    <w:rPr>
                      <w:rFonts w:asciiTheme="minorHAnsi" w:eastAsia="Times New Roman" w:hAnsiTheme="minorHAnsi" w:cstheme="minorHAnsi"/>
                      <w:color w:val="000000"/>
                      <w:sz w:val="18"/>
                      <w:szCs w:val="18"/>
                      <w:lang w:eastAsia="en-AU"/>
                    </w:rPr>
                    <w:t>7</w:t>
                  </w:r>
                  <w:r w:rsidRPr="00513619">
                    <w:rPr>
                      <w:rFonts w:asciiTheme="minorHAnsi" w:eastAsia="Times New Roman" w:hAnsiTheme="minorHAnsi" w:cstheme="minorHAnsi"/>
                      <w:color w:val="000000"/>
                      <w:sz w:val="18"/>
                      <w:szCs w:val="18"/>
                      <w:lang w:eastAsia="en-AU"/>
                    </w:rPr>
                    <w:t>/0</w:t>
                  </w:r>
                  <w:r>
                    <w:rPr>
                      <w:rFonts w:asciiTheme="minorHAnsi" w:eastAsia="Times New Roman" w:hAnsiTheme="minorHAnsi" w:cstheme="minorHAnsi"/>
                      <w:color w:val="000000"/>
                      <w:sz w:val="18"/>
                      <w:szCs w:val="18"/>
                      <w:lang w:eastAsia="en-AU"/>
                    </w:rPr>
                    <w:t>8</w:t>
                  </w:r>
                  <w:r w:rsidRPr="00513619">
                    <w:rPr>
                      <w:rFonts w:asciiTheme="minorHAnsi" w:eastAsia="Times New Roman" w:hAnsiTheme="minorHAnsi" w:cstheme="minorHAnsi"/>
                      <w:color w:val="000000"/>
                      <w:sz w:val="18"/>
                      <w:szCs w:val="18"/>
                      <w:lang w:eastAsia="en-AU"/>
                    </w:rPr>
                    <w:t>/</w:t>
                  </w:r>
                  <w:r>
                    <w:rPr>
                      <w:rFonts w:asciiTheme="minorHAnsi" w:eastAsia="Times New Roman" w:hAnsiTheme="minorHAnsi" w:cstheme="minorHAnsi"/>
                      <w:color w:val="000000"/>
                      <w:sz w:val="18"/>
                      <w:szCs w:val="18"/>
                      <w:lang w:eastAsia="en-AU"/>
                    </w:rPr>
                    <w:t>2021</w:t>
                  </w:r>
                </w:p>
              </w:tc>
            </w:tr>
            <w:tr w:rsidR="005E52FB" w:rsidRPr="009C2B09" w14:paraId="43345A0A" w14:textId="77777777" w:rsidTr="007F0CCD">
              <w:trPr>
                <w:trHeight w:val="204"/>
                <w:jc w:val="center"/>
              </w:trPr>
              <w:tc>
                <w:tcPr>
                  <w:tcW w:w="4731" w:type="dxa"/>
                  <w:tcBorders>
                    <w:bottom w:val="nil"/>
                  </w:tcBorders>
                  <w:shd w:val="clear" w:color="auto" w:fill="auto"/>
                  <w:noWrap/>
                  <w:tcMar>
                    <w:left w:w="28" w:type="dxa"/>
                  </w:tcMar>
                  <w:vAlign w:val="bottom"/>
                </w:tcPr>
                <w:p w14:paraId="5E6FAABC" w14:textId="72ED99DD" w:rsidR="005E52FB" w:rsidRPr="009C2B09" w:rsidRDefault="005E52FB" w:rsidP="005E52FB">
                  <w:pPr>
                    <w:spacing w:before="40" w:after="40" w:line="276" w:lineRule="auto"/>
                    <w:rPr>
                      <w:rFonts w:asciiTheme="minorHAnsi" w:eastAsia="Times New Roman" w:hAnsiTheme="minorHAnsi" w:cstheme="minorHAnsi"/>
                      <w:b/>
                      <w:bCs/>
                      <w:color w:val="000000"/>
                      <w:sz w:val="18"/>
                      <w:szCs w:val="18"/>
                      <w:lang w:eastAsia="en-AU"/>
                    </w:rPr>
                  </w:pPr>
                  <w:r w:rsidRPr="00513619">
                    <w:rPr>
                      <w:rFonts w:asciiTheme="minorHAnsi" w:eastAsia="Times New Roman" w:hAnsiTheme="minorHAnsi" w:cstheme="minorHAnsi"/>
                      <w:b/>
                      <w:bCs/>
                      <w:color w:val="000000"/>
                      <w:sz w:val="18"/>
                      <w:szCs w:val="18"/>
                      <w:lang w:eastAsia="en-AU"/>
                    </w:rPr>
                    <w:t>National, state and territory population</w:t>
                  </w:r>
                  <w:r w:rsidR="00467864">
                    <w:rPr>
                      <w:rFonts w:asciiTheme="minorHAnsi" w:eastAsia="Times New Roman" w:hAnsiTheme="minorHAnsi" w:cstheme="minorHAnsi"/>
                      <w:b/>
                      <w:bCs/>
                      <w:color w:val="000000"/>
                      <w:sz w:val="18"/>
                      <w:szCs w:val="18"/>
                      <w:lang w:eastAsia="en-AU"/>
                    </w:rPr>
                    <w:t>,</w:t>
                  </w:r>
                  <w:r>
                    <w:rPr>
                      <w:rFonts w:asciiTheme="minorHAnsi" w:eastAsia="Times New Roman" w:hAnsiTheme="minorHAnsi" w:cstheme="minorHAnsi"/>
                      <w:b/>
                      <w:bCs/>
                      <w:color w:val="000000"/>
                      <w:sz w:val="18"/>
                      <w:szCs w:val="18"/>
                      <w:lang w:eastAsia="en-AU"/>
                    </w:rPr>
                    <w:t xml:space="preserve"> March 2021</w:t>
                  </w:r>
                </w:p>
              </w:tc>
              <w:tc>
                <w:tcPr>
                  <w:tcW w:w="1425" w:type="dxa"/>
                  <w:tcBorders>
                    <w:top w:val="nil"/>
                    <w:left w:val="nil"/>
                    <w:bottom w:val="nil"/>
                    <w:right w:val="nil"/>
                  </w:tcBorders>
                  <w:shd w:val="clear" w:color="auto" w:fill="auto"/>
                  <w:noWrap/>
                  <w:vAlign w:val="bottom"/>
                </w:tcPr>
                <w:p w14:paraId="7CF5CA75" w14:textId="77777777" w:rsidR="005E52FB" w:rsidRPr="009C2B09" w:rsidRDefault="005E52FB" w:rsidP="005E52FB">
                  <w:pPr>
                    <w:spacing w:before="40" w:after="40" w:line="276" w:lineRule="auto"/>
                    <w:jc w:val="right"/>
                    <w:rPr>
                      <w:rFonts w:asciiTheme="minorHAnsi" w:eastAsia="Times New Roman" w:hAnsiTheme="minorHAnsi" w:cstheme="minorHAnsi"/>
                      <w:color w:val="000000"/>
                      <w:sz w:val="18"/>
                      <w:szCs w:val="18"/>
                      <w:lang w:eastAsia="en-AU"/>
                    </w:rPr>
                  </w:pPr>
                  <w:r>
                    <w:rPr>
                      <w:rFonts w:asciiTheme="minorHAnsi" w:eastAsia="Times New Roman" w:hAnsiTheme="minorHAnsi" w:cstheme="minorHAnsi"/>
                      <w:color w:val="000000"/>
                      <w:sz w:val="18"/>
                      <w:szCs w:val="18"/>
                      <w:lang w:eastAsia="en-AU"/>
                    </w:rPr>
                    <w:t>3101.0</w:t>
                  </w:r>
                </w:p>
              </w:tc>
              <w:tc>
                <w:tcPr>
                  <w:tcW w:w="1592" w:type="dxa"/>
                  <w:tcBorders>
                    <w:top w:val="nil"/>
                    <w:left w:val="nil"/>
                    <w:bottom w:val="nil"/>
                    <w:right w:val="nil"/>
                  </w:tcBorders>
                  <w:shd w:val="clear" w:color="auto" w:fill="auto"/>
                  <w:noWrap/>
                  <w:vAlign w:val="bottom"/>
                </w:tcPr>
                <w:p w14:paraId="7C64D460" w14:textId="77777777" w:rsidR="005E52FB" w:rsidRPr="009C2B09" w:rsidRDefault="005E52FB" w:rsidP="005E52FB">
                  <w:pPr>
                    <w:tabs>
                      <w:tab w:val="decimal" w:pos="741"/>
                    </w:tabs>
                    <w:spacing w:before="40" w:after="40" w:line="276" w:lineRule="auto"/>
                    <w:jc w:val="right"/>
                    <w:rPr>
                      <w:rFonts w:asciiTheme="minorHAnsi" w:eastAsia="Times New Roman" w:hAnsiTheme="minorHAnsi" w:cstheme="minorHAnsi"/>
                      <w:color w:val="000000"/>
                      <w:sz w:val="18"/>
                      <w:szCs w:val="18"/>
                      <w:lang w:eastAsia="en-AU"/>
                    </w:rPr>
                  </w:pPr>
                  <w:r>
                    <w:rPr>
                      <w:rFonts w:asciiTheme="minorHAnsi" w:eastAsia="Times New Roman" w:hAnsiTheme="minorHAnsi" w:cstheme="minorHAnsi"/>
                      <w:color w:val="000000"/>
                      <w:sz w:val="18"/>
                      <w:szCs w:val="18"/>
                      <w:lang w:eastAsia="en-AU"/>
                    </w:rPr>
                    <w:t>16/09/2021</w:t>
                  </w:r>
                </w:p>
              </w:tc>
            </w:tr>
            <w:tr w:rsidR="005E52FB" w:rsidRPr="009C2B09" w14:paraId="620F7006" w14:textId="77777777" w:rsidTr="007F0CCD">
              <w:trPr>
                <w:trHeight w:val="204"/>
                <w:jc w:val="center"/>
              </w:trPr>
              <w:tc>
                <w:tcPr>
                  <w:tcW w:w="4731" w:type="dxa"/>
                  <w:tcBorders>
                    <w:top w:val="nil"/>
                    <w:bottom w:val="single" w:sz="4" w:space="0" w:color="002C47" w:themeColor="accent1"/>
                  </w:tcBorders>
                  <w:shd w:val="clear" w:color="auto" w:fill="auto"/>
                  <w:noWrap/>
                  <w:tcMar>
                    <w:left w:w="28" w:type="dxa"/>
                  </w:tcMar>
                  <w:vAlign w:val="bottom"/>
                </w:tcPr>
                <w:p w14:paraId="4A6F1284" w14:textId="13D41955" w:rsidR="005E52FB" w:rsidRPr="009C2B09" w:rsidRDefault="005E52FB" w:rsidP="005E52FB">
                  <w:pPr>
                    <w:spacing w:before="40" w:after="40" w:line="276" w:lineRule="auto"/>
                    <w:rPr>
                      <w:rFonts w:asciiTheme="minorHAnsi" w:eastAsia="Times New Roman" w:hAnsiTheme="minorHAnsi" w:cstheme="minorHAnsi"/>
                      <w:b/>
                      <w:bCs/>
                      <w:color w:val="000000"/>
                      <w:sz w:val="18"/>
                      <w:szCs w:val="18"/>
                      <w:lang w:eastAsia="en-AU"/>
                    </w:rPr>
                  </w:pPr>
                  <w:r>
                    <w:rPr>
                      <w:rFonts w:asciiTheme="minorHAnsi" w:eastAsia="Times New Roman" w:hAnsiTheme="minorHAnsi" w:cstheme="minorHAnsi"/>
                      <w:b/>
                      <w:bCs/>
                      <w:color w:val="000000"/>
                      <w:sz w:val="18"/>
                      <w:szCs w:val="18"/>
                      <w:lang w:eastAsia="en-AU"/>
                    </w:rPr>
                    <w:t>Deaths, Australia</w:t>
                  </w:r>
                  <w:r w:rsidR="00FD21D5">
                    <w:rPr>
                      <w:rFonts w:asciiTheme="minorHAnsi" w:eastAsia="Times New Roman" w:hAnsiTheme="minorHAnsi" w:cstheme="minorHAnsi"/>
                      <w:b/>
                      <w:bCs/>
                      <w:color w:val="000000"/>
                      <w:sz w:val="18"/>
                      <w:szCs w:val="18"/>
                      <w:lang w:eastAsia="en-AU"/>
                    </w:rPr>
                    <w:t>, 2020</w:t>
                  </w:r>
                </w:p>
              </w:tc>
              <w:tc>
                <w:tcPr>
                  <w:tcW w:w="1425" w:type="dxa"/>
                  <w:tcBorders>
                    <w:top w:val="nil"/>
                    <w:left w:val="nil"/>
                    <w:bottom w:val="single" w:sz="4" w:space="0" w:color="002C47" w:themeColor="accent1"/>
                    <w:right w:val="nil"/>
                  </w:tcBorders>
                  <w:shd w:val="clear" w:color="auto" w:fill="auto"/>
                  <w:noWrap/>
                  <w:vAlign w:val="bottom"/>
                </w:tcPr>
                <w:p w14:paraId="22262679" w14:textId="77777777" w:rsidR="005E52FB" w:rsidRPr="009C2B09" w:rsidRDefault="005E52FB" w:rsidP="005E52FB">
                  <w:pPr>
                    <w:spacing w:before="40" w:after="40" w:line="276" w:lineRule="auto"/>
                    <w:jc w:val="right"/>
                    <w:rPr>
                      <w:rFonts w:asciiTheme="minorHAnsi" w:eastAsia="Times New Roman" w:hAnsiTheme="minorHAnsi" w:cstheme="minorHAnsi"/>
                      <w:color w:val="000000"/>
                      <w:sz w:val="18"/>
                      <w:szCs w:val="18"/>
                      <w:lang w:eastAsia="en-AU"/>
                    </w:rPr>
                  </w:pPr>
                  <w:r>
                    <w:rPr>
                      <w:rFonts w:asciiTheme="minorHAnsi" w:eastAsia="Times New Roman" w:hAnsiTheme="minorHAnsi" w:cstheme="minorHAnsi"/>
                      <w:color w:val="000000"/>
                      <w:sz w:val="18"/>
                      <w:szCs w:val="18"/>
                      <w:lang w:eastAsia="en-AU"/>
                    </w:rPr>
                    <w:t>3302.0</w:t>
                  </w:r>
                </w:p>
              </w:tc>
              <w:tc>
                <w:tcPr>
                  <w:tcW w:w="1592" w:type="dxa"/>
                  <w:tcBorders>
                    <w:top w:val="nil"/>
                    <w:left w:val="nil"/>
                    <w:bottom w:val="single" w:sz="4" w:space="0" w:color="002C47" w:themeColor="accent1"/>
                    <w:right w:val="nil"/>
                  </w:tcBorders>
                  <w:shd w:val="clear" w:color="auto" w:fill="auto"/>
                  <w:noWrap/>
                  <w:vAlign w:val="bottom"/>
                </w:tcPr>
                <w:p w14:paraId="2C9EC59A" w14:textId="77777777" w:rsidR="005E52FB" w:rsidRPr="009C2B09" w:rsidRDefault="005E52FB" w:rsidP="005E52FB">
                  <w:pPr>
                    <w:tabs>
                      <w:tab w:val="decimal" w:pos="741"/>
                    </w:tabs>
                    <w:spacing w:before="40" w:after="40" w:line="276" w:lineRule="auto"/>
                    <w:jc w:val="right"/>
                    <w:rPr>
                      <w:rFonts w:asciiTheme="minorHAnsi" w:eastAsia="Times New Roman" w:hAnsiTheme="minorHAnsi" w:cstheme="minorHAnsi"/>
                      <w:color w:val="000000"/>
                      <w:sz w:val="18"/>
                      <w:szCs w:val="18"/>
                      <w:lang w:eastAsia="en-AU"/>
                    </w:rPr>
                  </w:pPr>
                  <w:r>
                    <w:rPr>
                      <w:rFonts w:asciiTheme="minorHAnsi" w:eastAsia="Times New Roman" w:hAnsiTheme="minorHAnsi" w:cstheme="minorHAnsi"/>
                      <w:color w:val="000000"/>
                      <w:sz w:val="18"/>
                      <w:szCs w:val="18"/>
                      <w:lang w:eastAsia="en-AU"/>
                    </w:rPr>
                    <w:t>29/09/2021</w:t>
                  </w:r>
                </w:p>
              </w:tc>
            </w:tr>
          </w:tbl>
          <w:p w14:paraId="6F447AA5" w14:textId="77777777" w:rsidR="005E52FB" w:rsidRDefault="005E52FB" w:rsidP="007B7950">
            <w:pPr>
              <w:pStyle w:val="Heading3"/>
            </w:pPr>
          </w:p>
        </w:tc>
      </w:tr>
      <w:tr w:rsidR="00D24DBE" w:rsidRPr="00D24DBE" w14:paraId="3E3C4608" w14:textId="77777777" w:rsidTr="002068E6">
        <w:trPr>
          <w:trHeight w:val="300"/>
        </w:trPr>
        <w:tc>
          <w:tcPr>
            <w:tcW w:w="5000" w:type="pct"/>
            <w:tcBorders>
              <w:bottom w:val="single" w:sz="12" w:space="0" w:color="002C47" w:themeColor="accent1"/>
            </w:tcBorders>
            <w:vAlign w:val="center"/>
          </w:tcPr>
          <w:p w14:paraId="39AA9A9E" w14:textId="53E7A0BA" w:rsidR="00D24DBE" w:rsidRPr="006579A0" w:rsidRDefault="00D24DBE" w:rsidP="00834409">
            <w:pPr>
              <w:pStyle w:val="Heading3"/>
            </w:pPr>
            <w:r>
              <w:t>NOTES</w:t>
            </w:r>
          </w:p>
          <w:p w14:paraId="0FECACEC" w14:textId="34C75366" w:rsidR="000F7825" w:rsidRDefault="000F7825" w:rsidP="00862857">
            <w:r>
              <w:t>There were a number of small lockdowns in the three months to March 2021, including the Northern beaches lockdown in Sydney which lasted until mid-January, and shorter lockdowns in Melbourne, Brisbane and Perth in February and March. The short nature of these lockdowns does not appear to have had a major</w:t>
            </w:r>
            <w:r w:rsidR="00467864">
              <w:t xml:space="preserve"> negative</w:t>
            </w:r>
            <w:r>
              <w:t xml:space="preserve"> impact on </w:t>
            </w:r>
            <w:r w:rsidR="000B4C72">
              <w:t xml:space="preserve">net interstate migration </w:t>
            </w:r>
            <w:r>
              <w:t xml:space="preserve">levels or patterns, while longer lockdowns such as the second Melbourne lockdown have been shown to have a major impact on </w:t>
            </w:r>
            <w:r w:rsidR="000B4C72">
              <w:t>net interstate migration</w:t>
            </w:r>
            <w:r>
              <w:t xml:space="preserve">.  </w:t>
            </w:r>
          </w:p>
          <w:p w14:paraId="767D413A" w14:textId="4545EC1C" w:rsidR="00862857" w:rsidRPr="00D24DBE" w:rsidRDefault="00D24DBE" w:rsidP="00862857">
            <w:r>
              <w:t xml:space="preserve">Further detail is available from the Australian Bureau of Statistics </w:t>
            </w:r>
            <w:hyperlink r:id="rId18" w:history="1">
              <w:r w:rsidR="009820F8" w:rsidRPr="009820F8">
                <w:rPr>
                  <w:rStyle w:val="Hyperlink"/>
                </w:rPr>
                <w:t>here.</w:t>
              </w:r>
            </w:hyperlink>
          </w:p>
        </w:tc>
      </w:tr>
    </w:tbl>
    <w:p w14:paraId="5EDE9743" w14:textId="6A7398AA" w:rsidR="002B5824" w:rsidRDefault="002B5824" w:rsidP="00A43EFE">
      <w:pPr>
        <w:rPr>
          <w:color w:val="000000"/>
        </w:rPr>
      </w:pPr>
    </w:p>
    <w:sectPr w:rsidR="002B5824" w:rsidSect="002A1031">
      <w:headerReference w:type="first" r:id="rId19"/>
      <w:pgSz w:w="11906" w:h="16838" w:code="9"/>
      <w:pgMar w:top="1418" w:right="1418" w:bottom="1134" w:left="1418"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076091" w14:textId="77777777" w:rsidR="00732E1E" w:rsidRDefault="00732E1E" w:rsidP="008F6A37">
      <w:r>
        <w:separator/>
      </w:r>
    </w:p>
  </w:endnote>
  <w:endnote w:type="continuationSeparator" w:id="0">
    <w:p w14:paraId="7DEB4247" w14:textId="77777777" w:rsidR="00732E1E" w:rsidRDefault="00732E1E" w:rsidP="008F6A37">
      <w:r>
        <w:continuationSeparator/>
      </w:r>
    </w:p>
  </w:endnote>
  <w:endnote w:type="continuationNotice" w:id="1">
    <w:p w14:paraId="3F975AF4" w14:textId="77777777" w:rsidR="00732E1E" w:rsidRDefault="00732E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Bold">
    <w:panose1 w:val="020B0704020202020204"/>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CF2922" w14:textId="2641D19B" w:rsidR="004B5358" w:rsidRDefault="004B5358" w:rsidP="004B5358">
    <w:pPr>
      <w:pStyle w:val="Footer"/>
    </w:pPr>
    <w:r w:rsidRPr="004B5358">
      <w:t xml:space="preserve">Page </w:t>
    </w:r>
    <w:r w:rsidRPr="004B5358">
      <w:rPr>
        <w:b/>
        <w:bCs/>
      </w:rPr>
      <w:fldChar w:fldCharType="begin"/>
    </w:r>
    <w:r w:rsidRPr="004B5358">
      <w:rPr>
        <w:b/>
        <w:bCs/>
      </w:rPr>
      <w:instrText xml:space="preserve"> PAGE  \* Arabic  \* MERGEFORMAT </w:instrText>
    </w:r>
    <w:r w:rsidRPr="004B5358">
      <w:rPr>
        <w:b/>
        <w:bCs/>
      </w:rPr>
      <w:fldChar w:fldCharType="separate"/>
    </w:r>
    <w:r w:rsidR="00815D89">
      <w:rPr>
        <w:b/>
        <w:bCs/>
        <w:noProof/>
      </w:rPr>
      <w:t>4</w:t>
    </w:r>
    <w:r w:rsidRPr="004B5358">
      <w:rPr>
        <w:b/>
        <w:bCs/>
      </w:rPr>
      <w:fldChar w:fldCharType="end"/>
    </w:r>
    <w:r w:rsidRPr="004B5358">
      <w:t xml:space="preserve"> of </w:t>
    </w:r>
    <w:r w:rsidRPr="004B5358">
      <w:rPr>
        <w:b/>
        <w:bCs/>
      </w:rPr>
      <w:fldChar w:fldCharType="begin"/>
    </w:r>
    <w:r w:rsidRPr="004B5358">
      <w:rPr>
        <w:b/>
        <w:bCs/>
      </w:rPr>
      <w:instrText xml:space="preserve"> NUMPAGES  \* Arabic  \* MERGEFORMAT </w:instrText>
    </w:r>
    <w:r w:rsidRPr="004B5358">
      <w:rPr>
        <w:b/>
        <w:bCs/>
      </w:rPr>
      <w:fldChar w:fldCharType="separate"/>
    </w:r>
    <w:r w:rsidR="00815D89">
      <w:rPr>
        <w:b/>
        <w:bCs/>
        <w:noProof/>
      </w:rPr>
      <w:t>5</w:t>
    </w:r>
    <w:r w:rsidRPr="004B5358">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2C9E99" w14:textId="2F6D501C" w:rsidR="004B5358" w:rsidRDefault="004B5358" w:rsidP="004B5358">
    <w:pPr>
      <w:pStyle w:val="Footer"/>
    </w:pPr>
    <w:r w:rsidRPr="004B5358">
      <w:t xml:space="preserve">Page </w:t>
    </w:r>
    <w:r w:rsidRPr="004B5358">
      <w:rPr>
        <w:b/>
        <w:bCs/>
      </w:rPr>
      <w:fldChar w:fldCharType="begin"/>
    </w:r>
    <w:r w:rsidRPr="004B5358">
      <w:rPr>
        <w:b/>
        <w:bCs/>
      </w:rPr>
      <w:instrText xml:space="preserve"> PAGE  \* Arabic  \* MERGEFORMAT </w:instrText>
    </w:r>
    <w:r w:rsidRPr="004B5358">
      <w:rPr>
        <w:b/>
        <w:bCs/>
      </w:rPr>
      <w:fldChar w:fldCharType="separate"/>
    </w:r>
    <w:r w:rsidR="00815D89">
      <w:rPr>
        <w:b/>
        <w:bCs/>
        <w:noProof/>
      </w:rPr>
      <w:t>5</w:t>
    </w:r>
    <w:r w:rsidRPr="004B5358">
      <w:rPr>
        <w:b/>
        <w:bCs/>
      </w:rPr>
      <w:fldChar w:fldCharType="end"/>
    </w:r>
    <w:r w:rsidRPr="004B5358">
      <w:t xml:space="preserve"> of </w:t>
    </w:r>
    <w:r w:rsidRPr="004B5358">
      <w:rPr>
        <w:b/>
        <w:bCs/>
      </w:rPr>
      <w:fldChar w:fldCharType="begin"/>
    </w:r>
    <w:r w:rsidRPr="004B5358">
      <w:rPr>
        <w:b/>
        <w:bCs/>
      </w:rPr>
      <w:instrText xml:space="preserve"> NUMPAGES  \* Arabic  \* MERGEFORMAT </w:instrText>
    </w:r>
    <w:r w:rsidRPr="004B5358">
      <w:rPr>
        <w:b/>
        <w:bCs/>
      </w:rPr>
      <w:fldChar w:fldCharType="separate"/>
    </w:r>
    <w:r w:rsidR="00815D89">
      <w:rPr>
        <w:b/>
        <w:bCs/>
        <w:noProof/>
      </w:rPr>
      <w:t>5</w:t>
    </w:r>
    <w:r w:rsidRPr="004B5358">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886E9A" w14:textId="33A5950F" w:rsidR="004B5358" w:rsidRPr="004B5358" w:rsidRDefault="004B5358" w:rsidP="004B5358">
    <w:pPr>
      <w:pStyle w:val="Footer"/>
    </w:pPr>
    <w:r w:rsidRPr="004B5358">
      <w:t xml:space="preserve">Page </w:t>
    </w:r>
    <w:r w:rsidRPr="004B5358">
      <w:rPr>
        <w:b/>
        <w:bCs/>
      </w:rPr>
      <w:fldChar w:fldCharType="begin"/>
    </w:r>
    <w:r w:rsidRPr="004B5358">
      <w:rPr>
        <w:b/>
        <w:bCs/>
      </w:rPr>
      <w:instrText xml:space="preserve"> PAGE  \* Arabic  \* MERGEFORMAT </w:instrText>
    </w:r>
    <w:r w:rsidRPr="004B5358">
      <w:rPr>
        <w:b/>
        <w:bCs/>
      </w:rPr>
      <w:fldChar w:fldCharType="separate"/>
    </w:r>
    <w:r w:rsidR="00815D89">
      <w:rPr>
        <w:b/>
        <w:bCs/>
        <w:noProof/>
      </w:rPr>
      <w:t>2</w:t>
    </w:r>
    <w:r w:rsidRPr="004B5358">
      <w:rPr>
        <w:b/>
        <w:bCs/>
      </w:rPr>
      <w:fldChar w:fldCharType="end"/>
    </w:r>
    <w:r w:rsidRPr="004B5358">
      <w:t xml:space="preserve"> of </w:t>
    </w:r>
    <w:r w:rsidRPr="004B5358">
      <w:rPr>
        <w:b/>
        <w:bCs/>
      </w:rPr>
      <w:fldChar w:fldCharType="begin"/>
    </w:r>
    <w:r w:rsidRPr="004B5358">
      <w:rPr>
        <w:b/>
        <w:bCs/>
      </w:rPr>
      <w:instrText xml:space="preserve"> NUMPAGES  \* Arabic  \* MERGEFORMAT </w:instrText>
    </w:r>
    <w:r w:rsidRPr="004B5358">
      <w:rPr>
        <w:b/>
        <w:bCs/>
      </w:rPr>
      <w:fldChar w:fldCharType="separate"/>
    </w:r>
    <w:r w:rsidR="00815D89">
      <w:rPr>
        <w:b/>
        <w:bCs/>
        <w:noProof/>
      </w:rPr>
      <w:t>5</w:t>
    </w:r>
    <w:r w:rsidRPr="004B5358">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18CF40" w14:textId="77777777" w:rsidR="00732E1E" w:rsidRDefault="00732E1E" w:rsidP="008F6A37">
      <w:r>
        <w:separator/>
      </w:r>
    </w:p>
  </w:footnote>
  <w:footnote w:type="continuationSeparator" w:id="0">
    <w:p w14:paraId="3253209F" w14:textId="77777777" w:rsidR="00732E1E" w:rsidRDefault="00732E1E" w:rsidP="008F6A37">
      <w:r>
        <w:continuationSeparator/>
      </w:r>
    </w:p>
  </w:footnote>
  <w:footnote w:type="continuationNotice" w:id="1">
    <w:p w14:paraId="286DFC9F" w14:textId="77777777" w:rsidR="00732E1E" w:rsidRDefault="00732E1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7A8E0" w14:textId="15821012" w:rsidR="00D759FD" w:rsidRPr="003A7FFE" w:rsidRDefault="00AB6652" w:rsidP="00815D89">
    <w:pPr>
      <w:pStyle w:val="HeaderEven"/>
      <w:jc w:val="right"/>
      <w:rPr>
        <w:i/>
      </w:rPr>
    </w:pPr>
    <w:r w:rsidRPr="00834409">
      <w:rPr>
        <w:b w:val="0"/>
        <w:bCs/>
        <w:iCs/>
      </w:rPr>
      <w:t xml:space="preserve">Analysis of </w:t>
    </w:r>
    <w:r w:rsidR="003A7FFE">
      <w:rPr>
        <w:b w:val="0"/>
        <w:bCs/>
        <w:i/>
      </w:rPr>
      <w:t xml:space="preserve">National, state and territory population, </w:t>
    </w:r>
    <w:r w:rsidR="00B27865">
      <w:rPr>
        <w:b w:val="0"/>
        <w:bCs/>
        <w:i/>
      </w:rPr>
      <w:t>March 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73E419" w14:textId="32DD40D2" w:rsidR="00D759FD" w:rsidRPr="00834409" w:rsidRDefault="00815D89" w:rsidP="00BD20D7">
    <w:pPr>
      <w:pStyle w:val="HeaderOdd"/>
      <w:jc w:val="left"/>
      <w:rPr>
        <w:b w:val="0"/>
      </w:rPr>
    </w:pPr>
    <w:r w:rsidRPr="00834409">
      <w:rPr>
        <w:b w:val="0"/>
        <w:bCs/>
      </w:rPr>
      <w:t>Centre for Population</w:t>
    </w:r>
    <w:r w:rsidR="003A7FFE" w:rsidRPr="00834409">
      <w:rPr>
        <w:b w:val="0"/>
        <w:bCs/>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FFEC37" w14:textId="61B8E105" w:rsidR="00AE6BF9" w:rsidRDefault="004D235B">
    <w:pPr>
      <w:pStyle w:val="Header"/>
    </w:pPr>
    <w:r>
      <w:rPr>
        <w:noProof/>
      </w:rPr>
      <mc:AlternateContent>
        <mc:Choice Requires="wps">
          <w:drawing>
            <wp:anchor distT="45720" distB="45720" distL="114300" distR="114300" simplePos="0" relativeHeight="251660288" behindDoc="0" locked="0" layoutInCell="1" allowOverlap="1" wp14:anchorId="0C9D5B28" wp14:editId="2A934016">
              <wp:simplePos x="0" y="0"/>
              <wp:positionH relativeFrom="column">
                <wp:posOffset>4233545</wp:posOffset>
              </wp:positionH>
              <wp:positionV relativeFrom="paragraph">
                <wp:posOffset>494030</wp:posOffset>
              </wp:positionV>
              <wp:extent cx="1978660" cy="140462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8660" cy="1404620"/>
                      </a:xfrm>
                      <a:prstGeom prst="rect">
                        <a:avLst/>
                      </a:prstGeom>
                      <a:noFill/>
                      <a:ln w="9525">
                        <a:noFill/>
                        <a:miter lim="800000"/>
                        <a:headEnd/>
                        <a:tailEnd/>
                      </a:ln>
                    </wps:spPr>
                    <wps:txbx>
                      <w:txbxContent>
                        <w:p w14:paraId="71C9B1DA" w14:textId="4D4CB785" w:rsidR="004D235B" w:rsidRPr="004D235B" w:rsidRDefault="004D235B">
                          <w:pPr>
                            <w:rPr>
                              <w:b/>
                              <w:bCs/>
                              <w:i/>
                              <w:iCs/>
                              <w:color w:val="FFFFFF" w:themeColor="background1"/>
                              <w:sz w:val="28"/>
                              <w:szCs w:val="28"/>
                            </w:rPr>
                          </w:pPr>
                          <w:r w:rsidRPr="004D235B">
                            <w:rPr>
                              <w:b/>
                              <w:bCs/>
                              <w:i/>
                              <w:iCs/>
                              <w:color w:val="FFFFFF" w:themeColor="background1"/>
                              <w:sz w:val="28"/>
                              <w:szCs w:val="28"/>
                            </w:rPr>
                            <w:t>3 August 2021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C9D5B28" id="_x0000_t202" coordsize="21600,21600" o:spt="202" path="m,l,21600r21600,l21600,xe">
              <v:stroke joinstyle="miter"/>
              <v:path gradientshapeok="t" o:connecttype="rect"/>
            </v:shapetype>
            <v:shape id="Text Box 2" o:spid="_x0000_s1026" type="#_x0000_t202" style="position:absolute;left:0;text-align:left;margin-left:333.35pt;margin-top:38.9pt;width:155.8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" filled="f" stroked="f">
              <v:textbox style="mso-fit-shape-to-text:t">
                <w:txbxContent>
                  <w:p w14:paraId="71C9B1DA" w14:textId="4D4CB785" w:rsidR="004D235B" w:rsidRPr="004D235B" w:rsidRDefault="004D235B">
                    <w:pPr>
                      <w:rPr>
                        <w:b/>
                        <w:bCs/>
                        <w:i/>
                        <w:iCs/>
                        <w:color w:val="FFFFFF" w:themeColor="background1"/>
                        <w:sz w:val="28"/>
                        <w:szCs w:val="28"/>
                      </w:rPr>
                    </w:pPr>
                    <w:r w:rsidRPr="004D235B">
                      <w:rPr>
                        <w:b/>
                        <w:bCs/>
                        <w:i/>
                        <w:iCs/>
                        <w:color w:val="FFFFFF" w:themeColor="background1"/>
                        <w:sz w:val="28"/>
                        <w:szCs w:val="28"/>
                      </w:rPr>
                      <w:t>3 August 2021</w:t>
                    </w:r>
                  </w:p>
                </w:txbxContent>
              </v:textbox>
              <w10:wrap type="square"/>
            </v:shape>
          </w:pict>
        </mc:Fallback>
      </mc:AlternateContent>
    </w:r>
    <w:r w:rsidR="00A54E21">
      <w:rPr>
        <w:noProof/>
        <w:lang w:eastAsia="en-AU"/>
      </w:rPr>
      <w:drawing>
        <wp:anchor distT="0" distB="0" distL="114300" distR="114300" simplePos="0" relativeHeight="251658240" behindDoc="0" locked="0" layoutInCell="1" allowOverlap="1" wp14:anchorId="730E3FB9" wp14:editId="4E782253">
          <wp:simplePos x="0" y="0"/>
          <wp:positionH relativeFrom="page">
            <wp:posOffset>-159</wp:posOffset>
          </wp:positionH>
          <wp:positionV relativeFrom="paragraph">
            <wp:posOffset>-468240</wp:posOffset>
          </wp:positionV>
          <wp:extent cx="7559994" cy="1441305"/>
          <wp:effectExtent l="0" t="0" r="3175"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559994" cy="1441305"/>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797CB3" w14:textId="6D0C76B4" w:rsidR="004B5358" w:rsidRPr="00AB6652" w:rsidRDefault="00AB6652" w:rsidP="003A7FFE">
    <w:pPr>
      <w:pStyle w:val="HeaderOdd"/>
      <w:jc w:val="left"/>
    </w:pPr>
    <w:r w:rsidRPr="003E678D">
      <w:rPr>
        <w:b w:val="0"/>
        <w:bCs/>
      </w:rPr>
      <w:t xml:space="preserve">Centre for Population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32EDC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92E70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C1674E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0E076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6B4DCC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943E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5849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F64D7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C041B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C1600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ED3FC7"/>
    <w:multiLevelType w:val="multilevel"/>
    <w:tmpl w:val="88BE7110"/>
    <w:styleLink w:val="BoxBulletedList"/>
    <w:lvl w:ilvl="0">
      <w:start w:val="1"/>
      <w:numFmt w:val="bullet"/>
      <w:lvlRestart w:val="0"/>
      <w:pStyle w:val="BoxBullet"/>
      <w:lvlText w:val="•"/>
      <w:lvlJc w:val="left"/>
      <w:pPr>
        <w:tabs>
          <w:tab w:val="num" w:pos="283"/>
        </w:tabs>
        <w:ind w:left="283" w:hanging="283"/>
      </w:pPr>
      <w:rPr>
        <w:rFonts w:ascii="Times New Roman" w:hAnsi="Times New Roman" w:cs="Times New Roman" w:hint="default"/>
        <w:b w:val="0"/>
        <w:i w:val="0"/>
        <w:sz w:val="20"/>
      </w:rPr>
    </w:lvl>
    <w:lvl w:ilvl="1">
      <w:start w:val="1"/>
      <w:numFmt w:val="bullet"/>
      <w:pStyle w:val="BoxDash"/>
      <w:lvlText w:val="–"/>
      <w:lvlJc w:val="left"/>
      <w:pPr>
        <w:tabs>
          <w:tab w:val="num" w:pos="567"/>
        </w:tabs>
        <w:ind w:left="567" w:hanging="284"/>
      </w:pPr>
      <w:rPr>
        <w:rFonts w:hint="default"/>
        <w:b w:val="0"/>
        <w:i w:val="0"/>
      </w:rPr>
    </w:lvl>
    <w:lvl w:ilvl="2">
      <w:start w:val="1"/>
      <w:numFmt w:val="bullet"/>
      <w:pStyle w:val="BoxDoubleDot"/>
      <w:lvlText w:val=":"/>
      <w:lvlJc w:val="left"/>
      <w:pPr>
        <w:tabs>
          <w:tab w:val="num" w:pos="850"/>
        </w:tabs>
        <w:ind w:left="850" w:hanging="283"/>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1" w15:restartNumberingAfterBreak="0">
    <w:nsid w:val="10653560"/>
    <w:multiLevelType w:val="multilevel"/>
    <w:tmpl w:val="72F8140E"/>
    <w:styleLink w:val="OutlineList"/>
    <w:lvl w:ilvl="0">
      <w:start w:val="1"/>
      <w:numFmt w:val="decimal"/>
      <w:pStyle w:val="OutlineNumbered1"/>
      <w:lvlText w:val="%1."/>
      <w:lvlJc w:val="left"/>
      <w:pPr>
        <w:tabs>
          <w:tab w:val="num" w:pos="851"/>
        </w:tabs>
        <w:ind w:left="851" w:hanging="851"/>
      </w:pPr>
      <w:rPr>
        <w:rFonts w:hint="default"/>
      </w:rPr>
    </w:lvl>
    <w:lvl w:ilvl="1">
      <w:start w:val="1"/>
      <w:numFmt w:val="decimal"/>
      <w:pStyle w:val="OutlineNumbered2"/>
      <w:lvlText w:val="%1.%2"/>
      <w:lvlJc w:val="left"/>
      <w:pPr>
        <w:tabs>
          <w:tab w:val="num" w:pos="1134"/>
        </w:tabs>
        <w:ind w:left="1134" w:hanging="1134"/>
      </w:pPr>
      <w:rPr>
        <w:rFonts w:hint="default"/>
      </w:rPr>
    </w:lvl>
    <w:lvl w:ilvl="2">
      <w:start w:val="1"/>
      <w:numFmt w:val="decimal"/>
      <w:pStyle w:val="OutlineNumbered3"/>
      <w:lvlText w:val="%1.%2.%3"/>
      <w:lvlJc w:val="left"/>
      <w:pPr>
        <w:tabs>
          <w:tab w:val="num" w:pos="1418"/>
        </w:tabs>
        <w:ind w:left="1418" w:hanging="141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7DF7717"/>
    <w:multiLevelType w:val="multilevel"/>
    <w:tmpl w:val="5DAAA53C"/>
    <w:lvl w:ilvl="0">
      <w:start w:val="1"/>
      <w:numFmt w:val="decimal"/>
      <w:pStyle w:val="Heading1Numbered"/>
      <w:lvlText w:val="%1."/>
      <w:lvlJc w:val="left"/>
      <w:pPr>
        <w:ind w:left="360" w:hanging="360"/>
      </w:pPr>
      <w:rPr>
        <w:rFonts w:hint="default"/>
      </w:rPr>
    </w:lvl>
    <w:lvl w:ilvl="1">
      <w:start w:val="1"/>
      <w:numFmt w:val="decimal"/>
      <w:pStyle w:val="Heading2Numbered"/>
      <w:lvlText w:val="%1.%2"/>
      <w:lvlJc w:val="left"/>
      <w:pPr>
        <w:ind w:left="720" w:hanging="360"/>
      </w:pPr>
      <w:rPr>
        <w:rFonts w:hint="default"/>
      </w:rPr>
    </w:lvl>
    <w:lvl w:ilvl="2">
      <w:start w:val="1"/>
      <w:numFmt w:val="decimal"/>
      <w:pStyle w:val="Heading3Numbered"/>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C4A0461"/>
    <w:multiLevelType w:val="hybridMultilevel"/>
    <w:tmpl w:val="91260442"/>
    <w:lvl w:ilvl="0" w:tplc="B49A184C">
      <w:start w:val="1"/>
      <w:numFmt w:val="decimal"/>
      <w:lvlText w:val="Chart %1."/>
      <w:lvlJc w:val="left"/>
      <w:pPr>
        <w:ind w:left="5038" w:hanging="360"/>
      </w:pPr>
      <w:rPr>
        <w:b w:val="0"/>
        <w:bCs w:val="0"/>
        <w:i w:val="0"/>
        <w:iC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6118" w:hanging="360"/>
      </w:pPr>
    </w:lvl>
    <w:lvl w:ilvl="2" w:tplc="0C09001B" w:tentative="1">
      <w:start w:val="1"/>
      <w:numFmt w:val="lowerRoman"/>
      <w:lvlText w:val="%3."/>
      <w:lvlJc w:val="right"/>
      <w:pPr>
        <w:ind w:left="6838" w:hanging="180"/>
      </w:pPr>
    </w:lvl>
    <w:lvl w:ilvl="3" w:tplc="0C09000F" w:tentative="1">
      <w:start w:val="1"/>
      <w:numFmt w:val="decimal"/>
      <w:lvlText w:val="%4."/>
      <w:lvlJc w:val="left"/>
      <w:pPr>
        <w:ind w:left="7558" w:hanging="360"/>
      </w:pPr>
    </w:lvl>
    <w:lvl w:ilvl="4" w:tplc="0C090019" w:tentative="1">
      <w:start w:val="1"/>
      <w:numFmt w:val="lowerLetter"/>
      <w:lvlText w:val="%5."/>
      <w:lvlJc w:val="left"/>
      <w:pPr>
        <w:ind w:left="8278" w:hanging="360"/>
      </w:pPr>
    </w:lvl>
    <w:lvl w:ilvl="5" w:tplc="0C09001B" w:tentative="1">
      <w:start w:val="1"/>
      <w:numFmt w:val="lowerRoman"/>
      <w:lvlText w:val="%6."/>
      <w:lvlJc w:val="right"/>
      <w:pPr>
        <w:ind w:left="8998" w:hanging="180"/>
      </w:pPr>
    </w:lvl>
    <w:lvl w:ilvl="6" w:tplc="0C09000F" w:tentative="1">
      <w:start w:val="1"/>
      <w:numFmt w:val="decimal"/>
      <w:lvlText w:val="%7."/>
      <w:lvlJc w:val="left"/>
      <w:pPr>
        <w:ind w:left="9718" w:hanging="360"/>
      </w:pPr>
    </w:lvl>
    <w:lvl w:ilvl="7" w:tplc="0C090019" w:tentative="1">
      <w:start w:val="1"/>
      <w:numFmt w:val="lowerLetter"/>
      <w:lvlText w:val="%8."/>
      <w:lvlJc w:val="left"/>
      <w:pPr>
        <w:ind w:left="10438" w:hanging="360"/>
      </w:pPr>
    </w:lvl>
    <w:lvl w:ilvl="8" w:tplc="0C09001B" w:tentative="1">
      <w:start w:val="1"/>
      <w:numFmt w:val="lowerRoman"/>
      <w:lvlText w:val="%9."/>
      <w:lvlJc w:val="right"/>
      <w:pPr>
        <w:ind w:left="11158" w:hanging="180"/>
      </w:pPr>
    </w:lvl>
  </w:abstractNum>
  <w:abstractNum w:abstractNumId="14" w15:restartNumberingAfterBreak="0">
    <w:nsid w:val="27826BF0"/>
    <w:multiLevelType w:val="multilevel"/>
    <w:tmpl w:val="863C3022"/>
    <w:lvl w:ilvl="0">
      <w:start w:val="1"/>
      <w:numFmt w:val="lowerRoman"/>
      <w:pStyle w:val="Romannumeral"/>
      <w:lvlText w:val="%1."/>
      <w:lvlJc w:val="left"/>
      <w:pPr>
        <w:tabs>
          <w:tab w:val="num" w:pos="720"/>
        </w:tabs>
        <w:ind w:left="720" w:hanging="720"/>
      </w:pPr>
      <w:rPr>
        <w:rFonts w:hint="default"/>
      </w:rPr>
    </w:lvl>
    <w:lvl w:ilvl="1">
      <w:start w:val="1"/>
      <w:numFmt w:val="lowerLetter"/>
      <w:pStyle w:val="AlphaParagraph"/>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B326A3C"/>
    <w:multiLevelType w:val="multilevel"/>
    <w:tmpl w:val="41361992"/>
    <w:name w:val="StandardBulletedList"/>
    <w:lvl w:ilvl="0">
      <w:start w:val="1"/>
      <w:numFmt w:val="bullet"/>
      <w:pStyle w:val="Bullet"/>
      <w:lvlText w:val="•"/>
      <w:lvlJc w:val="left"/>
      <w:pPr>
        <w:tabs>
          <w:tab w:val="num" w:pos="472"/>
        </w:tabs>
        <w:ind w:left="472" w:hanging="472"/>
      </w:pPr>
      <w:rPr>
        <w:rFonts w:ascii="Times New Roman" w:hAnsi="Times New Roman" w:cs="Times New Roman"/>
      </w:rPr>
    </w:lvl>
    <w:lvl w:ilvl="1">
      <w:start w:val="1"/>
      <w:numFmt w:val="bullet"/>
      <w:pStyle w:val="Dash"/>
      <w:lvlText w:val="–"/>
      <w:lvlJc w:val="left"/>
      <w:pPr>
        <w:tabs>
          <w:tab w:val="num" w:pos="944"/>
        </w:tabs>
        <w:ind w:left="944" w:hanging="472"/>
      </w:pPr>
      <w:rPr>
        <w:rFonts w:ascii="Times New Roman" w:hAnsi="Times New Roman" w:cs="Times New Roman"/>
      </w:rPr>
    </w:lvl>
    <w:lvl w:ilvl="2">
      <w:start w:val="1"/>
      <w:numFmt w:val="bullet"/>
      <w:pStyle w:val="DoubleDot"/>
      <w:lvlText w:val=":"/>
      <w:lvlJc w:val="left"/>
      <w:pPr>
        <w:tabs>
          <w:tab w:val="num" w:pos="1416"/>
        </w:tabs>
        <w:ind w:left="1416" w:hanging="472"/>
      </w:pPr>
      <w:rPr>
        <w:rFonts w:ascii="Times New Roman" w:hAnsi="Times New Roman" w:cs="Times New Roman"/>
      </w:rPr>
    </w:lvl>
    <w:lvl w:ilvl="3">
      <w:start w:val="1"/>
      <w:numFmt w:val="decimal"/>
      <w:lvlText w:val="(%4)"/>
      <w:lvlJc w:val="left"/>
      <w:pPr>
        <w:ind w:left="1962" w:hanging="360"/>
      </w:pPr>
    </w:lvl>
    <w:lvl w:ilvl="4">
      <w:start w:val="1"/>
      <w:numFmt w:val="lowerLetter"/>
      <w:lvlText w:val="(%5)"/>
      <w:lvlJc w:val="left"/>
      <w:pPr>
        <w:ind w:left="2322" w:hanging="360"/>
      </w:pPr>
    </w:lvl>
    <w:lvl w:ilvl="5">
      <w:start w:val="1"/>
      <w:numFmt w:val="lowerRoman"/>
      <w:lvlText w:val="(%6)"/>
      <w:lvlJc w:val="left"/>
      <w:pPr>
        <w:ind w:left="2682" w:hanging="360"/>
      </w:pPr>
    </w:lvl>
    <w:lvl w:ilvl="6">
      <w:start w:val="1"/>
      <w:numFmt w:val="decimal"/>
      <w:lvlText w:val="%7."/>
      <w:lvlJc w:val="left"/>
      <w:pPr>
        <w:ind w:left="3042" w:hanging="360"/>
      </w:pPr>
    </w:lvl>
    <w:lvl w:ilvl="7">
      <w:start w:val="1"/>
      <w:numFmt w:val="lowerLetter"/>
      <w:lvlText w:val="%8."/>
      <w:lvlJc w:val="left"/>
      <w:pPr>
        <w:ind w:left="3402" w:hanging="360"/>
      </w:pPr>
    </w:lvl>
    <w:lvl w:ilvl="8">
      <w:start w:val="1"/>
      <w:numFmt w:val="lowerRoman"/>
      <w:lvlText w:val="%9."/>
      <w:lvlJc w:val="left"/>
      <w:pPr>
        <w:ind w:left="3762" w:hanging="360"/>
      </w:pPr>
    </w:lvl>
  </w:abstractNum>
  <w:abstractNum w:abstractNumId="16" w15:restartNumberingAfterBreak="0">
    <w:nsid w:val="308C2710"/>
    <w:multiLevelType w:val="multilevel"/>
    <w:tmpl w:val="5810D1F2"/>
    <w:styleLink w:val="BulletedList"/>
    <w:lvl w:ilvl="0">
      <w:start w:val="1"/>
      <w:numFmt w:val="bullet"/>
      <w:lvlRestart w:val="0"/>
      <w:pStyle w:val="Normalbullet"/>
      <w:lvlText w:val="•"/>
      <w:lvlJc w:val="left"/>
      <w:pPr>
        <w:tabs>
          <w:tab w:val="num" w:pos="283"/>
        </w:tabs>
        <w:ind w:left="283" w:hanging="283"/>
      </w:pPr>
      <w:rPr>
        <w:rFonts w:ascii="Times New Roman" w:hAnsi="Times New Roman" w:cs="Times New Roman" w:hint="default"/>
        <w:b w:val="0"/>
        <w:i w:val="0"/>
      </w:rPr>
    </w:lvl>
    <w:lvl w:ilvl="1">
      <w:start w:val="1"/>
      <w:numFmt w:val="bullet"/>
      <w:pStyle w:val="Normaldash"/>
      <w:lvlText w:val="–"/>
      <w:lvlJc w:val="left"/>
      <w:pPr>
        <w:tabs>
          <w:tab w:val="num" w:pos="567"/>
        </w:tabs>
        <w:ind w:left="567" w:hanging="284"/>
      </w:pPr>
      <w:rPr>
        <w:rFonts w:ascii="Times New Roman" w:hAnsi="Times New Roman" w:cs="Times New Roman" w:hint="default"/>
        <w:b w:val="0"/>
        <w:i w:val="0"/>
      </w:rPr>
    </w:lvl>
    <w:lvl w:ilvl="2">
      <w:start w:val="1"/>
      <w:numFmt w:val="bullet"/>
      <w:pStyle w:val="Normaldoubledot"/>
      <w:lvlText w:val=":"/>
      <w:lvlJc w:val="left"/>
      <w:pPr>
        <w:tabs>
          <w:tab w:val="num" w:pos="850"/>
        </w:tabs>
        <w:ind w:left="850" w:hanging="283"/>
      </w:pPr>
      <w:rPr>
        <w:rFonts w:ascii="Times New Roman" w:hAnsi="Times New Roman" w:cs="Times New Roman"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7" w15:restartNumberingAfterBreak="0">
    <w:nsid w:val="3238442C"/>
    <w:multiLevelType w:val="multilevel"/>
    <w:tmpl w:val="20C6D62C"/>
    <w:styleLink w:val="ChartandTableFootnoteAlphaList"/>
    <w:lvl w:ilvl="0">
      <w:start w:val="1"/>
      <w:numFmt w:val="lowerLetter"/>
      <w:pStyle w:val="ChartandTableFootnoteAlpha"/>
      <w:lvlText w:val="(%1)"/>
      <w:lvlJc w:val="left"/>
      <w:pPr>
        <w:tabs>
          <w:tab w:val="num" w:pos="284"/>
        </w:tabs>
        <w:ind w:left="284" w:hanging="284"/>
      </w:pPr>
      <w:rPr>
        <w:rFonts w:ascii="Arial" w:hAnsi="Arial" w:hint="default"/>
        <w:b w:val="0"/>
        <w:i w:val="0"/>
        <w:sz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30C16AD"/>
    <w:multiLevelType w:val="multilevel"/>
    <w:tmpl w:val="D10E9CF6"/>
    <w:styleLink w:val="OneLevelList"/>
    <w:lvl w:ilvl="0">
      <w:start w:val="1"/>
      <w:numFmt w:val="decimal"/>
      <w:pStyle w:val="OneLevelNumberedParagraph"/>
      <w:lvlText w:val="%1."/>
      <w:lvlJc w:val="left"/>
      <w:pPr>
        <w:tabs>
          <w:tab w:val="num" w:pos="284"/>
        </w:tabs>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60C37C0"/>
    <w:multiLevelType w:val="hybridMultilevel"/>
    <w:tmpl w:val="7E4EFDA8"/>
    <w:lvl w:ilvl="0" w:tplc="BD6EB0BC">
      <w:start w:val="1"/>
      <w:numFmt w:val="decimal"/>
      <w:lvlText w:val="Chart %1."/>
      <w:lvlJc w:val="left"/>
      <w:pPr>
        <w:ind w:left="72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97F6AB3"/>
    <w:multiLevelType w:val="hybridMultilevel"/>
    <w:tmpl w:val="E8D02006"/>
    <w:lvl w:ilvl="0" w:tplc="56DE09CA">
      <w:start w:val="1"/>
      <w:numFmt w:val="decimal"/>
      <w:pStyle w:val="TableHeadingContinued"/>
      <w:lvlText w:val="Table %1."/>
      <w:lvlJc w:val="left"/>
      <w:pPr>
        <w:ind w:left="360" w:hanging="360"/>
      </w:pPr>
      <w:rPr>
        <w:rFonts w:ascii="Calibri" w:hAnsi="Calibri" w:hint="default"/>
        <w:b/>
        <w:bCs w:val="0"/>
        <w:i w:val="0"/>
        <w:iCs w:val="0"/>
        <w:caps w:val="0"/>
        <w:strike w:val="0"/>
        <w:dstrike w:val="0"/>
        <w:outline w:val="0"/>
        <w:shadow w:val="0"/>
        <w:emboss w:val="0"/>
        <w:imprint w:val="0"/>
        <w:vanish w:val="0"/>
        <w:color w:val="002C47" w:themeColor="accent1"/>
        <w:spacing w:val="0"/>
        <w:kern w:val="0"/>
        <w:position w:val="0"/>
        <w:sz w:val="28"/>
        <w:szCs w:val="28"/>
        <w:u w:val="none"/>
        <w:effect w:val="none"/>
        <w:vertAlign w:val="baseline"/>
        <w:em w:v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468013C"/>
    <w:multiLevelType w:val="hybridMultilevel"/>
    <w:tmpl w:val="3E24635E"/>
    <w:lvl w:ilvl="0" w:tplc="7C960E5A">
      <w:start w:val="1"/>
      <w:numFmt w:val="decimal"/>
      <w:pStyle w:val="Heading8"/>
      <w:lvlText w:val="Table %1."/>
      <w:lvlJc w:val="left"/>
      <w:pPr>
        <w:tabs>
          <w:tab w:val="num" w:pos="992"/>
        </w:tabs>
        <w:ind w:left="992" w:hanging="99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0B20637"/>
    <w:multiLevelType w:val="hybridMultilevel"/>
    <w:tmpl w:val="E57A028C"/>
    <w:lvl w:ilvl="0" w:tplc="345E5FF0">
      <w:start w:val="1"/>
      <w:numFmt w:val="decimal"/>
      <w:lvlText w:val="Table %1."/>
      <w:lvlJc w:val="left"/>
      <w:pPr>
        <w:ind w:left="720" w:hanging="360"/>
      </w:pPr>
      <w:rPr>
        <w:b w:val="0"/>
        <w:bCs w:val="0"/>
        <w:i w:val="0"/>
        <w:iC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60F57A5"/>
    <w:multiLevelType w:val="hybridMultilevel"/>
    <w:tmpl w:val="2BBAD246"/>
    <w:lvl w:ilvl="0" w:tplc="5F86231A">
      <w:start w:val="1"/>
      <w:numFmt w:val="decimal"/>
      <w:pStyle w:val="TableMainHeading"/>
      <w:lvlText w:val="Table %1."/>
      <w:lvlJc w:val="left"/>
      <w:pPr>
        <w:ind w:left="720" w:hanging="360"/>
      </w:pPr>
      <w:rPr>
        <w:rFonts w:ascii="Calibri" w:hAnsi="Calibri" w:hint="default"/>
        <w:b/>
        <w:i w:val="0"/>
        <w:caps w:val="0"/>
        <w:strike w:val="0"/>
        <w:dstrike w:val="0"/>
        <w:vanish w:val="0"/>
        <w:color w:val="002C47" w:themeColor="accent1"/>
        <w:sz w:val="20"/>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17508C2"/>
    <w:multiLevelType w:val="hybridMultilevel"/>
    <w:tmpl w:val="76307676"/>
    <w:lvl w:ilvl="0" w:tplc="E162F2F0">
      <w:start w:val="1"/>
      <w:numFmt w:val="decimal"/>
      <w:lvlText w:val="Table %1."/>
      <w:lvlJc w:val="left"/>
      <w:pPr>
        <w:ind w:left="360" w:hanging="360"/>
      </w:pPr>
      <w:rPr>
        <w:rFonts w:ascii="Calibri" w:hAnsi="Calibri" w:hint="default"/>
        <w:b/>
        <w:bCs w:val="0"/>
        <w:i w:val="0"/>
        <w:iCs w:val="0"/>
        <w:caps w:val="0"/>
        <w:strike w:val="0"/>
        <w:dstrike w:val="0"/>
        <w:outline w:val="0"/>
        <w:shadow w:val="0"/>
        <w:emboss w:val="0"/>
        <w:imprint w:val="0"/>
        <w:vanish w:val="0"/>
        <w:color w:val="002C47" w:themeColor="accent1"/>
        <w:spacing w:val="0"/>
        <w:kern w:val="0"/>
        <w:position w:val="0"/>
        <w:sz w:val="28"/>
        <w:u w:val="none"/>
        <w:effect w:val="none"/>
        <w:vertAlign w:val="baseline"/>
        <w:em w:v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9966D76"/>
    <w:multiLevelType w:val="hybridMultilevel"/>
    <w:tmpl w:val="2F844B7A"/>
    <w:lvl w:ilvl="0" w:tplc="AC4EB56E">
      <w:start w:val="1"/>
      <w:numFmt w:val="decimal"/>
      <w:pStyle w:val="BoxHeading"/>
      <w:lvlText w:val="Box %1."/>
      <w:lvlJc w:val="left"/>
      <w:pPr>
        <w:ind w:left="720" w:hanging="360"/>
      </w:pPr>
      <w:rPr>
        <w:rFonts w:hint="default"/>
        <w:cap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75A02C0"/>
    <w:multiLevelType w:val="hybridMultilevel"/>
    <w:tmpl w:val="E1DEB99E"/>
    <w:lvl w:ilvl="0" w:tplc="860AB498">
      <w:start w:val="1"/>
      <w:numFmt w:val="decimal"/>
      <w:pStyle w:val="ChartMainHeading"/>
      <w:lvlText w:val="Chart %1."/>
      <w:lvlJc w:val="left"/>
      <w:pPr>
        <w:tabs>
          <w:tab w:val="num" w:pos="992"/>
        </w:tabs>
        <w:ind w:left="992" w:hanging="992"/>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8C040BD"/>
    <w:multiLevelType w:val="hybridMultilevel"/>
    <w:tmpl w:val="0274866E"/>
    <w:lvl w:ilvl="0" w:tplc="79726520">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5"/>
  </w:num>
  <w:num w:numId="2">
    <w:abstractNumId w:val="15"/>
  </w:num>
  <w:num w:numId="3">
    <w:abstractNumId w:val="15"/>
  </w:num>
  <w:num w:numId="4">
    <w:abstractNumId w:val="27"/>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num>
  <w:num w:numId="16">
    <w:abstractNumId w:val="16"/>
  </w:num>
  <w:num w:numId="17">
    <w:abstractNumId w:val="24"/>
  </w:num>
  <w:num w:numId="18">
    <w:abstractNumId w:val="17"/>
  </w:num>
  <w:num w:numId="19">
    <w:abstractNumId w:val="12"/>
  </w:num>
  <w:num w:numId="20">
    <w:abstractNumId w:val="20"/>
  </w:num>
  <w:num w:numId="21">
    <w:abstractNumId w:val="13"/>
  </w:num>
  <w:num w:numId="22">
    <w:abstractNumId w:val="18"/>
  </w:num>
  <w:num w:numId="23">
    <w:abstractNumId w:val="11"/>
  </w:num>
  <w:num w:numId="24">
    <w:abstractNumId w:val="14"/>
  </w:num>
  <w:num w:numId="25">
    <w:abstractNumId w:val="22"/>
  </w:num>
  <w:num w:numId="26">
    <w:abstractNumId w:val="19"/>
  </w:num>
  <w:num w:numId="27">
    <w:abstractNumId w:val="23"/>
  </w:num>
  <w:num w:numId="28">
    <w:abstractNumId w:val="26"/>
  </w:num>
  <w:num w:numId="29">
    <w:abstractNumId w:val="25"/>
  </w:num>
  <w:num w:numId="30">
    <w:abstractNumId w:val="21"/>
  </w:num>
  <w:num w:numId="31">
    <w:abstractNumId w:val="26"/>
  </w:num>
  <w:num w:numId="32">
    <w:abstractNumId w:val="15"/>
  </w:num>
  <w:num w:numId="33">
    <w:abstractNumId w:val="15"/>
  </w:num>
  <w:num w:numId="34">
    <w:abstractNumId w:val="15"/>
  </w:num>
  <w:num w:numId="35">
    <w:abstractNumId w:val="26"/>
  </w:num>
  <w:num w:numId="36">
    <w:abstractNumId w:val="26"/>
  </w:num>
  <w:num w:numId="37">
    <w:abstractNumId w:val="26"/>
  </w:num>
  <w:num w:numId="38">
    <w:abstractNumId w:val="15"/>
  </w:num>
  <w:num w:numId="39">
    <w:abstractNumId w:val="26"/>
  </w:num>
  <w:num w:numId="40">
    <w:abstractNumId w:val="15"/>
  </w:num>
  <w:num w:numId="41">
    <w:abstractNumId w:val="15"/>
  </w:num>
  <w:num w:numId="42">
    <w:abstractNumId w:val="15"/>
  </w:num>
  <w:num w:numId="43">
    <w:abstractNumId w:val="15"/>
  </w:num>
  <w:num w:numId="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1044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0CF"/>
    <w:rsid w:val="000025C3"/>
    <w:rsid w:val="00005552"/>
    <w:rsid w:val="00005C33"/>
    <w:rsid w:val="00005FDD"/>
    <w:rsid w:val="000075D6"/>
    <w:rsid w:val="00010D04"/>
    <w:rsid w:val="00011961"/>
    <w:rsid w:val="00011E58"/>
    <w:rsid w:val="0001357F"/>
    <w:rsid w:val="000135AD"/>
    <w:rsid w:val="000138FE"/>
    <w:rsid w:val="0001439C"/>
    <w:rsid w:val="00014B3E"/>
    <w:rsid w:val="00017247"/>
    <w:rsid w:val="00020E1B"/>
    <w:rsid w:val="000212AE"/>
    <w:rsid w:val="000219AA"/>
    <w:rsid w:val="00022B42"/>
    <w:rsid w:val="00022C7A"/>
    <w:rsid w:val="00023CBA"/>
    <w:rsid w:val="00024A4C"/>
    <w:rsid w:val="00024D0B"/>
    <w:rsid w:val="00027731"/>
    <w:rsid w:val="00027B0D"/>
    <w:rsid w:val="00027CE2"/>
    <w:rsid w:val="000321E4"/>
    <w:rsid w:val="00032238"/>
    <w:rsid w:val="000330A2"/>
    <w:rsid w:val="00036886"/>
    <w:rsid w:val="0004038D"/>
    <w:rsid w:val="00040405"/>
    <w:rsid w:val="000405D3"/>
    <w:rsid w:val="000409F3"/>
    <w:rsid w:val="0004130C"/>
    <w:rsid w:val="00041D14"/>
    <w:rsid w:val="000444EE"/>
    <w:rsid w:val="0004496F"/>
    <w:rsid w:val="00044A6C"/>
    <w:rsid w:val="00044BD0"/>
    <w:rsid w:val="00046DAC"/>
    <w:rsid w:val="00046FCC"/>
    <w:rsid w:val="00047079"/>
    <w:rsid w:val="0004718D"/>
    <w:rsid w:val="00047BA9"/>
    <w:rsid w:val="000507D3"/>
    <w:rsid w:val="00052D36"/>
    <w:rsid w:val="00053DE3"/>
    <w:rsid w:val="00053FF1"/>
    <w:rsid w:val="0005424F"/>
    <w:rsid w:val="0005568F"/>
    <w:rsid w:val="00056E4C"/>
    <w:rsid w:val="00057D34"/>
    <w:rsid w:val="0006007C"/>
    <w:rsid w:val="00062F7E"/>
    <w:rsid w:val="00064D04"/>
    <w:rsid w:val="00065FAE"/>
    <w:rsid w:val="00066BD6"/>
    <w:rsid w:val="000702C0"/>
    <w:rsid w:val="00073631"/>
    <w:rsid w:val="0007385F"/>
    <w:rsid w:val="000741B6"/>
    <w:rsid w:val="000742FA"/>
    <w:rsid w:val="0007513C"/>
    <w:rsid w:val="00075FE1"/>
    <w:rsid w:val="0008139F"/>
    <w:rsid w:val="00081BE4"/>
    <w:rsid w:val="000833DC"/>
    <w:rsid w:val="00085F2A"/>
    <w:rsid w:val="0008778E"/>
    <w:rsid w:val="00093E21"/>
    <w:rsid w:val="0009422F"/>
    <w:rsid w:val="00094A06"/>
    <w:rsid w:val="00094EA9"/>
    <w:rsid w:val="00096136"/>
    <w:rsid w:val="000963F9"/>
    <w:rsid w:val="000967BC"/>
    <w:rsid w:val="000A130F"/>
    <w:rsid w:val="000A1DCB"/>
    <w:rsid w:val="000A2E8D"/>
    <w:rsid w:val="000A4D3C"/>
    <w:rsid w:val="000A709B"/>
    <w:rsid w:val="000A77D4"/>
    <w:rsid w:val="000B027D"/>
    <w:rsid w:val="000B062C"/>
    <w:rsid w:val="000B065B"/>
    <w:rsid w:val="000B2111"/>
    <w:rsid w:val="000B2211"/>
    <w:rsid w:val="000B2BC3"/>
    <w:rsid w:val="000B3CDE"/>
    <w:rsid w:val="000B43F7"/>
    <w:rsid w:val="000B4C4B"/>
    <w:rsid w:val="000B4C72"/>
    <w:rsid w:val="000B6715"/>
    <w:rsid w:val="000B7540"/>
    <w:rsid w:val="000C0A22"/>
    <w:rsid w:val="000C1DC4"/>
    <w:rsid w:val="000C2BBD"/>
    <w:rsid w:val="000C5C34"/>
    <w:rsid w:val="000D0233"/>
    <w:rsid w:val="000D1ADE"/>
    <w:rsid w:val="000D1D24"/>
    <w:rsid w:val="000D2084"/>
    <w:rsid w:val="000D3B17"/>
    <w:rsid w:val="000D4B22"/>
    <w:rsid w:val="000D63F6"/>
    <w:rsid w:val="000D7E77"/>
    <w:rsid w:val="000E13A6"/>
    <w:rsid w:val="000E1BCE"/>
    <w:rsid w:val="000E283D"/>
    <w:rsid w:val="000E38EB"/>
    <w:rsid w:val="000E3CD8"/>
    <w:rsid w:val="000E3E0C"/>
    <w:rsid w:val="000E68E6"/>
    <w:rsid w:val="000F0031"/>
    <w:rsid w:val="000F04C1"/>
    <w:rsid w:val="000F0E7A"/>
    <w:rsid w:val="000F1929"/>
    <w:rsid w:val="000F1A5D"/>
    <w:rsid w:val="000F1F16"/>
    <w:rsid w:val="000F60AE"/>
    <w:rsid w:val="000F60CF"/>
    <w:rsid w:val="000F6240"/>
    <w:rsid w:val="000F65C4"/>
    <w:rsid w:val="000F6912"/>
    <w:rsid w:val="000F7825"/>
    <w:rsid w:val="0010354E"/>
    <w:rsid w:val="001039A8"/>
    <w:rsid w:val="00105D89"/>
    <w:rsid w:val="001140DF"/>
    <w:rsid w:val="00116FB0"/>
    <w:rsid w:val="00120861"/>
    <w:rsid w:val="001211DA"/>
    <w:rsid w:val="00122466"/>
    <w:rsid w:val="00122485"/>
    <w:rsid w:val="001261C6"/>
    <w:rsid w:val="001262AD"/>
    <w:rsid w:val="00126350"/>
    <w:rsid w:val="00133E61"/>
    <w:rsid w:val="00134C99"/>
    <w:rsid w:val="00135022"/>
    <w:rsid w:val="0013783C"/>
    <w:rsid w:val="00137F24"/>
    <w:rsid w:val="001418C5"/>
    <w:rsid w:val="00142FC9"/>
    <w:rsid w:val="0014336B"/>
    <w:rsid w:val="001452FF"/>
    <w:rsid w:val="0014580B"/>
    <w:rsid w:val="0014769E"/>
    <w:rsid w:val="00150047"/>
    <w:rsid w:val="00150552"/>
    <w:rsid w:val="00153143"/>
    <w:rsid w:val="00153E9E"/>
    <w:rsid w:val="001540C3"/>
    <w:rsid w:val="00154658"/>
    <w:rsid w:val="001548EE"/>
    <w:rsid w:val="00155D7E"/>
    <w:rsid w:val="00156C4F"/>
    <w:rsid w:val="00157079"/>
    <w:rsid w:val="00157EB6"/>
    <w:rsid w:val="0016052C"/>
    <w:rsid w:val="00160A10"/>
    <w:rsid w:val="00160F47"/>
    <w:rsid w:val="00164BB5"/>
    <w:rsid w:val="00166922"/>
    <w:rsid w:val="00166D3E"/>
    <w:rsid w:val="00167034"/>
    <w:rsid w:val="0016769B"/>
    <w:rsid w:val="00170425"/>
    <w:rsid w:val="001707CE"/>
    <w:rsid w:val="00171AB9"/>
    <w:rsid w:val="00171B99"/>
    <w:rsid w:val="001731E9"/>
    <w:rsid w:val="0017330F"/>
    <w:rsid w:val="001737E2"/>
    <w:rsid w:val="00174442"/>
    <w:rsid w:val="0017622D"/>
    <w:rsid w:val="00176258"/>
    <w:rsid w:val="0017717F"/>
    <w:rsid w:val="00180671"/>
    <w:rsid w:val="001831C2"/>
    <w:rsid w:val="001836C3"/>
    <w:rsid w:val="00184350"/>
    <w:rsid w:val="001844D9"/>
    <w:rsid w:val="00186406"/>
    <w:rsid w:val="001869A8"/>
    <w:rsid w:val="00187C81"/>
    <w:rsid w:val="00187E5F"/>
    <w:rsid w:val="00187EAE"/>
    <w:rsid w:val="00190A0A"/>
    <w:rsid w:val="00192757"/>
    <w:rsid w:val="00194E8F"/>
    <w:rsid w:val="00197182"/>
    <w:rsid w:val="001971DA"/>
    <w:rsid w:val="00197994"/>
    <w:rsid w:val="001A1254"/>
    <w:rsid w:val="001A24B0"/>
    <w:rsid w:val="001A6234"/>
    <w:rsid w:val="001A671E"/>
    <w:rsid w:val="001B0934"/>
    <w:rsid w:val="001B0EDA"/>
    <w:rsid w:val="001B0EE4"/>
    <w:rsid w:val="001B275D"/>
    <w:rsid w:val="001B2923"/>
    <w:rsid w:val="001B3B88"/>
    <w:rsid w:val="001B3F9F"/>
    <w:rsid w:val="001B690A"/>
    <w:rsid w:val="001C0205"/>
    <w:rsid w:val="001C0224"/>
    <w:rsid w:val="001C0F70"/>
    <w:rsid w:val="001C2984"/>
    <w:rsid w:val="001C2DAA"/>
    <w:rsid w:val="001C38B5"/>
    <w:rsid w:val="001C6454"/>
    <w:rsid w:val="001C6A41"/>
    <w:rsid w:val="001C6E25"/>
    <w:rsid w:val="001D0043"/>
    <w:rsid w:val="001D259D"/>
    <w:rsid w:val="001D267F"/>
    <w:rsid w:val="001D5A3A"/>
    <w:rsid w:val="001D76C7"/>
    <w:rsid w:val="001E17A9"/>
    <w:rsid w:val="001E20B9"/>
    <w:rsid w:val="001E2D31"/>
    <w:rsid w:val="001E2E29"/>
    <w:rsid w:val="001E2E52"/>
    <w:rsid w:val="001E4A26"/>
    <w:rsid w:val="001E5B9A"/>
    <w:rsid w:val="001F4034"/>
    <w:rsid w:val="001F5C62"/>
    <w:rsid w:val="001F5EF9"/>
    <w:rsid w:val="001F62EA"/>
    <w:rsid w:val="001F67C7"/>
    <w:rsid w:val="001F6A21"/>
    <w:rsid w:val="001F6AFA"/>
    <w:rsid w:val="001F7C99"/>
    <w:rsid w:val="00201F7A"/>
    <w:rsid w:val="002046A2"/>
    <w:rsid w:val="002065FF"/>
    <w:rsid w:val="002068E6"/>
    <w:rsid w:val="0021002C"/>
    <w:rsid w:val="00211F33"/>
    <w:rsid w:val="0021212C"/>
    <w:rsid w:val="0021232B"/>
    <w:rsid w:val="002123E7"/>
    <w:rsid w:val="00215C3B"/>
    <w:rsid w:val="00220979"/>
    <w:rsid w:val="00221231"/>
    <w:rsid w:val="00221F78"/>
    <w:rsid w:val="002237C5"/>
    <w:rsid w:val="00223EE9"/>
    <w:rsid w:val="002240CA"/>
    <w:rsid w:val="00225EA3"/>
    <w:rsid w:val="00230525"/>
    <w:rsid w:val="002306F8"/>
    <w:rsid w:val="00230721"/>
    <w:rsid w:val="00230EB4"/>
    <w:rsid w:val="0023398A"/>
    <w:rsid w:val="00233AC7"/>
    <w:rsid w:val="00233BBC"/>
    <w:rsid w:val="00235115"/>
    <w:rsid w:val="0023583C"/>
    <w:rsid w:val="00235CD5"/>
    <w:rsid w:val="00236C31"/>
    <w:rsid w:val="0023709A"/>
    <w:rsid w:val="00237879"/>
    <w:rsid w:val="0023795B"/>
    <w:rsid w:val="002406D2"/>
    <w:rsid w:val="0024076E"/>
    <w:rsid w:val="00241A24"/>
    <w:rsid w:val="00241B9F"/>
    <w:rsid w:val="00242910"/>
    <w:rsid w:val="0024398A"/>
    <w:rsid w:val="00244526"/>
    <w:rsid w:val="002458DF"/>
    <w:rsid w:val="00245B70"/>
    <w:rsid w:val="00245C98"/>
    <w:rsid w:val="0024662A"/>
    <w:rsid w:val="0024753F"/>
    <w:rsid w:val="002476BE"/>
    <w:rsid w:val="00247742"/>
    <w:rsid w:val="0025079E"/>
    <w:rsid w:val="00250DCD"/>
    <w:rsid w:val="00251849"/>
    <w:rsid w:val="002526C9"/>
    <w:rsid w:val="00252D20"/>
    <w:rsid w:val="0025419F"/>
    <w:rsid w:val="00256CAD"/>
    <w:rsid w:val="002577F9"/>
    <w:rsid w:val="00257970"/>
    <w:rsid w:val="00257D71"/>
    <w:rsid w:val="002622FF"/>
    <w:rsid w:val="002668C3"/>
    <w:rsid w:val="002676D3"/>
    <w:rsid w:val="0027028C"/>
    <w:rsid w:val="002731F0"/>
    <w:rsid w:val="00275740"/>
    <w:rsid w:val="00275A41"/>
    <w:rsid w:val="00275C6D"/>
    <w:rsid w:val="00277157"/>
    <w:rsid w:val="00277DCD"/>
    <w:rsid w:val="002830CF"/>
    <w:rsid w:val="00283A37"/>
    <w:rsid w:val="00284FDF"/>
    <w:rsid w:val="00285BD4"/>
    <w:rsid w:val="0028692E"/>
    <w:rsid w:val="00287D12"/>
    <w:rsid w:val="00290111"/>
    <w:rsid w:val="002919A7"/>
    <w:rsid w:val="00291D2F"/>
    <w:rsid w:val="002929EF"/>
    <w:rsid w:val="00292EFE"/>
    <w:rsid w:val="00293C4B"/>
    <w:rsid w:val="002950F4"/>
    <w:rsid w:val="002979C7"/>
    <w:rsid w:val="002A1031"/>
    <w:rsid w:val="002A2169"/>
    <w:rsid w:val="002A2AB7"/>
    <w:rsid w:val="002A4563"/>
    <w:rsid w:val="002A7BB1"/>
    <w:rsid w:val="002B09EB"/>
    <w:rsid w:val="002B0CAC"/>
    <w:rsid w:val="002B1DF1"/>
    <w:rsid w:val="002B40ED"/>
    <w:rsid w:val="002B47A8"/>
    <w:rsid w:val="002B5103"/>
    <w:rsid w:val="002B5824"/>
    <w:rsid w:val="002B684F"/>
    <w:rsid w:val="002B6A32"/>
    <w:rsid w:val="002C03D9"/>
    <w:rsid w:val="002C0D7D"/>
    <w:rsid w:val="002C1CD5"/>
    <w:rsid w:val="002C2D5A"/>
    <w:rsid w:val="002C6C8F"/>
    <w:rsid w:val="002D01D9"/>
    <w:rsid w:val="002D0D59"/>
    <w:rsid w:val="002D133E"/>
    <w:rsid w:val="002D1DDD"/>
    <w:rsid w:val="002D4BDD"/>
    <w:rsid w:val="002D4EB4"/>
    <w:rsid w:val="002D5196"/>
    <w:rsid w:val="002D5D79"/>
    <w:rsid w:val="002E1020"/>
    <w:rsid w:val="002E1867"/>
    <w:rsid w:val="002E290A"/>
    <w:rsid w:val="002E2FAA"/>
    <w:rsid w:val="002E47A7"/>
    <w:rsid w:val="002E57F5"/>
    <w:rsid w:val="002E5932"/>
    <w:rsid w:val="002E6DD2"/>
    <w:rsid w:val="002F0ECB"/>
    <w:rsid w:val="002F1DE2"/>
    <w:rsid w:val="002F323C"/>
    <w:rsid w:val="002F349C"/>
    <w:rsid w:val="002F49FA"/>
    <w:rsid w:val="002F5B54"/>
    <w:rsid w:val="002F6E3E"/>
    <w:rsid w:val="002F77A5"/>
    <w:rsid w:val="003020C5"/>
    <w:rsid w:val="0030289A"/>
    <w:rsid w:val="00302A94"/>
    <w:rsid w:val="003049FB"/>
    <w:rsid w:val="0030553F"/>
    <w:rsid w:val="00306434"/>
    <w:rsid w:val="003124A0"/>
    <w:rsid w:val="003130E7"/>
    <w:rsid w:val="0031476F"/>
    <w:rsid w:val="003154F7"/>
    <w:rsid w:val="00316790"/>
    <w:rsid w:val="00317D6E"/>
    <w:rsid w:val="003207E9"/>
    <w:rsid w:val="003216BA"/>
    <w:rsid w:val="00322225"/>
    <w:rsid w:val="00323571"/>
    <w:rsid w:val="00325741"/>
    <w:rsid w:val="003266FB"/>
    <w:rsid w:val="0032699B"/>
    <w:rsid w:val="00330482"/>
    <w:rsid w:val="00332647"/>
    <w:rsid w:val="003348F5"/>
    <w:rsid w:val="003369A9"/>
    <w:rsid w:val="00336E85"/>
    <w:rsid w:val="003413C9"/>
    <w:rsid w:val="00341522"/>
    <w:rsid w:val="00341E00"/>
    <w:rsid w:val="0034464F"/>
    <w:rsid w:val="00344B69"/>
    <w:rsid w:val="00347250"/>
    <w:rsid w:val="003478BF"/>
    <w:rsid w:val="00347F56"/>
    <w:rsid w:val="00351868"/>
    <w:rsid w:val="00351A5B"/>
    <w:rsid w:val="00354BA3"/>
    <w:rsid w:val="003558C3"/>
    <w:rsid w:val="0035639A"/>
    <w:rsid w:val="00356BCF"/>
    <w:rsid w:val="00357348"/>
    <w:rsid w:val="003600B6"/>
    <w:rsid w:val="0036179B"/>
    <w:rsid w:val="00362537"/>
    <w:rsid w:val="00364843"/>
    <w:rsid w:val="003648A9"/>
    <w:rsid w:val="00365126"/>
    <w:rsid w:val="00365E78"/>
    <w:rsid w:val="00366737"/>
    <w:rsid w:val="0037217C"/>
    <w:rsid w:val="00372554"/>
    <w:rsid w:val="0037355B"/>
    <w:rsid w:val="003756B9"/>
    <w:rsid w:val="003770CC"/>
    <w:rsid w:val="0038054F"/>
    <w:rsid w:val="003815C6"/>
    <w:rsid w:val="00381B77"/>
    <w:rsid w:val="00381C48"/>
    <w:rsid w:val="003826CF"/>
    <w:rsid w:val="00382762"/>
    <w:rsid w:val="003830BA"/>
    <w:rsid w:val="003900F9"/>
    <w:rsid w:val="00390482"/>
    <w:rsid w:val="003939C3"/>
    <w:rsid w:val="00393ABA"/>
    <w:rsid w:val="00394E0D"/>
    <w:rsid w:val="00395F11"/>
    <w:rsid w:val="003A06BD"/>
    <w:rsid w:val="003A1707"/>
    <w:rsid w:val="003A3DD6"/>
    <w:rsid w:val="003A5CFB"/>
    <w:rsid w:val="003A748B"/>
    <w:rsid w:val="003A7FFE"/>
    <w:rsid w:val="003B06DE"/>
    <w:rsid w:val="003B14F7"/>
    <w:rsid w:val="003B47F5"/>
    <w:rsid w:val="003B53C0"/>
    <w:rsid w:val="003B702A"/>
    <w:rsid w:val="003C01A4"/>
    <w:rsid w:val="003C3E27"/>
    <w:rsid w:val="003C470E"/>
    <w:rsid w:val="003C5503"/>
    <w:rsid w:val="003C63DE"/>
    <w:rsid w:val="003C759F"/>
    <w:rsid w:val="003D148A"/>
    <w:rsid w:val="003D3445"/>
    <w:rsid w:val="003D4110"/>
    <w:rsid w:val="003D432A"/>
    <w:rsid w:val="003D4771"/>
    <w:rsid w:val="003D5324"/>
    <w:rsid w:val="003D5819"/>
    <w:rsid w:val="003D7915"/>
    <w:rsid w:val="003E176E"/>
    <w:rsid w:val="003E1B45"/>
    <w:rsid w:val="003E32D4"/>
    <w:rsid w:val="003E5E43"/>
    <w:rsid w:val="003E7B9A"/>
    <w:rsid w:val="003F00FC"/>
    <w:rsid w:val="003F1886"/>
    <w:rsid w:val="003F2541"/>
    <w:rsid w:val="003F29A9"/>
    <w:rsid w:val="003F3B05"/>
    <w:rsid w:val="003F3F0B"/>
    <w:rsid w:val="003F4900"/>
    <w:rsid w:val="003F5859"/>
    <w:rsid w:val="003F5DC8"/>
    <w:rsid w:val="00400285"/>
    <w:rsid w:val="00400C70"/>
    <w:rsid w:val="00401FAD"/>
    <w:rsid w:val="00402BBA"/>
    <w:rsid w:val="004033FC"/>
    <w:rsid w:val="00403CA5"/>
    <w:rsid w:val="0040438A"/>
    <w:rsid w:val="00404533"/>
    <w:rsid w:val="00404954"/>
    <w:rsid w:val="00405536"/>
    <w:rsid w:val="0040554F"/>
    <w:rsid w:val="004056DC"/>
    <w:rsid w:val="00405AD5"/>
    <w:rsid w:val="00410B21"/>
    <w:rsid w:val="00411DE9"/>
    <w:rsid w:val="004175A1"/>
    <w:rsid w:val="00420363"/>
    <w:rsid w:val="00423191"/>
    <w:rsid w:val="004239F0"/>
    <w:rsid w:val="00423D41"/>
    <w:rsid w:val="0042650B"/>
    <w:rsid w:val="0042679F"/>
    <w:rsid w:val="0042763C"/>
    <w:rsid w:val="00431FE2"/>
    <w:rsid w:val="00432A34"/>
    <w:rsid w:val="004331C1"/>
    <w:rsid w:val="00436F85"/>
    <w:rsid w:val="0043774A"/>
    <w:rsid w:val="004378BF"/>
    <w:rsid w:val="0044091A"/>
    <w:rsid w:val="00441AEB"/>
    <w:rsid w:val="004431B7"/>
    <w:rsid w:val="00445CD9"/>
    <w:rsid w:val="004464E2"/>
    <w:rsid w:val="004464EF"/>
    <w:rsid w:val="00447B0D"/>
    <w:rsid w:val="00447EDC"/>
    <w:rsid w:val="00450BCE"/>
    <w:rsid w:val="00453087"/>
    <w:rsid w:val="004547F8"/>
    <w:rsid w:val="004556F4"/>
    <w:rsid w:val="00455BB3"/>
    <w:rsid w:val="00456753"/>
    <w:rsid w:val="00456FA6"/>
    <w:rsid w:val="0045794D"/>
    <w:rsid w:val="0046058D"/>
    <w:rsid w:val="0046136D"/>
    <w:rsid w:val="00461D8E"/>
    <w:rsid w:val="00461F6E"/>
    <w:rsid w:val="0046456E"/>
    <w:rsid w:val="004653EB"/>
    <w:rsid w:val="00465C90"/>
    <w:rsid w:val="00466A6F"/>
    <w:rsid w:val="004671F2"/>
    <w:rsid w:val="00467864"/>
    <w:rsid w:val="004711B6"/>
    <w:rsid w:val="0047179D"/>
    <w:rsid w:val="0047532A"/>
    <w:rsid w:val="00475D66"/>
    <w:rsid w:val="00476769"/>
    <w:rsid w:val="0047768D"/>
    <w:rsid w:val="004820B2"/>
    <w:rsid w:val="00482FE6"/>
    <w:rsid w:val="0048321B"/>
    <w:rsid w:val="00484CB6"/>
    <w:rsid w:val="0048560C"/>
    <w:rsid w:val="00487CB6"/>
    <w:rsid w:val="00487EBF"/>
    <w:rsid w:val="00490182"/>
    <w:rsid w:val="00491076"/>
    <w:rsid w:val="00491E2A"/>
    <w:rsid w:val="004927CF"/>
    <w:rsid w:val="00493780"/>
    <w:rsid w:val="004A0839"/>
    <w:rsid w:val="004A1D45"/>
    <w:rsid w:val="004A4361"/>
    <w:rsid w:val="004A4DA3"/>
    <w:rsid w:val="004A6A96"/>
    <w:rsid w:val="004A6ECE"/>
    <w:rsid w:val="004A6FE6"/>
    <w:rsid w:val="004A7907"/>
    <w:rsid w:val="004B0D3C"/>
    <w:rsid w:val="004B31F7"/>
    <w:rsid w:val="004B32ED"/>
    <w:rsid w:val="004B43D6"/>
    <w:rsid w:val="004B523D"/>
    <w:rsid w:val="004B5358"/>
    <w:rsid w:val="004B53AF"/>
    <w:rsid w:val="004C0684"/>
    <w:rsid w:val="004C38EA"/>
    <w:rsid w:val="004C52CF"/>
    <w:rsid w:val="004C6557"/>
    <w:rsid w:val="004C6AEA"/>
    <w:rsid w:val="004D06C2"/>
    <w:rsid w:val="004D1E83"/>
    <w:rsid w:val="004D235B"/>
    <w:rsid w:val="004D2367"/>
    <w:rsid w:val="004D3259"/>
    <w:rsid w:val="004D5E45"/>
    <w:rsid w:val="004D76B9"/>
    <w:rsid w:val="004E1632"/>
    <w:rsid w:val="004E1C71"/>
    <w:rsid w:val="004E2245"/>
    <w:rsid w:val="004E2B0A"/>
    <w:rsid w:val="004E4B0C"/>
    <w:rsid w:val="004E6687"/>
    <w:rsid w:val="004E6D11"/>
    <w:rsid w:val="004F020F"/>
    <w:rsid w:val="004F0C24"/>
    <w:rsid w:val="004F34F6"/>
    <w:rsid w:val="004F427D"/>
    <w:rsid w:val="004F4E43"/>
    <w:rsid w:val="004F4FDD"/>
    <w:rsid w:val="004F55F6"/>
    <w:rsid w:val="004F5D12"/>
    <w:rsid w:val="004F7531"/>
    <w:rsid w:val="00500E7E"/>
    <w:rsid w:val="00504F21"/>
    <w:rsid w:val="005060E0"/>
    <w:rsid w:val="00506340"/>
    <w:rsid w:val="00506A72"/>
    <w:rsid w:val="00507E46"/>
    <w:rsid w:val="005107FA"/>
    <w:rsid w:val="00513619"/>
    <w:rsid w:val="0051477F"/>
    <w:rsid w:val="0051509F"/>
    <w:rsid w:val="005152E5"/>
    <w:rsid w:val="00515427"/>
    <w:rsid w:val="00516060"/>
    <w:rsid w:val="005163B4"/>
    <w:rsid w:val="00516F2E"/>
    <w:rsid w:val="00517F9D"/>
    <w:rsid w:val="005211B9"/>
    <w:rsid w:val="00523E0B"/>
    <w:rsid w:val="00525BF2"/>
    <w:rsid w:val="0052699A"/>
    <w:rsid w:val="00527E02"/>
    <w:rsid w:val="00527F9A"/>
    <w:rsid w:val="00527FAF"/>
    <w:rsid w:val="0053040C"/>
    <w:rsid w:val="005313B2"/>
    <w:rsid w:val="00532106"/>
    <w:rsid w:val="00532145"/>
    <w:rsid w:val="00532759"/>
    <w:rsid w:val="00532BEE"/>
    <w:rsid w:val="005330EA"/>
    <w:rsid w:val="00536446"/>
    <w:rsid w:val="0053664F"/>
    <w:rsid w:val="00540F12"/>
    <w:rsid w:val="005433F9"/>
    <w:rsid w:val="005461A1"/>
    <w:rsid w:val="00552451"/>
    <w:rsid w:val="00552EA5"/>
    <w:rsid w:val="00553293"/>
    <w:rsid w:val="0055406A"/>
    <w:rsid w:val="00555C4A"/>
    <w:rsid w:val="00556113"/>
    <w:rsid w:val="00556908"/>
    <w:rsid w:val="0056128B"/>
    <w:rsid w:val="0056171F"/>
    <w:rsid w:val="0056226B"/>
    <w:rsid w:val="00562946"/>
    <w:rsid w:val="00562A8F"/>
    <w:rsid w:val="005630EA"/>
    <w:rsid w:val="00563395"/>
    <w:rsid w:val="0057167F"/>
    <w:rsid w:val="00581D1C"/>
    <w:rsid w:val="00583823"/>
    <w:rsid w:val="00583A6A"/>
    <w:rsid w:val="00583B2D"/>
    <w:rsid w:val="005856DC"/>
    <w:rsid w:val="0058746B"/>
    <w:rsid w:val="00590175"/>
    <w:rsid w:val="00591A94"/>
    <w:rsid w:val="00592F47"/>
    <w:rsid w:val="005930F6"/>
    <w:rsid w:val="0059471F"/>
    <w:rsid w:val="00595444"/>
    <w:rsid w:val="00596A22"/>
    <w:rsid w:val="0059706F"/>
    <w:rsid w:val="005A1326"/>
    <w:rsid w:val="005A272D"/>
    <w:rsid w:val="005A2937"/>
    <w:rsid w:val="005A2F15"/>
    <w:rsid w:val="005A3084"/>
    <w:rsid w:val="005A3A4F"/>
    <w:rsid w:val="005A5838"/>
    <w:rsid w:val="005A74B5"/>
    <w:rsid w:val="005B0D7D"/>
    <w:rsid w:val="005B1EB3"/>
    <w:rsid w:val="005B2A7E"/>
    <w:rsid w:val="005B347F"/>
    <w:rsid w:val="005B6C8C"/>
    <w:rsid w:val="005B74A2"/>
    <w:rsid w:val="005B7FE6"/>
    <w:rsid w:val="005C079D"/>
    <w:rsid w:val="005C0D05"/>
    <w:rsid w:val="005C0DCD"/>
    <w:rsid w:val="005C15BD"/>
    <w:rsid w:val="005C1A37"/>
    <w:rsid w:val="005C2132"/>
    <w:rsid w:val="005C2327"/>
    <w:rsid w:val="005C2A41"/>
    <w:rsid w:val="005C4011"/>
    <w:rsid w:val="005C4800"/>
    <w:rsid w:val="005C606E"/>
    <w:rsid w:val="005C6849"/>
    <w:rsid w:val="005C6A65"/>
    <w:rsid w:val="005C6E7A"/>
    <w:rsid w:val="005C7473"/>
    <w:rsid w:val="005D04BB"/>
    <w:rsid w:val="005D06AA"/>
    <w:rsid w:val="005D2184"/>
    <w:rsid w:val="005D5CC8"/>
    <w:rsid w:val="005D6768"/>
    <w:rsid w:val="005D6939"/>
    <w:rsid w:val="005D75B6"/>
    <w:rsid w:val="005D798F"/>
    <w:rsid w:val="005D7E76"/>
    <w:rsid w:val="005E31A6"/>
    <w:rsid w:val="005E52FB"/>
    <w:rsid w:val="005E58EF"/>
    <w:rsid w:val="005E6337"/>
    <w:rsid w:val="005E6F5E"/>
    <w:rsid w:val="005E75B1"/>
    <w:rsid w:val="005E77CB"/>
    <w:rsid w:val="005E7E57"/>
    <w:rsid w:val="005F1051"/>
    <w:rsid w:val="005F1701"/>
    <w:rsid w:val="005F2634"/>
    <w:rsid w:val="005F55A2"/>
    <w:rsid w:val="005F5ABA"/>
    <w:rsid w:val="005F5CA9"/>
    <w:rsid w:val="005F63FE"/>
    <w:rsid w:val="006001CF"/>
    <w:rsid w:val="00601733"/>
    <w:rsid w:val="00602657"/>
    <w:rsid w:val="00610743"/>
    <w:rsid w:val="00610F51"/>
    <w:rsid w:val="006110E2"/>
    <w:rsid w:val="006129E0"/>
    <w:rsid w:val="0061625C"/>
    <w:rsid w:val="00616494"/>
    <w:rsid w:val="00616B87"/>
    <w:rsid w:val="00621790"/>
    <w:rsid w:val="00621D4C"/>
    <w:rsid w:val="00622667"/>
    <w:rsid w:val="0062490B"/>
    <w:rsid w:val="006249A7"/>
    <w:rsid w:val="00624B5A"/>
    <w:rsid w:val="00624C0D"/>
    <w:rsid w:val="00626060"/>
    <w:rsid w:val="006263EE"/>
    <w:rsid w:val="006264E9"/>
    <w:rsid w:val="00626652"/>
    <w:rsid w:val="00630BC3"/>
    <w:rsid w:val="00630CC8"/>
    <w:rsid w:val="006317B5"/>
    <w:rsid w:val="00631AC4"/>
    <w:rsid w:val="00633548"/>
    <w:rsid w:val="00635BCC"/>
    <w:rsid w:val="00636A7C"/>
    <w:rsid w:val="00637639"/>
    <w:rsid w:val="006403A5"/>
    <w:rsid w:val="00640B92"/>
    <w:rsid w:val="00641342"/>
    <w:rsid w:val="00641A0F"/>
    <w:rsid w:val="00642B40"/>
    <w:rsid w:val="00643E14"/>
    <w:rsid w:val="00645F4A"/>
    <w:rsid w:val="006504CA"/>
    <w:rsid w:val="006528FC"/>
    <w:rsid w:val="00653303"/>
    <w:rsid w:val="006579A0"/>
    <w:rsid w:val="00660B67"/>
    <w:rsid w:val="00663FE2"/>
    <w:rsid w:val="0066539C"/>
    <w:rsid w:val="00665E90"/>
    <w:rsid w:val="006669AF"/>
    <w:rsid w:val="00671AC6"/>
    <w:rsid w:val="00671AFD"/>
    <w:rsid w:val="00671ED9"/>
    <w:rsid w:val="006721A4"/>
    <w:rsid w:val="006732E9"/>
    <w:rsid w:val="00675B6D"/>
    <w:rsid w:val="00677F0A"/>
    <w:rsid w:val="006834DE"/>
    <w:rsid w:val="00685EE6"/>
    <w:rsid w:val="00690549"/>
    <w:rsid w:val="00690D8D"/>
    <w:rsid w:val="006910AB"/>
    <w:rsid w:val="006912A0"/>
    <w:rsid w:val="00691847"/>
    <w:rsid w:val="00691892"/>
    <w:rsid w:val="00692645"/>
    <w:rsid w:val="00692771"/>
    <w:rsid w:val="006928B2"/>
    <w:rsid w:val="00692B90"/>
    <w:rsid w:val="006945A0"/>
    <w:rsid w:val="00694A0F"/>
    <w:rsid w:val="00694C37"/>
    <w:rsid w:val="006950F4"/>
    <w:rsid w:val="0069606C"/>
    <w:rsid w:val="00696B05"/>
    <w:rsid w:val="006A1463"/>
    <w:rsid w:val="006A1C43"/>
    <w:rsid w:val="006A1EBF"/>
    <w:rsid w:val="006A298B"/>
    <w:rsid w:val="006A2C62"/>
    <w:rsid w:val="006A3DBE"/>
    <w:rsid w:val="006A456F"/>
    <w:rsid w:val="006A5224"/>
    <w:rsid w:val="006B1110"/>
    <w:rsid w:val="006B257F"/>
    <w:rsid w:val="006B405D"/>
    <w:rsid w:val="006B4591"/>
    <w:rsid w:val="006B5086"/>
    <w:rsid w:val="006B533A"/>
    <w:rsid w:val="006B5943"/>
    <w:rsid w:val="006B5BDF"/>
    <w:rsid w:val="006B6E00"/>
    <w:rsid w:val="006B7010"/>
    <w:rsid w:val="006C0068"/>
    <w:rsid w:val="006C1E21"/>
    <w:rsid w:val="006C4637"/>
    <w:rsid w:val="006C4875"/>
    <w:rsid w:val="006C761C"/>
    <w:rsid w:val="006D14C5"/>
    <w:rsid w:val="006D19E6"/>
    <w:rsid w:val="006D1CE2"/>
    <w:rsid w:val="006D66A4"/>
    <w:rsid w:val="006D67D1"/>
    <w:rsid w:val="006D70C3"/>
    <w:rsid w:val="006D78FA"/>
    <w:rsid w:val="006E12FF"/>
    <w:rsid w:val="006E21D1"/>
    <w:rsid w:val="006E2A16"/>
    <w:rsid w:val="006E2D65"/>
    <w:rsid w:val="006E32B5"/>
    <w:rsid w:val="006F2478"/>
    <w:rsid w:val="006F33C5"/>
    <w:rsid w:val="006F3A88"/>
    <w:rsid w:val="006F3F34"/>
    <w:rsid w:val="0070040D"/>
    <w:rsid w:val="0070296C"/>
    <w:rsid w:val="0070388B"/>
    <w:rsid w:val="00704125"/>
    <w:rsid w:val="00704F10"/>
    <w:rsid w:val="00706B60"/>
    <w:rsid w:val="00706F04"/>
    <w:rsid w:val="00706FDC"/>
    <w:rsid w:val="00707C5B"/>
    <w:rsid w:val="0071090E"/>
    <w:rsid w:val="00711D07"/>
    <w:rsid w:val="007137D3"/>
    <w:rsid w:val="0071621D"/>
    <w:rsid w:val="007162BF"/>
    <w:rsid w:val="007171AE"/>
    <w:rsid w:val="00717988"/>
    <w:rsid w:val="00721E28"/>
    <w:rsid w:val="007222AC"/>
    <w:rsid w:val="00722C5A"/>
    <w:rsid w:val="0072327E"/>
    <w:rsid w:val="0072391E"/>
    <w:rsid w:val="00723DB1"/>
    <w:rsid w:val="00724625"/>
    <w:rsid w:val="007251E4"/>
    <w:rsid w:val="00725EFC"/>
    <w:rsid w:val="00725F91"/>
    <w:rsid w:val="007261C9"/>
    <w:rsid w:val="007321EE"/>
    <w:rsid w:val="00732D37"/>
    <w:rsid w:val="00732E1E"/>
    <w:rsid w:val="007331FC"/>
    <w:rsid w:val="00734CC6"/>
    <w:rsid w:val="0073520B"/>
    <w:rsid w:val="00735369"/>
    <w:rsid w:val="00735C65"/>
    <w:rsid w:val="00737787"/>
    <w:rsid w:val="007411A7"/>
    <w:rsid w:val="00742228"/>
    <w:rsid w:val="00742B87"/>
    <w:rsid w:val="00743156"/>
    <w:rsid w:val="00745F3D"/>
    <w:rsid w:val="007464C1"/>
    <w:rsid w:val="00747C31"/>
    <w:rsid w:val="007505BC"/>
    <w:rsid w:val="00751B0F"/>
    <w:rsid w:val="0075220D"/>
    <w:rsid w:val="007522A2"/>
    <w:rsid w:val="00753387"/>
    <w:rsid w:val="0075511A"/>
    <w:rsid w:val="007553F0"/>
    <w:rsid w:val="00756239"/>
    <w:rsid w:val="00756761"/>
    <w:rsid w:val="00760EC7"/>
    <w:rsid w:val="00761231"/>
    <w:rsid w:val="007619FB"/>
    <w:rsid w:val="00761B9D"/>
    <w:rsid w:val="0076249E"/>
    <w:rsid w:val="007634BF"/>
    <w:rsid w:val="00763CD0"/>
    <w:rsid w:val="007654BE"/>
    <w:rsid w:val="00765F4F"/>
    <w:rsid w:val="00773E10"/>
    <w:rsid w:val="00775370"/>
    <w:rsid w:val="00775DE1"/>
    <w:rsid w:val="00777EAD"/>
    <w:rsid w:val="00781150"/>
    <w:rsid w:val="0078346F"/>
    <w:rsid w:val="007835B6"/>
    <w:rsid w:val="007837A3"/>
    <w:rsid w:val="00783987"/>
    <w:rsid w:val="007847A7"/>
    <w:rsid w:val="00787BD7"/>
    <w:rsid w:val="00791A7A"/>
    <w:rsid w:val="00792B9D"/>
    <w:rsid w:val="00792C05"/>
    <w:rsid w:val="00793EB3"/>
    <w:rsid w:val="007A0972"/>
    <w:rsid w:val="007A1AB1"/>
    <w:rsid w:val="007A336A"/>
    <w:rsid w:val="007A6B06"/>
    <w:rsid w:val="007B44C9"/>
    <w:rsid w:val="007B4D1F"/>
    <w:rsid w:val="007B4D31"/>
    <w:rsid w:val="007B57BA"/>
    <w:rsid w:val="007B7950"/>
    <w:rsid w:val="007C116A"/>
    <w:rsid w:val="007C3762"/>
    <w:rsid w:val="007C3E5F"/>
    <w:rsid w:val="007C4E46"/>
    <w:rsid w:val="007C5639"/>
    <w:rsid w:val="007D0008"/>
    <w:rsid w:val="007D124F"/>
    <w:rsid w:val="007D4C47"/>
    <w:rsid w:val="007D58FA"/>
    <w:rsid w:val="007E0422"/>
    <w:rsid w:val="007E0789"/>
    <w:rsid w:val="007E21C1"/>
    <w:rsid w:val="007E2D43"/>
    <w:rsid w:val="007E4C4E"/>
    <w:rsid w:val="007E50DE"/>
    <w:rsid w:val="007E57A2"/>
    <w:rsid w:val="007E6726"/>
    <w:rsid w:val="007E74A1"/>
    <w:rsid w:val="007E765D"/>
    <w:rsid w:val="007F0B64"/>
    <w:rsid w:val="007F2CBC"/>
    <w:rsid w:val="007F318B"/>
    <w:rsid w:val="007F31EF"/>
    <w:rsid w:val="007F6228"/>
    <w:rsid w:val="007F7461"/>
    <w:rsid w:val="00800B84"/>
    <w:rsid w:val="00801461"/>
    <w:rsid w:val="00801DD2"/>
    <w:rsid w:val="00804227"/>
    <w:rsid w:val="00804C84"/>
    <w:rsid w:val="008125C8"/>
    <w:rsid w:val="00812635"/>
    <w:rsid w:val="00812992"/>
    <w:rsid w:val="008144E1"/>
    <w:rsid w:val="00815D89"/>
    <w:rsid w:val="00815FD8"/>
    <w:rsid w:val="008167D6"/>
    <w:rsid w:val="00816A93"/>
    <w:rsid w:val="0082060D"/>
    <w:rsid w:val="00823830"/>
    <w:rsid w:val="008253F3"/>
    <w:rsid w:val="00825A1C"/>
    <w:rsid w:val="00826B87"/>
    <w:rsid w:val="0082762B"/>
    <w:rsid w:val="008305AB"/>
    <w:rsid w:val="00831ED3"/>
    <w:rsid w:val="008325D0"/>
    <w:rsid w:val="00832B73"/>
    <w:rsid w:val="00833997"/>
    <w:rsid w:val="00834409"/>
    <w:rsid w:val="00834793"/>
    <w:rsid w:val="008348BA"/>
    <w:rsid w:val="00836E98"/>
    <w:rsid w:val="00846AD4"/>
    <w:rsid w:val="00847FA5"/>
    <w:rsid w:val="00850D87"/>
    <w:rsid w:val="0085200D"/>
    <w:rsid w:val="00852284"/>
    <w:rsid w:val="008534E3"/>
    <w:rsid w:val="008537F6"/>
    <w:rsid w:val="00854DF4"/>
    <w:rsid w:val="00854FFD"/>
    <w:rsid w:val="008563AE"/>
    <w:rsid w:val="00856E74"/>
    <w:rsid w:val="00856F7C"/>
    <w:rsid w:val="008579FA"/>
    <w:rsid w:val="00860D9B"/>
    <w:rsid w:val="0086127A"/>
    <w:rsid w:val="00862857"/>
    <w:rsid w:val="0086471D"/>
    <w:rsid w:val="008657D5"/>
    <w:rsid w:val="00867744"/>
    <w:rsid w:val="00870C89"/>
    <w:rsid w:val="0087108A"/>
    <w:rsid w:val="0087207B"/>
    <w:rsid w:val="008759DD"/>
    <w:rsid w:val="00876539"/>
    <w:rsid w:val="00876A50"/>
    <w:rsid w:val="00880F80"/>
    <w:rsid w:val="0088375A"/>
    <w:rsid w:val="008852F9"/>
    <w:rsid w:val="00885AD0"/>
    <w:rsid w:val="00886DCF"/>
    <w:rsid w:val="00887B7F"/>
    <w:rsid w:val="00887FC5"/>
    <w:rsid w:val="008901B5"/>
    <w:rsid w:val="008937EA"/>
    <w:rsid w:val="00894841"/>
    <w:rsid w:val="00894A5B"/>
    <w:rsid w:val="00896C7B"/>
    <w:rsid w:val="008A12DF"/>
    <w:rsid w:val="008A1AED"/>
    <w:rsid w:val="008A1F59"/>
    <w:rsid w:val="008A21C0"/>
    <w:rsid w:val="008A3ADA"/>
    <w:rsid w:val="008A4660"/>
    <w:rsid w:val="008A5B6C"/>
    <w:rsid w:val="008A6100"/>
    <w:rsid w:val="008A6690"/>
    <w:rsid w:val="008A6AC2"/>
    <w:rsid w:val="008A7180"/>
    <w:rsid w:val="008B0F32"/>
    <w:rsid w:val="008B12A5"/>
    <w:rsid w:val="008B4A6F"/>
    <w:rsid w:val="008B5AF4"/>
    <w:rsid w:val="008B76FB"/>
    <w:rsid w:val="008C0026"/>
    <w:rsid w:val="008C321C"/>
    <w:rsid w:val="008C3336"/>
    <w:rsid w:val="008C60D2"/>
    <w:rsid w:val="008C6337"/>
    <w:rsid w:val="008C64DE"/>
    <w:rsid w:val="008C6B04"/>
    <w:rsid w:val="008C6C1B"/>
    <w:rsid w:val="008C7635"/>
    <w:rsid w:val="008C76FC"/>
    <w:rsid w:val="008C7FFA"/>
    <w:rsid w:val="008D36E2"/>
    <w:rsid w:val="008D3F5B"/>
    <w:rsid w:val="008D5237"/>
    <w:rsid w:val="008D5CD8"/>
    <w:rsid w:val="008D5F1B"/>
    <w:rsid w:val="008D7C09"/>
    <w:rsid w:val="008D7CA9"/>
    <w:rsid w:val="008E0014"/>
    <w:rsid w:val="008E1539"/>
    <w:rsid w:val="008E2FAB"/>
    <w:rsid w:val="008E41C6"/>
    <w:rsid w:val="008E4B5F"/>
    <w:rsid w:val="008E58A4"/>
    <w:rsid w:val="008E71A6"/>
    <w:rsid w:val="008F18F3"/>
    <w:rsid w:val="008F24C6"/>
    <w:rsid w:val="008F38FB"/>
    <w:rsid w:val="008F3E7F"/>
    <w:rsid w:val="008F3EEE"/>
    <w:rsid w:val="008F4A8D"/>
    <w:rsid w:val="008F58C6"/>
    <w:rsid w:val="008F66F5"/>
    <w:rsid w:val="008F6A37"/>
    <w:rsid w:val="00900E15"/>
    <w:rsid w:val="00900E6C"/>
    <w:rsid w:val="00901055"/>
    <w:rsid w:val="00901773"/>
    <w:rsid w:val="00901CF0"/>
    <w:rsid w:val="00902539"/>
    <w:rsid w:val="009033F7"/>
    <w:rsid w:val="0090605A"/>
    <w:rsid w:val="009064B8"/>
    <w:rsid w:val="009064D6"/>
    <w:rsid w:val="00910EB7"/>
    <w:rsid w:val="00912B87"/>
    <w:rsid w:val="00913488"/>
    <w:rsid w:val="00913F02"/>
    <w:rsid w:val="00916CCF"/>
    <w:rsid w:val="00917063"/>
    <w:rsid w:val="009171FE"/>
    <w:rsid w:val="0092086C"/>
    <w:rsid w:val="009220D8"/>
    <w:rsid w:val="00922FB5"/>
    <w:rsid w:val="00924329"/>
    <w:rsid w:val="00924741"/>
    <w:rsid w:val="009255A7"/>
    <w:rsid w:val="00925785"/>
    <w:rsid w:val="0092730D"/>
    <w:rsid w:val="00932EC0"/>
    <w:rsid w:val="00933C47"/>
    <w:rsid w:val="00934EB5"/>
    <w:rsid w:val="009351C8"/>
    <w:rsid w:val="00935940"/>
    <w:rsid w:val="00936F67"/>
    <w:rsid w:val="0093776F"/>
    <w:rsid w:val="0094175A"/>
    <w:rsid w:val="009433EE"/>
    <w:rsid w:val="00943626"/>
    <w:rsid w:val="00945AA7"/>
    <w:rsid w:val="00945E30"/>
    <w:rsid w:val="00946672"/>
    <w:rsid w:val="009467B9"/>
    <w:rsid w:val="0094717E"/>
    <w:rsid w:val="00947956"/>
    <w:rsid w:val="00950F36"/>
    <w:rsid w:val="00953A4F"/>
    <w:rsid w:val="00953BFB"/>
    <w:rsid w:val="00956EC0"/>
    <w:rsid w:val="00957951"/>
    <w:rsid w:val="00965FBE"/>
    <w:rsid w:val="00966184"/>
    <w:rsid w:val="00966FC9"/>
    <w:rsid w:val="0096704E"/>
    <w:rsid w:val="00975BC4"/>
    <w:rsid w:val="0097778D"/>
    <w:rsid w:val="00977DC6"/>
    <w:rsid w:val="009820F8"/>
    <w:rsid w:val="0098238E"/>
    <w:rsid w:val="009834FB"/>
    <w:rsid w:val="00984A49"/>
    <w:rsid w:val="00987C1E"/>
    <w:rsid w:val="00992094"/>
    <w:rsid w:val="0099347A"/>
    <w:rsid w:val="009947E7"/>
    <w:rsid w:val="00995774"/>
    <w:rsid w:val="00997D47"/>
    <w:rsid w:val="009A0A65"/>
    <w:rsid w:val="009A2AFF"/>
    <w:rsid w:val="009A3BC7"/>
    <w:rsid w:val="009A4753"/>
    <w:rsid w:val="009A6918"/>
    <w:rsid w:val="009A6E44"/>
    <w:rsid w:val="009A71C9"/>
    <w:rsid w:val="009B1B7D"/>
    <w:rsid w:val="009B3992"/>
    <w:rsid w:val="009B6803"/>
    <w:rsid w:val="009B6D04"/>
    <w:rsid w:val="009B74CB"/>
    <w:rsid w:val="009B777C"/>
    <w:rsid w:val="009B7A52"/>
    <w:rsid w:val="009C180E"/>
    <w:rsid w:val="009C2B09"/>
    <w:rsid w:val="009C3C53"/>
    <w:rsid w:val="009C6B31"/>
    <w:rsid w:val="009C6C28"/>
    <w:rsid w:val="009D0275"/>
    <w:rsid w:val="009D1157"/>
    <w:rsid w:val="009D2BE0"/>
    <w:rsid w:val="009D3AF8"/>
    <w:rsid w:val="009D3B86"/>
    <w:rsid w:val="009D3FBE"/>
    <w:rsid w:val="009D46EF"/>
    <w:rsid w:val="009E166B"/>
    <w:rsid w:val="009E1ED9"/>
    <w:rsid w:val="009E2758"/>
    <w:rsid w:val="009E5E56"/>
    <w:rsid w:val="009E70CE"/>
    <w:rsid w:val="009F05B9"/>
    <w:rsid w:val="009F2865"/>
    <w:rsid w:val="009F2887"/>
    <w:rsid w:val="009F2977"/>
    <w:rsid w:val="009F2BC9"/>
    <w:rsid w:val="009F3160"/>
    <w:rsid w:val="009F4B8B"/>
    <w:rsid w:val="009F6670"/>
    <w:rsid w:val="00A006AD"/>
    <w:rsid w:val="00A018DF"/>
    <w:rsid w:val="00A03FB9"/>
    <w:rsid w:val="00A05AE0"/>
    <w:rsid w:val="00A05B9B"/>
    <w:rsid w:val="00A0663C"/>
    <w:rsid w:val="00A07476"/>
    <w:rsid w:val="00A07A65"/>
    <w:rsid w:val="00A11A2E"/>
    <w:rsid w:val="00A11D2A"/>
    <w:rsid w:val="00A11F9E"/>
    <w:rsid w:val="00A14612"/>
    <w:rsid w:val="00A14789"/>
    <w:rsid w:val="00A150C6"/>
    <w:rsid w:val="00A152DC"/>
    <w:rsid w:val="00A15F83"/>
    <w:rsid w:val="00A16116"/>
    <w:rsid w:val="00A1708A"/>
    <w:rsid w:val="00A179F6"/>
    <w:rsid w:val="00A21A3E"/>
    <w:rsid w:val="00A22452"/>
    <w:rsid w:val="00A22772"/>
    <w:rsid w:val="00A23148"/>
    <w:rsid w:val="00A235AE"/>
    <w:rsid w:val="00A26589"/>
    <w:rsid w:val="00A268EF"/>
    <w:rsid w:val="00A26B26"/>
    <w:rsid w:val="00A27E10"/>
    <w:rsid w:val="00A3016C"/>
    <w:rsid w:val="00A31032"/>
    <w:rsid w:val="00A325A5"/>
    <w:rsid w:val="00A32BC3"/>
    <w:rsid w:val="00A34F3B"/>
    <w:rsid w:val="00A354ED"/>
    <w:rsid w:val="00A36A25"/>
    <w:rsid w:val="00A37C09"/>
    <w:rsid w:val="00A40FCB"/>
    <w:rsid w:val="00A423D6"/>
    <w:rsid w:val="00A437C8"/>
    <w:rsid w:val="00A43EFE"/>
    <w:rsid w:val="00A44BFB"/>
    <w:rsid w:val="00A45BD3"/>
    <w:rsid w:val="00A46255"/>
    <w:rsid w:val="00A462B2"/>
    <w:rsid w:val="00A46483"/>
    <w:rsid w:val="00A468B5"/>
    <w:rsid w:val="00A46BC1"/>
    <w:rsid w:val="00A46D50"/>
    <w:rsid w:val="00A47833"/>
    <w:rsid w:val="00A50BB2"/>
    <w:rsid w:val="00A50D2F"/>
    <w:rsid w:val="00A51E75"/>
    <w:rsid w:val="00A5357D"/>
    <w:rsid w:val="00A537A5"/>
    <w:rsid w:val="00A543AD"/>
    <w:rsid w:val="00A54E21"/>
    <w:rsid w:val="00A57D21"/>
    <w:rsid w:val="00A615B2"/>
    <w:rsid w:val="00A62B45"/>
    <w:rsid w:val="00A647E5"/>
    <w:rsid w:val="00A666D2"/>
    <w:rsid w:val="00A669D8"/>
    <w:rsid w:val="00A67C72"/>
    <w:rsid w:val="00A70C26"/>
    <w:rsid w:val="00A711D0"/>
    <w:rsid w:val="00A711E0"/>
    <w:rsid w:val="00A728CD"/>
    <w:rsid w:val="00A73EC8"/>
    <w:rsid w:val="00A76C65"/>
    <w:rsid w:val="00A8250E"/>
    <w:rsid w:val="00A82998"/>
    <w:rsid w:val="00A82BB9"/>
    <w:rsid w:val="00A8446C"/>
    <w:rsid w:val="00A85A5B"/>
    <w:rsid w:val="00A90075"/>
    <w:rsid w:val="00A90FA0"/>
    <w:rsid w:val="00A92B32"/>
    <w:rsid w:val="00A93C46"/>
    <w:rsid w:val="00A951DC"/>
    <w:rsid w:val="00A95B50"/>
    <w:rsid w:val="00A95F3B"/>
    <w:rsid w:val="00A95F73"/>
    <w:rsid w:val="00A97ADB"/>
    <w:rsid w:val="00A97C3E"/>
    <w:rsid w:val="00A97CBF"/>
    <w:rsid w:val="00AA0DAF"/>
    <w:rsid w:val="00AA2D05"/>
    <w:rsid w:val="00AA49BC"/>
    <w:rsid w:val="00AA635F"/>
    <w:rsid w:val="00AA6C45"/>
    <w:rsid w:val="00AB2AF9"/>
    <w:rsid w:val="00AB2E11"/>
    <w:rsid w:val="00AB4675"/>
    <w:rsid w:val="00AB557E"/>
    <w:rsid w:val="00AB6652"/>
    <w:rsid w:val="00AB7A16"/>
    <w:rsid w:val="00AB7C17"/>
    <w:rsid w:val="00AC28E2"/>
    <w:rsid w:val="00AC2D06"/>
    <w:rsid w:val="00AC6243"/>
    <w:rsid w:val="00AD00CE"/>
    <w:rsid w:val="00AD343E"/>
    <w:rsid w:val="00AD39F4"/>
    <w:rsid w:val="00AD3A2F"/>
    <w:rsid w:val="00AD4AB7"/>
    <w:rsid w:val="00AD66AF"/>
    <w:rsid w:val="00AE0060"/>
    <w:rsid w:val="00AE11D3"/>
    <w:rsid w:val="00AE18E7"/>
    <w:rsid w:val="00AE1BF4"/>
    <w:rsid w:val="00AE213D"/>
    <w:rsid w:val="00AE290E"/>
    <w:rsid w:val="00AE3249"/>
    <w:rsid w:val="00AE436C"/>
    <w:rsid w:val="00AE4468"/>
    <w:rsid w:val="00AE446A"/>
    <w:rsid w:val="00AE4A33"/>
    <w:rsid w:val="00AE56BB"/>
    <w:rsid w:val="00AE5C6D"/>
    <w:rsid w:val="00AE5E6A"/>
    <w:rsid w:val="00AE6BF9"/>
    <w:rsid w:val="00AF097C"/>
    <w:rsid w:val="00AF27D8"/>
    <w:rsid w:val="00AF3E5D"/>
    <w:rsid w:val="00AF6645"/>
    <w:rsid w:val="00B00596"/>
    <w:rsid w:val="00B02A26"/>
    <w:rsid w:val="00B043E3"/>
    <w:rsid w:val="00B05480"/>
    <w:rsid w:val="00B068F8"/>
    <w:rsid w:val="00B14ECA"/>
    <w:rsid w:val="00B165EA"/>
    <w:rsid w:val="00B16EF4"/>
    <w:rsid w:val="00B17212"/>
    <w:rsid w:val="00B20CF5"/>
    <w:rsid w:val="00B2115F"/>
    <w:rsid w:val="00B21AA3"/>
    <w:rsid w:val="00B21D19"/>
    <w:rsid w:val="00B227F3"/>
    <w:rsid w:val="00B2322B"/>
    <w:rsid w:val="00B236FA"/>
    <w:rsid w:val="00B25536"/>
    <w:rsid w:val="00B26556"/>
    <w:rsid w:val="00B276BD"/>
    <w:rsid w:val="00B27865"/>
    <w:rsid w:val="00B33856"/>
    <w:rsid w:val="00B34BBD"/>
    <w:rsid w:val="00B35F1C"/>
    <w:rsid w:val="00B3615E"/>
    <w:rsid w:val="00B40DD0"/>
    <w:rsid w:val="00B42261"/>
    <w:rsid w:val="00B4333E"/>
    <w:rsid w:val="00B43864"/>
    <w:rsid w:val="00B44DF1"/>
    <w:rsid w:val="00B452B0"/>
    <w:rsid w:val="00B45D09"/>
    <w:rsid w:val="00B47917"/>
    <w:rsid w:val="00B47BDF"/>
    <w:rsid w:val="00B47C4B"/>
    <w:rsid w:val="00B51CC3"/>
    <w:rsid w:val="00B52C44"/>
    <w:rsid w:val="00B52D42"/>
    <w:rsid w:val="00B5343C"/>
    <w:rsid w:val="00B54E66"/>
    <w:rsid w:val="00B55DF6"/>
    <w:rsid w:val="00B57359"/>
    <w:rsid w:val="00B6079A"/>
    <w:rsid w:val="00B627AC"/>
    <w:rsid w:val="00B63754"/>
    <w:rsid w:val="00B63885"/>
    <w:rsid w:val="00B63FA7"/>
    <w:rsid w:val="00B64A02"/>
    <w:rsid w:val="00B671CF"/>
    <w:rsid w:val="00B67962"/>
    <w:rsid w:val="00B67F3A"/>
    <w:rsid w:val="00B70CAC"/>
    <w:rsid w:val="00B70D16"/>
    <w:rsid w:val="00B725C0"/>
    <w:rsid w:val="00B74147"/>
    <w:rsid w:val="00B77B84"/>
    <w:rsid w:val="00B77BDC"/>
    <w:rsid w:val="00B80B96"/>
    <w:rsid w:val="00B80EA9"/>
    <w:rsid w:val="00B80EF2"/>
    <w:rsid w:val="00B830D8"/>
    <w:rsid w:val="00B8443F"/>
    <w:rsid w:val="00B87016"/>
    <w:rsid w:val="00B8733E"/>
    <w:rsid w:val="00B87814"/>
    <w:rsid w:val="00B90504"/>
    <w:rsid w:val="00B907AC"/>
    <w:rsid w:val="00B91675"/>
    <w:rsid w:val="00B91E74"/>
    <w:rsid w:val="00B938EC"/>
    <w:rsid w:val="00B95568"/>
    <w:rsid w:val="00B96502"/>
    <w:rsid w:val="00B96D10"/>
    <w:rsid w:val="00B97D5E"/>
    <w:rsid w:val="00BA0D0C"/>
    <w:rsid w:val="00BA1883"/>
    <w:rsid w:val="00BA18F9"/>
    <w:rsid w:val="00BA39C7"/>
    <w:rsid w:val="00BA52CB"/>
    <w:rsid w:val="00BA66DB"/>
    <w:rsid w:val="00BB1E40"/>
    <w:rsid w:val="00BB308B"/>
    <w:rsid w:val="00BB4158"/>
    <w:rsid w:val="00BB473C"/>
    <w:rsid w:val="00BB473D"/>
    <w:rsid w:val="00BB5ACD"/>
    <w:rsid w:val="00BB5D58"/>
    <w:rsid w:val="00BB5D8E"/>
    <w:rsid w:val="00BB6B4E"/>
    <w:rsid w:val="00BC14D8"/>
    <w:rsid w:val="00BC37D7"/>
    <w:rsid w:val="00BC45ED"/>
    <w:rsid w:val="00BC55D1"/>
    <w:rsid w:val="00BC6E2B"/>
    <w:rsid w:val="00BC720A"/>
    <w:rsid w:val="00BC72A9"/>
    <w:rsid w:val="00BD079F"/>
    <w:rsid w:val="00BD1F65"/>
    <w:rsid w:val="00BD1FEF"/>
    <w:rsid w:val="00BD20D7"/>
    <w:rsid w:val="00BD21F3"/>
    <w:rsid w:val="00BD3440"/>
    <w:rsid w:val="00BD35A0"/>
    <w:rsid w:val="00BD4845"/>
    <w:rsid w:val="00BD6BBE"/>
    <w:rsid w:val="00BE1677"/>
    <w:rsid w:val="00BE4180"/>
    <w:rsid w:val="00BE445D"/>
    <w:rsid w:val="00BE6230"/>
    <w:rsid w:val="00BE643A"/>
    <w:rsid w:val="00BF094C"/>
    <w:rsid w:val="00BF24BE"/>
    <w:rsid w:val="00BF2E06"/>
    <w:rsid w:val="00BF3EAA"/>
    <w:rsid w:val="00BF6BC1"/>
    <w:rsid w:val="00BF7357"/>
    <w:rsid w:val="00BF7CAE"/>
    <w:rsid w:val="00C0250F"/>
    <w:rsid w:val="00C06BE6"/>
    <w:rsid w:val="00C071FB"/>
    <w:rsid w:val="00C10BA2"/>
    <w:rsid w:val="00C1149E"/>
    <w:rsid w:val="00C127E6"/>
    <w:rsid w:val="00C131A4"/>
    <w:rsid w:val="00C1582D"/>
    <w:rsid w:val="00C1669E"/>
    <w:rsid w:val="00C210BC"/>
    <w:rsid w:val="00C226FF"/>
    <w:rsid w:val="00C2347B"/>
    <w:rsid w:val="00C23CE3"/>
    <w:rsid w:val="00C2441B"/>
    <w:rsid w:val="00C2486B"/>
    <w:rsid w:val="00C248A9"/>
    <w:rsid w:val="00C24C23"/>
    <w:rsid w:val="00C25AB6"/>
    <w:rsid w:val="00C260E2"/>
    <w:rsid w:val="00C32AAF"/>
    <w:rsid w:val="00C32CD0"/>
    <w:rsid w:val="00C3453B"/>
    <w:rsid w:val="00C34D4D"/>
    <w:rsid w:val="00C356AE"/>
    <w:rsid w:val="00C36A62"/>
    <w:rsid w:val="00C37489"/>
    <w:rsid w:val="00C37EF2"/>
    <w:rsid w:val="00C40097"/>
    <w:rsid w:val="00C40A17"/>
    <w:rsid w:val="00C40EC1"/>
    <w:rsid w:val="00C4288D"/>
    <w:rsid w:val="00C441C0"/>
    <w:rsid w:val="00C45A17"/>
    <w:rsid w:val="00C4623A"/>
    <w:rsid w:val="00C47491"/>
    <w:rsid w:val="00C509FD"/>
    <w:rsid w:val="00C52C9A"/>
    <w:rsid w:val="00C531FE"/>
    <w:rsid w:val="00C533D6"/>
    <w:rsid w:val="00C56F5E"/>
    <w:rsid w:val="00C572F2"/>
    <w:rsid w:val="00C5750E"/>
    <w:rsid w:val="00C575C2"/>
    <w:rsid w:val="00C57C6E"/>
    <w:rsid w:val="00C62235"/>
    <w:rsid w:val="00C6548B"/>
    <w:rsid w:val="00C657C5"/>
    <w:rsid w:val="00C661AF"/>
    <w:rsid w:val="00C661D7"/>
    <w:rsid w:val="00C67323"/>
    <w:rsid w:val="00C67BC4"/>
    <w:rsid w:val="00C707DB"/>
    <w:rsid w:val="00C70FBC"/>
    <w:rsid w:val="00C71259"/>
    <w:rsid w:val="00C717E8"/>
    <w:rsid w:val="00C72329"/>
    <w:rsid w:val="00C73072"/>
    <w:rsid w:val="00C757B6"/>
    <w:rsid w:val="00C76C98"/>
    <w:rsid w:val="00C77BFF"/>
    <w:rsid w:val="00C80F13"/>
    <w:rsid w:val="00C84C42"/>
    <w:rsid w:val="00C84C4B"/>
    <w:rsid w:val="00C859DC"/>
    <w:rsid w:val="00C85C5B"/>
    <w:rsid w:val="00C85E32"/>
    <w:rsid w:val="00C863A8"/>
    <w:rsid w:val="00C86822"/>
    <w:rsid w:val="00C878BA"/>
    <w:rsid w:val="00C87D89"/>
    <w:rsid w:val="00C9332E"/>
    <w:rsid w:val="00C942F3"/>
    <w:rsid w:val="00C95707"/>
    <w:rsid w:val="00C95C4C"/>
    <w:rsid w:val="00C96B15"/>
    <w:rsid w:val="00C97DFC"/>
    <w:rsid w:val="00CA128B"/>
    <w:rsid w:val="00CA15B6"/>
    <w:rsid w:val="00CA1F09"/>
    <w:rsid w:val="00CA2965"/>
    <w:rsid w:val="00CA3C73"/>
    <w:rsid w:val="00CA4A4C"/>
    <w:rsid w:val="00CA5A13"/>
    <w:rsid w:val="00CA6BAA"/>
    <w:rsid w:val="00CB0D90"/>
    <w:rsid w:val="00CB1136"/>
    <w:rsid w:val="00CB41AF"/>
    <w:rsid w:val="00CB4FAC"/>
    <w:rsid w:val="00CB6C68"/>
    <w:rsid w:val="00CB725B"/>
    <w:rsid w:val="00CC1632"/>
    <w:rsid w:val="00CC384F"/>
    <w:rsid w:val="00CC3F37"/>
    <w:rsid w:val="00CC4995"/>
    <w:rsid w:val="00CC5E84"/>
    <w:rsid w:val="00CD0899"/>
    <w:rsid w:val="00CD4C9A"/>
    <w:rsid w:val="00CD638F"/>
    <w:rsid w:val="00CD70A7"/>
    <w:rsid w:val="00CD735B"/>
    <w:rsid w:val="00CD7F54"/>
    <w:rsid w:val="00CE0946"/>
    <w:rsid w:val="00CE0C4B"/>
    <w:rsid w:val="00CE21AC"/>
    <w:rsid w:val="00CE22C8"/>
    <w:rsid w:val="00CE33AE"/>
    <w:rsid w:val="00CE4489"/>
    <w:rsid w:val="00CE7048"/>
    <w:rsid w:val="00CE7E13"/>
    <w:rsid w:val="00CF0D2F"/>
    <w:rsid w:val="00CF1000"/>
    <w:rsid w:val="00CF14A6"/>
    <w:rsid w:val="00CF3405"/>
    <w:rsid w:val="00CF5D67"/>
    <w:rsid w:val="00CF73A5"/>
    <w:rsid w:val="00D00033"/>
    <w:rsid w:val="00D00095"/>
    <w:rsid w:val="00D006FC"/>
    <w:rsid w:val="00D025C8"/>
    <w:rsid w:val="00D04755"/>
    <w:rsid w:val="00D050A1"/>
    <w:rsid w:val="00D058C9"/>
    <w:rsid w:val="00D05994"/>
    <w:rsid w:val="00D073D7"/>
    <w:rsid w:val="00D07E1B"/>
    <w:rsid w:val="00D1182D"/>
    <w:rsid w:val="00D1406D"/>
    <w:rsid w:val="00D14E2C"/>
    <w:rsid w:val="00D164AE"/>
    <w:rsid w:val="00D17EAA"/>
    <w:rsid w:val="00D20EF7"/>
    <w:rsid w:val="00D2209B"/>
    <w:rsid w:val="00D22A12"/>
    <w:rsid w:val="00D231BE"/>
    <w:rsid w:val="00D23F6A"/>
    <w:rsid w:val="00D24DBE"/>
    <w:rsid w:val="00D264B5"/>
    <w:rsid w:val="00D26B53"/>
    <w:rsid w:val="00D27A24"/>
    <w:rsid w:val="00D27C88"/>
    <w:rsid w:val="00D30109"/>
    <w:rsid w:val="00D30817"/>
    <w:rsid w:val="00D32A7F"/>
    <w:rsid w:val="00D33FF5"/>
    <w:rsid w:val="00D34791"/>
    <w:rsid w:val="00D36A32"/>
    <w:rsid w:val="00D36F10"/>
    <w:rsid w:val="00D378C4"/>
    <w:rsid w:val="00D40FBF"/>
    <w:rsid w:val="00D41BBD"/>
    <w:rsid w:val="00D41C90"/>
    <w:rsid w:val="00D45BA9"/>
    <w:rsid w:val="00D51071"/>
    <w:rsid w:val="00D5239C"/>
    <w:rsid w:val="00D52C48"/>
    <w:rsid w:val="00D539EF"/>
    <w:rsid w:val="00D53CC9"/>
    <w:rsid w:val="00D55B8E"/>
    <w:rsid w:val="00D567A0"/>
    <w:rsid w:val="00D601FC"/>
    <w:rsid w:val="00D623C3"/>
    <w:rsid w:val="00D63032"/>
    <w:rsid w:val="00D63CAE"/>
    <w:rsid w:val="00D65302"/>
    <w:rsid w:val="00D65D4B"/>
    <w:rsid w:val="00D66535"/>
    <w:rsid w:val="00D67FCF"/>
    <w:rsid w:val="00D71FDA"/>
    <w:rsid w:val="00D723BE"/>
    <w:rsid w:val="00D735CC"/>
    <w:rsid w:val="00D73D5A"/>
    <w:rsid w:val="00D74D30"/>
    <w:rsid w:val="00D759FD"/>
    <w:rsid w:val="00D827F9"/>
    <w:rsid w:val="00D82DD9"/>
    <w:rsid w:val="00D84026"/>
    <w:rsid w:val="00D87101"/>
    <w:rsid w:val="00D927DC"/>
    <w:rsid w:val="00D9354F"/>
    <w:rsid w:val="00D95507"/>
    <w:rsid w:val="00D959D2"/>
    <w:rsid w:val="00D971C5"/>
    <w:rsid w:val="00D97356"/>
    <w:rsid w:val="00D97789"/>
    <w:rsid w:val="00D97D3A"/>
    <w:rsid w:val="00DA0706"/>
    <w:rsid w:val="00DA1566"/>
    <w:rsid w:val="00DA55BE"/>
    <w:rsid w:val="00DA5649"/>
    <w:rsid w:val="00DA5CB9"/>
    <w:rsid w:val="00DA7D11"/>
    <w:rsid w:val="00DB124C"/>
    <w:rsid w:val="00DB2622"/>
    <w:rsid w:val="00DC2A3D"/>
    <w:rsid w:val="00DC5081"/>
    <w:rsid w:val="00DC62D9"/>
    <w:rsid w:val="00DD063F"/>
    <w:rsid w:val="00DD23B1"/>
    <w:rsid w:val="00DD2CFA"/>
    <w:rsid w:val="00DD3237"/>
    <w:rsid w:val="00DD4464"/>
    <w:rsid w:val="00DD57EE"/>
    <w:rsid w:val="00DD7BA5"/>
    <w:rsid w:val="00DE0AC2"/>
    <w:rsid w:val="00DE3394"/>
    <w:rsid w:val="00DE37D8"/>
    <w:rsid w:val="00DE3C40"/>
    <w:rsid w:val="00DE465F"/>
    <w:rsid w:val="00DE5C34"/>
    <w:rsid w:val="00DE5C82"/>
    <w:rsid w:val="00DE5E22"/>
    <w:rsid w:val="00DE6145"/>
    <w:rsid w:val="00DE61D8"/>
    <w:rsid w:val="00DE63BB"/>
    <w:rsid w:val="00DE6F79"/>
    <w:rsid w:val="00DE7648"/>
    <w:rsid w:val="00DE7B1A"/>
    <w:rsid w:val="00DF14CB"/>
    <w:rsid w:val="00DF35B9"/>
    <w:rsid w:val="00DF4D5F"/>
    <w:rsid w:val="00DF6294"/>
    <w:rsid w:val="00DF6976"/>
    <w:rsid w:val="00DF7589"/>
    <w:rsid w:val="00E02EF7"/>
    <w:rsid w:val="00E03D34"/>
    <w:rsid w:val="00E03DEA"/>
    <w:rsid w:val="00E05AB9"/>
    <w:rsid w:val="00E06B2E"/>
    <w:rsid w:val="00E07196"/>
    <w:rsid w:val="00E073D6"/>
    <w:rsid w:val="00E07A10"/>
    <w:rsid w:val="00E10804"/>
    <w:rsid w:val="00E108FF"/>
    <w:rsid w:val="00E12177"/>
    <w:rsid w:val="00E145B9"/>
    <w:rsid w:val="00E168C6"/>
    <w:rsid w:val="00E17B4A"/>
    <w:rsid w:val="00E21E37"/>
    <w:rsid w:val="00E21E8D"/>
    <w:rsid w:val="00E22BCC"/>
    <w:rsid w:val="00E2368E"/>
    <w:rsid w:val="00E24284"/>
    <w:rsid w:val="00E24877"/>
    <w:rsid w:val="00E263E1"/>
    <w:rsid w:val="00E2787C"/>
    <w:rsid w:val="00E27EDC"/>
    <w:rsid w:val="00E30550"/>
    <w:rsid w:val="00E3055C"/>
    <w:rsid w:val="00E36B42"/>
    <w:rsid w:val="00E36C8E"/>
    <w:rsid w:val="00E40677"/>
    <w:rsid w:val="00E42BD7"/>
    <w:rsid w:val="00E43609"/>
    <w:rsid w:val="00E441D0"/>
    <w:rsid w:val="00E4504F"/>
    <w:rsid w:val="00E45E0D"/>
    <w:rsid w:val="00E466F4"/>
    <w:rsid w:val="00E467E8"/>
    <w:rsid w:val="00E50003"/>
    <w:rsid w:val="00E50386"/>
    <w:rsid w:val="00E52C87"/>
    <w:rsid w:val="00E52CC2"/>
    <w:rsid w:val="00E53111"/>
    <w:rsid w:val="00E56C41"/>
    <w:rsid w:val="00E63B9B"/>
    <w:rsid w:val="00E63BEA"/>
    <w:rsid w:val="00E641D6"/>
    <w:rsid w:val="00E679EC"/>
    <w:rsid w:val="00E71EA0"/>
    <w:rsid w:val="00E73680"/>
    <w:rsid w:val="00E7374B"/>
    <w:rsid w:val="00E73D5B"/>
    <w:rsid w:val="00E75B9C"/>
    <w:rsid w:val="00E77C8D"/>
    <w:rsid w:val="00E8047E"/>
    <w:rsid w:val="00E81B45"/>
    <w:rsid w:val="00E81CCC"/>
    <w:rsid w:val="00E81F4A"/>
    <w:rsid w:val="00E8218D"/>
    <w:rsid w:val="00E82DC3"/>
    <w:rsid w:val="00E85477"/>
    <w:rsid w:val="00E857CC"/>
    <w:rsid w:val="00E86659"/>
    <w:rsid w:val="00E86FE5"/>
    <w:rsid w:val="00E9016D"/>
    <w:rsid w:val="00E9144E"/>
    <w:rsid w:val="00E91460"/>
    <w:rsid w:val="00E91824"/>
    <w:rsid w:val="00E92ACB"/>
    <w:rsid w:val="00E93E5D"/>
    <w:rsid w:val="00E979E3"/>
    <w:rsid w:val="00EA01E9"/>
    <w:rsid w:val="00EA0713"/>
    <w:rsid w:val="00EA1D52"/>
    <w:rsid w:val="00EA322E"/>
    <w:rsid w:val="00EA3499"/>
    <w:rsid w:val="00EA3FB1"/>
    <w:rsid w:val="00EA4236"/>
    <w:rsid w:val="00EA6DED"/>
    <w:rsid w:val="00EB40A1"/>
    <w:rsid w:val="00EB44D8"/>
    <w:rsid w:val="00EB51E5"/>
    <w:rsid w:val="00EB7027"/>
    <w:rsid w:val="00EC0A48"/>
    <w:rsid w:val="00EC100F"/>
    <w:rsid w:val="00EC3E6C"/>
    <w:rsid w:val="00EC4403"/>
    <w:rsid w:val="00EC5223"/>
    <w:rsid w:val="00EC646E"/>
    <w:rsid w:val="00EC6798"/>
    <w:rsid w:val="00ED1A89"/>
    <w:rsid w:val="00ED1AF6"/>
    <w:rsid w:val="00ED448F"/>
    <w:rsid w:val="00ED45CE"/>
    <w:rsid w:val="00ED5877"/>
    <w:rsid w:val="00EE1538"/>
    <w:rsid w:val="00EE28D3"/>
    <w:rsid w:val="00EE571E"/>
    <w:rsid w:val="00EE660F"/>
    <w:rsid w:val="00EE66AA"/>
    <w:rsid w:val="00EF0326"/>
    <w:rsid w:val="00EF04A4"/>
    <w:rsid w:val="00EF26AA"/>
    <w:rsid w:val="00EF295C"/>
    <w:rsid w:val="00EF3965"/>
    <w:rsid w:val="00EF45A0"/>
    <w:rsid w:val="00EF4AD6"/>
    <w:rsid w:val="00EF4C0F"/>
    <w:rsid w:val="00EF5975"/>
    <w:rsid w:val="00EF6CFF"/>
    <w:rsid w:val="00EF6EA4"/>
    <w:rsid w:val="00EF7803"/>
    <w:rsid w:val="00EF7DCC"/>
    <w:rsid w:val="00F01530"/>
    <w:rsid w:val="00F01789"/>
    <w:rsid w:val="00F01CFC"/>
    <w:rsid w:val="00F05375"/>
    <w:rsid w:val="00F0590E"/>
    <w:rsid w:val="00F0626A"/>
    <w:rsid w:val="00F11E82"/>
    <w:rsid w:val="00F12337"/>
    <w:rsid w:val="00F13BFE"/>
    <w:rsid w:val="00F155B0"/>
    <w:rsid w:val="00F164A2"/>
    <w:rsid w:val="00F20223"/>
    <w:rsid w:val="00F22687"/>
    <w:rsid w:val="00F24F1A"/>
    <w:rsid w:val="00F26098"/>
    <w:rsid w:val="00F27201"/>
    <w:rsid w:val="00F31639"/>
    <w:rsid w:val="00F31EDA"/>
    <w:rsid w:val="00F3311B"/>
    <w:rsid w:val="00F33C6E"/>
    <w:rsid w:val="00F342FD"/>
    <w:rsid w:val="00F344E2"/>
    <w:rsid w:val="00F34DE0"/>
    <w:rsid w:val="00F34F99"/>
    <w:rsid w:val="00F35C1D"/>
    <w:rsid w:val="00F36D22"/>
    <w:rsid w:val="00F377EC"/>
    <w:rsid w:val="00F37B67"/>
    <w:rsid w:val="00F37DC6"/>
    <w:rsid w:val="00F404CA"/>
    <w:rsid w:val="00F40638"/>
    <w:rsid w:val="00F40CF7"/>
    <w:rsid w:val="00F40D86"/>
    <w:rsid w:val="00F421BD"/>
    <w:rsid w:val="00F43BD4"/>
    <w:rsid w:val="00F45067"/>
    <w:rsid w:val="00F464FC"/>
    <w:rsid w:val="00F46609"/>
    <w:rsid w:val="00F50BF4"/>
    <w:rsid w:val="00F50EFD"/>
    <w:rsid w:val="00F51FD7"/>
    <w:rsid w:val="00F52B39"/>
    <w:rsid w:val="00F55052"/>
    <w:rsid w:val="00F5608A"/>
    <w:rsid w:val="00F563B6"/>
    <w:rsid w:val="00F565FB"/>
    <w:rsid w:val="00F608E1"/>
    <w:rsid w:val="00F63D8F"/>
    <w:rsid w:val="00F644EA"/>
    <w:rsid w:val="00F64A52"/>
    <w:rsid w:val="00F64D0B"/>
    <w:rsid w:val="00F65D1B"/>
    <w:rsid w:val="00F66BBD"/>
    <w:rsid w:val="00F67522"/>
    <w:rsid w:val="00F67665"/>
    <w:rsid w:val="00F718C9"/>
    <w:rsid w:val="00F73591"/>
    <w:rsid w:val="00F75275"/>
    <w:rsid w:val="00F75DA9"/>
    <w:rsid w:val="00F76C50"/>
    <w:rsid w:val="00F778A4"/>
    <w:rsid w:val="00F77D89"/>
    <w:rsid w:val="00F812D7"/>
    <w:rsid w:val="00F8353E"/>
    <w:rsid w:val="00F842D1"/>
    <w:rsid w:val="00F8475C"/>
    <w:rsid w:val="00F84A12"/>
    <w:rsid w:val="00F854A1"/>
    <w:rsid w:val="00F873F5"/>
    <w:rsid w:val="00F877FA"/>
    <w:rsid w:val="00F91541"/>
    <w:rsid w:val="00F91C3E"/>
    <w:rsid w:val="00F92416"/>
    <w:rsid w:val="00F92649"/>
    <w:rsid w:val="00F92929"/>
    <w:rsid w:val="00F92BC2"/>
    <w:rsid w:val="00F92F61"/>
    <w:rsid w:val="00F9368C"/>
    <w:rsid w:val="00F94475"/>
    <w:rsid w:val="00F94C79"/>
    <w:rsid w:val="00F9551B"/>
    <w:rsid w:val="00F959EF"/>
    <w:rsid w:val="00F95D43"/>
    <w:rsid w:val="00F961E8"/>
    <w:rsid w:val="00FA3347"/>
    <w:rsid w:val="00FA3539"/>
    <w:rsid w:val="00FA3ADA"/>
    <w:rsid w:val="00FA67B9"/>
    <w:rsid w:val="00FA6B81"/>
    <w:rsid w:val="00FB1F64"/>
    <w:rsid w:val="00FB46F8"/>
    <w:rsid w:val="00FB74A3"/>
    <w:rsid w:val="00FC15F6"/>
    <w:rsid w:val="00FC29A7"/>
    <w:rsid w:val="00FC343E"/>
    <w:rsid w:val="00FC3A65"/>
    <w:rsid w:val="00FC45D4"/>
    <w:rsid w:val="00FC5735"/>
    <w:rsid w:val="00FC7B44"/>
    <w:rsid w:val="00FC7DE5"/>
    <w:rsid w:val="00FD19C7"/>
    <w:rsid w:val="00FD21D5"/>
    <w:rsid w:val="00FD45DF"/>
    <w:rsid w:val="00FD4915"/>
    <w:rsid w:val="00FD4B42"/>
    <w:rsid w:val="00FD7E05"/>
    <w:rsid w:val="00FE106B"/>
    <w:rsid w:val="00FE3E28"/>
    <w:rsid w:val="00FE4092"/>
    <w:rsid w:val="00FE492F"/>
    <w:rsid w:val="00FE4DF8"/>
    <w:rsid w:val="00FE57CB"/>
    <w:rsid w:val="00FE627E"/>
    <w:rsid w:val="00FE63E5"/>
    <w:rsid w:val="00FF0771"/>
    <w:rsid w:val="00FF293C"/>
    <w:rsid w:val="00FF29AA"/>
    <w:rsid w:val="00FF324B"/>
    <w:rsid w:val="00FF3F89"/>
    <w:rsid w:val="00FF4428"/>
    <w:rsid w:val="00FF4CC4"/>
    <w:rsid w:val="00FF5AC5"/>
    <w:rsid w:val="00FF5AC6"/>
    <w:rsid w:val="00FF5E41"/>
    <w:rsid w:val="00FF71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4:docId w14:val="0E03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1A3E"/>
    <w:pPr>
      <w:spacing w:before="120" w:after="120" w:line="240" w:lineRule="auto"/>
    </w:pPr>
    <w:rPr>
      <w:rFonts w:ascii="Calibri" w:eastAsiaTheme="minorEastAsia" w:hAnsi="Calibri"/>
      <w:sz w:val="20"/>
      <w:szCs w:val="20"/>
    </w:rPr>
  </w:style>
  <w:style w:type="paragraph" w:styleId="Heading1">
    <w:name w:val="heading 1"/>
    <w:basedOn w:val="Normal"/>
    <w:next w:val="Normal"/>
    <w:link w:val="Heading1Char"/>
    <w:qFormat/>
    <w:rsid w:val="00975BC4"/>
    <w:pPr>
      <w:keepNext/>
      <w:spacing w:after="240"/>
      <w:outlineLvl w:val="0"/>
    </w:pPr>
    <w:rPr>
      <w:b/>
      <w:color w:val="002C47"/>
      <w:sz w:val="36"/>
      <w:szCs w:val="22"/>
    </w:rPr>
  </w:style>
  <w:style w:type="paragraph" w:styleId="Heading2">
    <w:name w:val="heading 2"/>
    <w:basedOn w:val="Normal"/>
    <w:next w:val="Normal"/>
    <w:link w:val="Heading2Char"/>
    <w:unhideWhenUsed/>
    <w:qFormat/>
    <w:rsid w:val="003A7FFE"/>
    <w:pPr>
      <w:keepNext/>
      <w:spacing w:before="240"/>
      <w:outlineLvl w:val="1"/>
    </w:pPr>
    <w:rPr>
      <w:b/>
      <w:i/>
      <w:color w:val="002C47"/>
      <w:sz w:val="28"/>
    </w:rPr>
  </w:style>
  <w:style w:type="paragraph" w:styleId="Heading3">
    <w:name w:val="heading 3"/>
    <w:basedOn w:val="Normal"/>
    <w:next w:val="Normal"/>
    <w:link w:val="Heading3Char"/>
    <w:unhideWhenUsed/>
    <w:qFormat/>
    <w:rsid w:val="004C38EA"/>
    <w:pPr>
      <w:keepNext/>
      <w:outlineLvl w:val="2"/>
    </w:pPr>
    <w:rPr>
      <w:rFonts w:eastAsia="Calibri"/>
      <w:b/>
      <w:i/>
      <w:iCs/>
      <w:color w:val="002C47" w:themeColor="accent1"/>
      <w:sz w:val="24"/>
    </w:rPr>
  </w:style>
  <w:style w:type="paragraph" w:styleId="Heading4">
    <w:name w:val="heading 4"/>
    <w:basedOn w:val="Normal"/>
    <w:next w:val="Normal"/>
    <w:link w:val="Heading4Char"/>
    <w:unhideWhenUsed/>
    <w:qFormat/>
    <w:rsid w:val="00A468B5"/>
    <w:pPr>
      <w:pBdr>
        <w:top w:val="dotted" w:sz="6" w:space="1" w:color="002C47" w:themeColor="accent1"/>
      </w:pBdr>
      <w:spacing w:before="200" w:after="0"/>
      <w:outlineLvl w:val="3"/>
    </w:pPr>
    <w:rPr>
      <w:b/>
      <w:smallCaps/>
      <w:color w:val="002C47" w:themeColor="accent1"/>
      <w:spacing w:val="10"/>
    </w:rPr>
  </w:style>
  <w:style w:type="paragraph" w:styleId="Heading5">
    <w:name w:val="heading 5"/>
    <w:basedOn w:val="Normal"/>
    <w:next w:val="Normal"/>
    <w:link w:val="Heading5Char"/>
    <w:unhideWhenUsed/>
    <w:qFormat/>
    <w:rsid w:val="00A468B5"/>
    <w:pPr>
      <w:keepNext/>
      <w:pBdr>
        <w:bottom w:val="single" w:sz="6" w:space="1" w:color="002C47" w:themeColor="accent1"/>
      </w:pBdr>
      <w:spacing w:before="200" w:after="0"/>
      <w:outlineLvl w:val="4"/>
    </w:pPr>
    <w:rPr>
      <w:i/>
      <w:smallCaps/>
      <w:color w:val="002C47" w:themeColor="accent1"/>
      <w:spacing w:val="10"/>
    </w:rPr>
  </w:style>
  <w:style w:type="paragraph" w:styleId="Heading6">
    <w:name w:val="heading 6"/>
    <w:basedOn w:val="Normal"/>
    <w:next w:val="Normal"/>
    <w:link w:val="Heading6Char"/>
    <w:unhideWhenUsed/>
    <w:qFormat/>
    <w:rsid w:val="00A468B5"/>
    <w:pPr>
      <w:pBdr>
        <w:bottom w:val="dotted" w:sz="6" w:space="1" w:color="002C47" w:themeColor="accent1"/>
      </w:pBdr>
      <w:spacing w:before="200" w:after="0"/>
      <w:outlineLvl w:val="5"/>
    </w:pPr>
    <w:rPr>
      <w:i/>
      <w:smallCaps/>
      <w:color w:val="002C47" w:themeColor="accent1"/>
      <w:spacing w:val="10"/>
    </w:rPr>
  </w:style>
  <w:style w:type="paragraph" w:styleId="Heading7">
    <w:name w:val="heading 7"/>
    <w:basedOn w:val="Normal"/>
    <w:next w:val="Normal"/>
    <w:link w:val="Heading7Char"/>
    <w:uiPriority w:val="9"/>
    <w:unhideWhenUsed/>
    <w:qFormat/>
    <w:rsid w:val="00A468B5"/>
    <w:pPr>
      <w:spacing w:after="0"/>
      <w:outlineLvl w:val="6"/>
    </w:pPr>
    <w:rPr>
      <w:b/>
      <w:i/>
      <w:color w:val="002C47" w:themeColor="accent1"/>
    </w:rPr>
  </w:style>
  <w:style w:type="paragraph" w:styleId="Heading8">
    <w:name w:val="heading 8"/>
    <w:basedOn w:val="Heading9"/>
    <w:next w:val="Normal"/>
    <w:link w:val="Heading8Char"/>
    <w:uiPriority w:val="9"/>
    <w:unhideWhenUsed/>
    <w:qFormat/>
    <w:rsid w:val="0028692E"/>
    <w:pPr>
      <w:numPr>
        <w:numId w:val="30"/>
      </w:numPr>
      <w:outlineLvl w:val="7"/>
    </w:pPr>
  </w:style>
  <w:style w:type="paragraph" w:styleId="Heading9">
    <w:name w:val="heading 9"/>
    <w:basedOn w:val="ChartMainHeading"/>
    <w:next w:val="Normal"/>
    <w:link w:val="Heading9Char"/>
    <w:uiPriority w:val="9"/>
    <w:unhideWhenUsed/>
    <w:qFormat/>
    <w:rsid w:val="008E0014"/>
    <w:pPr>
      <w:pBdr>
        <w:top w:val="dashed" w:sz="4" w:space="1" w:color="002C47" w:themeColor="accent1"/>
      </w:pBdr>
      <w:spacing w:before="120"/>
    </w:pPr>
    <w:rPr>
      <w:rFonts w:eastAsia="Calibri"/>
      <w:bCs/>
      <w:smallCaps/>
      <w:color w:val="002C47"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68B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68B5"/>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A468B5"/>
    <w:rPr>
      <w:sz w:val="16"/>
      <w:szCs w:val="16"/>
    </w:rPr>
  </w:style>
  <w:style w:type="paragraph" w:styleId="CommentText">
    <w:name w:val="annotation text"/>
    <w:basedOn w:val="Normal"/>
    <w:link w:val="CommentTextChar"/>
    <w:uiPriority w:val="99"/>
    <w:unhideWhenUsed/>
    <w:rsid w:val="00A468B5"/>
  </w:style>
  <w:style w:type="character" w:customStyle="1" w:styleId="CommentTextChar">
    <w:name w:val="Comment Text Char"/>
    <w:basedOn w:val="DefaultParagraphFont"/>
    <w:link w:val="CommentText"/>
    <w:uiPriority w:val="99"/>
    <w:rsid w:val="00A468B5"/>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468B5"/>
    <w:rPr>
      <w:b/>
      <w:bCs/>
    </w:rPr>
  </w:style>
  <w:style w:type="character" w:customStyle="1" w:styleId="CommentSubjectChar">
    <w:name w:val="Comment Subject Char"/>
    <w:basedOn w:val="CommentTextChar"/>
    <w:link w:val="CommentSubject"/>
    <w:uiPriority w:val="99"/>
    <w:semiHidden/>
    <w:rsid w:val="00A468B5"/>
    <w:rPr>
      <w:rFonts w:eastAsiaTheme="minorEastAsia"/>
      <w:b/>
      <w:bCs/>
      <w:sz w:val="20"/>
      <w:szCs w:val="20"/>
    </w:rPr>
  </w:style>
  <w:style w:type="paragraph" w:customStyle="1" w:styleId="Bullet">
    <w:name w:val="Bullet"/>
    <w:basedOn w:val="Normal"/>
    <w:link w:val="BulletChar"/>
    <w:rsid w:val="009F6670"/>
    <w:pPr>
      <w:numPr>
        <w:numId w:val="1"/>
      </w:numPr>
    </w:pPr>
  </w:style>
  <w:style w:type="character" w:customStyle="1" w:styleId="BulletChar">
    <w:name w:val="Bullet Char"/>
    <w:basedOn w:val="DefaultParagraphFont"/>
    <w:link w:val="Bullet"/>
    <w:rsid w:val="009F6670"/>
    <w:rPr>
      <w:rFonts w:ascii="Calibri" w:hAnsi="Calibri" w:cs="Times New Roman"/>
    </w:rPr>
  </w:style>
  <w:style w:type="paragraph" w:customStyle="1" w:styleId="Dash">
    <w:name w:val="Dash"/>
    <w:basedOn w:val="Normal"/>
    <w:link w:val="DashChar"/>
    <w:rsid w:val="009F6670"/>
    <w:pPr>
      <w:numPr>
        <w:ilvl w:val="1"/>
        <w:numId w:val="1"/>
      </w:numPr>
    </w:pPr>
  </w:style>
  <w:style w:type="character" w:customStyle="1" w:styleId="DashChar">
    <w:name w:val="Dash Char"/>
    <w:basedOn w:val="DefaultParagraphFont"/>
    <w:link w:val="Dash"/>
    <w:rsid w:val="009F6670"/>
    <w:rPr>
      <w:rFonts w:ascii="Calibri" w:hAnsi="Calibri" w:cs="Times New Roman"/>
    </w:rPr>
  </w:style>
  <w:style w:type="paragraph" w:customStyle="1" w:styleId="DoubleDot">
    <w:name w:val="Double Dot"/>
    <w:basedOn w:val="Normal"/>
    <w:link w:val="DoubleDotChar"/>
    <w:rsid w:val="009F6670"/>
    <w:pPr>
      <w:numPr>
        <w:ilvl w:val="2"/>
        <w:numId w:val="1"/>
      </w:numPr>
    </w:pPr>
  </w:style>
  <w:style w:type="character" w:customStyle="1" w:styleId="DoubleDotChar">
    <w:name w:val="Double Dot Char"/>
    <w:basedOn w:val="DefaultParagraphFont"/>
    <w:link w:val="DoubleDot"/>
    <w:rsid w:val="009F6670"/>
    <w:rPr>
      <w:rFonts w:ascii="Calibri" w:hAnsi="Calibri" w:cs="Times New Roman"/>
    </w:rPr>
  </w:style>
  <w:style w:type="paragraph" w:customStyle="1" w:styleId="Default">
    <w:name w:val="Default"/>
    <w:rsid w:val="00A468B5"/>
    <w:pPr>
      <w:autoSpaceDE w:val="0"/>
      <w:autoSpaceDN w:val="0"/>
      <w:adjustRightInd w:val="0"/>
      <w:spacing w:before="100" w:after="0" w:line="240" w:lineRule="auto"/>
    </w:pPr>
    <w:rPr>
      <w:rFonts w:ascii="Palatino" w:eastAsia="Times New Roman" w:hAnsi="Palatino" w:cs="Palatino"/>
      <w:color w:val="000000"/>
      <w:sz w:val="24"/>
      <w:szCs w:val="24"/>
      <w:lang w:val="en-US"/>
    </w:rPr>
  </w:style>
  <w:style w:type="table" w:styleId="TableGrid">
    <w:name w:val="Table Grid"/>
    <w:basedOn w:val="TableNormal"/>
    <w:uiPriority w:val="39"/>
    <w:rsid w:val="00A468B5"/>
    <w:pPr>
      <w:spacing w:before="100" w:after="240" w:line="260" w:lineRule="exact"/>
      <w:jc w:val="both"/>
    </w:pPr>
    <w:rPr>
      <w:rFonts w:eastAsia="Times New Roman" w:cs="Times New Roman"/>
      <w:sz w:val="20"/>
      <w:szCs w:val="20"/>
      <w:lang w:eastAsia="en-AU"/>
    </w:rPr>
    <w:tblPr/>
    <w:tcPr>
      <w:shd w:val="clear" w:color="auto" w:fill="E6E6E6"/>
    </w:tcPr>
  </w:style>
  <w:style w:type="paragraph" w:styleId="Revision">
    <w:name w:val="Revision"/>
    <w:hidden/>
    <w:uiPriority w:val="99"/>
    <w:semiHidden/>
    <w:rsid w:val="001B275D"/>
    <w:pPr>
      <w:spacing w:after="0" w:line="240" w:lineRule="auto"/>
    </w:pPr>
    <w:rPr>
      <w:rFonts w:ascii="Calibri" w:hAnsi="Calibri" w:cs="Times New Roman"/>
    </w:rPr>
  </w:style>
  <w:style w:type="table" w:customStyle="1" w:styleId="TableGrid1">
    <w:name w:val="Table Grid1"/>
    <w:basedOn w:val="TableNormal"/>
    <w:next w:val="TableGrid"/>
    <w:uiPriority w:val="39"/>
    <w:rsid w:val="006E1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468B5"/>
    <w:pPr>
      <w:keepNext/>
      <w:spacing w:before="0" w:after="0"/>
      <w:jc w:val="right"/>
    </w:pPr>
    <w:rPr>
      <w:color w:val="004A7F"/>
    </w:rPr>
  </w:style>
  <w:style w:type="character" w:customStyle="1" w:styleId="HeaderChar">
    <w:name w:val="Header Char"/>
    <w:basedOn w:val="DefaultParagraphFont"/>
    <w:link w:val="Header"/>
    <w:uiPriority w:val="99"/>
    <w:rsid w:val="00A468B5"/>
    <w:rPr>
      <w:rFonts w:eastAsiaTheme="minorEastAsia"/>
      <w:color w:val="004A7F"/>
      <w:sz w:val="20"/>
      <w:szCs w:val="20"/>
    </w:rPr>
  </w:style>
  <w:style w:type="paragraph" w:styleId="Footer">
    <w:name w:val="footer"/>
    <w:basedOn w:val="Normal"/>
    <w:link w:val="FooterChar"/>
    <w:unhideWhenUsed/>
    <w:rsid w:val="004B5358"/>
    <w:pPr>
      <w:tabs>
        <w:tab w:val="center" w:pos="4513"/>
        <w:tab w:val="right" w:pos="9026"/>
      </w:tabs>
      <w:spacing w:before="0" w:after="0"/>
      <w:jc w:val="center"/>
    </w:pPr>
    <w:rPr>
      <w:color w:val="002C47"/>
      <w:sz w:val="18"/>
    </w:rPr>
  </w:style>
  <w:style w:type="character" w:customStyle="1" w:styleId="FooterChar">
    <w:name w:val="Footer Char"/>
    <w:basedOn w:val="DefaultParagraphFont"/>
    <w:link w:val="Footer"/>
    <w:rsid w:val="004B5358"/>
    <w:rPr>
      <w:rFonts w:ascii="Calibri" w:eastAsiaTheme="minorEastAsia" w:hAnsi="Calibri"/>
      <w:color w:val="002C47"/>
      <w:sz w:val="18"/>
      <w:szCs w:val="20"/>
    </w:rPr>
  </w:style>
  <w:style w:type="character" w:styleId="Hyperlink">
    <w:name w:val="Hyperlink"/>
    <w:basedOn w:val="DefaultParagraphFont"/>
    <w:uiPriority w:val="99"/>
    <w:rsid w:val="0048560C"/>
    <w:rPr>
      <w:color w:val="4470A7"/>
      <w:u w:val="none"/>
    </w:rPr>
  </w:style>
  <w:style w:type="paragraph" w:styleId="ListParagraph">
    <w:name w:val="List Paragraph"/>
    <w:basedOn w:val="Normal"/>
    <w:uiPriority w:val="34"/>
    <w:rsid w:val="00A468B5"/>
    <w:pPr>
      <w:ind w:left="720"/>
      <w:contextualSpacing/>
    </w:pPr>
  </w:style>
  <w:style w:type="paragraph" w:styleId="FootnoteText">
    <w:name w:val="footnote text"/>
    <w:basedOn w:val="CommentText"/>
    <w:link w:val="FootnoteTextChar"/>
    <w:uiPriority w:val="99"/>
    <w:rsid w:val="00BF7CAE"/>
    <w:pPr>
      <w:tabs>
        <w:tab w:val="left" w:pos="284"/>
      </w:tabs>
      <w:ind w:left="284" w:hanging="284"/>
    </w:pPr>
    <w:rPr>
      <w:sz w:val="16"/>
    </w:rPr>
  </w:style>
  <w:style w:type="character" w:customStyle="1" w:styleId="FootnoteTextChar">
    <w:name w:val="Footnote Text Char"/>
    <w:basedOn w:val="DefaultParagraphFont"/>
    <w:link w:val="FootnoteText"/>
    <w:uiPriority w:val="99"/>
    <w:rsid w:val="00BF7CAE"/>
    <w:rPr>
      <w:rFonts w:ascii="Calibri" w:eastAsiaTheme="minorEastAsia" w:hAnsi="Calibri"/>
      <w:sz w:val="16"/>
      <w:szCs w:val="20"/>
    </w:rPr>
  </w:style>
  <w:style w:type="character" w:styleId="FootnoteReference">
    <w:name w:val="footnote reference"/>
    <w:basedOn w:val="DefaultParagraphFont"/>
    <w:uiPriority w:val="99"/>
    <w:rsid w:val="00A468B5"/>
    <w:rPr>
      <w:rFonts w:ascii="Calibri" w:hAnsi="Calibri"/>
      <w:sz w:val="20"/>
      <w:vertAlign w:val="superscript"/>
    </w:rPr>
  </w:style>
  <w:style w:type="character" w:customStyle="1" w:styleId="Heading1Char">
    <w:name w:val="Heading 1 Char"/>
    <w:basedOn w:val="DefaultParagraphFont"/>
    <w:link w:val="Heading1"/>
    <w:rsid w:val="00975BC4"/>
    <w:rPr>
      <w:rFonts w:ascii="Calibri" w:eastAsiaTheme="minorEastAsia" w:hAnsi="Calibri"/>
      <w:b/>
      <w:color w:val="002C47"/>
      <w:sz w:val="36"/>
    </w:rPr>
  </w:style>
  <w:style w:type="character" w:customStyle="1" w:styleId="Heading2Char">
    <w:name w:val="Heading 2 Char"/>
    <w:basedOn w:val="DefaultParagraphFont"/>
    <w:link w:val="Heading2"/>
    <w:rsid w:val="003A7FFE"/>
    <w:rPr>
      <w:rFonts w:ascii="Calibri" w:eastAsiaTheme="minorEastAsia" w:hAnsi="Calibri"/>
      <w:b/>
      <w:i/>
      <w:color w:val="002C47"/>
      <w:sz w:val="28"/>
      <w:szCs w:val="20"/>
    </w:rPr>
  </w:style>
  <w:style w:type="character" w:customStyle="1" w:styleId="Heading3Char">
    <w:name w:val="Heading 3 Char"/>
    <w:basedOn w:val="DefaultParagraphFont"/>
    <w:link w:val="Heading3"/>
    <w:rsid w:val="004C38EA"/>
    <w:rPr>
      <w:rFonts w:ascii="Calibri" w:eastAsia="Calibri" w:hAnsi="Calibri"/>
      <w:b/>
      <w:i/>
      <w:iCs/>
      <w:color w:val="002C47" w:themeColor="accent1"/>
      <w:sz w:val="24"/>
      <w:szCs w:val="20"/>
    </w:rPr>
  </w:style>
  <w:style w:type="character" w:customStyle="1" w:styleId="Heading4Char">
    <w:name w:val="Heading 4 Char"/>
    <w:basedOn w:val="DefaultParagraphFont"/>
    <w:link w:val="Heading4"/>
    <w:rsid w:val="00A468B5"/>
    <w:rPr>
      <w:rFonts w:eastAsiaTheme="minorEastAsia"/>
      <w:b/>
      <w:smallCaps/>
      <w:color w:val="002C47" w:themeColor="accent1"/>
      <w:spacing w:val="10"/>
      <w:sz w:val="20"/>
      <w:szCs w:val="20"/>
    </w:rPr>
  </w:style>
  <w:style w:type="character" w:customStyle="1" w:styleId="Heading5Char">
    <w:name w:val="Heading 5 Char"/>
    <w:basedOn w:val="DefaultParagraphFont"/>
    <w:link w:val="Heading5"/>
    <w:rsid w:val="00A468B5"/>
    <w:rPr>
      <w:rFonts w:eastAsiaTheme="minorEastAsia"/>
      <w:i/>
      <w:smallCaps/>
      <w:color w:val="002C47" w:themeColor="accent1"/>
      <w:spacing w:val="10"/>
      <w:sz w:val="20"/>
      <w:szCs w:val="20"/>
    </w:rPr>
  </w:style>
  <w:style w:type="character" w:customStyle="1" w:styleId="Heading6Char">
    <w:name w:val="Heading 6 Char"/>
    <w:basedOn w:val="DefaultParagraphFont"/>
    <w:link w:val="Heading6"/>
    <w:rsid w:val="00A468B5"/>
    <w:rPr>
      <w:rFonts w:eastAsiaTheme="minorEastAsia"/>
      <w:i/>
      <w:smallCaps/>
      <w:color w:val="002C47" w:themeColor="accent1"/>
      <w:spacing w:val="10"/>
      <w:sz w:val="20"/>
      <w:szCs w:val="20"/>
    </w:rPr>
  </w:style>
  <w:style w:type="character" w:customStyle="1" w:styleId="Heading7Char">
    <w:name w:val="Heading 7 Char"/>
    <w:basedOn w:val="DefaultParagraphFont"/>
    <w:link w:val="Heading7"/>
    <w:uiPriority w:val="9"/>
    <w:rsid w:val="00A468B5"/>
    <w:rPr>
      <w:rFonts w:eastAsiaTheme="minorEastAsia"/>
      <w:b/>
      <w:i/>
      <w:color w:val="002C47" w:themeColor="accent1"/>
      <w:sz w:val="20"/>
      <w:szCs w:val="20"/>
    </w:rPr>
  </w:style>
  <w:style w:type="character" w:customStyle="1" w:styleId="Heading8Char">
    <w:name w:val="Heading 8 Char"/>
    <w:basedOn w:val="DefaultParagraphFont"/>
    <w:link w:val="Heading8"/>
    <w:uiPriority w:val="9"/>
    <w:rsid w:val="0028692E"/>
    <w:rPr>
      <w:rFonts w:ascii="Calibri" w:eastAsiaTheme="minorEastAsia" w:hAnsi="Calibri"/>
      <w:b/>
      <w:color w:val="002C47" w:themeColor="accent1"/>
      <w:szCs w:val="20"/>
    </w:rPr>
  </w:style>
  <w:style w:type="character" w:customStyle="1" w:styleId="Heading9Char">
    <w:name w:val="Heading 9 Char"/>
    <w:basedOn w:val="DefaultParagraphFont"/>
    <w:link w:val="Heading9"/>
    <w:uiPriority w:val="9"/>
    <w:rsid w:val="008E0014"/>
    <w:rPr>
      <w:rFonts w:ascii="Calibri" w:eastAsia="Calibri" w:hAnsi="Calibri"/>
      <w:b/>
      <w:bCs/>
      <w:smallCaps/>
      <w:color w:val="002C47" w:themeColor="accent1"/>
      <w:sz w:val="20"/>
      <w:szCs w:val="20"/>
    </w:rPr>
  </w:style>
  <w:style w:type="paragraph" w:customStyle="1" w:styleId="ChartGraphic">
    <w:name w:val="Chart Graphic"/>
    <w:basedOn w:val="Normal"/>
    <w:next w:val="Normal"/>
    <w:rsid w:val="00142FC9"/>
    <w:pPr>
      <w:keepNext/>
      <w:spacing w:before="0" w:after="240"/>
    </w:pPr>
    <w:rPr>
      <w:color w:val="004A7F"/>
    </w:rPr>
  </w:style>
  <w:style w:type="paragraph" w:customStyle="1" w:styleId="AlphaParagraph">
    <w:name w:val="Alpha Paragraph"/>
    <w:basedOn w:val="Normal"/>
    <w:rsid w:val="00A468B5"/>
    <w:pPr>
      <w:numPr>
        <w:ilvl w:val="1"/>
        <w:numId w:val="24"/>
      </w:numPr>
      <w:spacing w:before="0"/>
    </w:pPr>
  </w:style>
  <w:style w:type="paragraph" w:customStyle="1" w:styleId="BoxBullet">
    <w:name w:val="Box Bullet"/>
    <w:basedOn w:val="Normal"/>
    <w:link w:val="BoxBulletChar"/>
    <w:rsid w:val="00A468B5"/>
    <w:pPr>
      <w:numPr>
        <w:numId w:val="15"/>
      </w:numPr>
      <w:spacing w:before="40" w:after="40"/>
      <w:jc w:val="both"/>
    </w:pPr>
    <w:rPr>
      <w:rFonts w:cs="Times New Roman"/>
      <w:bdr w:val="none" w:sz="0" w:space="0" w:color="auto" w:frame="1"/>
      <w:lang w:eastAsia="en-AU"/>
    </w:rPr>
  </w:style>
  <w:style w:type="paragraph" w:customStyle="1" w:styleId="BoxDash">
    <w:name w:val="Box Dash"/>
    <w:basedOn w:val="Normal"/>
    <w:link w:val="BoxDashChar"/>
    <w:rsid w:val="00A468B5"/>
    <w:pPr>
      <w:numPr>
        <w:ilvl w:val="1"/>
        <w:numId w:val="15"/>
      </w:numPr>
      <w:spacing w:before="40" w:after="40"/>
      <w:jc w:val="both"/>
    </w:pPr>
    <w:rPr>
      <w:rFonts w:cs="Times New Roman"/>
      <w:bdr w:val="none" w:sz="0" w:space="0" w:color="auto" w:frame="1"/>
      <w:lang w:eastAsia="en-AU"/>
    </w:rPr>
  </w:style>
  <w:style w:type="paragraph" w:customStyle="1" w:styleId="BoxDoubleDot">
    <w:name w:val="Box Double Dot"/>
    <w:basedOn w:val="Normal"/>
    <w:rsid w:val="00A468B5"/>
    <w:pPr>
      <w:numPr>
        <w:ilvl w:val="2"/>
        <w:numId w:val="15"/>
      </w:numPr>
      <w:spacing w:before="0"/>
    </w:pPr>
  </w:style>
  <w:style w:type="paragraph" w:customStyle="1" w:styleId="BoxHeading">
    <w:name w:val="Box Heading"/>
    <w:basedOn w:val="Heading3"/>
    <w:next w:val="BoxText"/>
    <w:qFormat/>
    <w:rsid w:val="00A468B5"/>
    <w:pPr>
      <w:numPr>
        <w:numId w:val="29"/>
      </w:numPr>
      <w:tabs>
        <w:tab w:val="left" w:pos="1134"/>
      </w:tabs>
      <w:spacing w:before="240"/>
      <w:ind w:left="0" w:firstLine="0"/>
      <w:jc w:val="both"/>
    </w:pPr>
    <w:rPr>
      <w:rFonts w:asciiTheme="majorHAnsi" w:hAnsiTheme="majorHAnsi" w:cstheme="majorHAnsi"/>
      <w:sz w:val="26"/>
      <w:szCs w:val="26"/>
      <w:lang w:eastAsia="en-AU"/>
    </w:rPr>
  </w:style>
  <w:style w:type="paragraph" w:customStyle="1" w:styleId="BoxText">
    <w:name w:val="Box Text"/>
    <w:basedOn w:val="Normal"/>
    <w:rsid w:val="00A21A3E"/>
    <w:pPr>
      <w:ind w:left="57" w:right="57"/>
      <w:jc w:val="both"/>
    </w:pPr>
    <w:rPr>
      <w:rFonts w:cstheme="minorHAnsi"/>
      <w:sz w:val="19"/>
      <w:lang w:eastAsia="en-AU"/>
    </w:rPr>
  </w:style>
  <w:style w:type="paragraph" w:customStyle="1" w:styleId="Normalbullet">
    <w:name w:val="Normal bullet"/>
    <w:basedOn w:val="Normal"/>
    <w:link w:val="NormalbulletChar"/>
    <w:qFormat/>
    <w:rsid w:val="00A468B5"/>
    <w:pPr>
      <w:numPr>
        <w:numId w:val="16"/>
      </w:numPr>
      <w:spacing w:before="0"/>
    </w:pPr>
  </w:style>
  <w:style w:type="paragraph" w:customStyle="1" w:styleId="ChartandTableFootnoteAlpha">
    <w:name w:val="Chart and Table Footnote Alpha"/>
    <w:rsid w:val="00A468B5"/>
    <w:pPr>
      <w:numPr>
        <w:numId w:val="18"/>
      </w:numPr>
      <w:spacing w:before="100" w:after="0" w:line="240" w:lineRule="auto"/>
      <w:jc w:val="both"/>
    </w:pPr>
    <w:rPr>
      <w:rFonts w:ascii="Calibri" w:eastAsia="Times New Roman" w:hAnsi="Calibri" w:cs="Times New Roman"/>
      <w:color w:val="000000"/>
      <w:sz w:val="18"/>
      <w:szCs w:val="16"/>
      <w:lang w:eastAsia="en-AU"/>
    </w:rPr>
  </w:style>
  <w:style w:type="paragraph" w:customStyle="1" w:styleId="ChartMainHeading">
    <w:name w:val="Chart Main Heading"/>
    <w:basedOn w:val="Normal"/>
    <w:next w:val="ChartGraphic"/>
    <w:rsid w:val="005C6849"/>
    <w:pPr>
      <w:keepNext/>
      <w:numPr>
        <w:numId w:val="28"/>
      </w:numPr>
      <w:spacing w:before="240"/>
      <w:outlineLvl w:val="8"/>
    </w:pPr>
    <w:rPr>
      <w:b/>
      <w:color w:val="1E75BA" w:themeColor="accent2"/>
      <w:sz w:val="22"/>
    </w:rPr>
  </w:style>
  <w:style w:type="paragraph" w:customStyle="1" w:styleId="ChartorTableNote">
    <w:name w:val="Chart or Table Note"/>
    <w:next w:val="Normal"/>
    <w:rsid w:val="00A711E0"/>
    <w:pPr>
      <w:tabs>
        <w:tab w:val="left" w:pos="454"/>
      </w:tabs>
      <w:spacing w:after="360" w:line="240" w:lineRule="auto"/>
      <w:ind w:left="454" w:hanging="454"/>
      <w:jc w:val="both"/>
    </w:pPr>
    <w:rPr>
      <w:rFonts w:ascii="Calibri" w:eastAsia="Times New Roman" w:hAnsi="Calibri" w:cs="Times New Roman"/>
      <w:bCs/>
      <w:color w:val="4470A7"/>
      <w:sz w:val="17"/>
      <w:szCs w:val="20"/>
      <w:lang w:eastAsia="en-AU"/>
    </w:rPr>
  </w:style>
  <w:style w:type="paragraph" w:customStyle="1" w:styleId="ChartSecondHeading">
    <w:name w:val="Chart Second Heading"/>
    <w:basedOn w:val="TableSecondHeading"/>
    <w:next w:val="ChartGraphic"/>
    <w:rsid w:val="00A468B5"/>
    <w:rPr>
      <w:color w:val="277F98" w:themeColor="accent6"/>
    </w:rPr>
  </w:style>
  <w:style w:type="paragraph" w:customStyle="1" w:styleId="ReportDate">
    <w:name w:val="Report Date"/>
    <w:basedOn w:val="Normal"/>
    <w:link w:val="ReportDateChar"/>
    <w:rsid w:val="00A468B5"/>
    <w:pPr>
      <w:keepNext/>
      <w:spacing w:before="0" w:after="360"/>
    </w:pPr>
    <w:rPr>
      <w:color w:val="FFFFFF" w:themeColor="background1"/>
      <w:sz w:val="44"/>
    </w:rPr>
  </w:style>
  <w:style w:type="paragraph" w:customStyle="1" w:styleId="Normaldash">
    <w:name w:val="Normal dash"/>
    <w:basedOn w:val="Normal"/>
    <w:link w:val="NormaldashChar"/>
    <w:qFormat/>
    <w:rsid w:val="00A468B5"/>
    <w:pPr>
      <w:numPr>
        <w:ilvl w:val="1"/>
        <w:numId w:val="16"/>
      </w:numPr>
      <w:spacing w:before="0"/>
    </w:pPr>
  </w:style>
  <w:style w:type="paragraph" w:customStyle="1" w:styleId="Normaldoubledot">
    <w:name w:val="Normal double dot"/>
    <w:basedOn w:val="Normal"/>
    <w:qFormat/>
    <w:rsid w:val="00A468B5"/>
    <w:pPr>
      <w:numPr>
        <w:ilvl w:val="2"/>
        <w:numId w:val="16"/>
      </w:numPr>
      <w:spacing w:before="0"/>
    </w:pPr>
  </w:style>
  <w:style w:type="paragraph" w:customStyle="1" w:styleId="TableMainHeading">
    <w:name w:val="Table Main Heading"/>
    <w:basedOn w:val="Normal"/>
    <w:next w:val="Normal"/>
    <w:rsid w:val="00A468B5"/>
    <w:pPr>
      <w:keepNext/>
      <w:numPr>
        <w:numId w:val="27"/>
      </w:numPr>
      <w:pBdr>
        <w:top w:val="dashed" w:sz="4" w:space="1" w:color="002C47" w:themeColor="accent1"/>
      </w:pBdr>
      <w:tabs>
        <w:tab w:val="left" w:pos="993"/>
      </w:tabs>
      <w:spacing w:after="0"/>
      <w:ind w:left="993" w:hanging="993"/>
      <w:outlineLvl w:val="7"/>
    </w:pPr>
    <w:rPr>
      <w:b/>
      <w:smallCaps/>
      <w:color w:val="002C47" w:themeColor="accent1"/>
      <w:spacing w:val="15"/>
    </w:rPr>
  </w:style>
  <w:style w:type="paragraph" w:customStyle="1" w:styleId="FooterEven">
    <w:name w:val="Footer Even"/>
    <w:basedOn w:val="Footer"/>
    <w:rsid w:val="00A468B5"/>
    <w:pPr>
      <w:keepNext/>
      <w:tabs>
        <w:tab w:val="clear" w:pos="4513"/>
        <w:tab w:val="clear" w:pos="9026"/>
      </w:tabs>
      <w:jc w:val="left"/>
    </w:pPr>
    <w:rPr>
      <w:noProof/>
      <w:color w:val="002C47" w:themeColor="accent1"/>
    </w:rPr>
  </w:style>
  <w:style w:type="paragraph" w:customStyle="1" w:styleId="FooterOdd">
    <w:name w:val="Footer Odd"/>
    <w:basedOn w:val="Footer"/>
    <w:rsid w:val="00A468B5"/>
    <w:pPr>
      <w:keepNext/>
      <w:tabs>
        <w:tab w:val="clear" w:pos="4513"/>
        <w:tab w:val="clear" w:pos="9026"/>
      </w:tabs>
      <w:jc w:val="right"/>
    </w:pPr>
    <w:rPr>
      <w:color w:val="002C47" w:themeColor="accent1"/>
    </w:rPr>
  </w:style>
  <w:style w:type="paragraph" w:customStyle="1" w:styleId="OutlineNumbered1">
    <w:name w:val="Outline Numbered 1"/>
    <w:basedOn w:val="Normal"/>
    <w:rsid w:val="00A468B5"/>
    <w:pPr>
      <w:numPr>
        <w:numId w:val="23"/>
      </w:numPr>
      <w:spacing w:before="0"/>
    </w:pPr>
  </w:style>
  <w:style w:type="paragraph" w:customStyle="1" w:styleId="OneLevelNumberedParagraph">
    <w:name w:val="One Level Numbered Paragraph"/>
    <w:basedOn w:val="Normal"/>
    <w:rsid w:val="00A468B5"/>
    <w:pPr>
      <w:numPr>
        <w:numId w:val="22"/>
      </w:numPr>
      <w:spacing w:before="0"/>
    </w:pPr>
  </w:style>
  <w:style w:type="paragraph" w:customStyle="1" w:styleId="OutlineNumbered2">
    <w:name w:val="Outline Numbered 2"/>
    <w:basedOn w:val="Normal"/>
    <w:rsid w:val="00A468B5"/>
    <w:pPr>
      <w:numPr>
        <w:ilvl w:val="1"/>
        <w:numId w:val="23"/>
      </w:numPr>
      <w:spacing w:before="0"/>
    </w:pPr>
  </w:style>
  <w:style w:type="paragraph" w:customStyle="1" w:styleId="OutlineNumbered3">
    <w:name w:val="Outline Numbered 3"/>
    <w:basedOn w:val="Normal"/>
    <w:rsid w:val="00A468B5"/>
    <w:pPr>
      <w:numPr>
        <w:ilvl w:val="2"/>
        <w:numId w:val="23"/>
      </w:numPr>
      <w:spacing w:before="0"/>
    </w:pPr>
  </w:style>
  <w:style w:type="paragraph" w:customStyle="1" w:styleId="Romannumeral">
    <w:name w:val="Roman numeral"/>
    <w:basedOn w:val="Normal"/>
    <w:rsid w:val="00A468B5"/>
    <w:pPr>
      <w:numPr>
        <w:numId w:val="24"/>
      </w:numPr>
      <w:tabs>
        <w:tab w:val="clear" w:pos="720"/>
        <w:tab w:val="num" w:pos="851"/>
      </w:tabs>
      <w:spacing w:before="0"/>
    </w:pPr>
  </w:style>
  <w:style w:type="paragraph" w:customStyle="1" w:styleId="SingleParagraph">
    <w:name w:val="Single Paragraph"/>
    <w:basedOn w:val="Normal"/>
    <w:link w:val="SingleParagraphChar"/>
    <w:rsid w:val="00A468B5"/>
    <w:pPr>
      <w:spacing w:before="0" w:after="0"/>
    </w:pPr>
  </w:style>
  <w:style w:type="paragraph" w:customStyle="1" w:styleId="TableSecondHeading">
    <w:name w:val="Table Second Heading"/>
    <w:basedOn w:val="Normal"/>
    <w:next w:val="Normal"/>
    <w:qFormat/>
    <w:rsid w:val="00A468B5"/>
    <w:pPr>
      <w:keepNext/>
      <w:spacing w:before="0" w:after="20"/>
      <w:jc w:val="center"/>
    </w:pPr>
    <w:rPr>
      <w:rFonts w:cs="Times New Roman"/>
      <w:b/>
      <w:smallCaps/>
      <w:color w:val="002C47" w:themeColor="accent1"/>
      <w:bdr w:val="none" w:sz="0" w:space="0" w:color="auto" w:frame="1"/>
      <w:lang w:eastAsia="en-AU"/>
    </w:rPr>
  </w:style>
  <w:style w:type="paragraph" w:customStyle="1" w:styleId="TableColumnHeadingCentred">
    <w:name w:val="Table Column Heading Centred"/>
    <w:basedOn w:val="TableTextLeft"/>
    <w:rsid w:val="00A468B5"/>
    <w:pPr>
      <w:jc w:val="center"/>
    </w:pPr>
    <w:rPr>
      <w:b/>
      <w:color w:val="004A7F"/>
    </w:rPr>
  </w:style>
  <w:style w:type="paragraph" w:customStyle="1" w:styleId="TableColumnHeadingLeft">
    <w:name w:val="Table Column Heading Left"/>
    <w:basedOn w:val="TableTextLeft"/>
    <w:rsid w:val="00A468B5"/>
    <w:rPr>
      <w:b/>
      <w:color w:val="004A7F"/>
    </w:rPr>
  </w:style>
  <w:style w:type="paragraph" w:customStyle="1" w:styleId="TableColumnHeadingRight">
    <w:name w:val="Table Column Heading Right"/>
    <w:basedOn w:val="TableTextLeft"/>
    <w:rsid w:val="00A468B5"/>
    <w:pPr>
      <w:jc w:val="right"/>
    </w:pPr>
    <w:rPr>
      <w:b/>
      <w:color w:val="004A7F"/>
    </w:rPr>
  </w:style>
  <w:style w:type="paragraph" w:customStyle="1" w:styleId="TableTextCentered">
    <w:name w:val="Table Text Centered"/>
    <w:basedOn w:val="TableTextRight"/>
    <w:rsid w:val="00A468B5"/>
    <w:pPr>
      <w:jc w:val="center"/>
    </w:pPr>
  </w:style>
  <w:style w:type="paragraph" w:customStyle="1" w:styleId="TableTextLeft">
    <w:name w:val="Table Text Left"/>
    <w:basedOn w:val="TableTextRight"/>
    <w:rsid w:val="00A468B5"/>
    <w:pPr>
      <w:jc w:val="left"/>
    </w:pPr>
    <w:rPr>
      <w:rFonts w:cs="Times New Roman"/>
      <w:bdr w:val="none" w:sz="0" w:space="0" w:color="auto" w:frame="1"/>
      <w:lang w:eastAsia="en-AU"/>
    </w:rPr>
  </w:style>
  <w:style w:type="paragraph" w:customStyle="1" w:styleId="TableTextRight">
    <w:name w:val="Table Text Right"/>
    <w:basedOn w:val="Normal"/>
    <w:rsid w:val="00A468B5"/>
    <w:pPr>
      <w:spacing w:before="40" w:after="40"/>
      <w:jc w:val="right"/>
    </w:pPr>
    <w:rPr>
      <w:color w:val="000000"/>
    </w:rPr>
  </w:style>
  <w:style w:type="paragraph" w:styleId="TOC1">
    <w:name w:val="toc 1"/>
    <w:basedOn w:val="Normal"/>
    <w:next w:val="Normal"/>
    <w:uiPriority w:val="39"/>
    <w:rsid w:val="00A468B5"/>
    <w:pPr>
      <w:keepNext/>
      <w:tabs>
        <w:tab w:val="right" w:leader="dot" w:pos="9072"/>
      </w:tabs>
      <w:spacing w:before="180" w:after="0"/>
      <w:ind w:right="-2"/>
    </w:pPr>
    <w:rPr>
      <w:b/>
      <w:noProof/>
      <w:color w:val="000000" w:themeColor="text1"/>
      <w:szCs w:val="22"/>
    </w:rPr>
  </w:style>
  <w:style w:type="paragraph" w:styleId="TOC2">
    <w:name w:val="toc 2"/>
    <w:basedOn w:val="Normal"/>
    <w:next w:val="Normal"/>
    <w:uiPriority w:val="39"/>
    <w:rsid w:val="00A468B5"/>
    <w:pPr>
      <w:keepNext/>
      <w:tabs>
        <w:tab w:val="right" w:leader="dot" w:pos="9072"/>
      </w:tabs>
      <w:spacing w:before="40" w:after="20"/>
      <w:ind w:left="142" w:right="-2"/>
    </w:pPr>
    <w:rPr>
      <w:noProof/>
      <w:color w:val="000000" w:themeColor="text1"/>
    </w:rPr>
  </w:style>
  <w:style w:type="paragraph" w:styleId="TOC3">
    <w:name w:val="toc 3"/>
    <w:basedOn w:val="Normal"/>
    <w:next w:val="Normal"/>
    <w:uiPriority w:val="39"/>
    <w:rsid w:val="00A468B5"/>
    <w:pPr>
      <w:tabs>
        <w:tab w:val="right" w:leader="dot" w:pos="9072"/>
      </w:tabs>
      <w:spacing w:before="20" w:after="0"/>
      <w:ind w:left="284" w:right="-2"/>
    </w:pPr>
    <w:rPr>
      <w:rFonts w:cs="Calibri"/>
      <w:noProof/>
      <w:color w:val="000000" w:themeColor="text1"/>
    </w:rPr>
  </w:style>
  <w:style w:type="numbering" w:customStyle="1" w:styleId="OutlineList">
    <w:name w:val="OutlineList"/>
    <w:uiPriority w:val="99"/>
    <w:rsid w:val="00A468B5"/>
    <w:pPr>
      <w:numPr>
        <w:numId w:val="23"/>
      </w:numPr>
    </w:pPr>
  </w:style>
  <w:style w:type="numbering" w:customStyle="1" w:styleId="BulletedList">
    <w:name w:val="Bulleted List"/>
    <w:uiPriority w:val="99"/>
    <w:rsid w:val="00A468B5"/>
    <w:pPr>
      <w:numPr>
        <w:numId w:val="16"/>
      </w:numPr>
    </w:pPr>
  </w:style>
  <w:style w:type="numbering" w:customStyle="1" w:styleId="BoxBulletedList">
    <w:name w:val="Box Bulleted List"/>
    <w:uiPriority w:val="99"/>
    <w:rsid w:val="00A468B5"/>
    <w:pPr>
      <w:numPr>
        <w:numId w:val="15"/>
      </w:numPr>
    </w:pPr>
  </w:style>
  <w:style w:type="numbering" w:customStyle="1" w:styleId="OneLevelList">
    <w:name w:val="OneLevelList"/>
    <w:uiPriority w:val="99"/>
    <w:rsid w:val="00A468B5"/>
    <w:pPr>
      <w:numPr>
        <w:numId w:val="22"/>
      </w:numPr>
    </w:pPr>
  </w:style>
  <w:style w:type="numbering" w:customStyle="1" w:styleId="ChartandTableFootnoteAlphaList">
    <w:name w:val="ChartandTableFootnoteAlphaList"/>
    <w:uiPriority w:val="99"/>
    <w:rsid w:val="00A468B5"/>
    <w:pPr>
      <w:numPr>
        <w:numId w:val="18"/>
      </w:numPr>
    </w:pPr>
  </w:style>
  <w:style w:type="paragraph" w:customStyle="1" w:styleId="Crest">
    <w:name w:val="Crest"/>
    <w:basedOn w:val="Header"/>
    <w:rsid w:val="00A468B5"/>
    <w:pPr>
      <w:spacing w:after="480"/>
      <w:jc w:val="center"/>
    </w:pPr>
    <w:rPr>
      <w:color w:val="000000" w:themeColor="text1"/>
    </w:rPr>
  </w:style>
  <w:style w:type="paragraph" w:customStyle="1" w:styleId="Heading1Numbered">
    <w:name w:val="Heading 1 Numbered"/>
    <w:basedOn w:val="Heading1"/>
    <w:next w:val="Normal"/>
    <w:rsid w:val="00A468B5"/>
    <w:pPr>
      <w:numPr>
        <w:numId w:val="19"/>
      </w:numPr>
    </w:pPr>
  </w:style>
  <w:style w:type="character" w:customStyle="1" w:styleId="SingleParagraphChar">
    <w:name w:val="Single Paragraph Char"/>
    <w:basedOn w:val="DefaultParagraphFont"/>
    <w:link w:val="SingleParagraph"/>
    <w:rsid w:val="00A468B5"/>
    <w:rPr>
      <w:rFonts w:eastAsiaTheme="minorEastAsia"/>
      <w:sz w:val="20"/>
      <w:szCs w:val="20"/>
    </w:rPr>
  </w:style>
  <w:style w:type="paragraph" w:customStyle="1" w:styleId="Heading2Numbered">
    <w:name w:val="Heading 2 Numbered"/>
    <w:basedOn w:val="Heading2"/>
    <w:next w:val="Normal"/>
    <w:rsid w:val="00A468B5"/>
    <w:pPr>
      <w:numPr>
        <w:ilvl w:val="1"/>
        <w:numId w:val="19"/>
      </w:numPr>
    </w:pPr>
  </w:style>
  <w:style w:type="paragraph" w:customStyle="1" w:styleId="Heading3Numbered">
    <w:name w:val="Heading 3 Numbered"/>
    <w:basedOn w:val="Heading3"/>
    <w:qFormat/>
    <w:rsid w:val="00A468B5"/>
    <w:pPr>
      <w:numPr>
        <w:ilvl w:val="2"/>
        <w:numId w:val="19"/>
      </w:numPr>
    </w:pPr>
  </w:style>
  <w:style w:type="paragraph" w:styleId="Title">
    <w:name w:val="Title"/>
    <w:basedOn w:val="Normal"/>
    <w:next w:val="Normal"/>
    <w:link w:val="TitleChar"/>
    <w:uiPriority w:val="10"/>
    <w:qFormat/>
    <w:rsid w:val="00A468B5"/>
    <w:pPr>
      <w:spacing w:before="0" w:after="0"/>
    </w:pPr>
    <w:rPr>
      <w:rFonts w:asciiTheme="majorHAnsi" w:eastAsiaTheme="majorEastAsia" w:hAnsiTheme="majorHAnsi" w:cstheme="majorBidi"/>
      <w:b/>
      <w:caps/>
      <w:color w:val="FFFFFF" w:themeColor="background1"/>
      <w:spacing w:val="10"/>
      <w:sz w:val="44"/>
      <w:szCs w:val="52"/>
    </w:rPr>
  </w:style>
  <w:style w:type="character" w:customStyle="1" w:styleId="TitleChar">
    <w:name w:val="Title Char"/>
    <w:basedOn w:val="DefaultParagraphFont"/>
    <w:link w:val="Title"/>
    <w:uiPriority w:val="10"/>
    <w:rsid w:val="00A468B5"/>
    <w:rPr>
      <w:rFonts w:asciiTheme="majorHAnsi" w:eastAsiaTheme="majorEastAsia" w:hAnsiTheme="majorHAnsi" w:cstheme="majorBidi"/>
      <w:b/>
      <w:caps/>
      <w:color w:val="FFFFFF" w:themeColor="background1"/>
      <w:spacing w:val="10"/>
      <w:sz w:val="44"/>
      <w:szCs w:val="52"/>
    </w:rPr>
  </w:style>
  <w:style w:type="paragraph" w:styleId="Subtitle">
    <w:name w:val="Subtitle"/>
    <w:basedOn w:val="Normal"/>
    <w:next w:val="Normal"/>
    <w:link w:val="SubtitleChar"/>
    <w:uiPriority w:val="11"/>
    <w:rsid w:val="00A468B5"/>
    <w:pPr>
      <w:spacing w:before="0" w:after="500"/>
    </w:pPr>
    <w:rPr>
      <w:caps/>
      <w:color w:val="FFFFFF" w:themeColor="background1"/>
      <w:spacing w:val="10"/>
      <w:sz w:val="21"/>
      <w:szCs w:val="21"/>
    </w:rPr>
  </w:style>
  <w:style w:type="character" w:customStyle="1" w:styleId="SubtitleChar">
    <w:name w:val="Subtitle Char"/>
    <w:basedOn w:val="DefaultParagraphFont"/>
    <w:link w:val="Subtitle"/>
    <w:uiPriority w:val="11"/>
    <w:rsid w:val="00A468B5"/>
    <w:rPr>
      <w:rFonts w:eastAsiaTheme="minorEastAsia"/>
      <w:caps/>
      <w:color w:val="FFFFFF" w:themeColor="background1"/>
      <w:spacing w:val="10"/>
      <w:sz w:val="21"/>
      <w:szCs w:val="21"/>
    </w:rPr>
  </w:style>
  <w:style w:type="character" w:styleId="SubtleEmphasis">
    <w:name w:val="Subtle Emphasis"/>
    <w:uiPriority w:val="19"/>
    <w:rsid w:val="00A468B5"/>
    <w:rPr>
      <w:i/>
      <w:iCs/>
      <w:color w:val="001523" w:themeColor="accent1" w:themeShade="7F"/>
    </w:rPr>
  </w:style>
  <w:style w:type="character" w:styleId="PlaceholderText">
    <w:name w:val="Placeholder Text"/>
    <w:basedOn w:val="DefaultParagraphFont"/>
    <w:uiPriority w:val="99"/>
    <w:semiHidden/>
    <w:rsid w:val="00A468B5"/>
    <w:rPr>
      <w:color w:val="808080"/>
    </w:rPr>
  </w:style>
  <w:style w:type="paragraph" w:customStyle="1" w:styleId="AppendixHeading">
    <w:name w:val="Appendix Heading"/>
    <w:basedOn w:val="Normal"/>
    <w:next w:val="Normal"/>
    <w:rsid w:val="00A468B5"/>
    <w:pPr>
      <w:keepNext/>
      <w:spacing w:before="720" w:after="360"/>
    </w:pPr>
    <w:rPr>
      <w:rFonts w:ascii="Arial Bold" w:hAnsi="Arial Bold"/>
      <w:b/>
      <w:smallCaps/>
      <w:color w:val="004A7F"/>
      <w:sz w:val="36"/>
      <w:szCs w:val="36"/>
    </w:rPr>
  </w:style>
  <w:style w:type="paragraph" w:customStyle="1" w:styleId="HeadingBase">
    <w:name w:val="Heading Base"/>
    <w:rsid w:val="00A468B5"/>
    <w:pPr>
      <w:keepNext/>
      <w:spacing w:before="100" w:after="120" w:line="240" w:lineRule="auto"/>
    </w:pPr>
    <w:rPr>
      <w:rFonts w:ascii="Calibri" w:eastAsia="Times New Roman" w:hAnsi="Calibri" w:cs="Arial"/>
      <w:bCs/>
      <w:color w:val="002C47" w:themeColor="accent1"/>
      <w:kern w:val="32"/>
      <w:sz w:val="48"/>
      <w:szCs w:val="36"/>
      <w:lang w:eastAsia="en-AU"/>
    </w:rPr>
  </w:style>
  <w:style w:type="character" w:customStyle="1" w:styleId="ReportDateChar">
    <w:name w:val="Report Date Char"/>
    <w:basedOn w:val="DefaultParagraphFont"/>
    <w:link w:val="ReportDate"/>
    <w:rsid w:val="00A468B5"/>
    <w:rPr>
      <w:rFonts w:eastAsiaTheme="minorEastAsia"/>
      <w:color w:val="FFFFFF" w:themeColor="background1"/>
      <w:sz w:val="44"/>
      <w:szCs w:val="20"/>
    </w:rPr>
  </w:style>
  <w:style w:type="paragraph" w:customStyle="1" w:styleId="Disclaimer">
    <w:name w:val="Disclaimer"/>
    <w:basedOn w:val="ReportDate"/>
    <w:rsid w:val="00A468B5"/>
    <w:pPr>
      <w:spacing w:after="1800"/>
      <w:ind w:right="142"/>
    </w:pPr>
    <w:rPr>
      <w:rFonts w:ascii="Century Gothic" w:hAnsi="Century Gothic"/>
      <w:b/>
      <w:bCs/>
      <w:color w:val="38AFCF" w:themeColor="text2"/>
      <w:sz w:val="22"/>
    </w:rPr>
  </w:style>
  <w:style w:type="paragraph" w:customStyle="1" w:styleId="NotesHeading">
    <w:name w:val="Notes Heading"/>
    <w:basedOn w:val="Normal"/>
    <w:rsid w:val="00A468B5"/>
    <w:pPr>
      <w:keepNext/>
      <w:spacing w:before="240" w:after="360"/>
      <w:jc w:val="center"/>
    </w:pPr>
    <w:rPr>
      <w:rFonts w:ascii="Century Gothic" w:hAnsi="Century Gothic"/>
      <w:smallCaps/>
      <w:color w:val="38AFCF" w:themeColor="text2"/>
      <w:sz w:val="36"/>
      <w:szCs w:val="36"/>
    </w:rPr>
  </w:style>
  <w:style w:type="paragraph" w:customStyle="1" w:styleId="Divider">
    <w:name w:val="Divider"/>
    <w:basedOn w:val="ReportDate"/>
    <w:rsid w:val="00A468B5"/>
    <w:pPr>
      <w:spacing w:after="1800"/>
    </w:pPr>
    <w:rPr>
      <w:rFonts w:ascii="Rockwell" w:hAnsi="Rockwell"/>
      <w:sz w:val="24"/>
    </w:rPr>
  </w:style>
  <w:style w:type="character" w:customStyle="1" w:styleId="FramedFooter">
    <w:name w:val="Framed Footer"/>
    <w:rsid w:val="00A468B5"/>
    <w:rPr>
      <w:rFonts w:ascii="Arial" w:hAnsi="Arial"/>
      <w:color w:val="002C47"/>
      <w:sz w:val="18"/>
    </w:rPr>
  </w:style>
  <w:style w:type="character" w:customStyle="1" w:styleId="FramedHeader">
    <w:name w:val="Framed Header"/>
    <w:basedOn w:val="DefaultParagraphFont"/>
    <w:rsid w:val="00A468B5"/>
    <w:rPr>
      <w:rFonts w:ascii="Arial" w:hAnsi="Arial"/>
      <w:dstrike w:val="0"/>
      <w:color w:val="auto"/>
      <w:sz w:val="18"/>
      <w:vertAlign w:val="baseline"/>
    </w:rPr>
  </w:style>
  <w:style w:type="paragraph" w:customStyle="1" w:styleId="TableTextIndented">
    <w:name w:val="Table Text Indented"/>
    <w:basedOn w:val="TableTextLeft"/>
    <w:rsid w:val="00A468B5"/>
    <w:pPr>
      <w:ind w:left="284"/>
    </w:pPr>
  </w:style>
  <w:style w:type="paragraph" w:customStyle="1" w:styleId="TableHeadingContinued">
    <w:name w:val="Table Heading Continued"/>
    <w:basedOn w:val="TableMainHeading"/>
    <w:next w:val="TableGraphic"/>
    <w:qFormat/>
    <w:rsid w:val="00A468B5"/>
    <w:pPr>
      <w:numPr>
        <w:numId w:val="20"/>
      </w:numPr>
    </w:pPr>
  </w:style>
  <w:style w:type="paragraph" w:customStyle="1" w:styleId="TableGraphic">
    <w:name w:val="Table Graphic"/>
    <w:basedOn w:val="HeadingBase"/>
    <w:next w:val="Normal"/>
    <w:rsid w:val="00A468B5"/>
    <w:pPr>
      <w:spacing w:after="0"/>
    </w:pPr>
    <w:rPr>
      <w:color w:val="auto"/>
      <w:sz w:val="22"/>
    </w:rPr>
  </w:style>
  <w:style w:type="paragraph" w:customStyle="1" w:styleId="HeaderEven">
    <w:name w:val="Header Even"/>
    <w:basedOn w:val="HeaderOdd"/>
    <w:rsid w:val="00975BC4"/>
    <w:pPr>
      <w:jc w:val="left"/>
    </w:pPr>
  </w:style>
  <w:style w:type="paragraph" w:customStyle="1" w:styleId="HeaderOdd">
    <w:name w:val="Header Odd"/>
    <w:basedOn w:val="Header"/>
    <w:rsid w:val="00975BC4"/>
    <w:rPr>
      <w:b/>
      <w:color w:val="002C47" w:themeColor="accent1"/>
      <w:sz w:val="18"/>
    </w:rPr>
  </w:style>
  <w:style w:type="paragraph" w:styleId="NoSpacing">
    <w:name w:val="No Spacing"/>
    <w:link w:val="NoSpacingChar"/>
    <w:uiPriority w:val="1"/>
    <w:rsid w:val="00A468B5"/>
    <w:pPr>
      <w:spacing w:before="100" w:after="0" w:line="240" w:lineRule="auto"/>
    </w:pPr>
    <w:rPr>
      <w:rFonts w:eastAsiaTheme="minorEastAsia"/>
      <w:sz w:val="20"/>
      <w:szCs w:val="20"/>
    </w:rPr>
  </w:style>
  <w:style w:type="character" w:customStyle="1" w:styleId="NoSpacingChar">
    <w:name w:val="No Spacing Char"/>
    <w:basedOn w:val="DefaultParagraphFont"/>
    <w:link w:val="NoSpacing"/>
    <w:uiPriority w:val="1"/>
    <w:rsid w:val="00A468B5"/>
    <w:rPr>
      <w:rFonts w:eastAsiaTheme="minorEastAsia"/>
      <w:sz w:val="20"/>
      <w:szCs w:val="20"/>
    </w:rPr>
  </w:style>
  <w:style w:type="paragraph" w:customStyle="1" w:styleId="PreparedBy">
    <w:name w:val="PreparedBy"/>
    <w:basedOn w:val="Subtitle"/>
    <w:qFormat/>
    <w:rsid w:val="00A468B5"/>
  </w:style>
  <w:style w:type="character" w:styleId="BookTitle">
    <w:name w:val="Book Title"/>
    <w:uiPriority w:val="33"/>
    <w:rsid w:val="00A468B5"/>
    <w:rPr>
      <w:b/>
      <w:bCs/>
      <w:i/>
      <w:iCs/>
      <w:spacing w:val="0"/>
    </w:rPr>
  </w:style>
  <w:style w:type="character" w:customStyle="1" w:styleId="NormalbulletChar">
    <w:name w:val="Normal bullet Char"/>
    <w:basedOn w:val="DefaultParagraphFont"/>
    <w:link w:val="Normalbullet"/>
    <w:locked/>
    <w:rsid w:val="00A468B5"/>
    <w:rPr>
      <w:rFonts w:eastAsiaTheme="minorEastAsia"/>
      <w:sz w:val="20"/>
      <w:szCs w:val="20"/>
    </w:rPr>
  </w:style>
  <w:style w:type="paragraph" w:styleId="Caption">
    <w:name w:val="caption"/>
    <w:basedOn w:val="Normal"/>
    <w:next w:val="Normal"/>
    <w:uiPriority w:val="35"/>
    <w:semiHidden/>
    <w:unhideWhenUsed/>
    <w:qFormat/>
    <w:rsid w:val="00A468B5"/>
    <w:rPr>
      <w:b/>
      <w:bCs/>
      <w:color w:val="002035" w:themeColor="accent1" w:themeShade="BF"/>
      <w:sz w:val="16"/>
      <w:szCs w:val="16"/>
    </w:rPr>
  </w:style>
  <w:style w:type="character" w:customStyle="1" w:styleId="NormaldashChar">
    <w:name w:val="Normal dash Char"/>
    <w:basedOn w:val="DefaultParagraphFont"/>
    <w:link w:val="Normaldash"/>
    <w:locked/>
    <w:rsid w:val="00A468B5"/>
    <w:rPr>
      <w:rFonts w:eastAsiaTheme="minorEastAsia"/>
      <w:sz w:val="20"/>
      <w:szCs w:val="20"/>
    </w:rPr>
  </w:style>
  <w:style w:type="character" w:styleId="Emphasis">
    <w:name w:val="Emphasis"/>
    <w:uiPriority w:val="20"/>
    <w:rsid w:val="00A468B5"/>
    <w:rPr>
      <w:caps/>
      <w:color w:val="001523" w:themeColor="accent1" w:themeShade="7F"/>
      <w:spacing w:val="5"/>
    </w:rPr>
  </w:style>
  <w:style w:type="character" w:styleId="IntenseEmphasis">
    <w:name w:val="Intense Emphasis"/>
    <w:uiPriority w:val="21"/>
    <w:rsid w:val="00A468B5"/>
    <w:rPr>
      <w:b/>
      <w:bCs/>
      <w:caps/>
      <w:color w:val="001523" w:themeColor="accent1" w:themeShade="7F"/>
      <w:spacing w:val="10"/>
    </w:rPr>
  </w:style>
  <w:style w:type="paragraph" w:styleId="IntenseQuote">
    <w:name w:val="Intense Quote"/>
    <w:basedOn w:val="Normal"/>
    <w:next w:val="Normal"/>
    <w:link w:val="IntenseQuoteChar"/>
    <w:uiPriority w:val="30"/>
    <w:rsid w:val="00A468B5"/>
    <w:pPr>
      <w:spacing w:before="240" w:after="240"/>
      <w:ind w:left="1080" w:right="1080"/>
      <w:jc w:val="center"/>
    </w:pPr>
    <w:rPr>
      <w:color w:val="002C47" w:themeColor="accent1"/>
      <w:sz w:val="24"/>
      <w:szCs w:val="24"/>
    </w:rPr>
  </w:style>
  <w:style w:type="character" w:customStyle="1" w:styleId="IntenseQuoteChar">
    <w:name w:val="Intense Quote Char"/>
    <w:basedOn w:val="DefaultParagraphFont"/>
    <w:link w:val="IntenseQuote"/>
    <w:uiPriority w:val="30"/>
    <w:rsid w:val="00A468B5"/>
    <w:rPr>
      <w:rFonts w:eastAsiaTheme="minorEastAsia"/>
      <w:color w:val="002C47" w:themeColor="accent1"/>
      <w:sz w:val="24"/>
      <w:szCs w:val="24"/>
    </w:rPr>
  </w:style>
  <w:style w:type="character" w:styleId="IntenseReference">
    <w:name w:val="Intense Reference"/>
    <w:uiPriority w:val="32"/>
    <w:rsid w:val="00A468B5"/>
    <w:rPr>
      <w:b/>
      <w:bCs/>
      <w:i/>
      <w:iCs/>
      <w:caps/>
      <w:color w:val="002C47" w:themeColor="accent1"/>
    </w:rPr>
  </w:style>
  <w:style w:type="paragraph" w:styleId="NormalWeb">
    <w:name w:val="Normal (Web)"/>
    <w:basedOn w:val="Normal"/>
    <w:uiPriority w:val="99"/>
    <w:unhideWhenUsed/>
    <w:rsid w:val="00A468B5"/>
    <w:pPr>
      <w:spacing w:beforeAutospacing="1" w:after="100" w:afterAutospacing="1"/>
    </w:pPr>
    <w:rPr>
      <w:rFonts w:ascii="Times New Roman" w:hAnsi="Times New Roman"/>
      <w:sz w:val="24"/>
      <w:szCs w:val="24"/>
    </w:rPr>
  </w:style>
  <w:style w:type="paragraph" w:styleId="Quote">
    <w:name w:val="Quote"/>
    <w:basedOn w:val="Normal"/>
    <w:next w:val="Normal"/>
    <w:link w:val="QuoteChar"/>
    <w:uiPriority w:val="29"/>
    <w:rsid w:val="00A468B5"/>
    <w:rPr>
      <w:i/>
      <w:iCs/>
      <w:sz w:val="24"/>
      <w:szCs w:val="24"/>
    </w:rPr>
  </w:style>
  <w:style w:type="character" w:customStyle="1" w:styleId="QuoteChar">
    <w:name w:val="Quote Char"/>
    <w:basedOn w:val="DefaultParagraphFont"/>
    <w:link w:val="Quote"/>
    <w:uiPriority w:val="29"/>
    <w:rsid w:val="00A468B5"/>
    <w:rPr>
      <w:rFonts w:eastAsiaTheme="minorEastAsia"/>
      <w:i/>
      <w:iCs/>
      <w:sz w:val="24"/>
      <w:szCs w:val="24"/>
    </w:rPr>
  </w:style>
  <w:style w:type="character" w:styleId="Strong">
    <w:name w:val="Strong"/>
    <w:uiPriority w:val="22"/>
    <w:rsid w:val="00A468B5"/>
    <w:rPr>
      <w:b/>
      <w:bCs/>
    </w:rPr>
  </w:style>
  <w:style w:type="character" w:styleId="SubtleReference">
    <w:name w:val="Subtle Reference"/>
    <w:uiPriority w:val="31"/>
    <w:rsid w:val="00A468B5"/>
    <w:rPr>
      <w:b/>
      <w:bCs/>
      <w:color w:val="002C47" w:themeColor="accent1"/>
    </w:rPr>
  </w:style>
  <w:style w:type="paragraph" w:styleId="TOCHeading">
    <w:name w:val="TOC Heading"/>
    <w:basedOn w:val="Heading1"/>
    <w:next w:val="Normal"/>
    <w:uiPriority w:val="39"/>
    <w:semiHidden/>
    <w:unhideWhenUsed/>
    <w:qFormat/>
    <w:rsid w:val="00A468B5"/>
    <w:pPr>
      <w:outlineLvl w:val="9"/>
    </w:pPr>
  </w:style>
  <w:style w:type="character" w:customStyle="1" w:styleId="value">
    <w:name w:val="value"/>
    <w:basedOn w:val="DefaultParagraphFont"/>
    <w:rsid w:val="00A468B5"/>
  </w:style>
  <w:style w:type="paragraph" w:styleId="BodyText">
    <w:name w:val="Body Text"/>
    <w:basedOn w:val="Normal"/>
    <w:link w:val="BodyTextChar"/>
    <w:uiPriority w:val="99"/>
    <w:semiHidden/>
    <w:unhideWhenUsed/>
    <w:rsid w:val="00A468B5"/>
  </w:style>
  <w:style w:type="character" w:customStyle="1" w:styleId="BodyTextChar">
    <w:name w:val="Body Text Char"/>
    <w:basedOn w:val="DefaultParagraphFont"/>
    <w:link w:val="BodyText"/>
    <w:uiPriority w:val="99"/>
    <w:semiHidden/>
    <w:rsid w:val="00A468B5"/>
    <w:rPr>
      <w:rFonts w:eastAsiaTheme="minorEastAsia"/>
      <w:sz w:val="20"/>
      <w:szCs w:val="20"/>
    </w:rPr>
  </w:style>
  <w:style w:type="character" w:customStyle="1" w:styleId="BoxBulletChar">
    <w:name w:val="Box Bullet Char"/>
    <w:basedOn w:val="DefaultParagraphFont"/>
    <w:link w:val="BoxBullet"/>
    <w:rsid w:val="00A468B5"/>
    <w:rPr>
      <w:rFonts w:eastAsiaTheme="minorEastAsia" w:cs="Times New Roman"/>
      <w:sz w:val="20"/>
      <w:szCs w:val="20"/>
      <w:bdr w:val="none" w:sz="0" w:space="0" w:color="auto" w:frame="1"/>
      <w:lang w:eastAsia="en-AU"/>
    </w:rPr>
  </w:style>
  <w:style w:type="character" w:customStyle="1" w:styleId="BoxDashChar">
    <w:name w:val="Box Dash Char"/>
    <w:basedOn w:val="DefaultParagraphFont"/>
    <w:link w:val="BoxDash"/>
    <w:rsid w:val="00A468B5"/>
    <w:rPr>
      <w:rFonts w:eastAsiaTheme="minorEastAsia" w:cs="Times New Roman"/>
      <w:sz w:val="20"/>
      <w:szCs w:val="20"/>
      <w:bdr w:val="none" w:sz="0" w:space="0" w:color="auto" w:frame="1"/>
      <w:lang w:eastAsia="en-AU"/>
    </w:rPr>
  </w:style>
  <w:style w:type="paragraph" w:customStyle="1" w:styleId="Source">
    <w:name w:val="Source"/>
    <w:basedOn w:val="Normaldash"/>
    <w:link w:val="SourceChar"/>
    <w:qFormat/>
    <w:rsid w:val="00815D89"/>
    <w:pPr>
      <w:numPr>
        <w:ilvl w:val="0"/>
        <w:numId w:val="0"/>
      </w:numPr>
      <w:pBdr>
        <w:bottom w:val="dashed" w:sz="4" w:space="1" w:color="002C47" w:themeColor="accent1"/>
      </w:pBdr>
      <w:tabs>
        <w:tab w:val="left" w:pos="596"/>
      </w:tabs>
      <w:ind w:left="596" w:hanging="567"/>
    </w:pPr>
    <w:rPr>
      <w:bdr w:val="none" w:sz="0" w:space="0" w:color="auto" w:frame="1"/>
    </w:rPr>
  </w:style>
  <w:style w:type="character" w:customStyle="1" w:styleId="SourceChar">
    <w:name w:val="Source Char"/>
    <w:basedOn w:val="NormaldashChar"/>
    <w:link w:val="Source"/>
    <w:rsid w:val="00815D89"/>
    <w:rPr>
      <w:rFonts w:ascii="Calibri" w:eastAsiaTheme="minorEastAsia" w:hAnsi="Calibri"/>
      <w:sz w:val="20"/>
      <w:szCs w:val="20"/>
      <w:bdr w:val="none" w:sz="0" w:space="0" w:color="auto" w:frame="1"/>
    </w:rPr>
  </w:style>
  <w:style w:type="paragraph" w:customStyle="1" w:styleId="Tabledash">
    <w:name w:val="Table dash"/>
    <w:basedOn w:val="BoxDash"/>
    <w:link w:val="TabledashChar"/>
    <w:qFormat/>
    <w:rsid w:val="00A468B5"/>
    <w:pPr>
      <w:tabs>
        <w:tab w:val="clear" w:pos="567"/>
        <w:tab w:val="num" w:pos="283"/>
      </w:tabs>
      <w:ind w:left="568" w:hanging="283"/>
    </w:pPr>
  </w:style>
  <w:style w:type="character" w:customStyle="1" w:styleId="TabledashChar">
    <w:name w:val="Table dash Char"/>
    <w:basedOn w:val="BoxDashChar"/>
    <w:link w:val="Tabledash"/>
    <w:rsid w:val="00A468B5"/>
    <w:rPr>
      <w:rFonts w:eastAsiaTheme="minorEastAsia" w:cs="Times New Roman"/>
      <w:sz w:val="20"/>
      <w:szCs w:val="20"/>
      <w:bdr w:val="none" w:sz="0" w:space="0" w:color="auto" w:frame="1"/>
      <w:lang w:eastAsia="en-AU"/>
    </w:rPr>
  </w:style>
  <w:style w:type="paragraph" w:customStyle="1" w:styleId="Tabledot">
    <w:name w:val="Table dot"/>
    <w:basedOn w:val="BoxBullet"/>
    <w:link w:val="TabledotChar"/>
    <w:qFormat/>
    <w:rsid w:val="00A468B5"/>
    <w:pPr>
      <w:numPr>
        <w:numId w:val="0"/>
      </w:numPr>
    </w:pPr>
  </w:style>
  <w:style w:type="character" w:customStyle="1" w:styleId="TabledotChar">
    <w:name w:val="Table dot Char"/>
    <w:basedOn w:val="BoxBulletChar"/>
    <w:link w:val="Tabledot"/>
    <w:rsid w:val="00A468B5"/>
    <w:rPr>
      <w:rFonts w:eastAsiaTheme="minorEastAsia" w:cs="Times New Roman"/>
      <w:sz w:val="20"/>
      <w:szCs w:val="20"/>
      <w:bdr w:val="none" w:sz="0" w:space="0" w:color="auto" w:frame="1"/>
      <w:lang w:eastAsia="en-AU"/>
    </w:rPr>
  </w:style>
  <w:style w:type="character" w:styleId="UnresolvedMention">
    <w:name w:val="Unresolved Mention"/>
    <w:basedOn w:val="DefaultParagraphFont"/>
    <w:uiPriority w:val="99"/>
    <w:semiHidden/>
    <w:unhideWhenUsed/>
    <w:rsid w:val="00D971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753236">
      <w:bodyDiv w:val="1"/>
      <w:marLeft w:val="0"/>
      <w:marRight w:val="0"/>
      <w:marTop w:val="0"/>
      <w:marBottom w:val="0"/>
      <w:divBdr>
        <w:top w:val="none" w:sz="0" w:space="0" w:color="auto"/>
        <w:left w:val="none" w:sz="0" w:space="0" w:color="auto"/>
        <w:bottom w:val="none" w:sz="0" w:space="0" w:color="auto"/>
        <w:right w:val="none" w:sz="0" w:space="0" w:color="auto"/>
      </w:divBdr>
    </w:div>
    <w:div w:id="229080329">
      <w:bodyDiv w:val="1"/>
      <w:marLeft w:val="0"/>
      <w:marRight w:val="0"/>
      <w:marTop w:val="0"/>
      <w:marBottom w:val="0"/>
      <w:divBdr>
        <w:top w:val="none" w:sz="0" w:space="0" w:color="auto"/>
        <w:left w:val="none" w:sz="0" w:space="0" w:color="auto"/>
        <w:bottom w:val="none" w:sz="0" w:space="0" w:color="auto"/>
        <w:right w:val="none" w:sz="0" w:space="0" w:color="auto"/>
      </w:divBdr>
    </w:div>
    <w:div w:id="272515186">
      <w:bodyDiv w:val="1"/>
      <w:marLeft w:val="0"/>
      <w:marRight w:val="0"/>
      <w:marTop w:val="0"/>
      <w:marBottom w:val="0"/>
      <w:divBdr>
        <w:top w:val="none" w:sz="0" w:space="0" w:color="auto"/>
        <w:left w:val="none" w:sz="0" w:space="0" w:color="auto"/>
        <w:bottom w:val="none" w:sz="0" w:space="0" w:color="auto"/>
        <w:right w:val="none" w:sz="0" w:space="0" w:color="auto"/>
      </w:divBdr>
    </w:div>
    <w:div w:id="562177477">
      <w:bodyDiv w:val="1"/>
      <w:marLeft w:val="0"/>
      <w:marRight w:val="0"/>
      <w:marTop w:val="0"/>
      <w:marBottom w:val="0"/>
      <w:divBdr>
        <w:top w:val="none" w:sz="0" w:space="0" w:color="auto"/>
        <w:left w:val="none" w:sz="0" w:space="0" w:color="auto"/>
        <w:bottom w:val="none" w:sz="0" w:space="0" w:color="auto"/>
        <w:right w:val="none" w:sz="0" w:space="0" w:color="auto"/>
      </w:divBdr>
    </w:div>
    <w:div w:id="585769590">
      <w:bodyDiv w:val="1"/>
      <w:marLeft w:val="0"/>
      <w:marRight w:val="0"/>
      <w:marTop w:val="0"/>
      <w:marBottom w:val="0"/>
      <w:divBdr>
        <w:top w:val="none" w:sz="0" w:space="0" w:color="auto"/>
        <w:left w:val="none" w:sz="0" w:space="0" w:color="auto"/>
        <w:bottom w:val="none" w:sz="0" w:space="0" w:color="auto"/>
        <w:right w:val="none" w:sz="0" w:space="0" w:color="auto"/>
      </w:divBdr>
    </w:div>
    <w:div w:id="668824284">
      <w:bodyDiv w:val="1"/>
      <w:marLeft w:val="0"/>
      <w:marRight w:val="0"/>
      <w:marTop w:val="0"/>
      <w:marBottom w:val="0"/>
      <w:divBdr>
        <w:top w:val="none" w:sz="0" w:space="0" w:color="auto"/>
        <w:left w:val="none" w:sz="0" w:space="0" w:color="auto"/>
        <w:bottom w:val="none" w:sz="0" w:space="0" w:color="auto"/>
        <w:right w:val="none" w:sz="0" w:space="0" w:color="auto"/>
      </w:divBdr>
    </w:div>
    <w:div w:id="768426986">
      <w:bodyDiv w:val="1"/>
      <w:marLeft w:val="0"/>
      <w:marRight w:val="0"/>
      <w:marTop w:val="0"/>
      <w:marBottom w:val="0"/>
      <w:divBdr>
        <w:top w:val="none" w:sz="0" w:space="0" w:color="auto"/>
        <w:left w:val="none" w:sz="0" w:space="0" w:color="auto"/>
        <w:bottom w:val="none" w:sz="0" w:space="0" w:color="auto"/>
        <w:right w:val="none" w:sz="0" w:space="0" w:color="auto"/>
      </w:divBdr>
    </w:div>
    <w:div w:id="777406539">
      <w:bodyDiv w:val="1"/>
      <w:marLeft w:val="0"/>
      <w:marRight w:val="0"/>
      <w:marTop w:val="0"/>
      <w:marBottom w:val="0"/>
      <w:divBdr>
        <w:top w:val="none" w:sz="0" w:space="0" w:color="auto"/>
        <w:left w:val="none" w:sz="0" w:space="0" w:color="auto"/>
        <w:bottom w:val="none" w:sz="0" w:space="0" w:color="auto"/>
        <w:right w:val="none" w:sz="0" w:space="0" w:color="auto"/>
      </w:divBdr>
    </w:div>
    <w:div w:id="919605794">
      <w:bodyDiv w:val="1"/>
      <w:marLeft w:val="0"/>
      <w:marRight w:val="0"/>
      <w:marTop w:val="0"/>
      <w:marBottom w:val="0"/>
      <w:divBdr>
        <w:top w:val="none" w:sz="0" w:space="0" w:color="auto"/>
        <w:left w:val="none" w:sz="0" w:space="0" w:color="auto"/>
        <w:bottom w:val="none" w:sz="0" w:space="0" w:color="auto"/>
        <w:right w:val="none" w:sz="0" w:space="0" w:color="auto"/>
      </w:divBdr>
    </w:div>
    <w:div w:id="1118987896">
      <w:bodyDiv w:val="1"/>
      <w:marLeft w:val="0"/>
      <w:marRight w:val="0"/>
      <w:marTop w:val="0"/>
      <w:marBottom w:val="0"/>
      <w:divBdr>
        <w:top w:val="none" w:sz="0" w:space="0" w:color="auto"/>
        <w:left w:val="none" w:sz="0" w:space="0" w:color="auto"/>
        <w:bottom w:val="none" w:sz="0" w:space="0" w:color="auto"/>
        <w:right w:val="none" w:sz="0" w:space="0" w:color="auto"/>
      </w:divBdr>
    </w:div>
    <w:div w:id="1235161167">
      <w:bodyDiv w:val="1"/>
      <w:marLeft w:val="0"/>
      <w:marRight w:val="0"/>
      <w:marTop w:val="0"/>
      <w:marBottom w:val="0"/>
      <w:divBdr>
        <w:top w:val="none" w:sz="0" w:space="0" w:color="auto"/>
        <w:left w:val="none" w:sz="0" w:space="0" w:color="auto"/>
        <w:bottom w:val="none" w:sz="0" w:space="0" w:color="auto"/>
        <w:right w:val="none" w:sz="0" w:space="0" w:color="auto"/>
      </w:divBdr>
    </w:div>
    <w:div w:id="1342321349">
      <w:bodyDiv w:val="1"/>
      <w:marLeft w:val="0"/>
      <w:marRight w:val="0"/>
      <w:marTop w:val="0"/>
      <w:marBottom w:val="0"/>
      <w:divBdr>
        <w:top w:val="none" w:sz="0" w:space="0" w:color="auto"/>
        <w:left w:val="none" w:sz="0" w:space="0" w:color="auto"/>
        <w:bottom w:val="none" w:sz="0" w:space="0" w:color="auto"/>
        <w:right w:val="none" w:sz="0" w:space="0" w:color="auto"/>
      </w:divBdr>
    </w:div>
    <w:div w:id="1362169744">
      <w:bodyDiv w:val="1"/>
      <w:marLeft w:val="0"/>
      <w:marRight w:val="0"/>
      <w:marTop w:val="0"/>
      <w:marBottom w:val="0"/>
      <w:divBdr>
        <w:top w:val="none" w:sz="0" w:space="0" w:color="auto"/>
        <w:left w:val="none" w:sz="0" w:space="0" w:color="auto"/>
        <w:bottom w:val="none" w:sz="0" w:space="0" w:color="auto"/>
        <w:right w:val="none" w:sz="0" w:space="0" w:color="auto"/>
      </w:divBdr>
    </w:div>
    <w:div w:id="1425764062">
      <w:bodyDiv w:val="1"/>
      <w:marLeft w:val="0"/>
      <w:marRight w:val="0"/>
      <w:marTop w:val="0"/>
      <w:marBottom w:val="0"/>
      <w:divBdr>
        <w:top w:val="none" w:sz="0" w:space="0" w:color="auto"/>
        <w:left w:val="none" w:sz="0" w:space="0" w:color="auto"/>
        <w:bottom w:val="none" w:sz="0" w:space="0" w:color="auto"/>
        <w:right w:val="none" w:sz="0" w:space="0" w:color="auto"/>
      </w:divBdr>
    </w:div>
    <w:div w:id="1563910358">
      <w:bodyDiv w:val="1"/>
      <w:marLeft w:val="0"/>
      <w:marRight w:val="0"/>
      <w:marTop w:val="0"/>
      <w:marBottom w:val="0"/>
      <w:divBdr>
        <w:top w:val="none" w:sz="0" w:space="0" w:color="auto"/>
        <w:left w:val="none" w:sz="0" w:space="0" w:color="auto"/>
        <w:bottom w:val="none" w:sz="0" w:space="0" w:color="auto"/>
        <w:right w:val="none" w:sz="0" w:space="0" w:color="auto"/>
      </w:divBdr>
    </w:div>
    <w:div w:id="1598102195">
      <w:bodyDiv w:val="1"/>
      <w:marLeft w:val="0"/>
      <w:marRight w:val="0"/>
      <w:marTop w:val="0"/>
      <w:marBottom w:val="0"/>
      <w:divBdr>
        <w:top w:val="none" w:sz="0" w:space="0" w:color="auto"/>
        <w:left w:val="none" w:sz="0" w:space="0" w:color="auto"/>
        <w:bottom w:val="none" w:sz="0" w:space="0" w:color="auto"/>
        <w:right w:val="none" w:sz="0" w:space="0" w:color="auto"/>
      </w:divBdr>
    </w:div>
    <w:div w:id="1927611883">
      <w:bodyDiv w:val="1"/>
      <w:marLeft w:val="0"/>
      <w:marRight w:val="0"/>
      <w:marTop w:val="0"/>
      <w:marBottom w:val="0"/>
      <w:divBdr>
        <w:top w:val="none" w:sz="0" w:space="0" w:color="auto"/>
        <w:left w:val="none" w:sz="0" w:space="0" w:color="auto"/>
        <w:bottom w:val="none" w:sz="0" w:space="0" w:color="auto"/>
        <w:right w:val="none" w:sz="0" w:space="0" w:color="auto"/>
      </w:divBdr>
    </w:div>
    <w:div w:id="2013146446">
      <w:bodyDiv w:val="1"/>
      <w:marLeft w:val="0"/>
      <w:marRight w:val="0"/>
      <w:marTop w:val="0"/>
      <w:marBottom w:val="0"/>
      <w:divBdr>
        <w:top w:val="none" w:sz="0" w:space="0" w:color="auto"/>
        <w:left w:val="none" w:sz="0" w:space="0" w:color="auto"/>
        <w:bottom w:val="none" w:sz="0" w:space="0" w:color="auto"/>
        <w:right w:val="none" w:sz="0" w:space="0" w:color="auto"/>
      </w:divBdr>
    </w:div>
    <w:div w:id="2101872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abs.gov.au/statistics/people/population/regional-internal-migration-estimates-provisional/latest-release"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header" Target="header3.xml"/><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5.e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4.emf"/><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3.emf"/></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CPOP accessible">
      <a:dk1>
        <a:sysClr val="windowText" lastClr="000000"/>
      </a:dk1>
      <a:lt1>
        <a:sysClr val="window" lastClr="FFFFFF"/>
      </a:lt1>
      <a:dk2>
        <a:srgbClr val="38AFCF"/>
      </a:dk2>
      <a:lt2>
        <a:srgbClr val="4DBC8D"/>
      </a:lt2>
      <a:accent1>
        <a:srgbClr val="002C47"/>
      </a:accent1>
      <a:accent2>
        <a:srgbClr val="1E75BA"/>
      </a:accent2>
      <a:accent3>
        <a:srgbClr val="CF542F"/>
      </a:accent3>
      <a:accent4>
        <a:srgbClr val="2F8361"/>
      </a:accent4>
      <a:accent5>
        <a:srgbClr val="9E928F"/>
      </a:accent5>
      <a:accent6>
        <a:srgbClr val="277F98"/>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946</Words>
  <Characters>5063</Characters>
  <Application>Microsoft Office Word</Application>
  <DocSecurity>0</DocSecurity>
  <Lines>83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2021-08-03T02:14:00Z</dcterms:created>
  <dcterms:modified xsi:type="dcterms:W3CDTF">2021-08-13T03:27:00Z</dcterms:modified>
</cp:coreProperties>
</file>