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3EDB" w14:textId="7D5BB16D" w:rsidR="00411D6C" w:rsidRDefault="00353167" w:rsidP="00411D6C">
      <w:r>
        <w:t>Open</w:t>
      </w:r>
      <w:r w:rsidR="00411D6C">
        <w:rPr>
          <w:noProof/>
          <w:lang w:eastAsia="en-AU"/>
        </w:rPr>
        <w:drawing>
          <wp:inline distT="0" distB="0" distL="0" distR="0" wp14:anchorId="2D0C6D30" wp14:editId="50C5931E">
            <wp:extent cx="5731510" cy="12261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_header_Econo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226185"/>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4098"/>
        <w:gridCol w:w="4928"/>
      </w:tblGrid>
      <w:tr w:rsidR="00411D6C" w14:paraId="04BF0313" w14:textId="77777777" w:rsidTr="00B8703B">
        <w:trPr>
          <w:trHeight w:val="240"/>
        </w:trPr>
        <w:tc>
          <w:tcPr>
            <w:tcW w:w="2270" w:type="pct"/>
            <w:noWrap/>
            <w:tcMar>
              <w:top w:w="15" w:type="dxa"/>
              <w:left w:w="15" w:type="dxa"/>
              <w:bottom w:w="0" w:type="dxa"/>
              <w:right w:w="15" w:type="dxa"/>
            </w:tcMar>
            <w:vAlign w:val="bottom"/>
            <w:hideMark/>
          </w:tcPr>
          <w:p w14:paraId="425C40E8" w14:textId="77777777" w:rsidR="00411D6C" w:rsidRDefault="00411D6C" w:rsidP="00B8703B">
            <w:pPr>
              <w:spacing w:after="0" w:line="276" w:lineRule="auto"/>
              <w:rPr>
                <w:b/>
                <w:bCs/>
                <w:color w:val="002C47"/>
                <w:sz w:val="20"/>
                <w:szCs w:val="20"/>
              </w:rPr>
            </w:pPr>
            <w:r>
              <w:rPr>
                <w:b/>
                <w:bCs/>
                <w:color w:val="002C47"/>
                <w:sz w:val="20"/>
                <w:szCs w:val="20"/>
              </w:rPr>
              <w:t>ABS cat.no.3412.0</w:t>
            </w:r>
          </w:p>
        </w:tc>
        <w:tc>
          <w:tcPr>
            <w:tcW w:w="2730" w:type="pct"/>
            <w:noWrap/>
            <w:tcMar>
              <w:top w:w="15" w:type="dxa"/>
              <w:left w:w="15" w:type="dxa"/>
              <w:bottom w:w="0" w:type="dxa"/>
              <w:right w:w="15" w:type="dxa"/>
            </w:tcMar>
            <w:vAlign w:val="bottom"/>
            <w:hideMark/>
          </w:tcPr>
          <w:p w14:paraId="6832ED1B" w14:textId="77777777" w:rsidR="00411D6C" w:rsidRDefault="00411D6C" w:rsidP="00B8703B">
            <w:pPr>
              <w:spacing w:after="0" w:line="276" w:lineRule="auto"/>
              <w:jc w:val="right"/>
              <w:rPr>
                <w:b/>
                <w:bCs/>
                <w:color w:val="002C47"/>
                <w:sz w:val="20"/>
                <w:szCs w:val="20"/>
              </w:rPr>
            </w:pPr>
            <w:r>
              <w:rPr>
                <w:b/>
                <w:color w:val="002C46"/>
                <w:sz w:val="20"/>
              </w:rPr>
              <w:t>23 April 2021</w:t>
            </w:r>
          </w:p>
        </w:tc>
      </w:tr>
      <w:tr w:rsidR="00411D6C" w14:paraId="37DF72C2" w14:textId="77777777" w:rsidTr="00B8703B">
        <w:trPr>
          <w:trHeight w:val="132"/>
        </w:trPr>
        <w:tc>
          <w:tcPr>
            <w:tcW w:w="5000" w:type="pct"/>
            <w:gridSpan w:val="2"/>
            <w:tcMar>
              <w:top w:w="15" w:type="dxa"/>
              <w:left w:w="15" w:type="dxa"/>
              <w:bottom w:w="0" w:type="dxa"/>
              <w:right w:w="15" w:type="dxa"/>
            </w:tcMar>
            <w:hideMark/>
          </w:tcPr>
          <w:p w14:paraId="2EE59059" w14:textId="77777777" w:rsidR="00411D6C" w:rsidRDefault="00411D6C" w:rsidP="00B8703B">
            <w:pPr>
              <w:spacing w:after="0" w:line="276" w:lineRule="auto"/>
              <w:rPr>
                <w:rFonts w:ascii="Calibri" w:hAnsi="Calibri" w:cs="Calibri"/>
                <w:b/>
                <w:bCs/>
                <w:color w:val="3A6FAF"/>
                <w:sz w:val="32"/>
                <w:szCs w:val="32"/>
              </w:rPr>
            </w:pPr>
            <w:r w:rsidRPr="00BF1528">
              <w:rPr>
                <w:b/>
                <w:bCs/>
                <w:color w:val="3A6FAF"/>
                <w:sz w:val="32"/>
                <w:szCs w:val="32"/>
              </w:rPr>
              <w:t>Migration Australia, 2019-20</w:t>
            </w:r>
          </w:p>
        </w:tc>
      </w:tr>
      <w:tr w:rsidR="00411D6C" w14:paraId="43670F92" w14:textId="77777777" w:rsidTr="00B8703B">
        <w:trPr>
          <w:trHeight w:val="450"/>
        </w:trPr>
        <w:tc>
          <w:tcPr>
            <w:tcW w:w="5000" w:type="pct"/>
            <w:gridSpan w:val="2"/>
            <w:vMerge w:val="restart"/>
            <w:tcBorders>
              <w:top w:val="single" w:sz="8" w:space="0" w:color="auto"/>
              <w:left w:val="nil"/>
              <w:bottom w:val="single" w:sz="8" w:space="0" w:color="000000"/>
              <w:right w:val="nil"/>
            </w:tcBorders>
            <w:shd w:val="clear" w:color="auto" w:fill="D6E2F1"/>
            <w:tcMar>
              <w:top w:w="15" w:type="dxa"/>
              <w:left w:w="15" w:type="dxa"/>
              <w:bottom w:w="0" w:type="dxa"/>
              <w:right w:w="15" w:type="dxa"/>
            </w:tcMar>
            <w:vAlign w:val="center"/>
            <w:hideMark/>
          </w:tcPr>
          <w:p w14:paraId="124260CF" w14:textId="13BAD374" w:rsidR="00411D6C" w:rsidRDefault="00411D6C" w:rsidP="00B8703B">
            <w:pPr>
              <w:spacing w:before="80" w:after="80"/>
            </w:pPr>
            <w:r>
              <w:t>This release presents detailed data on net overseas migration (NOM) for the 2019-20 financial year. It expands on the data presented in the latest National, state and territory population release on 18</w:t>
            </w:r>
            <w:r w:rsidR="0035574E">
              <w:t> </w:t>
            </w:r>
            <w:r>
              <w:t xml:space="preserve">March 2021 particularly around visa breakdowns and country of origin of migrants. </w:t>
            </w:r>
          </w:p>
          <w:p w14:paraId="1788A0FF" w14:textId="77777777" w:rsidR="00411D6C" w:rsidRDefault="00411D6C" w:rsidP="00B8703B">
            <w:pPr>
              <w:spacing w:before="80" w:after="80"/>
            </w:pPr>
            <w:r>
              <w:t>National NOM, which had been relatively steady over the previous 3 years, fell from 241,000 in 2018-19 to 194,000 in 2019-20, reflecting the early impacts of the COVID</w:t>
            </w:r>
            <w:r>
              <w:noBreakHyphen/>
              <w:t>19 pandemic on migration in the latter part of the financial year. This fall was driven by a decline in arrivals and increased departures of international students, especially in NSW and Victoria. In NSW this exacerbated the trend of falling total NOM since its peak in 2017.</w:t>
            </w:r>
          </w:p>
          <w:p w14:paraId="6F950829" w14:textId="77777777" w:rsidR="00411D6C" w:rsidRPr="00AD60DE" w:rsidRDefault="00411D6C" w:rsidP="00B8703B">
            <w:pPr>
              <w:spacing w:before="80" w:after="80"/>
            </w:pPr>
            <w:r>
              <w:t>Despite the early impacts of COVID</w:t>
            </w:r>
            <w:r>
              <w:noBreakHyphen/>
              <w:t>19, the share of overseas born residents rose slightly to 29.8 per cent of the population. This is up from 29.7 per cent in 2019 and 23.3 per cent in 1996. However, there were net outflows of migrants from China for the first time since this series began.</w:t>
            </w:r>
          </w:p>
        </w:tc>
      </w:tr>
      <w:tr w:rsidR="00411D6C" w14:paraId="5023F0E5" w14:textId="77777777" w:rsidTr="00B8703B">
        <w:trPr>
          <w:trHeight w:val="509"/>
        </w:trPr>
        <w:tc>
          <w:tcPr>
            <w:tcW w:w="5000" w:type="pct"/>
            <w:gridSpan w:val="2"/>
            <w:vMerge/>
            <w:tcBorders>
              <w:top w:val="single" w:sz="8" w:space="0" w:color="auto"/>
              <w:left w:val="nil"/>
              <w:bottom w:val="single" w:sz="8" w:space="0" w:color="000000"/>
              <w:right w:val="nil"/>
            </w:tcBorders>
            <w:vAlign w:val="center"/>
            <w:hideMark/>
          </w:tcPr>
          <w:p w14:paraId="63CD257C" w14:textId="77777777" w:rsidR="00411D6C" w:rsidRDefault="00411D6C" w:rsidP="00B8703B">
            <w:pPr>
              <w:rPr>
                <w:rFonts w:ascii="Calibri" w:hAnsi="Calibri" w:cs="Calibri"/>
              </w:rPr>
            </w:pPr>
          </w:p>
        </w:tc>
      </w:tr>
    </w:tbl>
    <w:p w14:paraId="0DDD5BC8" w14:textId="77777777" w:rsidR="00411D6C" w:rsidRDefault="00411D6C" w:rsidP="00411D6C">
      <w:pPr>
        <w:spacing w:before="120" w:after="120"/>
      </w:pPr>
      <w:r>
        <w:t>After ramping up in the 2000s, NOM peaked at around 316,000 in the year ending December 2008.  Over the last 3 years, NOM has been relatively steady, averaging around 250,000. Underneath this overall trend, the number of arrivals and departures have both increased over the past two decades (Figure 1).</w:t>
      </w:r>
    </w:p>
    <w:p w14:paraId="0016D24A" w14:textId="77777777" w:rsidR="00411D6C" w:rsidRPr="004E68F9" w:rsidRDefault="00411D6C" w:rsidP="00411D6C">
      <w:pPr>
        <w:spacing w:before="120" w:after="120"/>
      </w:pPr>
      <w:r>
        <w:t xml:space="preserve">The steady NOM over recent years ended in March 2020 when international travel restrictions saw overseas arrivals limited to Australian citizens, permanent residents and New Zealand citizens usually resident in Australia while only temporary migrants (including New Zealanders) were permitted to depart. This led to decreased arrivals and increased departures, and a fall in NOM from 241,000 in 2018-19 to 194,000 in 2019-20. </w:t>
      </w:r>
    </w:p>
    <w:p w14:paraId="068E1111" w14:textId="77777777" w:rsidR="00411D6C" w:rsidRDefault="00411D6C" w:rsidP="00411D6C">
      <w:pPr>
        <w:spacing w:after="120"/>
        <w:rPr>
          <w:noProof/>
          <w:lang w:eastAsia="en-AU"/>
        </w:rPr>
      </w:pPr>
      <w:r w:rsidRPr="00BF1528">
        <w:rPr>
          <w:b/>
        </w:rPr>
        <w:t>Figure 1: National NOM by arrivals and departures</w:t>
      </w:r>
      <w:r>
        <w:rPr>
          <w:b/>
        </w:rPr>
        <w:t>,</w:t>
      </w:r>
      <w:r w:rsidRPr="00C65A9A">
        <w:rPr>
          <w:b/>
        </w:rPr>
        <w:t xml:space="preserve"> </w:t>
      </w:r>
      <w:r>
        <w:rPr>
          <w:b/>
        </w:rPr>
        <w:t>year ended</w:t>
      </w:r>
    </w:p>
    <w:p w14:paraId="133164CA" w14:textId="77777777" w:rsidR="00411D6C" w:rsidRDefault="00411D6C" w:rsidP="00411D6C">
      <w:pPr>
        <w:rPr>
          <w:sz w:val="20"/>
        </w:rPr>
      </w:pPr>
      <w:r>
        <w:rPr>
          <w:noProof/>
          <w:sz w:val="20"/>
          <w:lang w:eastAsia="en-AU"/>
        </w:rPr>
        <w:lastRenderedPageBreak/>
        <w:drawing>
          <wp:inline distT="0" distB="0" distL="0" distR="0" wp14:anchorId="46A9C715" wp14:editId="7A473AA8">
            <wp:extent cx="5410070" cy="244792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931" cy="2479535"/>
                    </a:xfrm>
                    <a:prstGeom prst="rect">
                      <a:avLst/>
                    </a:prstGeom>
                    <a:noFill/>
                  </pic:spPr>
                </pic:pic>
              </a:graphicData>
            </a:graphic>
          </wp:inline>
        </w:drawing>
      </w:r>
      <w:r w:rsidRPr="00BF1528">
        <w:rPr>
          <w:sz w:val="20"/>
        </w:rPr>
        <w:t xml:space="preserve"> </w:t>
      </w:r>
      <w:r w:rsidRPr="00ED0C7E">
        <w:rPr>
          <w:sz w:val="20"/>
        </w:rPr>
        <w:t>Source:</w:t>
      </w:r>
      <w:r>
        <w:rPr>
          <w:sz w:val="20"/>
        </w:rPr>
        <w:t xml:space="preserve"> ABS National state and territory population, September 2020 release</w:t>
      </w:r>
    </w:p>
    <w:p w14:paraId="68F44F93" w14:textId="77777777" w:rsidR="00411D6C" w:rsidRDefault="00411D6C" w:rsidP="00411D6C">
      <w:pPr>
        <w:rPr>
          <w:sz w:val="20"/>
        </w:rPr>
      </w:pPr>
      <w:r w:rsidRPr="00BA3B15">
        <w:rPr>
          <w:b/>
        </w:rPr>
        <w:t>The changing flows of international students accounted for the majority of the fall in NOM.</w:t>
      </w:r>
      <w:r>
        <w:t xml:space="preserve"> In 2019-20, the net inflow of international students was 12,800 people, around 84,000 fewer than in 2018-19 (Figure 2). This was driven by a 31.2 per cent decrease in student arrivals over the previous year to 113,000, and an almost 50 per cent increase in departures to 100,000. Permanent visa holders, temporary skilled visa holders and working holiday makers also experienced falls in NOM over 2019-20. All three experienced a decline in arrivals but, unlike student visa holders, departures in these visa classes continued around historical trends.</w:t>
      </w:r>
    </w:p>
    <w:p w14:paraId="7F9D98E7" w14:textId="77777777" w:rsidR="00411D6C" w:rsidRDefault="00411D6C" w:rsidP="00411D6C">
      <w:pPr>
        <w:rPr>
          <w:sz w:val="20"/>
        </w:rPr>
      </w:pPr>
      <w:r w:rsidRPr="00BA3B15">
        <w:rPr>
          <w:b/>
        </w:rPr>
        <w:t>In 2019-20, Australian citizens were net immigrants fo</w:t>
      </w:r>
      <w:r>
        <w:rPr>
          <w:b/>
        </w:rPr>
        <w:t>r the first time in this series</w:t>
      </w:r>
      <w:r w:rsidRPr="00BA3B15">
        <w:rPr>
          <w:b/>
        </w:rPr>
        <w:t>.</w:t>
      </w:r>
      <w:r>
        <w:t xml:space="preserve"> Since records began, more Australians left the country than arrived. However, increasing global uncertainty due to the onset of the COVID-19 pandemic saw arrivals in Australian citizens rise by 25.7 per cent, as more Australians returned home. This, in conjunction with international travel restrictions in the last quarter of 2019-20, saw Australians make up almost 20 per cent of total arrivals, up from 14 per cent in 2018-19. Australians also historically constitute the majority of overseas departures, however travel restrictions meant student visa holders were the largest source of departures in 2019-20.</w:t>
      </w:r>
    </w:p>
    <w:p w14:paraId="5BFFD020" w14:textId="77777777" w:rsidR="00411D6C" w:rsidRDefault="00411D6C" w:rsidP="00411D6C">
      <w:pPr>
        <w:spacing w:after="120"/>
        <w:rPr>
          <w:b/>
        </w:rPr>
      </w:pPr>
      <w:r>
        <w:rPr>
          <w:b/>
        </w:rPr>
        <w:t>Figure 2: National</w:t>
      </w:r>
      <w:r w:rsidRPr="001C0A43">
        <w:rPr>
          <w:b/>
        </w:rPr>
        <w:t xml:space="preserve"> </w:t>
      </w:r>
      <w:r>
        <w:rPr>
          <w:b/>
        </w:rPr>
        <w:t>NOM by visa type</w:t>
      </w:r>
      <w:r w:rsidRPr="0024406D">
        <w:rPr>
          <w:b/>
        </w:rPr>
        <w:t xml:space="preserve">, </w:t>
      </w:r>
      <w:r w:rsidRPr="00AC1DCA">
        <w:rPr>
          <w:b/>
        </w:rPr>
        <w:t>2018-19 and 2019-20</w:t>
      </w:r>
    </w:p>
    <w:p w14:paraId="7FE03F5A" w14:textId="77777777" w:rsidR="00411D6C" w:rsidRPr="001C0A43" w:rsidRDefault="00411D6C" w:rsidP="00411D6C">
      <w:pPr>
        <w:spacing w:after="120"/>
        <w:rPr>
          <w:b/>
        </w:rPr>
      </w:pPr>
      <w:r w:rsidRPr="00137A4C">
        <w:rPr>
          <w:noProof/>
        </w:rPr>
        <w:drawing>
          <wp:inline distT="0" distB="0" distL="0" distR="0" wp14:anchorId="19A22A8E" wp14:editId="7D47563C">
            <wp:extent cx="5581650" cy="2524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58EB56D5" w14:textId="77777777" w:rsidR="00411D6C" w:rsidRDefault="00411D6C" w:rsidP="00411D6C">
      <w:pPr>
        <w:rPr>
          <w:sz w:val="20"/>
          <w:szCs w:val="20"/>
        </w:rPr>
      </w:pPr>
      <w:r w:rsidRPr="00DE722C">
        <w:rPr>
          <w:rFonts w:ascii="Arial"/>
          <w:sz w:val="20"/>
          <w:szCs w:val="20"/>
        </w:rPr>
        <w:t>*</w:t>
      </w:r>
      <w:r w:rsidRPr="00DE722C">
        <w:rPr>
          <w:sz w:val="20"/>
          <w:szCs w:val="20"/>
        </w:rPr>
        <w:t xml:space="preserve">Other </w:t>
      </w:r>
      <w:r>
        <w:rPr>
          <w:sz w:val="20"/>
          <w:szCs w:val="20"/>
        </w:rPr>
        <w:t>includes all unclassified visa holders as well as migrants that crossed the border on visitor visas and likely transitioned to other visa types.</w:t>
      </w:r>
    </w:p>
    <w:p w14:paraId="576EFC06" w14:textId="77777777" w:rsidR="00411D6C" w:rsidRDefault="00411D6C" w:rsidP="00411D6C">
      <w:pPr>
        <w:rPr>
          <w:sz w:val="20"/>
          <w:szCs w:val="20"/>
        </w:rPr>
      </w:pPr>
      <w:r w:rsidRPr="0024406D">
        <w:rPr>
          <w:b/>
        </w:rPr>
        <w:lastRenderedPageBreak/>
        <w:t>In 2019-20, most states and territories experienced a decrease in NOM from the previous financial year.</w:t>
      </w:r>
      <w:r>
        <w:t xml:space="preserve"> New South Wales and Victoria account for the largest share of NOM and had the largest fall in 2019-20 (Figure 3). This was driven by large falls in students in these states. In NSW, NOM attributable to students had already been falling gradually since peaking in 2016-17.</w:t>
      </w:r>
    </w:p>
    <w:p w14:paraId="57C7596E" w14:textId="77777777" w:rsidR="00411D6C" w:rsidRDefault="00411D6C" w:rsidP="00411D6C">
      <w:r w:rsidRPr="0024406D">
        <w:rPr>
          <w:b/>
        </w:rPr>
        <w:t>Western Australia and Tasmania were the only states to experience a</w:t>
      </w:r>
      <w:r>
        <w:rPr>
          <w:b/>
        </w:rPr>
        <w:t xml:space="preserve">n increase </w:t>
      </w:r>
      <w:r w:rsidRPr="0024406D">
        <w:rPr>
          <w:b/>
        </w:rPr>
        <w:t>in NOM from the previous financial year.</w:t>
      </w:r>
      <w:r>
        <w:t xml:space="preserve"> NOM for both states generally have a low dependency on student visa holders compared to other states and territories. </w:t>
      </w:r>
    </w:p>
    <w:p w14:paraId="15BEB658" w14:textId="77777777" w:rsidR="00411D6C" w:rsidRDefault="00411D6C" w:rsidP="00411D6C">
      <w:r>
        <w:t xml:space="preserve">In recent years, NOM in WA and Queensland had been gradually increasing following large drop-offs at the end of the mining boom. NOM to Tasmania has been steadily increasing over the past five years. </w:t>
      </w:r>
    </w:p>
    <w:p w14:paraId="5065F83A" w14:textId="77777777" w:rsidR="00411D6C" w:rsidRDefault="00411D6C" w:rsidP="00411D6C">
      <w:pPr>
        <w:rPr>
          <w:b/>
        </w:rPr>
      </w:pPr>
    </w:p>
    <w:p w14:paraId="72F0B3FD" w14:textId="77777777" w:rsidR="00411D6C" w:rsidRDefault="00411D6C" w:rsidP="00411D6C">
      <w:pPr>
        <w:rPr>
          <w:b/>
        </w:rPr>
      </w:pPr>
    </w:p>
    <w:p w14:paraId="1735F8D5" w14:textId="77777777" w:rsidR="00411D6C" w:rsidRDefault="00411D6C" w:rsidP="00411D6C">
      <w:pPr>
        <w:rPr>
          <w:noProof/>
          <w:lang w:eastAsia="en-AU"/>
        </w:rPr>
      </w:pPr>
      <w:r w:rsidRPr="0024406D">
        <w:rPr>
          <w:b/>
        </w:rPr>
        <w:t>Figure 3</w:t>
      </w:r>
      <w:r>
        <w:rPr>
          <w:b/>
        </w:rPr>
        <w:t>:</w:t>
      </w:r>
      <w:r w:rsidRPr="0024406D">
        <w:rPr>
          <w:b/>
        </w:rPr>
        <w:t xml:space="preserve"> NOM by state</w:t>
      </w:r>
      <w:r>
        <w:rPr>
          <w:b/>
        </w:rPr>
        <w:t xml:space="preserve"> and territory, year ended</w:t>
      </w:r>
    </w:p>
    <w:p w14:paraId="0C97CA0A" w14:textId="77777777" w:rsidR="00411D6C" w:rsidRDefault="00411D6C" w:rsidP="00411D6C">
      <w:pPr>
        <w:rPr>
          <w:noProof/>
          <w:lang w:eastAsia="en-AU"/>
        </w:rPr>
      </w:pPr>
      <w:r w:rsidRPr="0024406D">
        <w:rPr>
          <w:noProof/>
        </w:rPr>
        <w:drawing>
          <wp:inline distT="0" distB="0" distL="0" distR="0" wp14:anchorId="34C43508" wp14:editId="663349D9">
            <wp:extent cx="5731510" cy="28657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362EA020" w14:textId="77777777" w:rsidR="00411D6C" w:rsidRDefault="00411D6C" w:rsidP="00411D6C">
      <w:pPr>
        <w:rPr>
          <w:noProof/>
          <w:lang w:eastAsia="en-AU"/>
        </w:rPr>
      </w:pPr>
      <w:r w:rsidRPr="00ED0C7E">
        <w:rPr>
          <w:sz w:val="20"/>
        </w:rPr>
        <w:t>Source:</w:t>
      </w:r>
      <w:r>
        <w:rPr>
          <w:sz w:val="20"/>
        </w:rPr>
        <w:t xml:space="preserve"> ABS National state and territory population, September 2020 release</w:t>
      </w:r>
    </w:p>
    <w:p w14:paraId="35C1B1D5" w14:textId="77777777" w:rsidR="00411D6C" w:rsidRDefault="00411D6C" w:rsidP="00411D6C">
      <w:r w:rsidRPr="00BA2E6A">
        <w:t xml:space="preserve">Migration also </w:t>
      </w:r>
      <w:r>
        <w:t>a</w:t>
      </w:r>
      <w:r w:rsidRPr="00BA2E6A">
        <w:t xml:space="preserve">ffects the ethnic diversity in the population as the </w:t>
      </w:r>
      <w:r w:rsidRPr="00E83141">
        <w:rPr>
          <w:b/>
        </w:rPr>
        <w:t>source countries for migration change over time</w:t>
      </w:r>
      <w:r>
        <w:t>. Key countries of origin for</w:t>
      </w:r>
      <w:r w:rsidRPr="00BA2E6A">
        <w:t xml:space="preserve"> NOM largely reflect the demand for higher education and both temporary and permanent employment from middle income countries. I</w:t>
      </w:r>
      <w:r>
        <w:t>n recent years overseas born migrants were</w:t>
      </w:r>
      <w:r w:rsidRPr="00BA2E6A">
        <w:t xml:space="preserve"> made up primarily from c</w:t>
      </w:r>
      <w:r>
        <w:t>ountries in Asia, particularly C</w:t>
      </w:r>
      <w:r w:rsidRPr="00BA2E6A">
        <w:t>hina and India. However, in 2019-20 the proportion of</w:t>
      </w:r>
      <w:r>
        <w:t xml:space="preserve"> NOM from</w:t>
      </w:r>
      <w:r w:rsidRPr="00BA2E6A">
        <w:t xml:space="preserve"> Asian </w:t>
      </w:r>
      <w:r>
        <w:t>born migrants fell from around 76</w:t>
      </w:r>
      <w:r w:rsidRPr="00BA2E6A">
        <w:t xml:space="preserve"> per cent in 2018-19 to 52</w:t>
      </w:r>
      <w:r>
        <w:t> </w:t>
      </w:r>
      <w:r w:rsidRPr="00BA2E6A">
        <w:t>per</w:t>
      </w:r>
      <w:r>
        <w:t> </w:t>
      </w:r>
      <w:r w:rsidRPr="00BA2E6A">
        <w:t>cent</w:t>
      </w:r>
      <w:r>
        <w:t xml:space="preserve"> as there were net outflows of migrants from China for the first time since this series began in 2004.</w:t>
      </w:r>
    </w:p>
    <w:p w14:paraId="62D019C9" w14:textId="77777777" w:rsidR="00411D6C" w:rsidRPr="001D200E" w:rsidRDefault="00411D6C" w:rsidP="00411D6C">
      <w:pPr>
        <w:rPr>
          <w:b/>
        </w:rPr>
      </w:pPr>
      <w:r w:rsidRPr="001D200E">
        <w:rPr>
          <w:b/>
        </w:rPr>
        <w:t>Figure 4</w:t>
      </w:r>
      <w:r>
        <w:rPr>
          <w:b/>
        </w:rPr>
        <w:t>:</w:t>
      </w:r>
      <w:r w:rsidRPr="001D200E">
        <w:rPr>
          <w:b/>
        </w:rPr>
        <w:t xml:space="preserve"> Country of birth composition of NOM, 2019-20</w:t>
      </w:r>
    </w:p>
    <w:p w14:paraId="647A12F4" w14:textId="77777777" w:rsidR="00411D6C" w:rsidRDefault="00411D6C" w:rsidP="00411D6C">
      <w:pPr>
        <w:rPr>
          <w:b/>
        </w:rPr>
      </w:pPr>
      <w:r w:rsidRPr="001D200E">
        <w:rPr>
          <w:noProof/>
        </w:rPr>
        <w:lastRenderedPageBreak/>
        <w:drawing>
          <wp:inline distT="0" distB="0" distL="0" distR="0" wp14:anchorId="58A4F0C8" wp14:editId="4AB61886">
            <wp:extent cx="5229225" cy="2364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5802" cy="2385813"/>
                    </a:xfrm>
                    <a:prstGeom prst="rect">
                      <a:avLst/>
                    </a:prstGeom>
                    <a:noFill/>
                    <a:ln>
                      <a:noFill/>
                    </a:ln>
                  </pic:spPr>
                </pic:pic>
              </a:graphicData>
            </a:graphic>
          </wp:inline>
        </w:drawing>
      </w:r>
    </w:p>
    <w:p w14:paraId="3A35F9CD" w14:textId="77777777" w:rsidR="00411D6C" w:rsidRDefault="00411D6C" w:rsidP="00411D6C">
      <w:pPr>
        <w:pStyle w:val="BodyText"/>
        <w:spacing w:before="56"/>
        <w:ind w:left="0" w:right="364"/>
      </w:pPr>
      <w:bookmarkStart w:id="0" w:name="bkSelection"/>
      <w:bookmarkEnd w:id="0"/>
      <w:r>
        <w:t xml:space="preserve">The </w:t>
      </w:r>
      <w:r>
        <w:rPr>
          <w:b/>
        </w:rPr>
        <w:t xml:space="preserve">proportion of residents born overseas has increased </w:t>
      </w:r>
      <w:r>
        <w:t xml:space="preserve">over the past two decades, growing from 23.3 per cent in June 1996 to </w:t>
      </w:r>
      <w:r w:rsidRPr="00AC1DCA">
        <w:t>29.8</w:t>
      </w:r>
      <w:r>
        <w:t xml:space="preserve"> per cent in June 2020. This increase has been driven by migration from countries in Asia, particularly India and China. These two countries are now the second and third largest overseas born cohorts after England. New Zealanders, while growing as a share, have dropped from second in 1996 to fourth in 2020.</w:t>
      </w:r>
    </w:p>
    <w:p w14:paraId="43BCFB2C" w14:textId="77777777" w:rsidR="00411D6C" w:rsidRDefault="00411D6C" w:rsidP="00411D6C">
      <w:pPr>
        <w:rPr>
          <w:rFonts w:ascii="Calibri" w:eastAsia="Calibri" w:hAnsi="Calibri" w:cs="Calibri"/>
          <w:lang w:eastAsia="en-AU" w:bidi="en-AU"/>
        </w:rPr>
      </w:pPr>
      <w:r>
        <w:br w:type="page"/>
      </w:r>
    </w:p>
    <w:p w14:paraId="43FCAEAF" w14:textId="77777777" w:rsidR="00411D6C" w:rsidRDefault="00411D6C" w:rsidP="00411D6C">
      <w:pPr>
        <w:pStyle w:val="BodyText"/>
        <w:spacing w:before="56"/>
        <w:ind w:left="0" w:right="364"/>
        <w:rPr>
          <w:rFonts w:asciiTheme="minorHAnsi" w:eastAsiaTheme="minorHAnsi" w:hAnsiTheme="minorHAnsi" w:cstheme="minorBidi"/>
          <w:b/>
          <w:bCs/>
          <w:lang w:eastAsia="en-US" w:bidi="ar-SA"/>
        </w:rPr>
      </w:pPr>
      <w:r w:rsidRPr="009C3114">
        <w:rPr>
          <w:rFonts w:asciiTheme="minorHAnsi" w:eastAsiaTheme="minorHAnsi" w:hAnsiTheme="minorHAnsi" w:cstheme="minorBidi"/>
          <w:b/>
          <w:bCs/>
          <w:lang w:eastAsia="en-US" w:bidi="ar-SA"/>
        </w:rPr>
        <w:lastRenderedPageBreak/>
        <w:t>Table 1</w:t>
      </w:r>
      <w:r>
        <w:rPr>
          <w:rFonts w:asciiTheme="minorHAnsi" w:eastAsiaTheme="minorHAnsi" w:hAnsiTheme="minorHAnsi" w:cstheme="minorBidi"/>
          <w:b/>
          <w:bCs/>
          <w:lang w:eastAsia="en-US" w:bidi="ar-SA"/>
        </w:rPr>
        <w:t>: T</w:t>
      </w:r>
      <w:r w:rsidRPr="009C3114">
        <w:rPr>
          <w:rFonts w:asciiTheme="minorHAnsi" w:eastAsiaTheme="minorHAnsi" w:hAnsiTheme="minorHAnsi" w:cstheme="minorBidi"/>
          <w:b/>
          <w:bCs/>
          <w:lang w:eastAsia="en-US" w:bidi="ar-SA"/>
        </w:rPr>
        <w:t>o</w:t>
      </w:r>
      <w:r>
        <w:rPr>
          <w:rFonts w:asciiTheme="minorHAnsi" w:eastAsiaTheme="minorHAnsi" w:hAnsiTheme="minorHAnsi" w:cstheme="minorBidi"/>
          <w:b/>
          <w:bCs/>
          <w:lang w:eastAsia="en-US" w:bidi="ar-SA"/>
        </w:rPr>
        <w:t>p 10 countries of birth as at 30</w:t>
      </w:r>
      <w:r w:rsidRPr="009C3114">
        <w:rPr>
          <w:rFonts w:asciiTheme="minorHAnsi" w:eastAsiaTheme="minorHAnsi" w:hAnsiTheme="minorHAnsi" w:cstheme="minorBidi"/>
          <w:b/>
          <w:bCs/>
          <w:lang w:eastAsia="en-US" w:bidi="ar-SA"/>
        </w:rPr>
        <w:t xml:space="preserve"> June</w:t>
      </w:r>
    </w:p>
    <w:tbl>
      <w:tblPr>
        <w:tblW w:w="7895" w:type="dxa"/>
        <w:tblLook w:val="04A0" w:firstRow="1" w:lastRow="0" w:firstColumn="1" w:lastColumn="0" w:noHBand="0" w:noVBand="1"/>
      </w:tblPr>
      <w:tblGrid>
        <w:gridCol w:w="998"/>
        <w:gridCol w:w="1352"/>
        <w:gridCol w:w="1440"/>
        <w:gridCol w:w="1686"/>
        <w:gridCol w:w="198"/>
        <w:gridCol w:w="1154"/>
        <w:gridCol w:w="1067"/>
      </w:tblGrid>
      <w:tr w:rsidR="00411D6C" w:rsidRPr="0004108B" w14:paraId="08A8260A" w14:textId="77777777" w:rsidTr="00B8703B">
        <w:trPr>
          <w:trHeight w:val="324"/>
        </w:trPr>
        <w:tc>
          <w:tcPr>
            <w:tcW w:w="998" w:type="dxa"/>
            <w:tcBorders>
              <w:top w:val="single" w:sz="8" w:space="0" w:color="000000"/>
              <w:left w:val="nil"/>
              <w:right w:val="nil"/>
            </w:tcBorders>
            <w:shd w:val="clear" w:color="auto" w:fill="auto"/>
            <w:vAlign w:val="center"/>
            <w:hideMark/>
          </w:tcPr>
          <w:p w14:paraId="4FC65866" w14:textId="77777777" w:rsidR="00411D6C" w:rsidRPr="0004108B" w:rsidRDefault="00411D6C" w:rsidP="00B8703B">
            <w:pPr>
              <w:spacing w:after="0" w:line="240" w:lineRule="auto"/>
              <w:ind w:firstLineChars="200" w:firstLine="320"/>
              <w:rPr>
                <w:rFonts w:ascii="Times New Roman" w:eastAsia="Times New Roman" w:hAnsi="Times New Roman" w:cs="Times New Roman"/>
                <w:color w:val="000000"/>
                <w:sz w:val="16"/>
                <w:szCs w:val="16"/>
                <w:lang w:eastAsia="en-AU"/>
              </w:rPr>
            </w:pPr>
            <w:r w:rsidRPr="0004108B">
              <w:rPr>
                <w:rFonts w:ascii="Times New Roman" w:eastAsia="Times New Roman" w:hAnsi="Times New Roman" w:cs="Times New Roman"/>
                <w:color w:val="000000"/>
                <w:sz w:val="16"/>
                <w:szCs w:val="16"/>
                <w:lang w:eastAsia="en-AU"/>
              </w:rPr>
              <w:t> </w:t>
            </w:r>
          </w:p>
        </w:tc>
        <w:tc>
          <w:tcPr>
            <w:tcW w:w="1352" w:type="dxa"/>
            <w:tcBorders>
              <w:top w:val="single" w:sz="8" w:space="0" w:color="000000"/>
              <w:left w:val="nil"/>
              <w:right w:val="nil"/>
            </w:tcBorders>
            <w:shd w:val="clear" w:color="auto" w:fill="auto"/>
            <w:vAlign w:val="center"/>
            <w:hideMark/>
          </w:tcPr>
          <w:p w14:paraId="073A1F51" w14:textId="77777777" w:rsidR="00411D6C" w:rsidRPr="0004108B" w:rsidRDefault="00411D6C" w:rsidP="00B8703B">
            <w:pPr>
              <w:spacing w:after="0" w:line="240" w:lineRule="auto"/>
              <w:rPr>
                <w:rFonts w:ascii="Calibri" w:eastAsia="Times New Roman" w:hAnsi="Calibri" w:cs="Calibri"/>
                <w:b/>
                <w:bCs/>
                <w:color w:val="000000"/>
                <w:sz w:val="18"/>
                <w:szCs w:val="18"/>
                <w:u w:val="single"/>
                <w:lang w:eastAsia="en-AU"/>
              </w:rPr>
            </w:pPr>
            <w:r w:rsidRPr="0004108B">
              <w:rPr>
                <w:rFonts w:ascii="Calibri" w:eastAsia="Times New Roman" w:hAnsi="Calibri" w:cs="Calibri"/>
                <w:b/>
                <w:bCs/>
                <w:color w:val="000000"/>
                <w:sz w:val="18"/>
                <w:szCs w:val="18"/>
                <w:u w:val="single"/>
                <w:lang w:eastAsia="en-AU"/>
              </w:rPr>
              <w:t>1996</w:t>
            </w:r>
          </w:p>
        </w:tc>
        <w:tc>
          <w:tcPr>
            <w:tcW w:w="1440" w:type="dxa"/>
            <w:tcBorders>
              <w:top w:val="single" w:sz="8" w:space="0" w:color="000000"/>
              <w:left w:val="nil"/>
              <w:right w:val="nil"/>
            </w:tcBorders>
            <w:shd w:val="clear" w:color="auto" w:fill="auto"/>
            <w:vAlign w:val="center"/>
            <w:hideMark/>
          </w:tcPr>
          <w:p w14:paraId="5BD02D3B" w14:textId="77777777" w:rsidR="00411D6C" w:rsidRPr="0004108B" w:rsidRDefault="00411D6C" w:rsidP="00B8703B">
            <w:pPr>
              <w:spacing w:after="0" w:line="240" w:lineRule="auto"/>
              <w:ind w:firstLineChars="200" w:firstLine="320"/>
              <w:rPr>
                <w:rFonts w:ascii="Times New Roman" w:eastAsia="Times New Roman" w:hAnsi="Times New Roman" w:cs="Times New Roman"/>
                <w:color w:val="000000"/>
                <w:sz w:val="16"/>
                <w:szCs w:val="16"/>
                <w:lang w:eastAsia="en-AU"/>
              </w:rPr>
            </w:pPr>
            <w:r w:rsidRPr="0004108B">
              <w:rPr>
                <w:rFonts w:ascii="Times New Roman" w:eastAsia="Times New Roman" w:hAnsi="Times New Roman" w:cs="Times New Roman"/>
                <w:color w:val="000000"/>
                <w:sz w:val="16"/>
                <w:szCs w:val="16"/>
                <w:lang w:eastAsia="en-AU"/>
              </w:rPr>
              <w:t> </w:t>
            </w:r>
          </w:p>
        </w:tc>
        <w:tc>
          <w:tcPr>
            <w:tcW w:w="4105" w:type="dxa"/>
            <w:gridSpan w:val="4"/>
            <w:tcBorders>
              <w:top w:val="single" w:sz="8" w:space="0" w:color="000000"/>
              <w:left w:val="nil"/>
              <w:right w:val="nil"/>
            </w:tcBorders>
            <w:shd w:val="clear" w:color="auto" w:fill="auto"/>
            <w:vAlign w:val="center"/>
            <w:hideMark/>
          </w:tcPr>
          <w:p w14:paraId="5C642339" w14:textId="77777777" w:rsidR="00411D6C" w:rsidRPr="0004108B" w:rsidRDefault="00411D6C" w:rsidP="00B8703B">
            <w:pPr>
              <w:spacing w:after="0" w:line="240" w:lineRule="auto"/>
              <w:ind w:firstLineChars="100" w:firstLine="181"/>
              <w:rPr>
                <w:rFonts w:ascii="Calibri" w:eastAsia="Times New Roman" w:hAnsi="Calibri" w:cs="Calibri"/>
                <w:b/>
                <w:bCs/>
                <w:color w:val="000000"/>
                <w:sz w:val="18"/>
                <w:szCs w:val="18"/>
                <w:u w:val="single"/>
                <w:lang w:eastAsia="en-AU"/>
              </w:rPr>
            </w:pPr>
            <w:r w:rsidRPr="0004108B">
              <w:rPr>
                <w:rFonts w:ascii="Calibri" w:eastAsia="Times New Roman" w:hAnsi="Calibri" w:cs="Calibri"/>
                <w:b/>
                <w:bCs/>
                <w:color w:val="000000"/>
                <w:sz w:val="18"/>
                <w:szCs w:val="18"/>
                <w:u w:val="single"/>
                <w:lang w:eastAsia="en-AU"/>
              </w:rPr>
              <w:t>2020</w:t>
            </w:r>
          </w:p>
        </w:tc>
      </w:tr>
      <w:tr w:rsidR="00411D6C" w:rsidRPr="0004108B" w14:paraId="58C6BA97" w14:textId="77777777" w:rsidTr="00B8703B">
        <w:trPr>
          <w:trHeight w:val="858"/>
        </w:trPr>
        <w:tc>
          <w:tcPr>
            <w:tcW w:w="998" w:type="dxa"/>
            <w:tcBorders>
              <w:top w:val="nil"/>
              <w:left w:val="nil"/>
              <w:bottom w:val="single" w:sz="4" w:space="0" w:color="auto"/>
              <w:right w:val="nil"/>
            </w:tcBorders>
            <w:shd w:val="clear" w:color="auto" w:fill="auto"/>
            <w:vAlign w:val="center"/>
            <w:hideMark/>
          </w:tcPr>
          <w:p w14:paraId="35C8096D" w14:textId="77777777" w:rsidR="00411D6C" w:rsidRPr="0004108B" w:rsidRDefault="00411D6C" w:rsidP="00B8703B">
            <w:pPr>
              <w:spacing w:after="0" w:line="240" w:lineRule="auto"/>
              <w:jc w:val="center"/>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Rank</w:t>
            </w:r>
          </w:p>
        </w:tc>
        <w:tc>
          <w:tcPr>
            <w:tcW w:w="1352" w:type="dxa"/>
            <w:tcBorders>
              <w:top w:val="nil"/>
              <w:left w:val="nil"/>
              <w:bottom w:val="single" w:sz="4" w:space="0" w:color="auto"/>
              <w:right w:val="nil"/>
            </w:tcBorders>
            <w:shd w:val="clear" w:color="auto" w:fill="auto"/>
            <w:vAlign w:val="center"/>
            <w:hideMark/>
          </w:tcPr>
          <w:p w14:paraId="561E727D" w14:textId="77777777" w:rsidR="00411D6C" w:rsidRPr="0004108B" w:rsidRDefault="00411D6C" w:rsidP="00B8703B">
            <w:pPr>
              <w:spacing w:after="0" w:line="240" w:lineRule="auto"/>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Country of birth</w:t>
            </w:r>
          </w:p>
        </w:tc>
        <w:tc>
          <w:tcPr>
            <w:tcW w:w="1440" w:type="dxa"/>
            <w:tcBorders>
              <w:top w:val="nil"/>
              <w:left w:val="nil"/>
              <w:bottom w:val="single" w:sz="4" w:space="0" w:color="auto"/>
              <w:right w:val="nil"/>
            </w:tcBorders>
            <w:shd w:val="clear" w:color="auto" w:fill="auto"/>
            <w:vAlign w:val="center"/>
            <w:hideMark/>
          </w:tcPr>
          <w:p w14:paraId="691B01B8" w14:textId="77777777" w:rsidR="00411D6C" w:rsidRPr="0004108B" w:rsidRDefault="00411D6C" w:rsidP="00B8703B">
            <w:pPr>
              <w:spacing w:after="0" w:line="240" w:lineRule="auto"/>
              <w:rPr>
                <w:rFonts w:ascii="Calibri" w:eastAsia="Times New Roman" w:hAnsi="Calibri" w:cs="Calibri"/>
                <w:b/>
                <w:bCs/>
                <w:color w:val="000000"/>
                <w:sz w:val="18"/>
                <w:szCs w:val="18"/>
                <w:lang w:eastAsia="en-AU"/>
              </w:rPr>
            </w:pPr>
            <w:r>
              <w:rPr>
                <w:rFonts w:ascii="Calibri" w:eastAsia="Times New Roman" w:hAnsi="Calibri" w:cs="Calibri"/>
                <w:b/>
                <w:bCs/>
                <w:color w:val="000000"/>
                <w:sz w:val="18"/>
                <w:lang w:eastAsia="en-AU"/>
              </w:rPr>
              <w:t xml:space="preserve">Share </w:t>
            </w:r>
            <w:r w:rsidRPr="0004108B">
              <w:rPr>
                <w:rFonts w:ascii="Calibri" w:eastAsia="Times New Roman" w:hAnsi="Calibri" w:cs="Calibri"/>
                <w:b/>
                <w:bCs/>
                <w:color w:val="000000"/>
                <w:sz w:val="18"/>
                <w:lang w:eastAsia="en-AU"/>
              </w:rPr>
              <w:t>of</w:t>
            </w:r>
            <w:r>
              <w:rPr>
                <w:rFonts w:ascii="Calibri" w:eastAsia="Times New Roman" w:hAnsi="Calibri" w:cs="Calibri"/>
                <w:b/>
                <w:bCs/>
                <w:color w:val="000000"/>
                <w:sz w:val="18"/>
                <w:lang w:eastAsia="en-AU"/>
              </w:rPr>
              <w:t xml:space="preserve"> population</w:t>
            </w:r>
          </w:p>
        </w:tc>
        <w:tc>
          <w:tcPr>
            <w:tcW w:w="1686" w:type="dxa"/>
            <w:tcBorders>
              <w:top w:val="nil"/>
              <w:left w:val="nil"/>
              <w:bottom w:val="single" w:sz="4" w:space="0" w:color="auto"/>
              <w:right w:val="nil"/>
            </w:tcBorders>
            <w:shd w:val="clear" w:color="auto" w:fill="auto"/>
            <w:vAlign w:val="center"/>
            <w:hideMark/>
          </w:tcPr>
          <w:p w14:paraId="4C1DE7A7" w14:textId="77777777" w:rsidR="00411D6C" w:rsidRPr="0004108B" w:rsidRDefault="00411D6C" w:rsidP="00B8703B">
            <w:pPr>
              <w:spacing w:after="0" w:line="240" w:lineRule="auto"/>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Country of birth</w:t>
            </w:r>
          </w:p>
        </w:tc>
        <w:tc>
          <w:tcPr>
            <w:tcW w:w="1352" w:type="dxa"/>
            <w:gridSpan w:val="2"/>
            <w:tcBorders>
              <w:top w:val="nil"/>
              <w:left w:val="nil"/>
              <w:bottom w:val="single" w:sz="4" w:space="0" w:color="auto"/>
              <w:right w:val="nil"/>
            </w:tcBorders>
            <w:shd w:val="clear" w:color="auto" w:fill="auto"/>
            <w:vAlign w:val="center"/>
            <w:hideMark/>
          </w:tcPr>
          <w:p w14:paraId="324CDC84" w14:textId="77777777" w:rsidR="00411D6C" w:rsidRPr="0004108B" w:rsidRDefault="00411D6C" w:rsidP="00B8703B">
            <w:pPr>
              <w:spacing w:after="0" w:line="240" w:lineRule="auto"/>
              <w:ind w:firstLineChars="100" w:firstLine="181"/>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Share of</w:t>
            </w:r>
          </w:p>
          <w:p w14:paraId="49B48E8B" w14:textId="77777777" w:rsidR="00411D6C" w:rsidRPr="0004108B" w:rsidRDefault="00411D6C" w:rsidP="00B8703B">
            <w:pPr>
              <w:spacing w:after="0" w:line="240" w:lineRule="auto"/>
              <w:ind w:firstLineChars="100" w:firstLine="181"/>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population</w:t>
            </w:r>
          </w:p>
        </w:tc>
        <w:tc>
          <w:tcPr>
            <w:tcW w:w="1067" w:type="dxa"/>
            <w:tcBorders>
              <w:top w:val="nil"/>
              <w:left w:val="nil"/>
              <w:bottom w:val="single" w:sz="4" w:space="0" w:color="auto"/>
              <w:right w:val="nil"/>
            </w:tcBorders>
            <w:shd w:val="clear" w:color="auto" w:fill="auto"/>
            <w:vAlign w:val="center"/>
            <w:hideMark/>
          </w:tcPr>
          <w:p w14:paraId="2ECD3520" w14:textId="77777777" w:rsidR="00411D6C" w:rsidRPr="0004108B" w:rsidRDefault="00411D6C" w:rsidP="00B8703B">
            <w:pPr>
              <w:spacing w:after="0" w:line="240" w:lineRule="auto"/>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Median</w:t>
            </w:r>
          </w:p>
          <w:p w14:paraId="117BE32C" w14:textId="77777777" w:rsidR="00411D6C" w:rsidRPr="0004108B" w:rsidRDefault="00411D6C" w:rsidP="00B8703B">
            <w:pPr>
              <w:spacing w:after="0" w:line="240" w:lineRule="auto"/>
              <w:rPr>
                <w:rFonts w:ascii="Calibri" w:eastAsia="Times New Roman" w:hAnsi="Calibri" w:cs="Calibri"/>
                <w:b/>
                <w:bCs/>
                <w:color w:val="000000"/>
                <w:sz w:val="18"/>
                <w:szCs w:val="18"/>
                <w:lang w:eastAsia="en-AU"/>
              </w:rPr>
            </w:pPr>
            <w:r w:rsidRPr="0004108B">
              <w:rPr>
                <w:rFonts w:ascii="Calibri" w:eastAsia="Times New Roman" w:hAnsi="Calibri" w:cs="Calibri"/>
                <w:b/>
                <w:bCs/>
                <w:color w:val="000000"/>
                <w:sz w:val="18"/>
                <w:lang w:eastAsia="en-AU"/>
              </w:rPr>
              <w:t>age</w:t>
            </w:r>
          </w:p>
        </w:tc>
      </w:tr>
      <w:tr w:rsidR="00411D6C" w:rsidRPr="0004108B" w14:paraId="5324AE2E" w14:textId="77777777" w:rsidTr="00B8703B">
        <w:trPr>
          <w:trHeight w:val="324"/>
        </w:trPr>
        <w:tc>
          <w:tcPr>
            <w:tcW w:w="998" w:type="dxa"/>
            <w:tcBorders>
              <w:top w:val="single" w:sz="4" w:space="0" w:color="auto"/>
              <w:left w:val="nil"/>
              <w:bottom w:val="nil"/>
              <w:right w:val="nil"/>
            </w:tcBorders>
            <w:shd w:val="clear" w:color="auto" w:fill="auto"/>
            <w:vAlign w:val="center"/>
            <w:hideMark/>
          </w:tcPr>
          <w:p w14:paraId="5AF1281E"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1</w:t>
            </w:r>
          </w:p>
        </w:tc>
        <w:tc>
          <w:tcPr>
            <w:tcW w:w="1352" w:type="dxa"/>
            <w:tcBorders>
              <w:top w:val="single" w:sz="4" w:space="0" w:color="auto"/>
              <w:left w:val="nil"/>
              <w:bottom w:val="nil"/>
              <w:right w:val="nil"/>
            </w:tcBorders>
            <w:shd w:val="clear" w:color="auto" w:fill="auto"/>
            <w:vAlign w:val="center"/>
            <w:hideMark/>
          </w:tcPr>
          <w:p w14:paraId="709CEB00"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England</w:t>
            </w:r>
          </w:p>
        </w:tc>
        <w:tc>
          <w:tcPr>
            <w:tcW w:w="1440" w:type="dxa"/>
            <w:tcBorders>
              <w:top w:val="single" w:sz="4" w:space="0" w:color="auto"/>
              <w:left w:val="nil"/>
              <w:bottom w:val="nil"/>
              <w:right w:val="nil"/>
            </w:tcBorders>
            <w:shd w:val="clear" w:color="auto" w:fill="auto"/>
            <w:vAlign w:val="center"/>
            <w:hideMark/>
          </w:tcPr>
          <w:p w14:paraId="4EF0529D"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5.2</w:t>
            </w:r>
          </w:p>
        </w:tc>
        <w:tc>
          <w:tcPr>
            <w:tcW w:w="1884" w:type="dxa"/>
            <w:gridSpan w:val="2"/>
            <w:tcBorders>
              <w:top w:val="single" w:sz="4" w:space="0" w:color="auto"/>
              <w:left w:val="nil"/>
              <w:bottom w:val="nil"/>
              <w:right w:val="nil"/>
            </w:tcBorders>
            <w:shd w:val="clear" w:color="auto" w:fill="auto"/>
            <w:vAlign w:val="center"/>
            <w:hideMark/>
          </w:tcPr>
          <w:p w14:paraId="749E355C"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England</w:t>
            </w:r>
          </w:p>
        </w:tc>
        <w:tc>
          <w:tcPr>
            <w:tcW w:w="1154" w:type="dxa"/>
            <w:tcBorders>
              <w:top w:val="single" w:sz="4" w:space="0" w:color="auto"/>
              <w:left w:val="nil"/>
              <w:bottom w:val="nil"/>
              <w:right w:val="nil"/>
            </w:tcBorders>
            <w:shd w:val="clear" w:color="auto" w:fill="auto"/>
            <w:vAlign w:val="center"/>
            <w:hideMark/>
          </w:tcPr>
          <w:p w14:paraId="747212F0"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3.8</w:t>
            </w:r>
          </w:p>
        </w:tc>
        <w:tc>
          <w:tcPr>
            <w:tcW w:w="1067" w:type="dxa"/>
            <w:tcBorders>
              <w:top w:val="single" w:sz="4" w:space="0" w:color="auto"/>
              <w:left w:val="nil"/>
              <w:bottom w:val="nil"/>
              <w:right w:val="nil"/>
            </w:tcBorders>
            <w:shd w:val="clear" w:color="auto" w:fill="auto"/>
            <w:vAlign w:val="center"/>
            <w:hideMark/>
          </w:tcPr>
          <w:p w14:paraId="574D7F97"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57.7</w:t>
            </w:r>
          </w:p>
        </w:tc>
      </w:tr>
      <w:tr w:rsidR="00411D6C" w:rsidRPr="0004108B" w14:paraId="5513A617" w14:textId="77777777" w:rsidTr="00B8703B">
        <w:trPr>
          <w:trHeight w:val="324"/>
        </w:trPr>
        <w:tc>
          <w:tcPr>
            <w:tcW w:w="998" w:type="dxa"/>
            <w:tcBorders>
              <w:top w:val="nil"/>
              <w:left w:val="nil"/>
              <w:bottom w:val="nil"/>
              <w:right w:val="nil"/>
            </w:tcBorders>
            <w:shd w:val="clear" w:color="auto" w:fill="auto"/>
            <w:vAlign w:val="center"/>
            <w:hideMark/>
          </w:tcPr>
          <w:p w14:paraId="413AEAE2"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2</w:t>
            </w:r>
          </w:p>
        </w:tc>
        <w:tc>
          <w:tcPr>
            <w:tcW w:w="1352" w:type="dxa"/>
            <w:tcBorders>
              <w:top w:val="nil"/>
              <w:left w:val="nil"/>
              <w:bottom w:val="nil"/>
              <w:right w:val="nil"/>
            </w:tcBorders>
            <w:shd w:val="clear" w:color="auto" w:fill="auto"/>
            <w:vAlign w:val="center"/>
            <w:hideMark/>
          </w:tcPr>
          <w:p w14:paraId="0C51C795"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New Zealand</w:t>
            </w:r>
          </w:p>
        </w:tc>
        <w:tc>
          <w:tcPr>
            <w:tcW w:w="1440" w:type="dxa"/>
            <w:tcBorders>
              <w:top w:val="nil"/>
              <w:left w:val="nil"/>
              <w:bottom w:val="nil"/>
              <w:right w:val="nil"/>
            </w:tcBorders>
            <w:shd w:val="clear" w:color="auto" w:fill="auto"/>
            <w:vAlign w:val="center"/>
            <w:hideMark/>
          </w:tcPr>
          <w:p w14:paraId="38624CB0"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1.7</w:t>
            </w:r>
          </w:p>
        </w:tc>
        <w:tc>
          <w:tcPr>
            <w:tcW w:w="1686" w:type="dxa"/>
            <w:tcBorders>
              <w:top w:val="nil"/>
              <w:left w:val="nil"/>
              <w:bottom w:val="nil"/>
              <w:right w:val="nil"/>
            </w:tcBorders>
            <w:shd w:val="clear" w:color="auto" w:fill="auto"/>
            <w:vAlign w:val="center"/>
            <w:hideMark/>
          </w:tcPr>
          <w:p w14:paraId="2E24C033"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India</w:t>
            </w:r>
          </w:p>
        </w:tc>
        <w:tc>
          <w:tcPr>
            <w:tcW w:w="1352" w:type="dxa"/>
            <w:gridSpan w:val="2"/>
            <w:tcBorders>
              <w:top w:val="nil"/>
              <w:left w:val="nil"/>
              <w:bottom w:val="nil"/>
              <w:right w:val="nil"/>
            </w:tcBorders>
            <w:shd w:val="clear" w:color="auto" w:fill="auto"/>
            <w:vAlign w:val="center"/>
            <w:hideMark/>
          </w:tcPr>
          <w:p w14:paraId="52EE2A36"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2.8</w:t>
            </w:r>
          </w:p>
        </w:tc>
        <w:tc>
          <w:tcPr>
            <w:tcW w:w="1067" w:type="dxa"/>
            <w:tcBorders>
              <w:top w:val="nil"/>
              <w:left w:val="nil"/>
              <w:bottom w:val="nil"/>
              <w:right w:val="nil"/>
            </w:tcBorders>
            <w:shd w:val="clear" w:color="auto" w:fill="auto"/>
            <w:vAlign w:val="center"/>
            <w:hideMark/>
          </w:tcPr>
          <w:p w14:paraId="15D6309D"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34.7</w:t>
            </w:r>
          </w:p>
        </w:tc>
      </w:tr>
      <w:tr w:rsidR="00411D6C" w:rsidRPr="0004108B" w14:paraId="63506B6D" w14:textId="77777777" w:rsidTr="00B8703B">
        <w:trPr>
          <w:trHeight w:val="324"/>
        </w:trPr>
        <w:tc>
          <w:tcPr>
            <w:tcW w:w="998" w:type="dxa"/>
            <w:tcBorders>
              <w:top w:val="nil"/>
              <w:left w:val="nil"/>
              <w:bottom w:val="nil"/>
              <w:right w:val="nil"/>
            </w:tcBorders>
            <w:shd w:val="clear" w:color="auto" w:fill="auto"/>
            <w:vAlign w:val="center"/>
            <w:hideMark/>
          </w:tcPr>
          <w:p w14:paraId="6DD79CE4"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3</w:t>
            </w:r>
          </w:p>
        </w:tc>
        <w:tc>
          <w:tcPr>
            <w:tcW w:w="1352" w:type="dxa"/>
            <w:tcBorders>
              <w:top w:val="nil"/>
              <w:left w:val="nil"/>
              <w:bottom w:val="nil"/>
              <w:right w:val="nil"/>
            </w:tcBorders>
            <w:shd w:val="clear" w:color="auto" w:fill="auto"/>
            <w:vAlign w:val="center"/>
            <w:hideMark/>
          </w:tcPr>
          <w:p w14:paraId="03AABD2F"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Italy</w:t>
            </w:r>
          </w:p>
        </w:tc>
        <w:tc>
          <w:tcPr>
            <w:tcW w:w="1440" w:type="dxa"/>
            <w:tcBorders>
              <w:top w:val="nil"/>
              <w:left w:val="nil"/>
              <w:bottom w:val="nil"/>
              <w:right w:val="nil"/>
            </w:tcBorders>
            <w:shd w:val="clear" w:color="auto" w:fill="auto"/>
            <w:vAlign w:val="center"/>
            <w:hideMark/>
          </w:tcPr>
          <w:p w14:paraId="48286C58"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1.4</w:t>
            </w:r>
          </w:p>
        </w:tc>
        <w:tc>
          <w:tcPr>
            <w:tcW w:w="1686" w:type="dxa"/>
            <w:tcBorders>
              <w:top w:val="nil"/>
              <w:left w:val="nil"/>
              <w:bottom w:val="nil"/>
              <w:right w:val="nil"/>
            </w:tcBorders>
            <w:shd w:val="clear" w:color="auto" w:fill="auto"/>
            <w:vAlign w:val="center"/>
            <w:hideMark/>
          </w:tcPr>
          <w:p w14:paraId="51D1559E"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China</w:t>
            </w:r>
          </w:p>
        </w:tc>
        <w:tc>
          <w:tcPr>
            <w:tcW w:w="1352" w:type="dxa"/>
            <w:gridSpan w:val="2"/>
            <w:tcBorders>
              <w:top w:val="nil"/>
              <w:left w:val="nil"/>
              <w:bottom w:val="nil"/>
              <w:right w:val="nil"/>
            </w:tcBorders>
            <w:shd w:val="clear" w:color="auto" w:fill="auto"/>
            <w:vAlign w:val="center"/>
            <w:hideMark/>
          </w:tcPr>
          <w:p w14:paraId="66CE6C95"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2.5</w:t>
            </w:r>
          </w:p>
        </w:tc>
        <w:tc>
          <w:tcPr>
            <w:tcW w:w="1067" w:type="dxa"/>
            <w:tcBorders>
              <w:top w:val="nil"/>
              <w:left w:val="nil"/>
              <w:bottom w:val="nil"/>
              <w:right w:val="nil"/>
            </w:tcBorders>
            <w:shd w:val="clear" w:color="auto" w:fill="auto"/>
            <w:vAlign w:val="center"/>
            <w:hideMark/>
          </w:tcPr>
          <w:p w14:paraId="18287655"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37.6</w:t>
            </w:r>
          </w:p>
        </w:tc>
      </w:tr>
      <w:tr w:rsidR="00411D6C" w:rsidRPr="0004108B" w14:paraId="4BF6C609" w14:textId="77777777" w:rsidTr="00B8703B">
        <w:trPr>
          <w:trHeight w:val="324"/>
        </w:trPr>
        <w:tc>
          <w:tcPr>
            <w:tcW w:w="998" w:type="dxa"/>
            <w:tcBorders>
              <w:top w:val="nil"/>
              <w:left w:val="nil"/>
              <w:bottom w:val="nil"/>
              <w:right w:val="nil"/>
            </w:tcBorders>
            <w:shd w:val="clear" w:color="auto" w:fill="auto"/>
            <w:vAlign w:val="center"/>
            <w:hideMark/>
          </w:tcPr>
          <w:p w14:paraId="1F36188E"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4</w:t>
            </w:r>
          </w:p>
        </w:tc>
        <w:tc>
          <w:tcPr>
            <w:tcW w:w="1352" w:type="dxa"/>
            <w:tcBorders>
              <w:top w:val="nil"/>
              <w:left w:val="nil"/>
              <w:bottom w:val="nil"/>
              <w:right w:val="nil"/>
            </w:tcBorders>
            <w:shd w:val="clear" w:color="auto" w:fill="auto"/>
            <w:vAlign w:val="center"/>
            <w:hideMark/>
          </w:tcPr>
          <w:p w14:paraId="7958BEE6"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Vietnam</w:t>
            </w:r>
          </w:p>
        </w:tc>
        <w:tc>
          <w:tcPr>
            <w:tcW w:w="1440" w:type="dxa"/>
            <w:tcBorders>
              <w:top w:val="nil"/>
              <w:left w:val="nil"/>
              <w:bottom w:val="nil"/>
              <w:right w:val="nil"/>
            </w:tcBorders>
            <w:shd w:val="clear" w:color="auto" w:fill="auto"/>
            <w:vAlign w:val="center"/>
            <w:hideMark/>
          </w:tcPr>
          <w:p w14:paraId="5CA06A0D"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0.9</w:t>
            </w:r>
          </w:p>
        </w:tc>
        <w:tc>
          <w:tcPr>
            <w:tcW w:w="1686" w:type="dxa"/>
            <w:tcBorders>
              <w:top w:val="nil"/>
              <w:left w:val="nil"/>
              <w:bottom w:val="nil"/>
              <w:right w:val="nil"/>
            </w:tcBorders>
            <w:shd w:val="clear" w:color="auto" w:fill="auto"/>
            <w:vAlign w:val="center"/>
            <w:hideMark/>
          </w:tcPr>
          <w:p w14:paraId="11114F2A"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New Zealand</w:t>
            </w:r>
          </w:p>
        </w:tc>
        <w:tc>
          <w:tcPr>
            <w:tcW w:w="1352" w:type="dxa"/>
            <w:gridSpan w:val="2"/>
            <w:tcBorders>
              <w:top w:val="nil"/>
              <w:left w:val="nil"/>
              <w:bottom w:val="nil"/>
              <w:right w:val="nil"/>
            </w:tcBorders>
            <w:shd w:val="clear" w:color="auto" w:fill="auto"/>
            <w:vAlign w:val="center"/>
            <w:hideMark/>
          </w:tcPr>
          <w:p w14:paraId="6016BAF3"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2.2</w:t>
            </w:r>
          </w:p>
        </w:tc>
        <w:tc>
          <w:tcPr>
            <w:tcW w:w="1067" w:type="dxa"/>
            <w:tcBorders>
              <w:top w:val="nil"/>
              <w:left w:val="nil"/>
              <w:bottom w:val="nil"/>
              <w:right w:val="nil"/>
            </w:tcBorders>
            <w:shd w:val="clear" w:color="auto" w:fill="auto"/>
            <w:vAlign w:val="center"/>
            <w:hideMark/>
          </w:tcPr>
          <w:p w14:paraId="630EDB0F"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44.3</w:t>
            </w:r>
          </w:p>
        </w:tc>
      </w:tr>
      <w:tr w:rsidR="00411D6C" w:rsidRPr="0004108B" w14:paraId="1969FBF3" w14:textId="77777777" w:rsidTr="00B8703B">
        <w:trPr>
          <w:trHeight w:val="324"/>
        </w:trPr>
        <w:tc>
          <w:tcPr>
            <w:tcW w:w="998" w:type="dxa"/>
            <w:tcBorders>
              <w:top w:val="nil"/>
              <w:left w:val="nil"/>
              <w:bottom w:val="nil"/>
              <w:right w:val="nil"/>
            </w:tcBorders>
            <w:shd w:val="clear" w:color="auto" w:fill="auto"/>
            <w:vAlign w:val="center"/>
            <w:hideMark/>
          </w:tcPr>
          <w:p w14:paraId="55181D36"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5</w:t>
            </w:r>
          </w:p>
        </w:tc>
        <w:tc>
          <w:tcPr>
            <w:tcW w:w="1352" w:type="dxa"/>
            <w:tcBorders>
              <w:top w:val="nil"/>
              <w:left w:val="nil"/>
              <w:bottom w:val="nil"/>
              <w:right w:val="nil"/>
            </w:tcBorders>
            <w:shd w:val="clear" w:color="auto" w:fill="auto"/>
            <w:vAlign w:val="center"/>
            <w:hideMark/>
          </w:tcPr>
          <w:p w14:paraId="19258792"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Scotland</w:t>
            </w:r>
          </w:p>
        </w:tc>
        <w:tc>
          <w:tcPr>
            <w:tcW w:w="1440" w:type="dxa"/>
            <w:tcBorders>
              <w:top w:val="nil"/>
              <w:left w:val="nil"/>
              <w:bottom w:val="nil"/>
              <w:right w:val="nil"/>
            </w:tcBorders>
            <w:shd w:val="clear" w:color="auto" w:fill="auto"/>
            <w:vAlign w:val="center"/>
            <w:hideMark/>
          </w:tcPr>
          <w:p w14:paraId="4FCEB58B"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0.8</w:t>
            </w:r>
          </w:p>
        </w:tc>
        <w:tc>
          <w:tcPr>
            <w:tcW w:w="1686" w:type="dxa"/>
            <w:tcBorders>
              <w:top w:val="nil"/>
              <w:left w:val="nil"/>
              <w:bottom w:val="nil"/>
              <w:right w:val="nil"/>
            </w:tcBorders>
            <w:shd w:val="clear" w:color="auto" w:fill="auto"/>
            <w:vAlign w:val="center"/>
            <w:hideMark/>
          </w:tcPr>
          <w:p w14:paraId="4817769A"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Philippines</w:t>
            </w:r>
          </w:p>
        </w:tc>
        <w:tc>
          <w:tcPr>
            <w:tcW w:w="1352" w:type="dxa"/>
            <w:gridSpan w:val="2"/>
            <w:tcBorders>
              <w:top w:val="nil"/>
              <w:left w:val="nil"/>
              <w:bottom w:val="nil"/>
              <w:right w:val="nil"/>
            </w:tcBorders>
            <w:shd w:val="clear" w:color="auto" w:fill="auto"/>
            <w:vAlign w:val="center"/>
            <w:hideMark/>
          </w:tcPr>
          <w:p w14:paraId="472DDB5F"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1.2</w:t>
            </w:r>
          </w:p>
        </w:tc>
        <w:tc>
          <w:tcPr>
            <w:tcW w:w="1067" w:type="dxa"/>
            <w:tcBorders>
              <w:top w:val="nil"/>
              <w:left w:val="nil"/>
              <w:bottom w:val="nil"/>
              <w:right w:val="nil"/>
            </w:tcBorders>
            <w:shd w:val="clear" w:color="auto" w:fill="auto"/>
            <w:vAlign w:val="center"/>
            <w:hideMark/>
          </w:tcPr>
          <w:p w14:paraId="454594CB"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40.0</w:t>
            </w:r>
          </w:p>
        </w:tc>
      </w:tr>
      <w:tr w:rsidR="00411D6C" w:rsidRPr="0004108B" w14:paraId="1C7350B5" w14:textId="77777777" w:rsidTr="00B8703B">
        <w:trPr>
          <w:trHeight w:val="324"/>
        </w:trPr>
        <w:tc>
          <w:tcPr>
            <w:tcW w:w="998" w:type="dxa"/>
            <w:tcBorders>
              <w:top w:val="nil"/>
              <w:left w:val="nil"/>
              <w:bottom w:val="nil"/>
              <w:right w:val="nil"/>
            </w:tcBorders>
            <w:shd w:val="clear" w:color="auto" w:fill="auto"/>
            <w:vAlign w:val="center"/>
            <w:hideMark/>
          </w:tcPr>
          <w:p w14:paraId="11F368B4"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6</w:t>
            </w:r>
          </w:p>
        </w:tc>
        <w:tc>
          <w:tcPr>
            <w:tcW w:w="1352" w:type="dxa"/>
            <w:tcBorders>
              <w:top w:val="nil"/>
              <w:left w:val="nil"/>
              <w:bottom w:val="nil"/>
              <w:right w:val="nil"/>
            </w:tcBorders>
            <w:shd w:val="clear" w:color="auto" w:fill="auto"/>
            <w:vAlign w:val="center"/>
            <w:hideMark/>
          </w:tcPr>
          <w:p w14:paraId="4204898C"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Greece</w:t>
            </w:r>
          </w:p>
        </w:tc>
        <w:tc>
          <w:tcPr>
            <w:tcW w:w="1440" w:type="dxa"/>
            <w:tcBorders>
              <w:top w:val="nil"/>
              <w:left w:val="nil"/>
              <w:bottom w:val="nil"/>
              <w:right w:val="nil"/>
            </w:tcBorders>
            <w:shd w:val="clear" w:color="auto" w:fill="auto"/>
            <w:vAlign w:val="center"/>
            <w:hideMark/>
          </w:tcPr>
          <w:p w14:paraId="431D96A0"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0.8</w:t>
            </w:r>
          </w:p>
        </w:tc>
        <w:tc>
          <w:tcPr>
            <w:tcW w:w="1686" w:type="dxa"/>
            <w:tcBorders>
              <w:top w:val="nil"/>
              <w:left w:val="nil"/>
              <w:bottom w:val="nil"/>
              <w:right w:val="nil"/>
            </w:tcBorders>
            <w:shd w:val="clear" w:color="auto" w:fill="auto"/>
            <w:vAlign w:val="center"/>
            <w:hideMark/>
          </w:tcPr>
          <w:p w14:paraId="61285F00"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Vietnam</w:t>
            </w:r>
          </w:p>
        </w:tc>
        <w:tc>
          <w:tcPr>
            <w:tcW w:w="1352" w:type="dxa"/>
            <w:gridSpan w:val="2"/>
            <w:tcBorders>
              <w:top w:val="nil"/>
              <w:left w:val="nil"/>
              <w:bottom w:val="nil"/>
              <w:right w:val="nil"/>
            </w:tcBorders>
            <w:shd w:val="clear" w:color="auto" w:fill="auto"/>
            <w:vAlign w:val="center"/>
            <w:hideMark/>
          </w:tcPr>
          <w:p w14:paraId="64D16BE6"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1.1</w:t>
            </w:r>
          </w:p>
        </w:tc>
        <w:tc>
          <w:tcPr>
            <w:tcW w:w="1067" w:type="dxa"/>
            <w:tcBorders>
              <w:top w:val="nil"/>
              <w:left w:val="nil"/>
              <w:bottom w:val="nil"/>
              <w:right w:val="nil"/>
            </w:tcBorders>
            <w:shd w:val="clear" w:color="auto" w:fill="auto"/>
            <w:vAlign w:val="center"/>
            <w:hideMark/>
          </w:tcPr>
          <w:p w14:paraId="51253BC8"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47.3</w:t>
            </w:r>
          </w:p>
        </w:tc>
      </w:tr>
      <w:tr w:rsidR="00411D6C" w:rsidRPr="0004108B" w14:paraId="3915B0FF" w14:textId="77777777" w:rsidTr="00B8703B">
        <w:trPr>
          <w:trHeight w:val="324"/>
        </w:trPr>
        <w:tc>
          <w:tcPr>
            <w:tcW w:w="998" w:type="dxa"/>
            <w:tcBorders>
              <w:top w:val="nil"/>
              <w:left w:val="nil"/>
              <w:bottom w:val="nil"/>
              <w:right w:val="nil"/>
            </w:tcBorders>
            <w:shd w:val="clear" w:color="auto" w:fill="auto"/>
            <w:vAlign w:val="center"/>
            <w:hideMark/>
          </w:tcPr>
          <w:p w14:paraId="0EEBFC8F"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7</w:t>
            </w:r>
          </w:p>
        </w:tc>
        <w:tc>
          <w:tcPr>
            <w:tcW w:w="1352" w:type="dxa"/>
            <w:tcBorders>
              <w:top w:val="nil"/>
              <w:left w:val="nil"/>
              <w:bottom w:val="nil"/>
              <w:right w:val="nil"/>
            </w:tcBorders>
            <w:shd w:val="clear" w:color="auto" w:fill="auto"/>
            <w:vAlign w:val="center"/>
            <w:hideMark/>
          </w:tcPr>
          <w:p w14:paraId="0E44B466"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Germany</w:t>
            </w:r>
          </w:p>
        </w:tc>
        <w:tc>
          <w:tcPr>
            <w:tcW w:w="1440" w:type="dxa"/>
            <w:tcBorders>
              <w:top w:val="nil"/>
              <w:left w:val="nil"/>
              <w:bottom w:val="nil"/>
              <w:right w:val="nil"/>
            </w:tcBorders>
            <w:shd w:val="clear" w:color="auto" w:fill="auto"/>
            <w:vAlign w:val="center"/>
            <w:hideMark/>
          </w:tcPr>
          <w:p w14:paraId="7CC9543D"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0.7</w:t>
            </w:r>
          </w:p>
        </w:tc>
        <w:tc>
          <w:tcPr>
            <w:tcW w:w="1686" w:type="dxa"/>
            <w:tcBorders>
              <w:top w:val="nil"/>
              <w:left w:val="nil"/>
              <w:bottom w:val="nil"/>
              <w:right w:val="nil"/>
            </w:tcBorders>
            <w:shd w:val="clear" w:color="auto" w:fill="auto"/>
            <w:vAlign w:val="center"/>
            <w:hideMark/>
          </w:tcPr>
          <w:p w14:paraId="52B1A849"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South Africa</w:t>
            </w:r>
          </w:p>
        </w:tc>
        <w:tc>
          <w:tcPr>
            <w:tcW w:w="1352" w:type="dxa"/>
            <w:gridSpan w:val="2"/>
            <w:tcBorders>
              <w:top w:val="nil"/>
              <w:left w:val="nil"/>
              <w:bottom w:val="nil"/>
              <w:right w:val="nil"/>
            </w:tcBorders>
            <w:shd w:val="clear" w:color="auto" w:fill="auto"/>
            <w:vAlign w:val="center"/>
            <w:hideMark/>
          </w:tcPr>
          <w:p w14:paraId="0491E9BD"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0.8</w:t>
            </w:r>
          </w:p>
        </w:tc>
        <w:tc>
          <w:tcPr>
            <w:tcW w:w="1067" w:type="dxa"/>
            <w:tcBorders>
              <w:top w:val="nil"/>
              <w:left w:val="nil"/>
              <w:bottom w:val="nil"/>
              <w:right w:val="nil"/>
            </w:tcBorders>
            <w:shd w:val="clear" w:color="auto" w:fill="auto"/>
            <w:vAlign w:val="center"/>
            <w:hideMark/>
          </w:tcPr>
          <w:p w14:paraId="6CC0BCBE"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44.3</w:t>
            </w:r>
          </w:p>
        </w:tc>
      </w:tr>
      <w:tr w:rsidR="00411D6C" w:rsidRPr="0004108B" w14:paraId="7822A014" w14:textId="77777777" w:rsidTr="00B8703B">
        <w:trPr>
          <w:trHeight w:val="324"/>
        </w:trPr>
        <w:tc>
          <w:tcPr>
            <w:tcW w:w="998" w:type="dxa"/>
            <w:tcBorders>
              <w:top w:val="nil"/>
              <w:left w:val="nil"/>
              <w:bottom w:val="nil"/>
              <w:right w:val="nil"/>
            </w:tcBorders>
            <w:shd w:val="clear" w:color="auto" w:fill="auto"/>
            <w:vAlign w:val="center"/>
            <w:hideMark/>
          </w:tcPr>
          <w:p w14:paraId="1033F6BD"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8</w:t>
            </w:r>
          </w:p>
        </w:tc>
        <w:tc>
          <w:tcPr>
            <w:tcW w:w="1352" w:type="dxa"/>
            <w:tcBorders>
              <w:top w:val="nil"/>
              <w:left w:val="nil"/>
              <w:bottom w:val="nil"/>
              <w:right w:val="nil"/>
            </w:tcBorders>
            <w:shd w:val="clear" w:color="auto" w:fill="auto"/>
            <w:vAlign w:val="center"/>
            <w:hideMark/>
          </w:tcPr>
          <w:p w14:paraId="348D6ACE"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China</w:t>
            </w:r>
          </w:p>
        </w:tc>
        <w:tc>
          <w:tcPr>
            <w:tcW w:w="1440" w:type="dxa"/>
            <w:tcBorders>
              <w:top w:val="nil"/>
              <w:left w:val="nil"/>
              <w:bottom w:val="nil"/>
              <w:right w:val="nil"/>
            </w:tcBorders>
            <w:shd w:val="clear" w:color="auto" w:fill="auto"/>
            <w:vAlign w:val="center"/>
            <w:hideMark/>
          </w:tcPr>
          <w:p w14:paraId="304738E1"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0.7</w:t>
            </w:r>
          </w:p>
        </w:tc>
        <w:tc>
          <w:tcPr>
            <w:tcW w:w="1686" w:type="dxa"/>
            <w:tcBorders>
              <w:top w:val="nil"/>
              <w:left w:val="nil"/>
              <w:bottom w:val="nil"/>
              <w:right w:val="nil"/>
            </w:tcBorders>
            <w:shd w:val="clear" w:color="auto" w:fill="auto"/>
            <w:vAlign w:val="center"/>
            <w:hideMark/>
          </w:tcPr>
          <w:p w14:paraId="375DD3A0"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Italy</w:t>
            </w:r>
          </w:p>
        </w:tc>
        <w:tc>
          <w:tcPr>
            <w:tcW w:w="1352" w:type="dxa"/>
            <w:gridSpan w:val="2"/>
            <w:tcBorders>
              <w:top w:val="nil"/>
              <w:left w:val="nil"/>
              <w:bottom w:val="nil"/>
              <w:right w:val="nil"/>
            </w:tcBorders>
            <w:shd w:val="clear" w:color="auto" w:fill="auto"/>
            <w:vAlign w:val="center"/>
            <w:hideMark/>
          </w:tcPr>
          <w:p w14:paraId="258C6A55"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0.7</w:t>
            </w:r>
          </w:p>
        </w:tc>
        <w:tc>
          <w:tcPr>
            <w:tcW w:w="1067" w:type="dxa"/>
            <w:tcBorders>
              <w:top w:val="nil"/>
              <w:left w:val="nil"/>
              <w:bottom w:val="nil"/>
              <w:right w:val="nil"/>
            </w:tcBorders>
            <w:shd w:val="clear" w:color="auto" w:fill="auto"/>
            <w:vAlign w:val="center"/>
            <w:hideMark/>
          </w:tcPr>
          <w:p w14:paraId="16D8041E"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72.3</w:t>
            </w:r>
          </w:p>
        </w:tc>
      </w:tr>
      <w:tr w:rsidR="00411D6C" w:rsidRPr="0004108B" w14:paraId="65C73B8D" w14:textId="77777777" w:rsidTr="00B8703B">
        <w:trPr>
          <w:trHeight w:val="324"/>
        </w:trPr>
        <w:tc>
          <w:tcPr>
            <w:tcW w:w="998" w:type="dxa"/>
            <w:tcBorders>
              <w:top w:val="nil"/>
              <w:left w:val="nil"/>
              <w:bottom w:val="nil"/>
              <w:right w:val="nil"/>
            </w:tcBorders>
            <w:shd w:val="clear" w:color="auto" w:fill="auto"/>
            <w:vAlign w:val="center"/>
            <w:hideMark/>
          </w:tcPr>
          <w:p w14:paraId="63640D69"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9</w:t>
            </w:r>
          </w:p>
        </w:tc>
        <w:tc>
          <w:tcPr>
            <w:tcW w:w="1352" w:type="dxa"/>
            <w:tcBorders>
              <w:top w:val="nil"/>
              <w:left w:val="nil"/>
              <w:bottom w:val="nil"/>
              <w:right w:val="nil"/>
            </w:tcBorders>
            <w:shd w:val="clear" w:color="auto" w:fill="auto"/>
            <w:vAlign w:val="center"/>
            <w:hideMark/>
          </w:tcPr>
          <w:p w14:paraId="10634F96"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Philippines</w:t>
            </w:r>
          </w:p>
        </w:tc>
        <w:tc>
          <w:tcPr>
            <w:tcW w:w="1440" w:type="dxa"/>
            <w:tcBorders>
              <w:top w:val="nil"/>
              <w:left w:val="nil"/>
              <w:bottom w:val="nil"/>
              <w:right w:val="nil"/>
            </w:tcBorders>
            <w:shd w:val="clear" w:color="auto" w:fill="auto"/>
            <w:vAlign w:val="center"/>
            <w:hideMark/>
          </w:tcPr>
          <w:p w14:paraId="4CF0EA2F"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0.6</w:t>
            </w:r>
          </w:p>
        </w:tc>
        <w:tc>
          <w:tcPr>
            <w:tcW w:w="1686" w:type="dxa"/>
            <w:tcBorders>
              <w:top w:val="nil"/>
              <w:left w:val="nil"/>
              <w:bottom w:val="nil"/>
              <w:right w:val="nil"/>
            </w:tcBorders>
            <w:shd w:val="clear" w:color="auto" w:fill="auto"/>
            <w:vAlign w:val="center"/>
            <w:hideMark/>
          </w:tcPr>
          <w:p w14:paraId="5154EBDC"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Malaysia</w:t>
            </w:r>
          </w:p>
        </w:tc>
        <w:tc>
          <w:tcPr>
            <w:tcW w:w="1352" w:type="dxa"/>
            <w:gridSpan w:val="2"/>
            <w:tcBorders>
              <w:top w:val="nil"/>
              <w:left w:val="nil"/>
              <w:bottom w:val="nil"/>
              <w:right w:val="nil"/>
            </w:tcBorders>
            <w:shd w:val="clear" w:color="auto" w:fill="auto"/>
            <w:vAlign w:val="center"/>
            <w:hideMark/>
          </w:tcPr>
          <w:p w14:paraId="41E92825"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0.7</w:t>
            </w:r>
          </w:p>
        </w:tc>
        <w:tc>
          <w:tcPr>
            <w:tcW w:w="1067" w:type="dxa"/>
            <w:tcBorders>
              <w:top w:val="nil"/>
              <w:left w:val="nil"/>
              <w:bottom w:val="nil"/>
              <w:right w:val="nil"/>
            </w:tcBorders>
            <w:shd w:val="clear" w:color="auto" w:fill="auto"/>
            <w:vAlign w:val="center"/>
            <w:hideMark/>
          </w:tcPr>
          <w:p w14:paraId="28B5E963"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40.8</w:t>
            </w:r>
          </w:p>
        </w:tc>
      </w:tr>
      <w:tr w:rsidR="00411D6C" w:rsidRPr="0004108B" w14:paraId="4BD32839" w14:textId="77777777" w:rsidTr="00B8703B">
        <w:trPr>
          <w:trHeight w:val="324"/>
        </w:trPr>
        <w:tc>
          <w:tcPr>
            <w:tcW w:w="998" w:type="dxa"/>
            <w:tcBorders>
              <w:top w:val="nil"/>
              <w:left w:val="nil"/>
              <w:bottom w:val="nil"/>
              <w:right w:val="nil"/>
            </w:tcBorders>
            <w:shd w:val="clear" w:color="auto" w:fill="auto"/>
            <w:vAlign w:val="center"/>
            <w:hideMark/>
          </w:tcPr>
          <w:p w14:paraId="27448018" w14:textId="77777777" w:rsidR="00411D6C" w:rsidRPr="0004108B" w:rsidRDefault="00411D6C" w:rsidP="00B8703B">
            <w:pPr>
              <w:spacing w:after="0" w:line="240" w:lineRule="auto"/>
              <w:jc w:val="center"/>
              <w:rPr>
                <w:rFonts w:ascii="Calibri" w:eastAsia="Times New Roman" w:hAnsi="Calibri" w:cs="Calibri"/>
                <w:color w:val="000000"/>
                <w:sz w:val="18"/>
                <w:szCs w:val="18"/>
                <w:lang w:eastAsia="en-AU"/>
              </w:rPr>
            </w:pPr>
            <w:r w:rsidRPr="0004108B">
              <w:rPr>
                <w:rFonts w:ascii="Calibri" w:eastAsia="Times New Roman" w:hAnsi="Calibri" w:cs="Calibri"/>
                <w:color w:val="000000"/>
                <w:sz w:val="18"/>
                <w:lang w:eastAsia="en-AU"/>
              </w:rPr>
              <w:t>10</w:t>
            </w:r>
          </w:p>
        </w:tc>
        <w:tc>
          <w:tcPr>
            <w:tcW w:w="1352" w:type="dxa"/>
            <w:tcBorders>
              <w:top w:val="nil"/>
              <w:left w:val="nil"/>
              <w:bottom w:val="nil"/>
              <w:right w:val="nil"/>
            </w:tcBorders>
            <w:shd w:val="clear" w:color="auto" w:fill="auto"/>
            <w:vAlign w:val="center"/>
            <w:hideMark/>
          </w:tcPr>
          <w:p w14:paraId="09F2D377" w14:textId="77777777" w:rsidR="00411D6C" w:rsidRPr="0004108B" w:rsidRDefault="00411D6C" w:rsidP="00B8703B">
            <w:pPr>
              <w:spacing w:after="0" w:line="240" w:lineRule="auto"/>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Netherlands</w:t>
            </w:r>
          </w:p>
        </w:tc>
        <w:tc>
          <w:tcPr>
            <w:tcW w:w="1440" w:type="dxa"/>
            <w:tcBorders>
              <w:top w:val="nil"/>
              <w:left w:val="nil"/>
              <w:bottom w:val="nil"/>
              <w:right w:val="nil"/>
            </w:tcBorders>
            <w:shd w:val="clear" w:color="auto" w:fill="auto"/>
            <w:vAlign w:val="center"/>
            <w:hideMark/>
          </w:tcPr>
          <w:p w14:paraId="43A73F4B"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0.5</w:t>
            </w:r>
          </w:p>
        </w:tc>
        <w:tc>
          <w:tcPr>
            <w:tcW w:w="1686" w:type="dxa"/>
            <w:tcBorders>
              <w:top w:val="nil"/>
              <w:left w:val="nil"/>
              <w:bottom w:val="nil"/>
              <w:right w:val="nil"/>
            </w:tcBorders>
            <w:shd w:val="clear" w:color="auto" w:fill="auto"/>
            <w:vAlign w:val="center"/>
            <w:hideMark/>
          </w:tcPr>
          <w:p w14:paraId="0233E988" w14:textId="77777777" w:rsidR="00411D6C" w:rsidRPr="0004108B" w:rsidRDefault="00411D6C" w:rsidP="00B8703B">
            <w:pPr>
              <w:spacing w:after="0" w:line="240" w:lineRule="auto"/>
              <w:ind w:firstLineChars="200" w:firstLine="360"/>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Sri Lanka</w:t>
            </w:r>
          </w:p>
        </w:tc>
        <w:tc>
          <w:tcPr>
            <w:tcW w:w="1352" w:type="dxa"/>
            <w:gridSpan w:val="2"/>
            <w:tcBorders>
              <w:top w:val="nil"/>
              <w:left w:val="nil"/>
              <w:bottom w:val="nil"/>
              <w:right w:val="nil"/>
            </w:tcBorders>
            <w:shd w:val="clear" w:color="auto" w:fill="auto"/>
            <w:vAlign w:val="center"/>
            <w:hideMark/>
          </w:tcPr>
          <w:p w14:paraId="1C92AC3F"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0.6</w:t>
            </w:r>
          </w:p>
        </w:tc>
        <w:tc>
          <w:tcPr>
            <w:tcW w:w="1067" w:type="dxa"/>
            <w:tcBorders>
              <w:top w:val="nil"/>
              <w:left w:val="nil"/>
              <w:bottom w:val="nil"/>
              <w:right w:val="nil"/>
            </w:tcBorders>
            <w:shd w:val="clear" w:color="auto" w:fill="auto"/>
            <w:vAlign w:val="center"/>
            <w:hideMark/>
          </w:tcPr>
          <w:p w14:paraId="41E6BC50" w14:textId="77777777" w:rsidR="00411D6C" w:rsidRPr="0004108B" w:rsidRDefault="00411D6C" w:rsidP="00B8703B">
            <w:pPr>
              <w:spacing w:after="0" w:line="240" w:lineRule="auto"/>
              <w:ind w:firstLineChars="200" w:firstLine="360"/>
              <w:jc w:val="right"/>
              <w:rPr>
                <w:rFonts w:ascii="Calibri" w:eastAsia="Times New Roman" w:hAnsi="Calibri" w:cs="Calibri"/>
                <w:color w:val="000000"/>
                <w:sz w:val="18"/>
                <w:szCs w:val="18"/>
                <w:lang w:eastAsia="en-AU"/>
              </w:rPr>
            </w:pPr>
            <w:r w:rsidRPr="0004108B">
              <w:rPr>
                <w:rFonts w:ascii="Calibri" w:eastAsia="Times New Roman" w:hAnsi="Calibri" w:cs="Calibri"/>
                <w:color w:val="000000"/>
                <w:sz w:val="18"/>
                <w:szCs w:val="18"/>
                <w:lang w:eastAsia="en-AU"/>
              </w:rPr>
              <w:t>41.4</w:t>
            </w:r>
          </w:p>
        </w:tc>
      </w:tr>
    </w:tbl>
    <w:p w14:paraId="7EBAE067" w14:textId="77777777" w:rsidR="00411D6C" w:rsidRDefault="00411D6C" w:rsidP="00411D6C">
      <w:pPr>
        <w:spacing w:line="276" w:lineRule="auto"/>
        <w:rPr>
          <w:b/>
          <w:bCs/>
        </w:rPr>
      </w:pPr>
    </w:p>
    <w:p w14:paraId="623FDD7B" w14:textId="77777777" w:rsidR="00411D6C" w:rsidRDefault="00411D6C" w:rsidP="00411D6C">
      <w:pPr>
        <w:spacing w:line="276" w:lineRule="auto"/>
        <w:rPr>
          <w:b/>
          <w:bCs/>
        </w:rPr>
      </w:pPr>
      <w:r>
        <w:rPr>
          <w:b/>
          <w:bCs/>
        </w:rPr>
        <w:t>Table 2: Upcoming major population releases</w:t>
      </w:r>
    </w:p>
    <w:tbl>
      <w:tblPr>
        <w:tblW w:w="8925" w:type="dxa"/>
        <w:tblCellMar>
          <w:left w:w="0" w:type="dxa"/>
          <w:right w:w="0" w:type="dxa"/>
        </w:tblCellMar>
        <w:tblLook w:val="04A0" w:firstRow="1" w:lastRow="0" w:firstColumn="1" w:lastColumn="0" w:noHBand="0" w:noVBand="1"/>
      </w:tblPr>
      <w:tblGrid>
        <w:gridCol w:w="5562"/>
        <w:gridCol w:w="1843"/>
        <w:gridCol w:w="1520"/>
      </w:tblGrid>
      <w:tr w:rsidR="00411D6C" w14:paraId="78916BC4" w14:textId="77777777" w:rsidTr="00B8703B">
        <w:trPr>
          <w:trHeight w:val="286"/>
        </w:trPr>
        <w:tc>
          <w:tcPr>
            <w:tcW w:w="5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20A082" w14:textId="77777777" w:rsidR="00411D6C" w:rsidRDefault="00411D6C" w:rsidP="00B8703B">
            <w:pPr>
              <w:spacing w:after="0"/>
              <w:jc w:val="center"/>
              <w:rPr>
                <w:b/>
                <w:bCs/>
                <w:color w:val="000000"/>
              </w:rPr>
            </w:pPr>
            <w:r>
              <w:rPr>
                <w:b/>
                <w:bCs/>
                <w:color w:val="000000"/>
              </w:rPr>
              <w:t>Release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BA797C" w14:textId="77777777" w:rsidR="00411D6C" w:rsidRDefault="00411D6C" w:rsidP="00B8703B">
            <w:pPr>
              <w:spacing w:after="0"/>
              <w:jc w:val="center"/>
              <w:rPr>
                <w:b/>
                <w:bCs/>
                <w:color w:val="000000"/>
              </w:rPr>
            </w:pPr>
            <w:r>
              <w:rPr>
                <w:b/>
                <w:bCs/>
                <w:color w:val="000000"/>
              </w:rPr>
              <w:t>Former catalogue</w:t>
            </w:r>
          </w:p>
        </w:tc>
        <w:tc>
          <w:tcPr>
            <w:tcW w:w="1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D37738" w14:textId="77777777" w:rsidR="00411D6C" w:rsidRDefault="00411D6C" w:rsidP="00B8703B">
            <w:pPr>
              <w:spacing w:after="0"/>
              <w:jc w:val="center"/>
              <w:rPr>
                <w:b/>
                <w:bCs/>
                <w:color w:val="000000"/>
              </w:rPr>
            </w:pPr>
            <w:r>
              <w:rPr>
                <w:b/>
                <w:bCs/>
                <w:color w:val="000000"/>
              </w:rPr>
              <w:t>Release date</w:t>
            </w:r>
          </w:p>
        </w:tc>
      </w:tr>
      <w:tr w:rsidR="00411D6C" w14:paraId="080CD9C9" w14:textId="77777777" w:rsidTr="00B8703B">
        <w:trPr>
          <w:trHeight w:val="286"/>
        </w:trPr>
        <w:tc>
          <w:tcPr>
            <w:tcW w:w="5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E048E4" w14:textId="77777777" w:rsidR="00411D6C" w:rsidRDefault="00411D6C" w:rsidP="00B8703B">
            <w:pPr>
              <w:spacing w:after="0"/>
            </w:pPr>
            <w:r>
              <w:t>Regional Internal Migration Estimates, Provisional (PRIME), December quarter 2020</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0595B6D" w14:textId="77777777" w:rsidR="00411D6C" w:rsidRDefault="00411D6C" w:rsidP="00B8703B">
            <w:pPr>
              <w:spacing w:after="0"/>
              <w:ind w:right="82"/>
              <w:jc w:val="center"/>
              <w:rPr>
                <w:color w:val="000000"/>
              </w:rPr>
            </w:pPr>
            <w:r>
              <w:rPr>
                <w:color w:val="000000"/>
              </w:rPr>
              <w:t>NA</w:t>
            </w:r>
          </w:p>
        </w:tc>
        <w:tc>
          <w:tcPr>
            <w:tcW w:w="1520" w:type="dxa"/>
            <w:tcBorders>
              <w:top w:val="nil"/>
              <w:left w:val="nil"/>
              <w:bottom w:val="single" w:sz="8" w:space="0" w:color="auto"/>
              <w:right w:val="single" w:sz="8" w:space="0" w:color="auto"/>
            </w:tcBorders>
            <w:tcMar>
              <w:top w:w="0" w:type="dxa"/>
              <w:left w:w="108" w:type="dxa"/>
              <w:bottom w:w="0" w:type="dxa"/>
              <w:right w:w="108" w:type="dxa"/>
            </w:tcMar>
            <w:hideMark/>
          </w:tcPr>
          <w:p w14:paraId="1F151D2C" w14:textId="77777777" w:rsidR="00411D6C" w:rsidRDefault="00411D6C" w:rsidP="00B8703B">
            <w:pPr>
              <w:spacing w:after="0"/>
              <w:ind w:right="82"/>
              <w:jc w:val="center"/>
              <w:rPr>
                <w:color w:val="000000"/>
              </w:rPr>
            </w:pPr>
            <w:r>
              <w:rPr>
                <w:color w:val="000000"/>
              </w:rPr>
              <w:t>4 May 2021</w:t>
            </w:r>
          </w:p>
        </w:tc>
      </w:tr>
      <w:tr w:rsidR="00411D6C" w14:paraId="0CA4F83C" w14:textId="77777777" w:rsidTr="00B8703B">
        <w:trPr>
          <w:trHeight w:val="286"/>
        </w:trPr>
        <w:tc>
          <w:tcPr>
            <w:tcW w:w="556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00B9B5B" w14:textId="77777777" w:rsidR="00411D6C" w:rsidRDefault="00411D6C" w:rsidP="00B8703B">
            <w:pPr>
              <w:spacing w:after="0"/>
            </w:pPr>
            <w:r>
              <w:t>Provisional Mortality Statistics</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14:paraId="0853D9C3" w14:textId="77777777" w:rsidR="00411D6C" w:rsidRDefault="00411D6C" w:rsidP="00B8703B">
            <w:pPr>
              <w:spacing w:after="0"/>
              <w:ind w:right="82"/>
              <w:jc w:val="center"/>
              <w:rPr>
                <w:color w:val="000000"/>
              </w:rPr>
            </w:pPr>
            <w:r>
              <w:rPr>
                <w:color w:val="000000"/>
              </w:rPr>
              <w:t>NA</w:t>
            </w:r>
          </w:p>
        </w:tc>
        <w:tc>
          <w:tcPr>
            <w:tcW w:w="1520" w:type="dxa"/>
            <w:tcBorders>
              <w:top w:val="nil"/>
              <w:left w:val="nil"/>
              <w:bottom w:val="single" w:sz="4" w:space="0" w:color="auto"/>
              <w:right w:val="single" w:sz="8" w:space="0" w:color="auto"/>
            </w:tcBorders>
            <w:tcMar>
              <w:top w:w="0" w:type="dxa"/>
              <w:left w:w="108" w:type="dxa"/>
              <w:bottom w:w="0" w:type="dxa"/>
              <w:right w:w="108" w:type="dxa"/>
            </w:tcMar>
          </w:tcPr>
          <w:p w14:paraId="13D5D04E" w14:textId="77777777" w:rsidR="00411D6C" w:rsidRDefault="00411D6C" w:rsidP="00B8703B">
            <w:pPr>
              <w:spacing w:after="0"/>
              <w:ind w:right="82"/>
              <w:jc w:val="center"/>
              <w:rPr>
                <w:color w:val="000000"/>
              </w:rPr>
            </w:pPr>
            <w:r>
              <w:rPr>
                <w:color w:val="000000"/>
              </w:rPr>
              <w:t>Early May</w:t>
            </w:r>
          </w:p>
        </w:tc>
      </w:tr>
      <w:tr w:rsidR="00411D6C" w14:paraId="3A29AE5B" w14:textId="77777777" w:rsidTr="00B8703B">
        <w:trPr>
          <w:trHeight w:val="286"/>
        </w:trPr>
        <w:tc>
          <w:tcPr>
            <w:tcW w:w="556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FD3DC9B" w14:textId="77777777" w:rsidR="00411D6C" w:rsidRDefault="00411D6C" w:rsidP="00B8703B">
            <w:pPr>
              <w:spacing w:after="0"/>
              <w:rPr>
                <w:color w:val="000000"/>
              </w:rPr>
            </w:pPr>
            <w:r>
              <w:t>National, state and territory population</w:t>
            </w:r>
            <w:r>
              <w:rPr>
                <w:color w:val="000000"/>
              </w:rPr>
              <w:t>, December 2020</w:t>
            </w:r>
          </w:p>
        </w:tc>
        <w:tc>
          <w:tcPr>
            <w:tcW w:w="1843" w:type="dxa"/>
            <w:tcBorders>
              <w:top w:val="nil"/>
              <w:left w:val="nil"/>
              <w:bottom w:val="single" w:sz="4" w:space="0" w:color="auto"/>
              <w:right w:val="single" w:sz="8" w:space="0" w:color="auto"/>
            </w:tcBorders>
            <w:tcMar>
              <w:top w:w="0" w:type="dxa"/>
              <w:left w:w="108" w:type="dxa"/>
              <w:bottom w:w="0" w:type="dxa"/>
              <w:right w:w="108" w:type="dxa"/>
            </w:tcMar>
            <w:hideMark/>
          </w:tcPr>
          <w:p w14:paraId="6DC2F2BC" w14:textId="77777777" w:rsidR="00411D6C" w:rsidRDefault="00411D6C" w:rsidP="00B8703B">
            <w:pPr>
              <w:spacing w:after="0"/>
              <w:ind w:right="82"/>
              <w:jc w:val="center"/>
              <w:rPr>
                <w:color w:val="000000"/>
              </w:rPr>
            </w:pPr>
            <w:r>
              <w:rPr>
                <w:color w:val="000000"/>
              </w:rPr>
              <w:t>3101.0</w:t>
            </w:r>
          </w:p>
        </w:tc>
        <w:tc>
          <w:tcPr>
            <w:tcW w:w="1520" w:type="dxa"/>
            <w:tcBorders>
              <w:top w:val="nil"/>
              <w:left w:val="nil"/>
              <w:bottom w:val="single" w:sz="4" w:space="0" w:color="auto"/>
              <w:right w:val="single" w:sz="8" w:space="0" w:color="auto"/>
            </w:tcBorders>
            <w:tcMar>
              <w:top w:w="0" w:type="dxa"/>
              <w:left w:w="108" w:type="dxa"/>
              <w:bottom w:w="0" w:type="dxa"/>
              <w:right w:w="108" w:type="dxa"/>
            </w:tcMar>
            <w:hideMark/>
          </w:tcPr>
          <w:p w14:paraId="6AE6FAA0" w14:textId="77777777" w:rsidR="00411D6C" w:rsidRDefault="00411D6C" w:rsidP="00B8703B">
            <w:pPr>
              <w:spacing w:after="0"/>
              <w:ind w:right="82"/>
              <w:jc w:val="center"/>
              <w:rPr>
                <w:color w:val="000000"/>
              </w:rPr>
            </w:pPr>
            <w:r>
              <w:rPr>
                <w:color w:val="000000"/>
              </w:rPr>
              <w:t>17 June 2021</w:t>
            </w:r>
          </w:p>
        </w:tc>
      </w:tr>
    </w:tbl>
    <w:p w14:paraId="6C12B7FE" w14:textId="77777777" w:rsidR="00411D6C" w:rsidRDefault="00411D6C" w:rsidP="00411D6C">
      <w:pPr>
        <w:rPr>
          <w:rFonts w:ascii="Arial" w:hAnsi="Arial" w:cs="Arial"/>
          <w:color w:val="333333"/>
          <w:shd w:val="clear" w:color="auto" w:fill="FFFFFF"/>
        </w:rPr>
      </w:pPr>
    </w:p>
    <w:p w14:paraId="3C5BE928" w14:textId="77777777" w:rsidR="00411D6C" w:rsidRPr="00AC14EE" w:rsidRDefault="00411D6C" w:rsidP="00411D6C"/>
    <w:p w14:paraId="07D09404" w14:textId="77777777" w:rsidR="001742F7" w:rsidRPr="00411D6C" w:rsidRDefault="001742F7" w:rsidP="00411D6C"/>
    <w:sectPr w:rsidR="001742F7" w:rsidRPr="00411D6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52938" w14:textId="77777777" w:rsidR="005C52EA" w:rsidRDefault="005C52EA" w:rsidP="008A67E1">
      <w:pPr>
        <w:spacing w:after="0" w:line="240" w:lineRule="auto"/>
      </w:pPr>
      <w:r>
        <w:separator/>
      </w:r>
    </w:p>
  </w:endnote>
  <w:endnote w:type="continuationSeparator" w:id="0">
    <w:p w14:paraId="370A9AEF" w14:textId="77777777" w:rsidR="005C52EA" w:rsidRDefault="005C52EA" w:rsidP="008A67E1">
      <w:pPr>
        <w:spacing w:after="0" w:line="240" w:lineRule="auto"/>
      </w:pPr>
      <w:r>
        <w:continuationSeparator/>
      </w:r>
    </w:p>
  </w:endnote>
  <w:endnote w:type="continuationNotice" w:id="1">
    <w:p w14:paraId="552EF5AC" w14:textId="77777777" w:rsidR="005C52EA" w:rsidRDefault="005C5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296090"/>
      <w:docPartObj>
        <w:docPartGallery w:val="Page Numbers (Bottom of Page)"/>
        <w:docPartUnique/>
      </w:docPartObj>
    </w:sdtPr>
    <w:sdtEndPr>
      <w:rPr>
        <w:noProof/>
      </w:rPr>
    </w:sdtEndPr>
    <w:sdtContent>
      <w:p w14:paraId="30681A08" w14:textId="6AF32DCA" w:rsidR="005C52EA" w:rsidRDefault="005C52EA">
        <w:pPr>
          <w:pStyle w:val="Footer"/>
          <w:jc w:val="right"/>
        </w:pPr>
        <w:r>
          <w:fldChar w:fldCharType="begin"/>
        </w:r>
        <w:r>
          <w:instrText xml:space="preserve"> PAGE   \* MERGEFORMAT </w:instrText>
        </w:r>
        <w:r>
          <w:fldChar w:fldCharType="separate"/>
        </w:r>
        <w:r w:rsidR="0035574E">
          <w:rPr>
            <w:noProof/>
          </w:rPr>
          <w:t>4</w:t>
        </w:r>
        <w:r>
          <w:rPr>
            <w:noProof/>
          </w:rPr>
          <w:fldChar w:fldCharType="end"/>
        </w:r>
      </w:p>
    </w:sdtContent>
  </w:sdt>
  <w:p w14:paraId="3213C4EE" w14:textId="77777777" w:rsidR="005C52EA" w:rsidRDefault="005C5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58576" w14:textId="77777777" w:rsidR="005C52EA" w:rsidRDefault="005C52EA" w:rsidP="008A67E1">
      <w:pPr>
        <w:spacing w:after="0" w:line="240" w:lineRule="auto"/>
      </w:pPr>
      <w:r>
        <w:separator/>
      </w:r>
    </w:p>
  </w:footnote>
  <w:footnote w:type="continuationSeparator" w:id="0">
    <w:p w14:paraId="7A734C4D" w14:textId="77777777" w:rsidR="005C52EA" w:rsidRDefault="005C52EA" w:rsidP="008A67E1">
      <w:pPr>
        <w:spacing w:after="0" w:line="240" w:lineRule="auto"/>
      </w:pPr>
      <w:r>
        <w:continuationSeparator/>
      </w:r>
    </w:p>
  </w:footnote>
  <w:footnote w:type="continuationNotice" w:id="1">
    <w:p w14:paraId="7781A080" w14:textId="77777777" w:rsidR="005C52EA" w:rsidRDefault="005C52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B02"/>
    <w:multiLevelType w:val="multilevel"/>
    <w:tmpl w:val="823013F6"/>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908DF"/>
    <w:multiLevelType w:val="multilevel"/>
    <w:tmpl w:val="17CA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121354"/>
    <w:multiLevelType w:val="multilevel"/>
    <w:tmpl w:val="556C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932135"/>
    <w:multiLevelType w:val="multilevel"/>
    <w:tmpl w:val="590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9D231E"/>
    <w:multiLevelType w:val="multilevel"/>
    <w:tmpl w:val="BA9A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B7BEE"/>
    <w:multiLevelType w:val="multilevel"/>
    <w:tmpl w:val="578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26A3C"/>
    <w:multiLevelType w:val="multilevel"/>
    <w:tmpl w:val="BDDC308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1E0A16"/>
    <w:multiLevelType w:val="multilevel"/>
    <w:tmpl w:val="95F2E70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DF145B"/>
    <w:multiLevelType w:val="multilevel"/>
    <w:tmpl w:val="570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91143D"/>
    <w:multiLevelType w:val="multilevel"/>
    <w:tmpl w:val="C478EC0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303B4D"/>
    <w:multiLevelType w:val="multilevel"/>
    <w:tmpl w:val="81B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7B1B1F"/>
    <w:multiLevelType w:val="multilevel"/>
    <w:tmpl w:val="4DA8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D7074F"/>
    <w:multiLevelType w:val="multilevel"/>
    <w:tmpl w:val="2E5A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04DDE"/>
    <w:multiLevelType w:val="multilevel"/>
    <w:tmpl w:val="1DEE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DE6A82"/>
    <w:multiLevelType w:val="multilevel"/>
    <w:tmpl w:val="95D2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DD6132"/>
    <w:multiLevelType w:val="multilevel"/>
    <w:tmpl w:val="283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2D6725"/>
    <w:multiLevelType w:val="multilevel"/>
    <w:tmpl w:val="71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0"/>
  </w:num>
  <w:num w:numId="5">
    <w:abstractNumId w:val="14"/>
  </w:num>
  <w:num w:numId="6">
    <w:abstractNumId w:val="5"/>
  </w:num>
  <w:num w:numId="7">
    <w:abstractNumId w:val="8"/>
  </w:num>
  <w:num w:numId="8">
    <w:abstractNumId w:val="12"/>
  </w:num>
  <w:num w:numId="9">
    <w:abstractNumId w:val="15"/>
  </w:num>
  <w:num w:numId="10">
    <w:abstractNumId w:val="1"/>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2"/>
  </w:num>
  <w:num w:numId="18">
    <w:abstractNumId w:val="11"/>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F"/>
    <w:rsid w:val="00006CB0"/>
    <w:rsid w:val="00013861"/>
    <w:rsid w:val="00014735"/>
    <w:rsid w:val="00026251"/>
    <w:rsid w:val="0003376F"/>
    <w:rsid w:val="00035BE9"/>
    <w:rsid w:val="0004108B"/>
    <w:rsid w:val="00043633"/>
    <w:rsid w:val="0004621C"/>
    <w:rsid w:val="00047B1F"/>
    <w:rsid w:val="00056F67"/>
    <w:rsid w:val="00063748"/>
    <w:rsid w:val="00063FAF"/>
    <w:rsid w:val="00072C07"/>
    <w:rsid w:val="00073C2A"/>
    <w:rsid w:val="000763FB"/>
    <w:rsid w:val="00081CFD"/>
    <w:rsid w:val="000832A7"/>
    <w:rsid w:val="00086608"/>
    <w:rsid w:val="0008715A"/>
    <w:rsid w:val="00090061"/>
    <w:rsid w:val="000901D7"/>
    <w:rsid w:val="000A001A"/>
    <w:rsid w:val="000A26CF"/>
    <w:rsid w:val="000A2C9A"/>
    <w:rsid w:val="000A7A43"/>
    <w:rsid w:val="000B1E60"/>
    <w:rsid w:val="000B6C2C"/>
    <w:rsid w:val="000C23E8"/>
    <w:rsid w:val="000C4DB1"/>
    <w:rsid w:val="000D6497"/>
    <w:rsid w:val="000E4D99"/>
    <w:rsid w:val="000F7B1C"/>
    <w:rsid w:val="00104859"/>
    <w:rsid w:val="001053FF"/>
    <w:rsid w:val="00106F48"/>
    <w:rsid w:val="00113428"/>
    <w:rsid w:val="00117574"/>
    <w:rsid w:val="00121BBC"/>
    <w:rsid w:val="001227DA"/>
    <w:rsid w:val="00123040"/>
    <w:rsid w:val="001251B7"/>
    <w:rsid w:val="00131672"/>
    <w:rsid w:val="00136278"/>
    <w:rsid w:val="00137A4C"/>
    <w:rsid w:val="0014537A"/>
    <w:rsid w:val="001479E7"/>
    <w:rsid w:val="00161EA6"/>
    <w:rsid w:val="001742F7"/>
    <w:rsid w:val="00196E5A"/>
    <w:rsid w:val="001970A4"/>
    <w:rsid w:val="00197FD5"/>
    <w:rsid w:val="001A1BB9"/>
    <w:rsid w:val="001A5C8E"/>
    <w:rsid w:val="001B25AA"/>
    <w:rsid w:val="001C564F"/>
    <w:rsid w:val="001C651A"/>
    <w:rsid w:val="001C7DC6"/>
    <w:rsid w:val="001D200E"/>
    <w:rsid w:val="001D2EFD"/>
    <w:rsid w:val="001E5616"/>
    <w:rsid w:val="001E6EFB"/>
    <w:rsid w:val="001F51A6"/>
    <w:rsid w:val="00201F6E"/>
    <w:rsid w:val="002025A6"/>
    <w:rsid w:val="00220E29"/>
    <w:rsid w:val="00221AB4"/>
    <w:rsid w:val="00226A22"/>
    <w:rsid w:val="00231A6F"/>
    <w:rsid w:val="00233C04"/>
    <w:rsid w:val="00236D61"/>
    <w:rsid w:val="00242B95"/>
    <w:rsid w:val="0024406D"/>
    <w:rsid w:val="002472FF"/>
    <w:rsid w:val="00257390"/>
    <w:rsid w:val="0026550D"/>
    <w:rsid w:val="00267E34"/>
    <w:rsid w:val="00271EAF"/>
    <w:rsid w:val="00272E1D"/>
    <w:rsid w:val="002747A8"/>
    <w:rsid w:val="002750B4"/>
    <w:rsid w:val="002766C5"/>
    <w:rsid w:val="00282956"/>
    <w:rsid w:val="00285EFB"/>
    <w:rsid w:val="002875AB"/>
    <w:rsid w:val="002939EA"/>
    <w:rsid w:val="002944F2"/>
    <w:rsid w:val="0029470A"/>
    <w:rsid w:val="00295D89"/>
    <w:rsid w:val="002A1700"/>
    <w:rsid w:val="002A4055"/>
    <w:rsid w:val="002A658B"/>
    <w:rsid w:val="002B419B"/>
    <w:rsid w:val="002B4B4B"/>
    <w:rsid w:val="002B4E86"/>
    <w:rsid w:val="002C48DE"/>
    <w:rsid w:val="002D79D3"/>
    <w:rsid w:val="002F35D6"/>
    <w:rsid w:val="002F45A1"/>
    <w:rsid w:val="002F63C8"/>
    <w:rsid w:val="003034FF"/>
    <w:rsid w:val="00303527"/>
    <w:rsid w:val="00304DE9"/>
    <w:rsid w:val="00305674"/>
    <w:rsid w:val="003059AF"/>
    <w:rsid w:val="00307B20"/>
    <w:rsid w:val="00312366"/>
    <w:rsid w:val="0032693E"/>
    <w:rsid w:val="003270CD"/>
    <w:rsid w:val="00327618"/>
    <w:rsid w:val="003502B4"/>
    <w:rsid w:val="00353167"/>
    <w:rsid w:val="0035334F"/>
    <w:rsid w:val="0035543B"/>
    <w:rsid w:val="0035574E"/>
    <w:rsid w:val="00367AB3"/>
    <w:rsid w:val="00372164"/>
    <w:rsid w:val="00382A4C"/>
    <w:rsid w:val="003C2C5A"/>
    <w:rsid w:val="003D0F40"/>
    <w:rsid w:val="003D1298"/>
    <w:rsid w:val="003D4492"/>
    <w:rsid w:val="003F1AFC"/>
    <w:rsid w:val="00403528"/>
    <w:rsid w:val="004047F0"/>
    <w:rsid w:val="0040666B"/>
    <w:rsid w:val="004117A5"/>
    <w:rsid w:val="00411D6C"/>
    <w:rsid w:val="00412B0D"/>
    <w:rsid w:val="0041776B"/>
    <w:rsid w:val="0042077D"/>
    <w:rsid w:val="004212CA"/>
    <w:rsid w:val="00435F1E"/>
    <w:rsid w:val="00435FDF"/>
    <w:rsid w:val="0044040F"/>
    <w:rsid w:val="00442711"/>
    <w:rsid w:val="00444E32"/>
    <w:rsid w:val="00460FC8"/>
    <w:rsid w:val="00463230"/>
    <w:rsid w:val="0046444C"/>
    <w:rsid w:val="004749A4"/>
    <w:rsid w:val="004774DB"/>
    <w:rsid w:val="0048676F"/>
    <w:rsid w:val="00493EC5"/>
    <w:rsid w:val="004A3032"/>
    <w:rsid w:val="004A4E71"/>
    <w:rsid w:val="004A64AE"/>
    <w:rsid w:val="004B7954"/>
    <w:rsid w:val="004C6451"/>
    <w:rsid w:val="004D347F"/>
    <w:rsid w:val="004D5178"/>
    <w:rsid w:val="004D6C73"/>
    <w:rsid w:val="004E4125"/>
    <w:rsid w:val="004E68F9"/>
    <w:rsid w:val="004F3331"/>
    <w:rsid w:val="005047FB"/>
    <w:rsid w:val="005410F5"/>
    <w:rsid w:val="00542446"/>
    <w:rsid w:val="00546BB8"/>
    <w:rsid w:val="00550070"/>
    <w:rsid w:val="0055365A"/>
    <w:rsid w:val="00554B0E"/>
    <w:rsid w:val="00554D53"/>
    <w:rsid w:val="00570803"/>
    <w:rsid w:val="005735B2"/>
    <w:rsid w:val="00593B28"/>
    <w:rsid w:val="0059408C"/>
    <w:rsid w:val="00595116"/>
    <w:rsid w:val="00596424"/>
    <w:rsid w:val="00596C11"/>
    <w:rsid w:val="005977DF"/>
    <w:rsid w:val="005A41A2"/>
    <w:rsid w:val="005B15B8"/>
    <w:rsid w:val="005B242F"/>
    <w:rsid w:val="005B66C4"/>
    <w:rsid w:val="005B7A1F"/>
    <w:rsid w:val="005C52EA"/>
    <w:rsid w:val="005C5FBF"/>
    <w:rsid w:val="005D29AE"/>
    <w:rsid w:val="005E0DEB"/>
    <w:rsid w:val="005E0FC8"/>
    <w:rsid w:val="005E1F85"/>
    <w:rsid w:val="005E28EE"/>
    <w:rsid w:val="005E7BCF"/>
    <w:rsid w:val="005F2A72"/>
    <w:rsid w:val="0060542E"/>
    <w:rsid w:val="006066A8"/>
    <w:rsid w:val="00610C3B"/>
    <w:rsid w:val="00622E8B"/>
    <w:rsid w:val="00627A2E"/>
    <w:rsid w:val="00631E79"/>
    <w:rsid w:val="00634C73"/>
    <w:rsid w:val="00647CC5"/>
    <w:rsid w:val="00651FED"/>
    <w:rsid w:val="00660309"/>
    <w:rsid w:val="006604DD"/>
    <w:rsid w:val="00661C7A"/>
    <w:rsid w:val="00662D28"/>
    <w:rsid w:val="00665129"/>
    <w:rsid w:val="00670246"/>
    <w:rsid w:val="00672A67"/>
    <w:rsid w:val="006741D9"/>
    <w:rsid w:val="00680B8D"/>
    <w:rsid w:val="00695855"/>
    <w:rsid w:val="00697BB8"/>
    <w:rsid w:val="006A48DE"/>
    <w:rsid w:val="006B01C2"/>
    <w:rsid w:val="006B204A"/>
    <w:rsid w:val="006D0B0D"/>
    <w:rsid w:val="006D45B2"/>
    <w:rsid w:val="006D788A"/>
    <w:rsid w:val="006E2ABF"/>
    <w:rsid w:val="006E639C"/>
    <w:rsid w:val="006F0C88"/>
    <w:rsid w:val="006F3008"/>
    <w:rsid w:val="006F69BD"/>
    <w:rsid w:val="007046B3"/>
    <w:rsid w:val="00721E91"/>
    <w:rsid w:val="00724AB3"/>
    <w:rsid w:val="00731D65"/>
    <w:rsid w:val="00741128"/>
    <w:rsid w:val="0074260C"/>
    <w:rsid w:val="0074315A"/>
    <w:rsid w:val="00751E31"/>
    <w:rsid w:val="007560C4"/>
    <w:rsid w:val="00774EEE"/>
    <w:rsid w:val="00775955"/>
    <w:rsid w:val="007769FA"/>
    <w:rsid w:val="00777AFE"/>
    <w:rsid w:val="007834BD"/>
    <w:rsid w:val="007845A5"/>
    <w:rsid w:val="00786BE4"/>
    <w:rsid w:val="00791872"/>
    <w:rsid w:val="00791951"/>
    <w:rsid w:val="007978B0"/>
    <w:rsid w:val="007A7786"/>
    <w:rsid w:val="007B509F"/>
    <w:rsid w:val="007C30C6"/>
    <w:rsid w:val="007D1ADE"/>
    <w:rsid w:val="007E1DBF"/>
    <w:rsid w:val="007F1369"/>
    <w:rsid w:val="007F785A"/>
    <w:rsid w:val="00805C44"/>
    <w:rsid w:val="00821829"/>
    <w:rsid w:val="008234FB"/>
    <w:rsid w:val="00826E03"/>
    <w:rsid w:val="00834F36"/>
    <w:rsid w:val="00840553"/>
    <w:rsid w:val="00840C6A"/>
    <w:rsid w:val="008455D8"/>
    <w:rsid w:val="00847B63"/>
    <w:rsid w:val="0085279D"/>
    <w:rsid w:val="00856C28"/>
    <w:rsid w:val="00864691"/>
    <w:rsid w:val="00875CD0"/>
    <w:rsid w:val="00883C0A"/>
    <w:rsid w:val="008852B5"/>
    <w:rsid w:val="0088720A"/>
    <w:rsid w:val="00890F44"/>
    <w:rsid w:val="008A1628"/>
    <w:rsid w:val="008A67E1"/>
    <w:rsid w:val="008B32DC"/>
    <w:rsid w:val="008C3D43"/>
    <w:rsid w:val="008D2268"/>
    <w:rsid w:val="008E1FEE"/>
    <w:rsid w:val="008E4169"/>
    <w:rsid w:val="008F1AB8"/>
    <w:rsid w:val="00900C32"/>
    <w:rsid w:val="00903B81"/>
    <w:rsid w:val="009062B7"/>
    <w:rsid w:val="00913C18"/>
    <w:rsid w:val="00914A89"/>
    <w:rsid w:val="009220F4"/>
    <w:rsid w:val="0092273C"/>
    <w:rsid w:val="009251FC"/>
    <w:rsid w:val="00927358"/>
    <w:rsid w:val="009307F6"/>
    <w:rsid w:val="00932125"/>
    <w:rsid w:val="009359D8"/>
    <w:rsid w:val="00947879"/>
    <w:rsid w:val="00952018"/>
    <w:rsid w:val="0095279E"/>
    <w:rsid w:val="009611BF"/>
    <w:rsid w:val="009655E2"/>
    <w:rsid w:val="009846AC"/>
    <w:rsid w:val="00992BAB"/>
    <w:rsid w:val="0099440D"/>
    <w:rsid w:val="009A0241"/>
    <w:rsid w:val="009A40DF"/>
    <w:rsid w:val="009A496B"/>
    <w:rsid w:val="009C17CA"/>
    <w:rsid w:val="009C21AD"/>
    <w:rsid w:val="009C3114"/>
    <w:rsid w:val="009C7945"/>
    <w:rsid w:val="009C7C3E"/>
    <w:rsid w:val="009D146E"/>
    <w:rsid w:val="009D36A8"/>
    <w:rsid w:val="009D448E"/>
    <w:rsid w:val="009E136C"/>
    <w:rsid w:val="009E1B0D"/>
    <w:rsid w:val="009E1D0F"/>
    <w:rsid w:val="009F3332"/>
    <w:rsid w:val="009F399A"/>
    <w:rsid w:val="009F4D3C"/>
    <w:rsid w:val="009F78E7"/>
    <w:rsid w:val="00A010FA"/>
    <w:rsid w:val="00A029F4"/>
    <w:rsid w:val="00A03A88"/>
    <w:rsid w:val="00A0769C"/>
    <w:rsid w:val="00A1285A"/>
    <w:rsid w:val="00A12F36"/>
    <w:rsid w:val="00A160B1"/>
    <w:rsid w:val="00A20383"/>
    <w:rsid w:val="00A21E87"/>
    <w:rsid w:val="00A335CE"/>
    <w:rsid w:val="00A379BF"/>
    <w:rsid w:val="00A37D8E"/>
    <w:rsid w:val="00A4044D"/>
    <w:rsid w:val="00A42421"/>
    <w:rsid w:val="00A4398D"/>
    <w:rsid w:val="00A4764D"/>
    <w:rsid w:val="00A55194"/>
    <w:rsid w:val="00A602DE"/>
    <w:rsid w:val="00A706BA"/>
    <w:rsid w:val="00A732BA"/>
    <w:rsid w:val="00A80BE2"/>
    <w:rsid w:val="00A81D5F"/>
    <w:rsid w:val="00A8611B"/>
    <w:rsid w:val="00A86566"/>
    <w:rsid w:val="00A87B2D"/>
    <w:rsid w:val="00A97B99"/>
    <w:rsid w:val="00AA7E5A"/>
    <w:rsid w:val="00AB08B7"/>
    <w:rsid w:val="00AB10D4"/>
    <w:rsid w:val="00AB3995"/>
    <w:rsid w:val="00AC14EE"/>
    <w:rsid w:val="00AC476E"/>
    <w:rsid w:val="00AC49D3"/>
    <w:rsid w:val="00AC53E4"/>
    <w:rsid w:val="00AD60DE"/>
    <w:rsid w:val="00AF433B"/>
    <w:rsid w:val="00AF4F6A"/>
    <w:rsid w:val="00AF6AC1"/>
    <w:rsid w:val="00B077D7"/>
    <w:rsid w:val="00B137B3"/>
    <w:rsid w:val="00B14CB4"/>
    <w:rsid w:val="00B14F3A"/>
    <w:rsid w:val="00B26EC2"/>
    <w:rsid w:val="00B34FA4"/>
    <w:rsid w:val="00B41CDE"/>
    <w:rsid w:val="00B46ED3"/>
    <w:rsid w:val="00B5148C"/>
    <w:rsid w:val="00B52C14"/>
    <w:rsid w:val="00B612FB"/>
    <w:rsid w:val="00B63304"/>
    <w:rsid w:val="00B6597C"/>
    <w:rsid w:val="00B71DC0"/>
    <w:rsid w:val="00B7262D"/>
    <w:rsid w:val="00B7273C"/>
    <w:rsid w:val="00B7472D"/>
    <w:rsid w:val="00B86E53"/>
    <w:rsid w:val="00B87E74"/>
    <w:rsid w:val="00B97DE0"/>
    <w:rsid w:val="00BA2E6A"/>
    <w:rsid w:val="00BA3B15"/>
    <w:rsid w:val="00BB46D3"/>
    <w:rsid w:val="00BE1121"/>
    <w:rsid w:val="00BE20C2"/>
    <w:rsid w:val="00BE37A0"/>
    <w:rsid w:val="00BE6D15"/>
    <w:rsid w:val="00BF1528"/>
    <w:rsid w:val="00BF4990"/>
    <w:rsid w:val="00BF4DA1"/>
    <w:rsid w:val="00C00633"/>
    <w:rsid w:val="00C04D10"/>
    <w:rsid w:val="00C07C8E"/>
    <w:rsid w:val="00C1067E"/>
    <w:rsid w:val="00C13C83"/>
    <w:rsid w:val="00C25C93"/>
    <w:rsid w:val="00C31CB7"/>
    <w:rsid w:val="00C3560D"/>
    <w:rsid w:val="00C35D28"/>
    <w:rsid w:val="00C4331F"/>
    <w:rsid w:val="00C479F9"/>
    <w:rsid w:val="00C519D4"/>
    <w:rsid w:val="00C6511F"/>
    <w:rsid w:val="00C65A9A"/>
    <w:rsid w:val="00C72C1D"/>
    <w:rsid w:val="00C7732A"/>
    <w:rsid w:val="00C8192D"/>
    <w:rsid w:val="00C84862"/>
    <w:rsid w:val="00CA1C3E"/>
    <w:rsid w:val="00CA5BEF"/>
    <w:rsid w:val="00CA5FB1"/>
    <w:rsid w:val="00CB2EA2"/>
    <w:rsid w:val="00CB301C"/>
    <w:rsid w:val="00CC5D2D"/>
    <w:rsid w:val="00CC7E46"/>
    <w:rsid w:val="00CD6DBB"/>
    <w:rsid w:val="00CD7CB5"/>
    <w:rsid w:val="00CE11B6"/>
    <w:rsid w:val="00CF4000"/>
    <w:rsid w:val="00D012C2"/>
    <w:rsid w:val="00D0484B"/>
    <w:rsid w:val="00D110B0"/>
    <w:rsid w:val="00D1774C"/>
    <w:rsid w:val="00D24F17"/>
    <w:rsid w:val="00D314D9"/>
    <w:rsid w:val="00D37481"/>
    <w:rsid w:val="00D40EDE"/>
    <w:rsid w:val="00D42132"/>
    <w:rsid w:val="00D42775"/>
    <w:rsid w:val="00D42E4E"/>
    <w:rsid w:val="00D50D7B"/>
    <w:rsid w:val="00D53B69"/>
    <w:rsid w:val="00D72A2F"/>
    <w:rsid w:val="00D759AA"/>
    <w:rsid w:val="00D76CCC"/>
    <w:rsid w:val="00D86D60"/>
    <w:rsid w:val="00DA1A3A"/>
    <w:rsid w:val="00DA394C"/>
    <w:rsid w:val="00DC00F7"/>
    <w:rsid w:val="00DC131B"/>
    <w:rsid w:val="00DC2208"/>
    <w:rsid w:val="00DD5C95"/>
    <w:rsid w:val="00DE038E"/>
    <w:rsid w:val="00E04C88"/>
    <w:rsid w:val="00E05C89"/>
    <w:rsid w:val="00E15B5C"/>
    <w:rsid w:val="00E27B0A"/>
    <w:rsid w:val="00E320E7"/>
    <w:rsid w:val="00E323BF"/>
    <w:rsid w:val="00E368E8"/>
    <w:rsid w:val="00E456C7"/>
    <w:rsid w:val="00E47DDF"/>
    <w:rsid w:val="00E5104C"/>
    <w:rsid w:val="00E55944"/>
    <w:rsid w:val="00E6081C"/>
    <w:rsid w:val="00E62A27"/>
    <w:rsid w:val="00E63968"/>
    <w:rsid w:val="00E70294"/>
    <w:rsid w:val="00E83141"/>
    <w:rsid w:val="00E944D2"/>
    <w:rsid w:val="00EA64FA"/>
    <w:rsid w:val="00EA6C0B"/>
    <w:rsid w:val="00EB3E7B"/>
    <w:rsid w:val="00EB6B9B"/>
    <w:rsid w:val="00ED314D"/>
    <w:rsid w:val="00ED3BD5"/>
    <w:rsid w:val="00EE47BE"/>
    <w:rsid w:val="00EE724D"/>
    <w:rsid w:val="00EF33EA"/>
    <w:rsid w:val="00F000E2"/>
    <w:rsid w:val="00F00240"/>
    <w:rsid w:val="00F02AA0"/>
    <w:rsid w:val="00F07ECD"/>
    <w:rsid w:val="00F11F9C"/>
    <w:rsid w:val="00F2696A"/>
    <w:rsid w:val="00F31194"/>
    <w:rsid w:val="00F318B9"/>
    <w:rsid w:val="00F432F6"/>
    <w:rsid w:val="00F43C33"/>
    <w:rsid w:val="00F467F6"/>
    <w:rsid w:val="00F50A4B"/>
    <w:rsid w:val="00F62639"/>
    <w:rsid w:val="00F761E5"/>
    <w:rsid w:val="00F763A3"/>
    <w:rsid w:val="00F844F3"/>
    <w:rsid w:val="00F8476C"/>
    <w:rsid w:val="00F84D04"/>
    <w:rsid w:val="00F927AC"/>
    <w:rsid w:val="00F95E24"/>
    <w:rsid w:val="00F9641A"/>
    <w:rsid w:val="00FA3B69"/>
    <w:rsid w:val="00FA68C9"/>
    <w:rsid w:val="00FC0693"/>
    <w:rsid w:val="00FD6984"/>
    <w:rsid w:val="00FE7686"/>
    <w:rsid w:val="00FF06BE"/>
    <w:rsid w:val="00FF6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75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D200E"/>
    <w:pPr>
      <w:spacing w:before="160" w:after="0" w:line="247" w:lineRule="auto"/>
      <w:ind w:left="20" w:right="403"/>
      <w:outlineLvl w:val="0"/>
    </w:pPr>
    <w:rPr>
      <w:rFonts w:ascii="Calibri" w:eastAsia="Calibri" w:hAnsi="Calibri" w:cs="Calibri"/>
      <w:b/>
      <w:bCs/>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9F9"/>
    <w:pPr>
      <w:ind w:left="720"/>
      <w:contextualSpacing/>
    </w:pPr>
  </w:style>
  <w:style w:type="paragraph" w:customStyle="1" w:styleId="Bullet">
    <w:name w:val="Bullet"/>
    <w:basedOn w:val="Normal"/>
    <w:link w:val="BulletChar"/>
    <w:rsid w:val="00B7262D"/>
    <w:pPr>
      <w:numPr>
        <w:numId w:val="1"/>
      </w:numPr>
    </w:pPr>
  </w:style>
  <w:style w:type="character" w:customStyle="1" w:styleId="BulletChar">
    <w:name w:val="Bullet Char"/>
    <w:basedOn w:val="DefaultParagraphFont"/>
    <w:link w:val="Bullet"/>
    <w:rsid w:val="00B7262D"/>
  </w:style>
  <w:style w:type="paragraph" w:customStyle="1" w:styleId="Dash">
    <w:name w:val="Dash"/>
    <w:basedOn w:val="Normal"/>
    <w:link w:val="DashChar"/>
    <w:rsid w:val="00B7262D"/>
    <w:pPr>
      <w:numPr>
        <w:ilvl w:val="1"/>
        <w:numId w:val="1"/>
      </w:numPr>
    </w:pPr>
  </w:style>
  <w:style w:type="character" w:customStyle="1" w:styleId="DashChar">
    <w:name w:val="Dash Char"/>
    <w:basedOn w:val="DefaultParagraphFont"/>
    <w:link w:val="Dash"/>
    <w:rsid w:val="00B7262D"/>
  </w:style>
  <w:style w:type="paragraph" w:customStyle="1" w:styleId="DoubleDot">
    <w:name w:val="Double Dot"/>
    <w:basedOn w:val="Normal"/>
    <w:link w:val="DoubleDotChar"/>
    <w:rsid w:val="00B7262D"/>
    <w:pPr>
      <w:numPr>
        <w:ilvl w:val="2"/>
        <w:numId w:val="1"/>
      </w:numPr>
    </w:pPr>
  </w:style>
  <w:style w:type="character" w:customStyle="1" w:styleId="DoubleDotChar">
    <w:name w:val="Double Dot Char"/>
    <w:basedOn w:val="DefaultParagraphFont"/>
    <w:link w:val="DoubleDot"/>
    <w:rsid w:val="00B7262D"/>
  </w:style>
  <w:style w:type="paragraph" w:customStyle="1" w:styleId="OutlineNumbered1">
    <w:name w:val="Outline Numbered 1"/>
    <w:basedOn w:val="Normal"/>
    <w:link w:val="OutlineNumbered1Char"/>
    <w:rsid w:val="009C7945"/>
    <w:pPr>
      <w:numPr>
        <w:numId w:val="11"/>
      </w:numPr>
      <w:spacing w:after="0" w:line="240" w:lineRule="auto"/>
    </w:pPr>
  </w:style>
  <w:style w:type="character" w:customStyle="1" w:styleId="OutlineNumbered1Char">
    <w:name w:val="Outline Numbered 1 Char"/>
    <w:basedOn w:val="DefaultParagraphFont"/>
    <w:link w:val="OutlineNumbered1"/>
    <w:rsid w:val="009C7945"/>
  </w:style>
  <w:style w:type="paragraph" w:customStyle="1" w:styleId="OutlineNumbered2">
    <w:name w:val="Outline Numbered 2"/>
    <w:basedOn w:val="Normal"/>
    <w:link w:val="OutlineNumbered2Char"/>
    <w:rsid w:val="009C7945"/>
    <w:pPr>
      <w:numPr>
        <w:ilvl w:val="1"/>
        <w:numId w:val="11"/>
      </w:numPr>
      <w:spacing w:after="0" w:line="240" w:lineRule="auto"/>
    </w:pPr>
  </w:style>
  <w:style w:type="character" w:customStyle="1" w:styleId="OutlineNumbered2Char">
    <w:name w:val="Outline Numbered 2 Char"/>
    <w:basedOn w:val="DefaultParagraphFont"/>
    <w:link w:val="OutlineNumbered2"/>
    <w:rsid w:val="009C7945"/>
  </w:style>
  <w:style w:type="paragraph" w:customStyle="1" w:styleId="OutlineNumbered3">
    <w:name w:val="Outline Numbered 3"/>
    <w:basedOn w:val="Normal"/>
    <w:link w:val="OutlineNumbered3Char"/>
    <w:rsid w:val="009C7945"/>
    <w:pPr>
      <w:numPr>
        <w:ilvl w:val="2"/>
        <w:numId w:val="11"/>
      </w:numPr>
      <w:spacing w:after="0" w:line="240" w:lineRule="auto"/>
    </w:pPr>
  </w:style>
  <w:style w:type="character" w:customStyle="1" w:styleId="OutlineNumbered3Char">
    <w:name w:val="Outline Numbered 3 Char"/>
    <w:basedOn w:val="DefaultParagraphFont"/>
    <w:link w:val="OutlineNumbered3"/>
    <w:rsid w:val="009C7945"/>
  </w:style>
  <w:style w:type="paragraph" w:styleId="NormalWeb">
    <w:name w:val="Normal (Web)"/>
    <w:basedOn w:val="Normal"/>
    <w:uiPriority w:val="99"/>
    <w:semiHidden/>
    <w:unhideWhenUsed/>
    <w:rsid w:val="0059511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70246"/>
    <w:rPr>
      <w:sz w:val="16"/>
      <w:szCs w:val="16"/>
    </w:rPr>
  </w:style>
  <w:style w:type="paragraph" w:styleId="CommentText">
    <w:name w:val="annotation text"/>
    <w:basedOn w:val="Normal"/>
    <w:link w:val="CommentTextChar"/>
    <w:uiPriority w:val="99"/>
    <w:semiHidden/>
    <w:unhideWhenUsed/>
    <w:rsid w:val="00670246"/>
    <w:pPr>
      <w:spacing w:line="240" w:lineRule="auto"/>
    </w:pPr>
    <w:rPr>
      <w:sz w:val="20"/>
      <w:szCs w:val="20"/>
    </w:rPr>
  </w:style>
  <w:style w:type="character" w:customStyle="1" w:styleId="CommentTextChar">
    <w:name w:val="Comment Text Char"/>
    <w:basedOn w:val="DefaultParagraphFont"/>
    <w:link w:val="CommentText"/>
    <w:uiPriority w:val="99"/>
    <w:semiHidden/>
    <w:rsid w:val="00670246"/>
    <w:rPr>
      <w:sz w:val="20"/>
      <w:szCs w:val="20"/>
    </w:rPr>
  </w:style>
  <w:style w:type="paragraph" w:styleId="CommentSubject">
    <w:name w:val="annotation subject"/>
    <w:basedOn w:val="CommentText"/>
    <w:next w:val="CommentText"/>
    <w:link w:val="CommentSubjectChar"/>
    <w:uiPriority w:val="99"/>
    <w:semiHidden/>
    <w:unhideWhenUsed/>
    <w:rsid w:val="00670246"/>
    <w:rPr>
      <w:b/>
      <w:bCs/>
    </w:rPr>
  </w:style>
  <w:style w:type="character" w:customStyle="1" w:styleId="CommentSubjectChar">
    <w:name w:val="Comment Subject Char"/>
    <w:basedOn w:val="CommentTextChar"/>
    <w:link w:val="CommentSubject"/>
    <w:uiPriority w:val="99"/>
    <w:semiHidden/>
    <w:rsid w:val="00670246"/>
    <w:rPr>
      <w:b/>
      <w:bCs/>
      <w:sz w:val="20"/>
      <w:szCs w:val="20"/>
    </w:rPr>
  </w:style>
  <w:style w:type="paragraph" w:styleId="BalloonText">
    <w:name w:val="Balloon Text"/>
    <w:basedOn w:val="Normal"/>
    <w:link w:val="BalloonTextChar"/>
    <w:uiPriority w:val="99"/>
    <w:semiHidden/>
    <w:unhideWhenUsed/>
    <w:rsid w:val="0067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46"/>
    <w:rPr>
      <w:rFonts w:ascii="Segoe UI" w:hAnsi="Segoe UI" w:cs="Segoe UI"/>
      <w:sz w:val="18"/>
      <w:szCs w:val="18"/>
    </w:rPr>
  </w:style>
  <w:style w:type="paragraph" w:styleId="Header">
    <w:name w:val="header"/>
    <w:basedOn w:val="Normal"/>
    <w:link w:val="HeaderChar"/>
    <w:uiPriority w:val="99"/>
    <w:unhideWhenUsed/>
    <w:rsid w:val="008A6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E1"/>
  </w:style>
  <w:style w:type="paragraph" w:styleId="Footer">
    <w:name w:val="footer"/>
    <w:basedOn w:val="Normal"/>
    <w:link w:val="FooterChar"/>
    <w:uiPriority w:val="99"/>
    <w:unhideWhenUsed/>
    <w:rsid w:val="008A6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E1"/>
  </w:style>
  <w:style w:type="paragraph" w:styleId="Revision">
    <w:name w:val="Revision"/>
    <w:hidden/>
    <w:uiPriority w:val="99"/>
    <w:semiHidden/>
    <w:rsid w:val="00403528"/>
    <w:pPr>
      <w:spacing w:after="0" w:line="240" w:lineRule="auto"/>
    </w:pPr>
  </w:style>
  <w:style w:type="paragraph" w:styleId="BodyText">
    <w:name w:val="Body Text"/>
    <w:basedOn w:val="Normal"/>
    <w:link w:val="BodyTextChar"/>
    <w:uiPriority w:val="1"/>
    <w:qFormat/>
    <w:rsid w:val="0024406D"/>
    <w:pPr>
      <w:spacing w:before="160" w:after="0" w:line="247" w:lineRule="auto"/>
      <w:ind w:left="301" w:right="403"/>
    </w:pPr>
    <w:rPr>
      <w:rFonts w:ascii="Calibri" w:eastAsia="Calibri" w:hAnsi="Calibri" w:cs="Calibri"/>
      <w:lang w:eastAsia="en-AU" w:bidi="en-AU"/>
    </w:rPr>
  </w:style>
  <w:style w:type="character" w:customStyle="1" w:styleId="BodyTextChar">
    <w:name w:val="Body Text Char"/>
    <w:basedOn w:val="DefaultParagraphFont"/>
    <w:link w:val="BodyText"/>
    <w:uiPriority w:val="1"/>
    <w:rsid w:val="0024406D"/>
    <w:rPr>
      <w:rFonts w:ascii="Calibri" w:eastAsia="Calibri" w:hAnsi="Calibri" w:cs="Calibri"/>
      <w:lang w:eastAsia="en-AU" w:bidi="en-AU"/>
    </w:rPr>
  </w:style>
  <w:style w:type="character" w:customStyle="1" w:styleId="Heading1Char">
    <w:name w:val="Heading 1 Char"/>
    <w:basedOn w:val="DefaultParagraphFont"/>
    <w:link w:val="Heading1"/>
    <w:uiPriority w:val="1"/>
    <w:rsid w:val="001D200E"/>
    <w:rPr>
      <w:rFonts w:ascii="Calibri" w:eastAsia="Calibri" w:hAnsi="Calibri" w:cs="Calibri"/>
      <w:b/>
      <w:bCs/>
      <w:lang w:eastAsia="en-AU" w:bidi="en-AU"/>
    </w:rPr>
  </w:style>
  <w:style w:type="paragraph" w:customStyle="1" w:styleId="TableParagraph">
    <w:name w:val="Table Paragraph"/>
    <w:basedOn w:val="Normal"/>
    <w:uiPriority w:val="1"/>
    <w:qFormat/>
    <w:rsid w:val="009C3114"/>
    <w:pPr>
      <w:spacing w:before="160" w:after="0" w:line="247" w:lineRule="auto"/>
      <w:ind w:left="301" w:right="403"/>
      <w:jc w:val="right"/>
    </w:pPr>
    <w:rPr>
      <w:rFonts w:ascii="Calibri" w:eastAsia="Calibri" w:hAnsi="Calibri" w:cs="Calibri"/>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31080">
      <w:bodyDiv w:val="1"/>
      <w:marLeft w:val="0"/>
      <w:marRight w:val="0"/>
      <w:marTop w:val="0"/>
      <w:marBottom w:val="0"/>
      <w:divBdr>
        <w:top w:val="none" w:sz="0" w:space="0" w:color="auto"/>
        <w:left w:val="none" w:sz="0" w:space="0" w:color="auto"/>
        <w:bottom w:val="none" w:sz="0" w:space="0" w:color="auto"/>
        <w:right w:val="none" w:sz="0" w:space="0" w:color="auto"/>
      </w:divBdr>
    </w:div>
    <w:div w:id="152526630">
      <w:bodyDiv w:val="1"/>
      <w:marLeft w:val="0"/>
      <w:marRight w:val="0"/>
      <w:marTop w:val="0"/>
      <w:marBottom w:val="0"/>
      <w:divBdr>
        <w:top w:val="none" w:sz="0" w:space="0" w:color="auto"/>
        <w:left w:val="none" w:sz="0" w:space="0" w:color="auto"/>
        <w:bottom w:val="none" w:sz="0" w:space="0" w:color="auto"/>
        <w:right w:val="none" w:sz="0" w:space="0" w:color="auto"/>
      </w:divBdr>
    </w:div>
    <w:div w:id="305203888">
      <w:bodyDiv w:val="1"/>
      <w:marLeft w:val="0"/>
      <w:marRight w:val="0"/>
      <w:marTop w:val="0"/>
      <w:marBottom w:val="0"/>
      <w:divBdr>
        <w:top w:val="none" w:sz="0" w:space="0" w:color="auto"/>
        <w:left w:val="none" w:sz="0" w:space="0" w:color="auto"/>
        <w:bottom w:val="none" w:sz="0" w:space="0" w:color="auto"/>
        <w:right w:val="none" w:sz="0" w:space="0" w:color="auto"/>
      </w:divBdr>
    </w:div>
    <w:div w:id="508250480">
      <w:bodyDiv w:val="1"/>
      <w:marLeft w:val="0"/>
      <w:marRight w:val="0"/>
      <w:marTop w:val="0"/>
      <w:marBottom w:val="0"/>
      <w:divBdr>
        <w:top w:val="none" w:sz="0" w:space="0" w:color="auto"/>
        <w:left w:val="none" w:sz="0" w:space="0" w:color="auto"/>
        <w:bottom w:val="none" w:sz="0" w:space="0" w:color="auto"/>
        <w:right w:val="none" w:sz="0" w:space="0" w:color="auto"/>
      </w:divBdr>
    </w:div>
    <w:div w:id="695272757">
      <w:bodyDiv w:val="1"/>
      <w:marLeft w:val="0"/>
      <w:marRight w:val="0"/>
      <w:marTop w:val="0"/>
      <w:marBottom w:val="0"/>
      <w:divBdr>
        <w:top w:val="none" w:sz="0" w:space="0" w:color="auto"/>
        <w:left w:val="none" w:sz="0" w:space="0" w:color="auto"/>
        <w:bottom w:val="none" w:sz="0" w:space="0" w:color="auto"/>
        <w:right w:val="none" w:sz="0" w:space="0" w:color="auto"/>
      </w:divBdr>
    </w:div>
    <w:div w:id="724991696">
      <w:bodyDiv w:val="1"/>
      <w:marLeft w:val="0"/>
      <w:marRight w:val="0"/>
      <w:marTop w:val="0"/>
      <w:marBottom w:val="0"/>
      <w:divBdr>
        <w:top w:val="none" w:sz="0" w:space="0" w:color="auto"/>
        <w:left w:val="none" w:sz="0" w:space="0" w:color="auto"/>
        <w:bottom w:val="none" w:sz="0" w:space="0" w:color="auto"/>
        <w:right w:val="none" w:sz="0" w:space="0" w:color="auto"/>
      </w:divBdr>
    </w:div>
    <w:div w:id="781656264">
      <w:bodyDiv w:val="1"/>
      <w:marLeft w:val="0"/>
      <w:marRight w:val="0"/>
      <w:marTop w:val="0"/>
      <w:marBottom w:val="0"/>
      <w:divBdr>
        <w:top w:val="none" w:sz="0" w:space="0" w:color="auto"/>
        <w:left w:val="none" w:sz="0" w:space="0" w:color="auto"/>
        <w:bottom w:val="none" w:sz="0" w:space="0" w:color="auto"/>
        <w:right w:val="none" w:sz="0" w:space="0" w:color="auto"/>
      </w:divBdr>
    </w:div>
    <w:div w:id="976376237">
      <w:bodyDiv w:val="1"/>
      <w:marLeft w:val="0"/>
      <w:marRight w:val="0"/>
      <w:marTop w:val="0"/>
      <w:marBottom w:val="0"/>
      <w:divBdr>
        <w:top w:val="none" w:sz="0" w:space="0" w:color="auto"/>
        <w:left w:val="none" w:sz="0" w:space="0" w:color="auto"/>
        <w:bottom w:val="none" w:sz="0" w:space="0" w:color="auto"/>
        <w:right w:val="none" w:sz="0" w:space="0" w:color="auto"/>
      </w:divBdr>
    </w:div>
    <w:div w:id="991756654">
      <w:bodyDiv w:val="1"/>
      <w:marLeft w:val="0"/>
      <w:marRight w:val="0"/>
      <w:marTop w:val="0"/>
      <w:marBottom w:val="0"/>
      <w:divBdr>
        <w:top w:val="none" w:sz="0" w:space="0" w:color="auto"/>
        <w:left w:val="none" w:sz="0" w:space="0" w:color="auto"/>
        <w:bottom w:val="none" w:sz="0" w:space="0" w:color="auto"/>
        <w:right w:val="none" w:sz="0" w:space="0" w:color="auto"/>
      </w:divBdr>
    </w:div>
    <w:div w:id="1045177480">
      <w:bodyDiv w:val="1"/>
      <w:marLeft w:val="0"/>
      <w:marRight w:val="0"/>
      <w:marTop w:val="0"/>
      <w:marBottom w:val="0"/>
      <w:divBdr>
        <w:top w:val="none" w:sz="0" w:space="0" w:color="auto"/>
        <w:left w:val="none" w:sz="0" w:space="0" w:color="auto"/>
        <w:bottom w:val="none" w:sz="0" w:space="0" w:color="auto"/>
        <w:right w:val="none" w:sz="0" w:space="0" w:color="auto"/>
      </w:divBdr>
    </w:div>
    <w:div w:id="1207792145">
      <w:bodyDiv w:val="1"/>
      <w:marLeft w:val="0"/>
      <w:marRight w:val="0"/>
      <w:marTop w:val="0"/>
      <w:marBottom w:val="0"/>
      <w:divBdr>
        <w:top w:val="none" w:sz="0" w:space="0" w:color="auto"/>
        <w:left w:val="none" w:sz="0" w:space="0" w:color="auto"/>
        <w:bottom w:val="none" w:sz="0" w:space="0" w:color="auto"/>
        <w:right w:val="none" w:sz="0" w:space="0" w:color="auto"/>
      </w:divBdr>
    </w:div>
    <w:div w:id="1265113138">
      <w:bodyDiv w:val="1"/>
      <w:marLeft w:val="0"/>
      <w:marRight w:val="0"/>
      <w:marTop w:val="0"/>
      <w:marBottom w:val="0"/>
      <w:divBdr>
        <w:top w:val="none" w:sz="0" w:space="0" w:color="auto"/>
        <w:left w:val="none" w:sz="0" w:space="0" w:color="auto"/>
        <w:bottom w:val="none" w:sz="0" w:space="0" w:color="auto"/>
        <w:right w:val="none" w:sz="0" w:space="0" w:color="auto"/>
      </w:divBdr>
    </w:div>
    <w:div w:id="1275668603">
      <w:bodyDiv w:val="1"/>
      <w:marLeft w:val="0"/>
      <w:marRight w:val="0"/>
      <w:marTop w:val="0"/>
      <w:marBottom w:val="0"/>
      <w:divBdr>
        <w:top w:val="none" w:sz="0" w:space="0" w:color="auto"/>
        <w:left w:val="none" w:sz="0" w:space="0" w:color="auto"/>
        <w:bottom w:val="none" w:sz="0" w:space="0" w:color="auto"/>
        <w:right w:val="none" w:sz="0" w:space="0" w:color="auto"/>
      </w:divBdr>
    </w:div>
    <w:div w:id="1338579383">
      <w:bodyDiv w:val="1"/>
      <w:marLeft w:val="0"/>
      <w:marRight w:val="0"/>
      <w:marTop w:val="0"/>
      <w:marBottom w:val="0"/>
      <w:divBdr>
        <w:top w:val="none" w:sz="0" w:space="0" w:color="auto"/>
        <w:left w:val="none" w:sz="0" w:space="0" w:color="auto"/>
        <w:bottom w:val="none" w:sz="0" w:space="0" w:color="auto"/>
        <w:right w:val="none" w:sz="0" w:space="0" w:color="auto"/>
      </w:divBdr>
    </w:div>
    <w:div w:id="1361932602">
      <w:bodyDiv w:val="1"/>
      <w:marLeft w:val="0"/>
      <w:marRight w:val="0"/>
      <w:marTop w:val="0"/>
      <w:marBottom w:val="0"/>
      <w:divBdr>
        <w:top w:val="none" w:sz="0" w:space="0" w:color="auto"/>
        <w:left w:val="none" w:sz="0" w:space="0" w:color="auto"/>
        <w:bottom w:val="none" w:sz="0" w:space="0" w:color="auto"/>
        <w:right w:val="none" w:sz="0" w:space="0" w:color="auto"/>
      </w:divBdr>
    </w:div>
    <w:div w:id="1439911975">
      <w:bodyDiv w:val="1"/>
      <w:marLeft w:val="0"/>
      <w:marRight w:val="0"/>
      <w:marTop w:val="0"/>
      <w:marBottom w:val="0"/>
      <w:divBdr>
        <w:top w:val="none" w:sz="0" w:space="0" w:color="auto"/>
        <w:left w:val="none" w:sz="0" w:space="0" w:color="auto"/>
        <w:bottom w:val="none" w:sz="0" w:space="0" w:color="auto"/>
        <w:right w:val="none" w:sz="0" w:space="0" w:color="auto"/>
      </w:divBdr>
    </w:div>
    <w:div w:id="1563832073">
      <w:bodyDiv w:val="1"/>
      <w:marLeft w:val="0"/>
      <w:marRight w:val="0"/>
      <w:marTop w:val="0"/>
      <w:marBottom w:val="0"/>
      <w:divBdr>
        <w:top w:val="none" w:sz="0" w:space="0" w:color="auto"/>
        <w:left w:val="none" w:sz="0" w:space="0" w:color="auto"/>
        <w:bottom w:val="none" w:sz="0" w:space="0" w:color="auto"/>
        <w:right w:val="none" w:sz="0" w:space="0" w:color="auto"/>
      </w:divBdr>
    </w:div>
    <w:div w:id="1637760570">
      <w:bodyDiv w:val="1"/>
      <w:marLeft w:val="0"/>
      <w:marRight w:val="0"/>
      <w:marTop w:val="0"/>
      <w:marBottom w:val="0"/>
      <w:divBdr>
        <w:top w:val="none" w:sz="0" w:space="0" w:color="auto"/>
        <w:left w:val="none" w:sz="0" w:space="0" w:color="auto"/>
        <w:bottom w:val="none" w:sz="0" w:space="0" w:color="auto"/>
        <w:right w:val="none" w:sz="0" w:space="0" w:color="auto"/>
      </w:divBdr>
    </w:div>
    <w:div w:id="1671174662">
      <w:bodyDiv w:val="1"/>
      <w:marLeft w:val="0"/>
      <w:marRight w:val="0"/>
      <w:marTop w:val="0"/>
      <w:marBottom w:val="0"/>
      <w:divBdr>
        <w:top w:val="none" w:sz="0" w:space="0" w:color="auto"/>
        <w:left w:val="none" w:sz="0" w:space="0" w:color="auto"/>
        <w:bottom w:val="none" w:sz="0" w:space="0" w:color="auto"/>
        <w:right w:val="none" w:sz="0" w:space="0" w:color="auto"/>
      </w:divBdr>
    </w:div>
    <w:div w:id="1898735425">
      <w:bodyDiv w:val="1"/>
      <w:marLeft w:val="0"/>
      <w:marRight w:val="0"/>
      <w:marTop w:val="0"/>
      <w:marBottom w:val="0"/>
      <w:divBdr>
        <w:top w:val="none" w:sz="0" w:space="0" w:color="auto"/>
        <w:left w:val="none" w:sz="0" w:space="0" w:color="auto"/>
        <w:bottom w:val="none" w:sz="0" w:space="0" w:color="auto"/>
        <w:right w:val="none" w:sz="0" w:space="0" w:color="auto"/>
      </w:divBdr>
    </w:div>
    <w:div w:id="21296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POP accessible">
      <a:dk1>
        <a:sysClr val="windowText" lastClr="000000"/>
      </a:dk1>
      <a:lt1>
        <a:sysClr val="window" lastClr="FFFFFF"/>
      </a:lt1>
      <a:dk2>
        <a:srgbClr val="38AFCF"/>
      </a:dk2>
      <a:lt2>
        <a:srgbClr val="4DBC8D"/>
      </a:lt2>
      <a:accent1>
        <a:srgbClr val="002C47"/>
      </a:accent1>
      <a:accent2>
        <a:srgbClr val="1E75BA"/>
      </a:accent2>
      <a:accent3>
        <a:srgbClr val="CF542F"/>
      </a:accent3>
      <a:accent4>
        <a:srgbClr val="2F8361"/>
      </a:accent4>
      <a:accent5>
        <a:srgbClr val="9E928F"/>
      </a:accent5>
      <a:accent6>
        <a:srgbClr val="277F9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4628-0BED-43AE-BA76-077994ED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2021-04-30T04:43:00Z</dcterms:created>
  <dcterms:modified xsi:type="dcterms:W3CDTF">2021-04-30T04:46:00Z</dcterms:modified>
</cp:coreProperties>
</file>