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0" w:type="dxa"/>
        <w:tblLook w:val="04A0" w:firstRow="1" w:lastRow="0" w:firstColumn="1" w:lastColumn="0" w:noHBand="0" w:noVBand="1"/>
      </w:tblPr>
      <w:tblGrid>
        <w:gridCol w:w="9070"/>
      </w:tblGrid>
      <w:tr w:rsidR="00293C4B" w:rsidRPr="0023709A" w14:paraId="10296DCC" w14:textId="77777777" w:rsidTr="004B53AF">
        <w:trPr>
          <w:trHeight w:val="300"/>
        </w:trPr>
        <w:tc>
          <w:tcPr>
            <w:tcW w:w="5000" w:type="pct"/>
            <w:shd w:val="clear" w:color="auto" w:fill="auto"/>
            <w:vAlign w:val="center"/>
          </w:tcPr>
          <w:p w14:paraId="3B7EF27D" w14:textId="4D17C263" w:rsidR="00293C4B" w:rsidRPr="003A7FFE" w:rsidRDefault="005C15BD" w:rsidP="003A7FFE">
            <w:pPr>
              <w:pStyle w:val="Heading2"/>
            </w:pPr>
            <w:bookmarkStart w:id="0" w:name="_Ref69990914"/>
            <w:r w:rsidRPr="003A7FFE">
              <w:t>National, state and territory population</w:t>
            </w:r>
            <w:r w:rsidR="00BD20D7" w:rsidRPr="003A7FFE">
              <w:t xml:space="preserve">, </w:t>
            </w:r>
            <w:bookmarkEnd w:id="0"/>
            <w:r w:rsidRPr="003A7FFE">
              <w:t>December</w:t>
            </w:r>
            <w:r w:rsidR="0028692E" w:rsidRPr="003A7FFE">
              <w:t xml:space="preserve"> </w:t>
            </w:r>
            <w:r w:rsidRPr="003A7FFE">
              <w:t>2020</w:t>
            </w:r>
          </w:p>
        </w:tc>
      </w:tr>
      <w:tr w:rsidR="00293C4B" w:rsidRPr="0023709A" w14:paraId="35587571" w14:textId="77777777" w:rsidTr="009E166B">
        <w:trPr>
          <w:trHeight w:val="300"/>
        </w:trPr>
        <w:tc>
          <w:tcPr>
            <w:tcW w:w="5000" w:type="pct"/>
            <w:shd w:val="clear" w:color="auto" w:fill="CCE3F6" w:themeFill="accent2" w:themeFillTint="33"/>
            <w:vAlign w:val="center"/>
          </w:tcPr>
          <w:p w14:paraId="07102755" w14:textId="7C32CBA2" w:rsidR="00056E4C" w:rsidRPr="00834409" w:rsidRDefault="00945E30" w:rsidP="00945E30">
            <w:pPr>
              <w:pStyle w:val="BoxText"/>
              <w:rPr>
                <w:szCs w:val="19"/>
              </w:rPr>
            </w:pPr>
            <w:r w:rsidRPr="000B6715">
              <w:rPr>
                <w:szCs w:val="19"/>
              </w:rPr>
              <w:t xml:space="preserve">The Estimated Resident Population (ERP) of Australia was </w:t>
            </w:r>
            <w:r w:rsidR="00523E0B" w:rsidRPr="000B6715">
              <w:rPr>
                <w:szCs w:val="19"/>
              </w:rPr>
              <w:t>25.7</w:t>
            </w:r>
            <w:r w:rsidRPr="000B6715">
              <w:rPr>
                <w:szCs w:val="19"/>
              </w:rPr>
              <w:t xml:space="preserve"> million people </w:t>
            </w:r>
            <w:r w:rsidRPr="00834409">
              <w:rPr>
                <w:szCs w:val="19"/>
              </w:rPr>
              <w:t xml:space="preserve">at </w:t>
            </w:r>
            <w:r w:rsidR="000B6715" w:rsidRPr="00834409">
              <w:rPr>
                <w:szCs w:val="19"/>
              </w:rPr>
              <w:t xml:space="preserve">31 </w:t>
            </w:r>
            <w:r w:rsidRPr="00834409">
              <w:rPr>
                <w:szCs w:val="19"/>
              </w:rPr>
              <w:t xml:space="preserve">December 2020, around </w:t>
            </w:r>
            <w:r w:rsidR="00523E0B" w:rsidRPr="00834409">
              <w:rPr>
                <w:szCs w:val="19"/>
              </w:rPr>
              <w:t>6,900</w:t>
            </w:r>
            <w:r w:rsidRPr="00834409">
              <w:rPr>
                <w:szCs w:val="19"/>
              </w:rPr>
              <w:t xml:space="preserve"> people larger than the last quarter in September 2020. </w:t>
            </w:r>
            <w:r w:rsidR="005330EA" w:rsidRPr="00834409">
              <w:rPr>
                <w:szCs w:val="19"/>
              </w:rPr>
              <w:t xml:space="preserve">Population growth for </w:t>
            </w:r>
            <w:r w:rsidR="003E5E43" w:rsidRPr="00834409">
              <w:rPr>
                <w:szCs w:val="19"/>
              </w:rPr>
              <w:t xml:space="preserve">the </w:t>
            </w:r>
            <w:r w:rsidR="005330EA" w:rsidRPr="00834409">
              <w:rPr>
                <w:szCs w:val="19"/>
              </w:rPr>
              <w:t>year ending December 2020</w:t>
            </w:r>
            <w:r w:rsidR="00056E4C" w:rsidRPr="00834409">
              <w:rPr>
                <w:szCs w:val="19"/>
              </w:rPr>
              <w:t xml:space="preserve"> was 0.5 per cent</w:t>
            </w:r>
            <w:r w:rsidR="005E58EF" w:rsidRPr="00834409">
              <w:rPr>
                <w:szCs w:val="19"/>
              </w:rPr>
              <w:t xml:space="preserve"> (136,</w:t>
            </w:r>
            <w:r w:rsidR="00D14E2C" w:rsidRPr="00834409">
              <w:rPr>
                <w:szCs w:val="19"/>
              </w:rPr>
              <w:t>0</w:t>
            </w:r>
            <w:r w:rsidR="005E58EF" w:rsidRPr="00834409">
              <w:rPr>
                <w:szCs w:val="19"/>
              </w:rPr>
              <w:t>00 people)</w:t>
            </w:r>
            <w:r w:rsidR="00056E4C" w:rsidRPr="00834409">
              <w:rPr>
                <w:szCs w:val="19"/>
              </w:rPr>
              <w:t>, down from 1.5 per cent in the year ending December 2019.</w:t>
            </w:r>
            <w:r w:rsidR="003A7FFE" w:rsidRPr="00834409">
              <w:rPr>
                <w:szCs w:val="19"/>
              </w:rPr>
              <w:t xml:space="preserve"> </w:t>
            </w:r>
            <w:r w:rsidR="00056E4C" w:rsidRPr="00834409">
              <w:rPr>
                <w:szCs w:val="19"/>
              </w:rPr>
              <w:t>This is the lowest</w:t>
            </w:r>
            <w:r w:rsidR="005E58EF" w:rsidRPr="00834409">
              <w:rPr>
                <w:szCs w:val="19"/>
              </w:rPr>
              <w:t xml:space="preserve"> </w:t>
            </w:r>
            <w:r w:rsidR="00056E4C" w:rsidRPr="00834409">
              <w:rPr>
                <w:szCs w:val="19"/>
              </w:rPr>
              <w:t xml:space="preserve">growth </w:t>
            </w:r>
            <w:r w:rsidR="003A7FFE" w:rsidRPr="00834409">
              <w:rPr>
                <w:szCs w:val="19"/>
              </w:rPr>
              <w:t xml:space="preserve">for a calendar year </w:t>
            </w:r>
            <w:r w:rsidR="00056E4C" w:rsidRPr="00834409">
              <w:rPr>
                <w:szCs w:val="19"/>
              </w:rPr>
              <w:t>since 1916 when growth was -1.0</w:t>
            </w:r>
            <w:r w:rsidR="005E58EF" w:rsidRPr="00834409">
              <w:rPr>
                <w:szCs w:val="19"/>
              </w:rPr>
              <w:t xml:space="preserve"> per cent.</w:t>
            </w:r>
          </w:p>
          <w:p w14:paraId="0185A9B0" w14:textId="2A3AAEE8" w:rsidR="00BC14D8" w:rsidRPr="00834409" w:rsidRDefault="00BC14D8" w:rsidP="00945E30">
            <w:pPr>
              <w:pStyle w:val="BoxText"/>
              <w:rPr>
                <w:szCs w:val="19"/>
              </w:rPr>
            </w:pPr>
            <w:r w:rsidRPr="00834409">
              <w:rPr>
                <w:szCs w:val="19"/>
              </w:rPr>
              <w:t xml:space="preserve">Natural increase accounted for 97.6 per cent of annual </w:t>
            </w:r>
            <w:r w:rsidR="00277DCD" w:rsidRPr="00834409">
              <w:rPr>
                <w:szCs w:val="19"/>
              </w:rPr>
              <w:t xml:space="preserve">population </w:t>
            </w:r>
            <w:r w:rsidRPr="00834409">
              <w:rPr>
                <w:szCs w:val="19"/>
              </w:rPr>
              <w:t xml:space="preserve">growth </w:t>
            </w:r>
            <w:r w:rsidR="00277DCD" w:rsidRPr="00834409">
              <w:rPr>
                <w:szCs w:val="19"/>
              </w:rPr>
              <w:t xml:space="preserve">over </w:t>
            </w:r>
            <w:r w:rsidRPr="00834409">
              <w:rPr>
                <w:szCs w:val="19"/>
              </w:rPr>
              <w:t>the year ending December 2020 and net overseas migration (NOM) the other 2.4 per cent.</w:t>
            </w:r>
          </w:p>
          <w:p w14:paraId="2A039237" w14:textId="58A679AF" w:rsidR="00EE1538" w:rsidRPr="00834409" w:rsidRDefault="00EE1538" w:rsidP="00EE1538">
            <w:pPr>
              <w:pStyle w:val="BoxText"/>
              <w:rPr>
                <w:szCs w:val="19"/>
              </w:rPr>
            </w:pPr>
            <w:r w:rsidRPr="00834409">
              <w:rPr>
                <w:szCs w:val="19"/>
              </w:rPr>
              <w:t>The December 2020 quarter is the third quarter we have seen travel restrictions due to the COVID</w:t>
            </w:r>
            <w:r w:rsidRPr="00834409">
              <w:rPr>
                <w:szCs w:val="19"/>
              </w:rPr>
              <w:noBreakHyphen/>
              <w:t xml:space="preserve">19 pandemic contribute to negative NOM. Annual NOM dropped </w:t>
            </w:r>
            <w:r w:rsidR="00277DCD" w:rsidRPr="00834409">
              <w:rPr>
                <w:szCs w:val="19"/>
              </w:rPr>
              <w:t xml:space="preserve">to </w:t>
            </w:r>
            <w:r w:rsidRPr="00834409">
              <w:rPr>
                <w:szCs w:val="19"/>
              </w:rPr>
              <w:t xml:space="preserve">3,300 people, the lowest </w:t>
            </w:r>
            <w:r w:rsidR="00277DCD" w:rsidRPr="00834409">
              <w:rPr>
                <w:szCs w:val="19"/>
              </w:rPr>
              <w:t xml:space="preserve">annual </w:t>
            </w:r>
            <w:r w:rsidRPr="00834409">
              <w:rPr>
                <w:szCs w:val="19"/>
              </w:rPr>
              <w:t>level in over 20 years.</w:t>
            </w:r>
          </w:p>
          <w:p w14:paraId="195A3964" w14:textId="32411706" w:rsidR="00815D89" w:rsidRPr="00044A6C" w:rsidRDefault="00044A6C" w:rsidP="00834409">
            <w:pPr>
              <w:pStyle w:val="BoxText"/>
              <w:rPr>
                <w:rFonts w:eastAsia="Calibri" w:cs="Calibri"/>
              </w:rPr>
            </w:pPr>
            <w:r w:rsidRPr="00834409">
              <w:rPr>
                <w:szCs w:val="19"/>
              </w:rPr>
              <w:t>While</w:t>
            </w:r>
            <w:r w:rsidRPr="00834409">
              <w:rPr>
                <w:rFonts w:eastAsia="Calibri" w:cs="Calibri"/>
                <w:szCs w:val="19"/>
              </w:rPr>
              <w:t xml:space="preserve"> annual population growth was positive in all states and territories, growth was dampened compared to the same period in 2019 in all jurisdictions except for the Northern Territory. Victorian population growth </w:t>
            </w:r>
            <w:r w:rsidR="00F3311B" w:rsidRPr="00834409">
              <w:rPr>
                <w:rFonts w:eastAsia="Calibri" w:cs="Calibri"/>
                <w:szCs w:val="19"/>
              </w:rPr>
              <w:t>declined to a low.</w:t>
            </w:r>
          </w:p>
        </w:tc>
      </w:tr>
      <w:tr w:rsidR="00AE6BF9" w:rsidRPr="0023709A" w14:paraId="357663B1" w14:textId="77777777" w:rsidTr="00AE6BF9">
        <w:trPr>
          <w:trHeight w:val="300"/>
        </w:trPr>
        <w:tc>
          <w:tcPr>
            <w:tcW w:w="5000" w:type="pct"/>
            <w:shd w:val="clear" w:color="auto" w:fill="auto"/>
            <w:vAlign w:val="center"/>
          </w:tcPr>
          <w:p w14:paraId="16E1BD8B" w14:textId="16448EA8" w:rsidR="00405AD5" w:rsidRPr="004C38EA" w:rsidRDefault="00405AD5">
            <w:pPr>
              <w:pStyle w:val="Heading3"/>
            </w:pPr>
            <w:r w:rsidRPr="004C38EA">
              <w:t>National outcomes</w:t>
            </w:r>
          </w:p>
          <w:p w14:paraId="7CC29C72" w14:textId="45680F0E" w:rsidR="00AE6BF9" w:rsidRDefault="00AE6BF9" w:rsidP="00AE6BF9">
            <w:r>
              <w:t>Australia’s population grew by 6,900 people in the December 2020 quarter (0.0 per cent change for the quarter). This follows the population decline observed in the September 2020, which was the first quarterly decline</w:t>
            </w:r>
            <w:r w:rsidRPr="00945E30">
              <w:rPr>
                <w:b/>
              </w:rPr>
              <w:t xml:space="preserve"> </w:t>
            </w:r>
            <w:r w:rsidRPr="00945E30">
              <w:t>since quarterly ERP has been measured by the Australian Bureau of Statistics (1981)</w:t>
            </w:r>
            <w:r>
              <w:t>, and which was revised down from -4,200 people to -10,600 people.</w:t>
            </w:r>
            <w:r w:rsidRPr="00945E30">
              <w:t xml:space="preserve"> Chart 1 shows quarterly population growth and its components</w:t>
            </w:r>
            <w:r>
              <w:t>.</w:t>
            </w:r>
          </w:p>
          <w:p w14:paraId="50F8BA33" w14:textId="77777777" w:rsidR="00AE6BF9" w:rsidRPr="00834409" w:rsidRDefault="00AE6BF9" w:rsidP="008E0014">
            <w:pPr>
              <w:pStyle w:val="Heading9"/>
            </w:pPr>
            <w:r w:rsidRPr="00834409">
              <w:t>Quarterly national population growth and components, number of people</w:t>
            </w:r>
          </w:p>
          <w:p w14:paraId="710C08DF" w14:textId="77777777" w:rsidR="00AE6BF9" w:rsidRDefault="00AE6BF9" w:rsidP="00AE6BF9">
            <w:r w:rsidRPr="002D01D9">
              <w:rPr>
                <w:noProof/>
              </w:rPr>
              <w:drawing>
                <wp:inline distT="0" distB="0" distL="0" distR="0" wp14:anchorId="56DC5ACF" wp14:editId="5E94A831">
                  <wp:extent cx="5581650" cy="2512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2512695"/>
                          </a:xfrm>
                          <a:prstGeom prst="rect">
                            <a:avLst/>
                          </a:prstGeom>
                          <a:noFill/>
                          <a:ln>
                            <a:noFill/>
                          </a:ln>
                        </pic:spPr>
                      </pic:pic>
                    </a:graphicData>
                  </a:graphic>
                </wp:inline>
              </w:drawing>
            </w:r>
          </w:p>
          <w:p w14:paraId="163F1045" w14:textId="68CA1B5D" w:rsidR="00AE6BF9" w:rsidRDefault="00AE6BF9" w:rsidP="00AE6BF9">
            <w:r>
              <w:t>In the December 2020 quarter, 67,000 people emigrated from Australia compared to 42,</w:t>
            </w:r>
            <w:r w:rsidR="0016052C">
              <w:t>1</w:t>
            </w:r>
            <w:r>
              <w:t xml:space="preserve">00 arriving immigrants. While the resulting </w:t>
            </w:r>
            <w:r>
              <w:rPr>
                <w:b/>
                <w:bCs/>
              </w:rPr>
              <w:t>n</w:t>
            </w:r>
            <w:r w:rsidRPr="009033F7">
              <w:rPr>
                <w:b/>
                <w:bCs/>
              </w:rPr>
              <w:t>et overseas migration (NOM)</w:t>
            </w:r>
            <w:r>
              <w:t xml:space="preserve"> of -2</w:t>
            </w:r>
            <w:r w:rsidR="0016052C">
              <w:t>4</w:t>
            </w:r>
            <w:r>
              <w:t>,</w:t>
            </w:r>
            <w:r w:rsidR="0016052C">
              <w:t>9</w:t>
            </w:r>
            <w:r>
              <w:t xml:space="preserve">00 is higher compared to </w:t>
            </w:r>
            <w:r>
              <w:noBreakHyphen/>
            </w:r>
            <w:r w:rsidRPr="00791A7A">
              <w:t>41,</w:t>
            </w:r>
            <w:r w:rsidR="0016052C">
              <w:t>2</w:t>
            </w:r>
            <w:r w:rsidRPr="00791A7A">
              <w:t xml:space="preserve">00 in the </w:t>
            </w:r>
            <w:r>
              <w:t xml:space="preserve">previous </w:t>
            </w:r>
            <w:r w:rsidRPr="00791A7A">
              <w:t>quarter (Chart 1)</w:t>
            </w:r>
            <w:r>
              <w:t xml:space="preserve">, this </w:t>
            </w:r>
            <w:r w:rsidRPr="00791A7A">
              <w:t>is the third consecutive quarter of negative NOM since the beginning of the COVID-19 pandemic</w:t>
            </w:r>
            <w:r>
              <w:t xml:space="preserve">, and </w:t>
            </w:r>
            <w:r w:rsidR="004C38EA">
              <w:t>is the fourth</w:t>
            </w:r>
            <w:r>
              <w:t xml:space="preserve"> observation of negative NOM since the ERP series began. </w:t>
            </w:r>
          </w:p>
          <w:p w14:paraId="0C5FEB8E" w14:textId="4DCDE67B" w:rsidR="00AE6BF9" w:rsidRDefault="00AE6BF9" w:rsidP="00AE6BF9">
            <w:r>
              <w:t>Annual NOM over the year to December 2020 was 3,300, a decrease of 244,000 (98.7 per cent) from the year to December 2019</w:t>
            </w:r>
            <w:r w:rsidRPr="00A95F73">
              <w:t xml:space="preserve"> (Chart 2).</w:t>
            </w:r>
          </w:p>
          <w:p w14:paraId="3829C4F9" w14:textId="77777777" w:rsidR="00AE6BF9" w:rsidRPr="00945E30" w:rsidRDefault="00AE6BF9" w:rsidP="00945E30">
            <w:pPr>
              <w:pStyle w:val="BoxText"/>
            </w:pPr>
          </w:p>
        </w:tc>
      </w:tr>
    </w:tbl>
    <w:p w14:paraId="1F41662B" w14:textId="77777777" w:rsidR="00AE6BF9" w:rsidRDefault="00AE6BF9">
      <w:pPr>
        <w:sectPr w:rsidR="00AE6BF9" w:rsidSect="006B5943">
          <w:headerReference w:type="even" r:id="rId14"/>
          <w:headerReference w:type="default" r:id="rId15"/>
          <w:footerReference w:type="even" r:id="rId16"/>
          <w:footerReference w:type="default" r:id="rId17"/>
          <w:headerReference w:type="first" r:id="rId18"/>
          <w:footerReference w:type="first" r:id="rId19"/>
          <w:pgSz w:w="11906" w:h="16838" w:code="9"/>
          <w:pgMar w:top="2552" w:right="1418" w:bottom="1134" w:left="1418" w:header="737" w:footer="737" w:gutter="0"/>
          <w:cols w:space="708"/>
          <w:titlePg/>
          <w:docGrid w:linePitch="360"/>
        </w:sectPr>
      </w:pPr>
    </w:p>
    <w:tbl>
      <w:tblPr>
        <w:tblW w:w="9070" w:type="dxa"/>
        <w:tblLayout w:type="fixed"/>
        <w:tblLook w:val="04A0" w:firstRow="1" w:lastRow="0" w:firstColumn="1" w:lastColumn="0" w:noHBand="0" w:noVBand="1"/>
      </w:tblPr>
      <w:tblGrid>
        <w:gridCol w:w="9070"/>
      </w:tblGrid>
      <w:tr w:rsidR="00A21A3E" w:rsidRPr="0023709A" w14:paraId="722A6EE2" w14:textId="77777777" w:rsidTr="00834409">
        <w:trPr>
          <w:trHeight w:val="300"/>
        </w:trPr>
        <w:tc>
          <w:tcPr>
            <w:tcW w:w="5000" w:type="pct"/>
          </w:tcPr>
          <w:p w14:paraId="04D65ABC" w14:textId="62764BDC" w:rsidR="00F31639" w:rsidRPr="00834409" w:rsidRDefault="00F31639" w:rsidP="008E0014">
            <w:pPr>
              <w:pStyle w:val="Heading9"/>
            </w:pPr>
            <w:r w:rsidRPr="00834409">
              <w:lastRenderedPageBreak/>
              <w:t>Net overseas migration, year ending</w:t>
            </w:r>
          </w:p>
          <w:p w14:paraId="6BEBA5F4" w14:textId="0D4DD0F8" w:rsidR="00B35F1C" w:rsidRDefault="00B35F1C" w:rsidP="00B35F1C">
            <w:pPr>
              <w:rPr>
                <w:noProof/>
              </w:rPr>
            </w:pPr>
            <w:r w:rsidRPr="00B35F1C">
              <w:rPr>
                <w:noProof/>
              </w:rPr>
              <w:drawing>
                <wp:inline distT="0" distB="0" distL="0" distR="0" wp14:anchorId="7131C559" wp14:editId="2A94109B">
                  <wp:extent cx="5581650" cy="2520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520315"/>
                          </a:xfrm>
                          <a:prstGeom prst="rect">
                            <a:avLst/>
                          </a:prstGeom>
                          <a:noFill/>
                          <a:ln>
                            <a:noFill/>
                          </a:ln>
                        </pic:spPr>
                      </pic:pic>
                    </a:graphicData>
                  </a:graphic>
                </wp:inline>
              </w:drawing>
            </w:r>
          </w:p>
          <w:p w14:paraId="32817F69" w14:textId="56EDB647" w:rsidR="00364843" w:rsidRDefault="00F31639" w:rsidP="00F31639">
            <w:pPr>
              <w:rPr>
                <w:rFonts w:eastAsia="Calibri" w:cs="Calibri"/>
              </w:rPr>
            </w:pPr>
            <w:r>
              <w:rPr>
                <w:rFonts w:eastAsia="Calibri" w:cs="Calibri"/>
                <w:b/>
              </w:rPr>
              <w:t>Natural increase</w:t>
            </w:r>
            <w:r>
              <w:rPr>
                <w:rFonts w:eastAsia="Calibri" w:cs="Calibri"/>
                <w:bCs/>
              </w:rPr>
              <w:t xml:space="preserve"> over the year to December 2020 </w:t>
            </w:r>
            <w:r w:rsidR="004E1632">
              <w:rPr>
                <w:rFonts w:eastAsia="Calibri" w:cs="Calibri"/>
                <w:bCs/>
              </w:rPr>
              <w:t xml:space="preserve">was </w:t>
            </w:r>
            <w:r w:rsidR="00A95F73">
              <w:rPr>
                <w:rFonts w:eastAsia="Calibri" w:cs="Calibri"/>
                <w:bCs/>
              </w:rPr>
              <w:t xml:space="preserve">133,000 </w:t>
            </w:r>
            <w:proofErr w:type="gramStart"/>
            <w:r>
              <w:rPr>
                <w:rFonts w:eastAsia="Calibri" w:cs="Calibri"/>
                <w:bCs/>
              </w:rPr>
              <w:t>people</w:t>
            </w:r>
            <w:r w:rsidR="004E1632">
              <w:rPr>
                <w:rFonts w:eastAsia="Calibri" w:cs="Calibri"/>
                <w:bCs/>
              </w:rPr>
              <w:t>,</w:t>
            </w:r>
            <w:r>
              <w:rPr>
                <w:rFonts w:eastAsia="Calibri" w:cs="Calibri"/>
                <w:bCs/>
              </w:rPr>
              <w:t xml:space="preserve"> and</w:t>
            </w:r>
            <w:proofErr w:type="gramEnd"/>
            <w:r>
              <w:rPr>
                <w:rFonts w:eastAsia="Calibri" w:cs="Calibri"/>
                <w:bCs/>
              </w:rPr>
              <w:t xml:space="preserve"> accounted for</w:t>
            </w:r>
            <w:r w:rsidR="00A95F73">
              <w:rPr>
                <w:rFonts w:eastAsia="Calibri" w:cs="Calibri"/>
                <w:bCs/>
              </w:rPr>
              <w:t xml:space="preserve"> 97.6</w:t>
            </w:r>
            <w:r>
              <w:rPr>
                <w:rFonts w:eastAsia="Calibri" w:cs="Calibri"/>
                <w:bCs/>
              </w:rPr>
              <w:t xml:space="preserve"> per cent of annual population growth. </w:t>
            </w:r>
            <w:r>
              <w:rPr>
                <w:rFonts w:eastAsia="Calibri" w:cs="Calibri"/>
              </w:rPr>
              <w:t>Annual births</w:t>
            </w:r>
            <w:r w:rsidR="00A95F73">
              <w:rPr>
                <w:rFonts w:eastAsia="Calibri" w:cs="Calibri"/>
              </w:rPr>
              <w:t xml:space="preserve"> fell slightly to </w:t>
            </w:r>
            <w:r w:rsidR="0096704E">
              <w:rPr>
                <w:rFonts w:eastAsia="Calibri" w:cs="Calibri"/>
              </w:rPr>
              <w:t>294,000</w:t>
            </w:r>
            <w:r w:rsidR="004E1632">
              <w:rPr>
                <w:rFonts w:eastAsia="Calibri" w:cs="Calibri"/>
              </w:rPr>
              <w:t xml:space="preserve"> –</w:t>
            </w:r>
            <w:r w:rsidR="0096704E">
              <w:rPr>
                <w:rFonts w:eastAsia="Calibri" w:cs="Calibri"/>
              </w:rPr>
              <w:t xml:space="preserve"> the</w:t>
            </w:r>
            <w:r w:rsidR="004E1632">
              <w:rPr>
                <w:rFonts w:eastAsia="Calibri" w:cs="Calibri"/>
              </w:rPr>
              <w:t xml:space="preserve"> </w:t>
            </w:r>
            <w:r w:rsidR="0096704E">
              <w:rPr>
                <w:rFonts w:eastAsia="Calibri" w:cs="Calibri"/>
              </w:rPr>
              <w:t>lowest level since</w:t>
            </w:r>
            <w:r w:rsidR="003348F5">
              <w:rPr>
                <w:rFonts w:eastAsia="Calibri" w:cs="Calibri"/>
              </w:rPr>
              <w:t xml:space="preserve"> year ending December </w:t>
            </w:r>
            <w:r w:rsidR="003348F5" w:rsidRPr="00707C5B">
              <w:rPr>
                <w:rFonts w:eastAsia="Calibri" w:cs="Calibri"/>
              </w:rPr>
              <w:t>2007</w:t>
            </w:r>
            <w:r w:rsidR="004E1632" w:rsidRPr="00707C5B">
              <w:rPr>
                <w:rFonts w:eastAsia="Calibri" w:cs="Calibri"/>
              </w:rPr>
              <w:t xml:space="preserve"> </w:t>
            </w:r>
            <w:r w:rsidR="004E1632" w:rsidRPr="00834409">
              <w:rPr>
                <w:rFonts w:eastAsia="Calibri" w:cs="Calibri"/>
              </w:rPr>
              <w:t>(</w:t>
            </w:r>
            <w:r w:rsidR="00D14E2C" w:rsidRPr="00834409">
              <w:rPr>
                <w:rFonts w:eastAsia="Calibri" w:cs="Calibri"/>
              </w:rPr>
              <w:t>293,000</w:t>
            </w:r>
            <w:r w:rsidR="004E1632" w:rsidRPr="00707C5B">
              <w:rPr>
                <w:rFonts w:eastAsia="Calibri" w:cs="Calibri"/>
              </w:rPr>
              <w:t xml:space="preserve"> births)</w:t>
            </w:r>
            <w:r w:rsidR="003348F5" w:rsidRPr="00707C5B">
              <w:rPr>
                <w:rFonts w:eastAsia="Calibri" w:cs="Calibri"/>
              </w:rPr>
              <w:t>.</w:t>
            </w:r>
            <w:r w:rsidR="0096704E" w:rsidRPr="00707C5B">
              <w:rPr>
                <w:rFonts w:eastAsia="Calibri" w:cs="Calibri"/>
              </w:rPr>
              <w:t xml:space="preserve"> </w:t>
            </w:r>
            <w:r w:rsidR="00D97789">
              <w:rPr>
                <w:rFonts w:eastAsia="Calibri" w:cs="Calibri"/>
              </w:rPr>
              <w:t xml:space="preserve">This may in part be due to delays </w:t>
            </w:r>
            <w:r w:rsidR="00364843">
              <w:rPr>
                <w:rFonts w:eastAsia="Calibri" w:cs="Calibri"/>
              </w:rPr>
              <w:t>in birth registrations during lockdown</w:t>
            </w:r>
            <w:r w:rsidR="004C38EA">
              <w:rPr>
                <w:rFonts w:eastAsia="Calibri" w:cs="Calibri"/>
              </w:rPr>
              <w:t>s</w:t>
            </w:r>
            <w:r w:rsidR="00364843">
              <w:rPr>
                <w:rFonts w:eastAsia="Calibri" w:cs="Calibri"/>
              </w:rPr>
              <w:t>.</w:t>
            </w:r>
          </w:p>
          <w:p w14:paraId="64A90131" w14:textId="268F01A9" w:rsidR="008852F9" w:rsidRDefault="004E1632" w:rsidP="008852F9">
            <w:r>
              <w:t>T</w:t>
            </w:r>
            <w:r w:rsidR="008852F9">
              <w:t>he number of deaths in Australia decreased slightly by -5,</w:t>
            </w:r>
            <w:r w:rsidR="004C38EA">
              <w:t xml:space="preserve">700 </w:t>
            </w:r>
            <w:r w:rsidR="008852F9">
              <w:t>people in the year to December 2020</w:t>
            </w:r>
            <w:r w:rsidR="00405536">
              <w:t xml:space="preserve">, with </w:t>
            </w:r>
            <w:r w:rsidR="00C3453B">
              <w:t>161,</w:t>
            </w:r>
            <w:r w:rsidR="00D14E2C">
              <w:t>0</w:t>
            </w:r>
            <w:r w:rsidR="00C3453B">
              <w:t>00</w:t>
            </w:r>
            <w:r w:rsidR="00405536">
              <w:t xml:space="preserve"> deaths in total for the calendar year</w:t>
            </w:r>
            <w:r w:rsidR="008852F9">
              <w:t xml:space="preserve">. This decrease </w:t>
            </w:r>
            <w:r w:rsidR="00D97789">
              <w:t xml:space="preserve">could in part </w:t>
            </w:r>
            <w:r w:rsidR="00D025C8">
              <w:t>be a</w:t>
            </w:r>
            <w:r w:rsidR="008852F9">
              <w:t xml:space="preserve"> result of</w:t>
            </w:r>
            <w:r w:rsidR="00922FB5">
              <w:t xml:space="preserve"> </w:t>
            </w:r>
            <w:r w:rsidR="00D006FC">
              <w:t>pandemic-related</w:t>
            </w:r>
            <w:r w:rsidR="00922FB5">
              <w:t xml:space="preserve"> restrictions, social distancing, and better hygiene practices</w:t>
            </w:r>
            <w:r w:rsidR="00D97789">
              <w:t xml:space="preserve"> (also see </w:t>
            </w:r>
            <w:r w:rsidR="008852F9">
              <w:t xml:space="preserve">analysis of the Australian Bureau Statistics’, </w:t>
            </w:r>
            <w:hyperlink r:id="rId21" w:history="1">
              <w:r w:rsidR="008852F9" w:rsidRPr="00834409">
                <w:rPr>
                  <w:rStyle w:val="Hyperlink"/>
                  <w:i/>
                  <w:iCs/>
                </w:rPr>
                <w:t>Provisional Mortality Statistics (January 2020 – December 2020)</w:t>
              </w:r>
            </w:hyperlink>
            <w:r w:rsidR="00D97789">
              <w:t>)</w:t>
            </w:r>
            <w:r w:rsidR="008852F9">
              <w:t>.</w:t>
            </w:r>
          </w:p>
          <w:p w14:paraId="4F9A428F" w14:textId="72FB6677" w:rsidR="00F31639" w:rsidRDefault="00402BBA" w:rsidP="00F31639">
            <w:pPr>
              <w:rPr>
                <w:rFonts w:eastAsia="Calibri" w:cs="Calibri"/>
              </w:rPr>
            </w:pPr>
            <w:r>
              <w:rPr>
                <w:rFonts w:eastAsia="Calibri" w:cs="Calibri"/>
              </w:rPr>
              <w:t xml:space="preserve">There was a quarterly increase of 28,600 moves between the September and December 2020 quarters. </w:t>
            </w:r>
            <w:r w:rsidRPr="00D05994">
              <w:rPr>
                <w:rFonts w:eastAsia="Calibri" w:cs="Calibri"/>
              </w:rPr>
              <w:t>However,</w:t>
            </w:r>
            <w:r w:rsidR="00250DCD" w:rsidRPr="00D05994">
              <w:rPr>
                <w:rFonts w:eastAsia="Calibri" w:cs="Calibri"/>
              </w:rPr>
              <w:t xml:space="preserve"> </w:t>
            </w:r>
            <w:r w:rsidR="00D05994" w:rsidRPr="00834409">
              <w:rPr>
                <w:rFonts w:eastAsia="Calibri" w:cs="Calibri"/>
                <w:bCs/>
                <w:color w:val="000000"/>
              </w:rPr>
              <w:t>total number of people moving interstate (</w:t>
            </w:r>
            <w:r w:rsidR="00D05994" w:rsidRPr="00834409">
              <w:rPr>
                <w:rFonts w:eastAsia="Calibri" w:cs="Calibri"/>
                <w:b/>
                <w:color w:val="000000"/>
              </w:rPr>
              <w:t xml:space="preserve">net interstate migration, or NIM) </w:t>
            </w:r>
            <w:r w:rsidR="00D05994" w:rsidRPr="00834409">
              <w:rPr>
                <w:rFonts w:eastAsia="Calibri" w:cs="Calibri"/>
              </w:rPr>
              <w:t>declined by 10.6 per cent over the year to December 2020, compared to a decline of 0.7 per cent in the previous year – around 4</w:t>
            </w:r>
            <w:r w:rsidR="00D723BE">
              <w:rPr>
                <w:rFonts w:eastAsia="Calibri" w:cs="Calibri"/>
              </w:rPr>
              <w:t>1</w:t>
            </w:r>
            <w:r w:rsidR="00D05994" w:rsidRPr="00834409">
              <w:rPr>
                <w:rFonts w:eastAsia="Calibri" w:cs="Calibri"/>
              </w:rPr>
              <w:t>,</w:t>
            </w:r>
            <w:r w:rsidR="00D723BE">
              <w:rPr>
                <w:rFonts w:eastAsia="Calibri" w:cs="Calibri"/>
              </w:rPr>
              <w:t>8</w:t>
            </w:r>
            <w:r w:rsidR="00D05994" w:rsidRPr="00834409">
              <w:rPr>
                <w:rFonts w:eastAsia="Calibri" w:cs="Calibri"/>
              </w:rPr>
              <w:t>00 fewer interstate moves in this period compared to a year earlier</w:t>
            </w:r>
            <w:r w:rsidR="00D05994">
              <w:rPr>
                <w:rFonts w:eastAsia="Calibri" w:cs="Calibri"/>
              </w:rPr>
              <w:t xml:space="preserve"> </w:t>
            </w:r>
            <w:r w:rsidR="00D97789">
              <w:rPr>
                <w:rFonts w:eastAsia="Calibri" w:cs="Calibri"/>
              </w:rPr>
              <w:t>(also see</w:t>
            </w:r>
            <w:r w:rsidR="00D971C5">
              <w:rPr>
                <w:rFonts w:eastAsia="Calibri" w:cs="Calibri"/>
              </w:rPr>
              <w:t xml:space="preserve"> analysis of the Australian Bureau of Statistics’ </w:t>
            </w:r>
            <w:hyperlink r:id="rId22" w:history="1">
              <w:r w:rsidR="00D971C5" w:rsidRPr="00D971C5">
                <w:rPr>
                  <w:rStyle w:val="Hyperlink"/>
                  <w:rFonts w:eastAsia="Calibri" w:cs="Calibri"/>
                  <w:i/>
                  <w:iCs/>
                </w:rPr>
                <w:t>Provisional Regional Internal Migration Estimates (December 2020)</w:t>
              </w:r>
            </w:hyperlink>
            <w:r w:rsidR="00D97789">
              <w:rPr>
                <w:rFonts w:eastAsia="Calibri" w:cs="Calibri"/>
              </w:rPr>
              <w:t>).</w:t>
            </w:r>
          </w:p>
          <w:p w14:paraId="7599562B" w14:textId="3196C9F5" w:rsidR="00405AD5" w:rsidRPr="00834409" w:rsidRDefault="00F31639" w:rsidP="00834409">
            <w:pPr>
              <w:pStyle w:val="Heading3"/>
              <w:rPr>
                <w:b w:val="0"/>
              </w:rPr>
            </w:pPr>
            <w:r w:rsidRPr="004C38EA">
              <w:t>State and territory outcomes</w:t>
            </w:r>
            <w:r w:rsidR="00405AD5" w:rsidRPr="004C38EA">
              <w:t xml:space="preserve"> </w:t>
            </w:r>
          </w:p>
          <w:p w14:paraId="39355F56" w14:textId="2CDED467" w:rsidR="00405AD5" w:rsidRDefault="00405AD5" w:rsidP="00405AD5">
            <w:pPr>
              <w:rPr>
                <w:rFonts w:eastAsia="Calibri"/>
              </w:rPr>
            </w:pPr>
            <w:r>
              <w:rPr>
                <w:rFonts w:eastAsia="Calibri" w:cs="Calibri"/>
              </w:rPr>
              <w:t>All states and territories had positive population growth over the year ending December 2020. Queensland had the highest growth rate (1.1 per cent) and Victoria had the lowest (0.0 per cent) (Chart 3).</w:t>
            </w:r>
          </w:p>
          <w:p w14:paraId="1A7E28FB" w14:textId="795CD8B2" w:rsidR="00F31639" w:rsidRPr="00834409" w:rsidRDefault="00F31639" w:rsidP="008E0014">
            <w:pPr>
              <w:pStyle w:val="Heading9"/>
            </w:pPr>
            <w:r w:rsidRPr="00834409">
              <w:t>State and territory population growth (per cent), year ending</w:t>
            </w:r>
          </w:p>
          <w:p w14:paraId="707EF9E3" w14:textId="0290B4D0" w:rsidR="00405AD5" w:rsidRDefault="004E4B0C" w:rsidP="00C40A17">
            <w:pPr>
              <w:rPr>
                <w:noProof/>
              </w:rPr>
            </w:pPr>
            <w:r w:rsidRPr="004E4B0C">
              <w:rPr>
                <w:noProof/>
              </w:rPr>
              <w:drawing>
                <wp:inline distT="0" distB="0" distL="0" distR="0" wp14:anchorId="0EA3D237" wp14:editId="7DC17ACB">
                  <wp:extent cx="5581650" cy="2524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7B8746A9" w14:textId="77777777" w:rsidR="00405AD5" w:rsidRDefault="00405AD5" w:rsidP="00405AD5">
            <w:pPr>
              <w:rPr>
                <w:rFonts w:eastAsia="Calibri" w:cs="Calibri"/>
              </w:rPr>
            </w:pPr>
            <w:r>
              <w:t>Victoria and the Northern Territory both experienced quarterly declines in population, with the Victorian population falling by 16,600 people over the quarter.</w:t>
            </w:r>
          </w:p>
          <w:p w14:paraId="2405A90B" w14:textId="1F215422" w:rsidR="00405AD5" w:rsidRDefault="00405AD5" w:rsidP="00405AD5">
            <w:pPr>
              <w:rPr>
                <w:rFonts w:eastAsia="Calibri" w:cs="Calibri"/>
              </w:rPr>
            </w:pPr>
            <w:r>
              <w:rPr>
                <w:rFonts w:eastAsia="Calibri" w:cs="Calibri"/>
              </w:rPr>
              <w:lastRenderedPageBreak/>
              <w:t>Following national trends, population growth for the quarter in all states and territories was mainly driven by natural increase except for Queensland, where positive NIM made the greatest contribution. Compared to the previous year there were fewer births in all jurisdictions except for Tasmania and the Northern Territory, and an even greater decrease in the number of deaths in the same period</w:t>
            </w:r>
            <w:r w:rsidR="00B63FA7">
              <w:rPr>
                <w:rFonts w:eastAsia="Calibri" w:cs="Calibri"/>
              </w:rPr>
              <w:t xml:space="preserve"> except in the Northern Territory and the Australian Capital Territory</w:t>
            </w:r>
            <w:r>
              <w:rPr>
                <w:rFonts w:eastAsia="Calibri" w:cs="Calibri"/>
              </w:rPr>
              <w:t xml:space="preserve"> (Chart 4).</w:t>
            </w:r>
          </w:p>
          <w:p w14:paraId="3F07A45E" w14:textId="77485034" w:rsidR="00F31639" w:rsidRPr="00834409" w:rsidRDefault="00F31639" w:rsidP="008E0014">
            <w:pPr>
              <w:pStyle w:val="Heading9"/>
            </w:pPr>
            <w:r w:rsidRPr="00834409">
              <w:t>State and territory population growth (no. people), quarterly, December 2020</w:t>
            </w:r>
          </w:p>
          <w:p w14:paraId="03911043" w14:textId="55A7F010" w:rsidR="00DC62D9" w:rsidRDefault="00062F7E" w:rsidP="00DC62D9">
            <w:r w:rsidRPr="00062F7E">
              <w:rPr>
                <w:noProof/>
              </w:rPr>
              <w:drawing>
                <wp:inline distT="0" distB="0" distL="0" distR="0" wp14:anchorId="65A66CBF" wp14:editId="03BF1C28">
                  <wp:extent cx="5581650"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423C0A47" w14:textId="21DB67FF" w:rsidR="00690549" w:rsidRPr="00690549" w:rsidRDefault="00F31639" w:rsidP="00090C3A">
            <w:pPr>
              <w:pStyle w:val="Bullet"/>
              <w:spacing w:before="0" w:after="200"/>
            </w:pPr>
            <w:r w:rsidRPr="00690549">
              <w:rPr>
                <w:b/>
              </w:rPr>
              <w:t>Victoria’s</w:t>
            </w:r>
            <w:r w:rsidRPr="00690549">
              <w:rPr>
                <w:bCs/>
              </w:rPr>
              <w:t xml:space="preserve"> </w:t>
            </w:r>
            <w:r w:rsidR="00EF04A4">
              <w:rPr>
                <w:bCs/>
              </w:rPr>
              <w:t xml:space="preserve">annual </w:t>
            </w:r>
            <w:r w:rsidRPr="00690549">
              <w:rPr>
                <w:bCs/>
              </w:rPr>
              <w:t>population growth</w:t>
            </w:r>
            <w:r w:rsidR="008A1AED" w:rsidRPr="00690549">
              <w:rPr>
                <w:bCs/>
              </w:rPr>
              <w:t xml:space="preserve"> </w:t>
            </w:r>
            <w:r w:rsidR="00EF04A4">
              <w:rPr>
                <w:bCs/>
              </w:rPr>
              <w:t xml:space="preserve">of 0.0 per cent is the lowest on record </w:t>
            </w:r>
            <w:r w:rsidR="008A1AED" w:rsidRPr="00690549">
              <w:rPr>
                <w:bCs/>
              </w:rPr>
              <w:t>since 1903</w:t>
            </w:r>
            <w:r w:rsidR="00B45D09" w:rsidRPr="00690549">
              <w:rPr>
                <w:bCs/>
              </w:rPr>
              <w:t xml:space="preserve">. </w:t>
            </w:r>
            <w:r w:rsidR="00690549" w:rsidRPr="00690549">
              <w:rPr>
                <w:bCs/>
              </w:rPr>
              <w:t xml:space="preserve">This has taken Victoria from the fastest growing state in 2019 to the slowest in 2020. The </w:t>
            </w:r>
            <w:r w:rsidR="00690549">
              <w:rPr>
                <w:bCs/>
              </w:rPr>
              <w:t>s</w:t>
            </w:r>
            <w:r w:rsidR="00690549" w:rsidRPr="00690549">
              <w:rPr>
                <w:bCs/>
              </w:rPr>
              <w:t>tate’s</w:t>
            </w:r>
            <w:r w:rsidR="00B45D09" w:rsidRPr="00690549">
              <w:rPr>
                <w:bCs/>
              </w:rPr>
              <w:t xml:space="preserve"> historically low growth </w:t>
            </w:r>
            <w:r w:rsidR="00690549">
              <w:rPr>
                <w:bCs/>
              </w:rPr>
              <w:t xml:space="preserve">is caused by large outflows of international and </w:t>
            </w:r>
            <w:r w:rsidR="00EF04A4">
              <w:rPr>
                <w:bCs/>
              </w:rPr>
              <w:t xml:space="preserve">interstate </w:t>
            </w:r>
            <w:r w:rsidR="00690549">
              <w:rPr>
                <w:bCs/>
              </w:rPr>
              <w:t>migrants</w:t>
            </w:r>
            <w:r w:rsidR="00995774">
              <w:rPr>
                <w:bCs/>
              </w:rPr>
              <w:t>, offset by positive natural increase</w:t>
            </w:r>
            <w:r w:rsidR="00690549">
              <w:rPr>
                <w:bCs/>
              </w:rPr>
              <w:t>.</w:t>
            </w:r>
          </w:p>
          <w:p w14:paraId="5029C4B2" w14:textId="0982F125" w:rsidR="00690549" w:rsidRPr="00690549" w:rsidRDefault="00B45D09" w:rsidP="00690549">
            <w:pPr>
              <w:pStyle w:val="Dash"/>
              <w:spacing w:before="0" w:after="200"/>
            </w:pPr>
            <w:r w:rsidRPr="00690549">
              <w:t>Most</w:t>
            </w:r>
            <w:r>
              <w:rPr>
                <w:bCs/>
              </w:rPr>
              <w:t xml:space="preserve"> significantly, </w:t>
            </w:r>
            <w:r w:rsidR="00690549">
              <w:rPr>
                <w:bCs/>
              </w:rPr>
              <w:t>NOM to Victoria was -</w:t>
            </w:r>
            <w:r w:rsidR="00D14E2C">
              <w:rPr>
                <w:bCs/>
              </w:rPr>
              <w:t>19,000</w:t>
            </w:r>
            <w:r w:rsidR="00405AD5">
              <w:rPr>
                <w:bCs/>
              </w:rPr>
              <w:t xml:space="preserve"> </w:t>
            </w:r>
            <w:r w:rsidR="00690549">
              <w:rPr>
                <w:bCs/>
              </w:rPr>
              <w:t>over the year to December 2020, a decrease of 104,000 from the year to December 2019.</w:t>
            </w:r>
          </w:p>
          <w:p w14:paraId="2074E0DF" w14:textId="767E5E88" w:rsidR="00F31639" w:rsidRPr="0056226B" w:rsidRDefault="00F31639" w:rsidP="00834409">
            <w:pPr>
              <w:pStyle w:val="Bullet"/>
              <w:spacing w:before="0" w:after="200"/>
            </w:pPr>
            <w:r w:rsidRPr="00493780">
              <w:rPr>
                <w:b/>
              </w:rPr>
              <w:t>New South Wales’</w:t>
            </w:r>
            <w:r w:rsidRPr="00493780">
              <w:rPr>
                <w:bCs/>
              </w:rPr>
              <w:t xml:space="preserve"> annual population</w:t>
            </w:r>
            <w:r w:rsidR="00E3055C" w:rsidRPr="00493780">
              <w:rPr>
                <w:bCs/>
              </w:rPr>
              <w:t xml:space="preserve"> growth </w:t>
            </w:r>
            <w:r w:rsidR="00792C05" w:rsidRPr="00493780">
              <w:rPr>
                <w:bCs/>
              </w:rPr>
              <w:t>fell</w:t>
            </w:r>
            <w:r w:rsidR="00E3055C" w:rsidRPr="00493780">
              <w:rPr>
                <w:bCs/>
              </w:rPr>
              <w:t xml:space="preserve"> to 0.4 per cent in the year to December 2020</w:t>
            </w:r>
            <w:r w:rsidR="00792C05" w:rsidRPr="00493780">
              <w:rPr>
                <w:bCs/>
              </w:rPr>
              <w:t xml:space="preserve"> compared to 1.</w:t>
            </w:r>
            <w:r w:rsidR="00D539EF" w:rsidRPr="00493780">
              <w:rPr>
                <w:bCs/>
              </w:rPr>
              <w:t>2</w:t>
            </w:r>
            <w:r w:rsidR="00792C05" w:rsidRPr="00493780">
              <w:rPr>
                <w:bCs/>
              </w:rPr>
              <w:t xml:space="preserve"> per cent in the year to December 2019. This is the lowest </w:t>
            </w:r>
            <w:r w:rsidR="00995774" w:rsidRPr="00493780">
              <w:rPr>
                <w:bCs/>
              </w:rPr>
              <w:t xml:space="preserve">recorded </w:t>
            </w:r>
            <w:r w:rsidR="00E3055C" w:rsidRPr="00493780">
              <w:rPr>
                <w:bCs/>
              </w:rPr>
              <w:t>since 1975</w:t>
            </w:r>
            <w:r w:rsidR="0086127A" w:rsidRPr="00493780">
              <w:rPr>
                <w:bCs/>
              </w:rPr>
              <w:t xml:space="preserve">, making it the </w:t>
            </w:r>
            <w:r w:rsidR="00995774" w:rsidRPr="00493780">
              <w:rPr>
                <w:bCs/>
              </w:rPr>
              <w:t>next s</w:t>
            </w:r>
            <w:r w:rsidR="0086127A" w:rsidRPr="00493780">
              <w:rPr>
                <w:bCs/>
              </w:rPr>
              <w:t xml:space="preserve">lowest </w:t>
            </w:r>
            <w:r w:rsidR="00995774" w:rsidRPr="00493780">
              <w:rPr>
                <w:bCs/>
              </w:rPr>
              <w:t xml:space="preserve">growing </w:t>
            </w:r>
            <w:r w:rsidR="0086127A" w:rsidRPr="00493780">
              <w:rPr>
                <w:bCs/>
              </w:rPr>
              <w:t>after Victoria.</w:t>
            </w:r>
            <w:r w:rsidR="00493780" w:rsidRPr="00493780">
              <w:rPr>
                <w:bCs/>
              </w:rPr>
              <w:t xml:space="preserve"> The lower population growth </w:t>
            </w:r>
            <w:r w:rsidR="004B523D">
              <w:t xml:space="preserve">was driven </w:t>
            </w:r>
            <w:r w:rsidR="00493780">
              <w:t xml:space="preserve">by </w:t>
            </w:r>
            <w:r w:rsidR="00A92B32">
              <w:t>lower than usual NOM</w:t>
            </w:r>
            <w:r w:rsidR="0056226B">
              <w:t>.</w:t>
            </w:r>
          </w:p>
          <w:p w14:paraId="3EE3957E" w14:textId="77B472FE" w:rsidR="00F31639" w:rsidRDefault="00F31639" w:rsidP="00F31639">
            <w:pPr>
              <w:pStyle w:val="Bullet"/>
              <w:spacing w:before="0" w:after="200"/>
              <w:rPr>
                <w:bCs/>
              </w:rPr>
            </w:pPr>
            <w:r w:rsidRPr="00307A2E">
              <w:rPr>
                <w:b/>
              </w:rPr>
              <w:t xml:space="preserve">Queensland’s </w:t>
            </w:r>
            <w:r w:rsidRPr="00307A2E">
              <w:rPr>
                <w:bCs/>
              </w:rPr>
              <w:t>annual population growth</w:t>
            </w:r>
            <w:r w:rsidR="00517F9D">
              <w:rPr>
                <w:bCs/>
              </w:rPr>
              <w:t xml:space="preserve"> slowed to 1.1 per cent compared to 1.7 per cent over 2019</w:t>
            </w:r>
            <w:r w:rsidR="00D723BE">
              <w:rPr>
                <w:bCs/>
              </w:rPr>
              <w:t>.</w:t>
            </w:r>
            <w:r w:rsidR="00D735CC">
              <w:rPr>
                <w:bCs/>
              </w:rPr>
              <w:t xml:space="preserve"> Queensland also recorded negative NOM for the year</w:t>
            </w:r>
            <w:r w:rsidR="00C127E6">
              <w:rPr>
                <w:bCs/>
              </w:rPr>
              <w:t>. While this is</w:t>
            </w:r>
            <w:r w:rsidR="00517F9D">
              <w:rPr>
                <w:bCs/>
              </w:rPr>
              <w:t xml:space="preserve"> </w:t>
            </w:r>
            <w:r w:rsidR="00C127E6">
              <w:rPr>
                <w:bCs/>
              </w:rPr>
              <w:t xml:space="preserve">the lowest </w:t>
            </w:r>
            <w:r w:rsidR="00995774">
              <w:rPr>
                <w:bCs/>
              </w:rPr>
              <w:t xml:space="preserve">recorded </w:t>
            </w:r>
            <w:r w:rsidR="00D735CC">
              <w:rPr>
                <w:bCs/>
              </w:rPr>
              <w:t xml:space="preserve">rate of growth </w:t>
            </w:r>
            <w:r w:rsidR="00C127E6">
              <w:rPr>
                <w:bCs/>
              </w:rPr>
              <w:t xml:space="preserve">for the state since 1946, Queensland </w:t>
            </w:r>
            <w:r w:rsidR="00995774">
              <w:rPr>
                <w:bCs/>
              </w:rPr>
              <w:t xml:space="preserve">was </w:t>
            </w:r>
            <w:r w:rsidR="00C127E6">
              <w:rPr>
                <w:bCs/>
              </w:rPr>
              <w:t xml:space="preserve">the </w:t>
            </w:r>
            <w:r w:rsidR="00995774">
              <w:rPr>
                <w:bCs/>
              </w:rPr>
              <w:t xml:space="preserve">fastest </w:t>
            </w:r>
            <w:r w:rsidR="00C127E6">
              <w:rPr>
                <w:bCs/>
              </w:rPr>
              <w:t xml:space="preserve">growing jurisdiction </w:t>
            </w:r>
            <w:r w:rsidR="00D723BE">
              <w:rPr>
                <w:bCs/>
              </w:rPr>
              <w:t xml:space="preserve">over </w:t>
            </w:r>
            <w:r w:rsidR="00C127E6">
              <w:rPr>
                <w:bCs/>
              </w:rPr>
              <w:t>the year to December</w:t>
            </w:r>
            <w:r w:rsidR="00D723BE">
              <w:rPr>
                <w:bCs/>
              </w:rPr>
              <w:t> </w:t>
            </w:r>
            <w:r w:rsidR="00C127E6">
              <w:rPr>
                <w:bCs/>
              </w:rPr>
              <w:t>2020</w:t>
            </w:r>
            <w:r w:rsidR="00493780">
              <w:rPr>
                <w:bCs/>
              </w:rPr>
              <w:t>, mainly due to l</w:t>
            </w:r>
            <w:r w:rsidR="00C127E6">
              <w:rPr>
                <w:bCs/>
              </w:rPr>
              <w:t xml:space="preserve">arge inflows of </w:t>
            </w:r>
            <w:r w:rsidR="00D735CC">
              <w:rPr>
                <w:bCs/>
              </w:rPr>
              <w:t xml:space="preserve">interstate </w:t>
            </w:r>
            <w:r w:rsidR="00C127E6">
              <w:rPr>
                <w:bCs/>
              </w:rPr>
              <w:t>migrants have driven this growth</w:t>
            </w:r>
            <w:r w:rsidR="00D735CC">
              <w:rPr>
                <w:bCs/>
              </w:rPr>
              <w:t>.</w:t>
            </w:r>
            <w:r w:rsidR="00E27EDC">
              <w:rPr>
                <w:bCs/>
              </w:rPr>
              <w:t xml:space="preserve"> </w:t>
            </w:r>
          </w:p>
          <w:p w14:paraId="3BEACB61" w14:textId="01C1B6F3" w:rsidR="00F31639" w:rsidRPr="00307A2E" w:rsidRDefault="00F31639" w:rsidP="00F31639">
            <w:pPr>
              <w:pStyle w:val="Bullet"/>
              <w:spacing w:before="0" w:after="200"/>
              <w:rPr>
                <w:bCs/>
              </w:rPr>
            </w:pPr>
            <w:r w:rsidRPr="00307A2E">
              <w:rPr>
                <w:b/>
              </w:rPr>
              <w:t>South Australia’s</w:t>
            </w:r>
            <w:r w:rsidRPr="00307A2E">
              <w:rPr>
                <w:bCs/>
              </w:rPr>
              <w:t xml:space="preserve"> </w:t>
            </w:r>
            <w:r>
              <w:rPr>
                <w:bCs/>
              </w:rPr>
              <w:t xml:space="preserve">annual </w:t>
            </w:r>
            <w:r w:rsidRPr="00307A2E">
              <w:rPr>
                <w:bCs/>
              </w:rPr>
              <w:t>population growth</w:t>
            </w:r>
            <w:r w:rsidR="00517F9D">
              <w:rPr>
                <w:bCs/>
              </w:rPr>
              <w:t xml:space="preserve"> halved to 0.5 per cent from 1.0 per cent in 2019</w:t>
            </w:r>
            <w:r w:rsidR="00995774">
              <w:rPr>
                <w:bCs/>
              </w:rPr>
              <w:t xml:space="preserve">, with the lower growth attributable </w:t>
            </w:r>
            <w:r w:rsidR="00A92B32" w:rsidRPr="00A92B32">
              <w:rPr>
                <w:bCs/>
              </w:rPr>
              <w:t>to</w:t>
            </w:r>
            <w:r w:rsidR="00A92B32">
              <w:rPr>
                <w:bCs/>
              </w:rPr>
              <w:t xml:space="preserve"> negative</w:t>
            </w:r>
            <w:r w:rsidR="00995774">
              <w:rPr>
                <w:bCs/>
              </w:rPr>
              <w:t xml:space="preserve"> NOM</w:t>
            </w:r>
            <w:r w:rsidR="00A92B32">
              <w:rPr>
                <w:bCs/>
              </w:rPr>
              <w:t>.</w:t>
            </w:r>
          </w:p>
          <w:p w14:paraId="39892274" w14:textId="7FE974C4" w:rsidR="00F31639" w:rsidRPr="00307A2E" w:rsidRDefault="00F31639" w:rsidP="00F31639">
            <w:pPr>
              <w:pStyle w:val="Bullet"/>
              <w:spacing w:before="0" w:after="200"/>
              <w:rPr>
                <w:bCs/>
              </w:rPr>
            </w:pPr>
            <w:r w:rsidRPr="00307A2E">
              <w:rPr>
                <w:b/>
              </w:rPr>
              <w:t>Western Australia’s</w:t>
            </w:r>
            <w:r w:rsidRPr="00307A2E">
              <w:rPr>
                <w:bCs/>
              </w:rPr>
              <w:t xml:space="preserve"> annual population growth</w:t>
            </w:r>
            <w:r w:rsidR="00351A5B">
              <w:rPr>
                <w:bCs/>
              </w:rPr>
              <w:t xml:space="preserve"> decreased to 0.9 per cent from 1.5 per cent in 2019</w:t>
            </w:r>
            <w:r w:rsidR="00995774">
              <w:rPr>
                <w:bCs/>
              </w:rPr>
              <w:t>, making it the next fastest growing</w:t>
            </w:r>
            <w:r w:rsidR="00351A5B">
              <w:rPr>
                <w:bCs/>
              </w:rPr>
              <w:t xml:space="preserve"> state </w:t>
            </w:r>
            <w:r w:rsidR="00995774">
              <w:rPr>
                <w:bCs/>
              </w:rPr>
              <w:t xml:space="preserve">after </w:t>
            </w:r>
            <w:r w:rsidR="00351A5B">
              <w:rPr>
                <w:bCs/>
              </w:rPr>
              <w:t xml:space="preserve">Queensland. The state’s growth </w:t>
            </w:r>
            <w:r w:rsidR="00E27EDC">
              <w:rPr>
                <w:bCs/>
              </w:rPr>
              <w:t xml:space="preserve">was </w:t>
            </w:r>
            <w:r w:rsidR="00351A5B">
              <w:rPr>
                <w:bCs/>
              </w:rPr>
              <w:t>primarily driven by natural increase</w:t>
            </w:r>
            <w:r w:rsidR="00D27C88">
              <w:rPr>
                <w:bCs/>
              </w:rPr>
              <w:t>.</w:t>
            </w:r>
          </w:p>
          <w:p w14:paraId="5CFB8A4A" w14:textId="3A318F18" w:rsidR="00F31639" w:rsidRPr="00307A2E" w:rsidRDefault="00F31639" w:rsidP="00F31639">
            <w:pPr>
              <w:pStyle w:val="Bullet"/>
              <w:spacing w:before="0" w:after="200"/>
              <w:rPr>
                <w:bCs/>
              </w:rPr>
            </w:pPr>
            <w:r w:rsidRPr="00307A2E">
              <w:rPr>
                <w:b/>
              </w:rPr>
              <w:t>Tasmania’s</w:t>
            </w:r>
            <w:r w:rsidRPr="00307A2E">
              <w:rPr>
                <w:bCs/>
              </w:rPr>
              <w:t xml:space="preserve"> annual population growth </w:t>
            </w:r>
            <w:r w:rsidR="00180671">
              <w:t xml:space="preserve">halved to 0.6 per cent from 1.2 per cent in the year ending December 2019. Like many other states, natural increase </w:t>
            </w:r>
            <w:r w:rsidR="00E27EDC">
              <w:t xml:space="preserve">made </w:t>
            </w:r>
            <w:r w:rsidR="00180671">
              <w:t>the largest contribution to growth.</w:t>
            </w:r>
          </w:p>
          <w:p w14:paraId="6866E7DA" w14:textId="20C60FBC" w:rsidR="00180671" w:rsidRPr="00180671" w:rsidRDefault="00F31639" w:rsidP="00180671">
            <w:pPr>
              <w:pStyle w:val="Bullet"/>
              <w:spacing w:before="0" w:after="200"/>
              <w:rPr>
                <w:bCs/>
              </w:rPr>
            </w:pPr>
            <w:r w:rsidRPr="00307A2E">
              <w:rPr>
                <w:bCs/>
              </w:rPr>
              <w:t xml:space="preserve">The </w:t>
            </w:r>
            <w:r w:rsidRPr="00307A2E">
              <w:rPr>
                <w:b/>
              </w:rPr>
              <w:t>Northern Territory</w:t>
            </w:r>
            <w:r>
              <w:rPr>
                <w:b/>
              </w:rPr>
              <w:t xml:space="preserve"> </w:t>
            </w:r>
            <w:r w:rsidR="00180671" w:rsidRPr="00180671">
              <w:rPr>
                <w:bCs/>
              </w:rPr>
              <w:t xml:space="preserve">was the only </w:t>
            </w:r>
            <w:r w:rsidR="00EA1D52">
              <w:rPr>
                <w:bCs/>
              </w:rPr>
              <w:t>jurisdiction</w:t>
            </w:r>
            <w:r w:rsidR="00180671" w:rsidRPr="00180671">
              <w:rPr>
                <w:bCs/>
              </w:rPr>
              <w:t xml:space="preserve"> to experience stronger annual population growth compared to a year ago. Annual population growth in the year ending December 2020 was 0.</w:t>
            </w:r>
            <w:r w:rsidR="00D723BE">
              <w:rPr>
                <w:bCs/>
              </w:rPr>
              <w:t>5 </w:t>
            </w:r>
            <w:r w:rsidR="00180671" w:rsidRPr="00180671">
              <w:rPr>
                <w:bCs/>
              </w:rPr>
              <w:t>per</w:t>
            </w:r>
            <w:r w:rsidR="00D723BE">
              <w:rPr>
                <w:bCs/>
              </w:rPr>
              <w:t> </w:t>
            </w:r>
            <w:r w:rsidR="00180671" w:rsidRPr="00180671">
              <w:rPr>
                <w:bCs/>
              </w:rPr>
              <w:t xml:space="preserve">cent, </w:t>
            </w:r>
            <w:r w:rsidR="00E27EDC">
              <w:rPr>
                <w:bCs/>
              </w:rPr>
              <w:t xml:space="preserve">compared to </w:t>
            </w:r>
            <w:r w:rsidR="00D14E2C">
              <w:rPr>
                <w:bCs/>
              </w:rPr>
              <w:t xml:space="preserve">-0.2 per cent </w:t>
            </w:r>
            <w:r w:rsidR="00180671" w:rsidRPr="00180671">
              <w:rPr>
                <w:bCs/>
              </w:rPr>
              <w:t xml:space="preserve">in the year ending December 2019. </w:t>
            </w:r>
            <w:r w:rsidR="00E27EDC">
              <w:rPr>
                <w:bCs/>
              </w:rPr>
              <w:t>N</w:t>
            </w:r>
            <w:r w:rsidR="00180671" w:rsidRPr="00180671">
              <w:rPr>
                <w:bCs/>
              </w:rPr>
              <w:t xml:space="preserve">atural increase </w:t>
            </w:r>
            <w:r w:rsidR="00EA1D52">
              <w:rPr>
                <w:bCs/>
              </w:rPr>
              <w:t>was</w:t>
            </w:r>
            <w:r w:rsidR="00180671" w:rsidRPr="00180671">
              <w:rPr>
                <w:bCs/>
              </w:rPr>
              <w:t xml:space="preserve"> the main driver of population growth for the Northern Territory</w:t>
            </w:r>
            <w:r w:rsidR="00EA1D52">
              <w:rPr>
                <w:bCs/>
              </w:rPr>
              <w:t>.</w:t>
            </w:r>
          </w:p>
          <w:p w14:paraId="348A236D" w14:textId="78B4DB2F" w:rsidR="00180671" w:rsidRDefault="00180671" w:rsidP="00180671">
            <w:pPr>
              <w:pStyle w:val="Bullet"/>
              <w:spacing w:before="0" w:after="200"/>
            </w:pPr>
            <w:r>
              <w:t xml:space="preserve">The </w:t>
            </w:r>
            <w:r w:rsidRPr="00180671">
              <w:rPr>
                <w:b/>
                <w:bCs/>
              </w:rPr>
              <w:t>Australian Capital Territory’s</w:t>
            </w:r>
            <w:r>
              <w:t xml:space="preserve"> annual population growth slowed from 1.</w:t>
            </w:r>
            <w:r w:rsidR="00D723BE">
              <w:t>2</w:t>
            </w:r>
            <w:r>
              <w:t xml:space="preserve"> per cent in the year ending December 2019 to 0.8 per cent. </w:t>
            </w:r>
            <w:r w:rsidR="00E27EDC">
              <w:t>The l</w:t>
            </w:r>
            <w:r w:rsidR="00887FC5">
              <w:t>ower</w:t>
            </w:r>
            <w:r>
              <w:t xml:space="preserve"> population growth </w:t>
            </w:r>
            <w:r w:rsidR="00E27EDC">
              <w:t xml:space="preserve">was mainly due to negative </w:t>
            </w:r>
            <w:r w:rsidR="00E27EDC">
              <w:lastRenderedPageBreak/>
              <w:t xml:space="preserve">NOM of </w:t>
            </w:r>
            <w:r w:rsidR="00DA5649">
              <w:t>25</w:t>
            </w:r>
            <w:r w:rsidR="00D14E2C">
              <w:t xml:space="preserve">0 </w:t>
            </w:r>
            <w:r w:rsidR="00E27EDC">
              <w:t>people for the year</w:t>
            </w:r>
            <w:r>
              <w:t xml:space="preserve">. </w:t>
            </w:r>
            <w:r w:rsidR="00887FC5">
              <w:t>Net internal migration</w:t>
            </w:r>
            <w:r>
              <w:t xml:space="preserve"> </w:t>
            </w:r>
            <w:r w:rsidR="00887FC5">
              <w:t>returned to an inflow for the territory</w:t>
            </w:r>
            <w:r>
              <w:t xml:space="preserve">, offsetting NOM losses. </w:t>
            </w:r>
          </w:p>
          <w:p w14:paraId="2DF778E1" w14:textId="394BFC7E" w:rsidR="00F31639" w:rsidRDefault="00F31639" w:rsidP="00DC62D9">
            <w:pPr>
              <w:pStyle w:val="TableMainHeading"/>
              <w:spacing w:after="120"/>
              <w:ind w:left="992" w:hanging="992"/>
            </w:pPr>
            <w:r w:rsidRPr="00B522FB">
              <w:t xml:space="preserve">Population </w:t>
            </w:r>
            <w:r w:rsidR="00DA5649">
              <w:t xml:space="preserve">and population </w:t>
            </w:r>
            <w:r w:rsidRPr="00B522FB">
              <w:t>growth across Australia</w:t>
            </w:r>
          </w:p>
          <w:tbl>
            <w:tblPr>
              <w:tblW w:w="8969" w:type="dxa"/>
              <w:jc w:val="center"/>
              <w:tblBorders>
                <w:top w:val="single" w:sz="4" w:space="0" w:color="auto"/>
                <w:bottom w:val="single" w:sz="4" w:space="0" w:color="auto"/>
              </w:tblBorders>
              <w:tblLayout w:type="fixed"/>
              <w:tblLook w:val="04A0" w:firstRow="1" w:lastRow="0" w:firstColumn="1" w:lastColumn="0" w:noHBand="0" w:noVBand="1"/>
            </w:tblPr>
            <w:tblGrid>
              <w:gridCol w:w="969"/>
              <w:gridCol w:w="1333"/>
              <w:gridCol w:w="1333"/>
              <w:gridCol w:w="1334"/>
              <w:gridCol w:w="1333"/>
              <w:gridCol w:w="1333"/>
              <w:gridCol w:w="1334"/>
            </w:tblGrid>
            <w:tr w:rsidR="00F31639" w:rsidRPr="009C2B09" w14:paraId="20257978" w14:textId="77777777" w:rsidTr="00834409">
              <w:trPr>
                <w:trHeight w:val="612"/>
                <w:jc w:val="center"/>
              </w:trPr>
              <w:tc>
                <w:tcPr>
                  <w:tcW w:w="969"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09E52C94" w14:textId="77777777" w:rsidR="00F31639" w:rsidRPr="00DC62D9" w:rsidRDefault="00F31639" w:rsidP="00DC62D9">
                  <w:pPr>
                    <w:spacing w:before="40" w:after="40" w:line="276" w:lineRule="auto"/>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State</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37EBDF44" w14:textId="24550E84" w:rsidR="00F31639" w:rsidRPr="00DC62D9" w:rsidRDefault="00F3163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ERP</w:t>
                  </w:r>
                </w:p>
                <w:p w14:paraId="6EE101B3" w14:textId="77777777" w:rsidR="00F31639" w:rsidRPr="00DC62D9" w:rsidRDefault="00F31639">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DC62D9">
                    <w:rPr>
                      <w:rFonts w:asciiTheme="minorHAnsi" w:eastAsia="Times New Roman" w:hAnsiTheme="minorHAnsi" w:cstheme="minorHAnsi"/>
                      <w:bCs/>
                      <w:color w:val="000000" w:themeColor="text1"/>
                      <w:sz w:val="18"/>
                      <w:szCs w:val="18"/>
                      <w:lang w:eastAsia="en-AU"/>
                    </w:rPr>
                    <w:t>30 December 2020</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490B339A" w14:textId="6E1A9686" w:rsidR="00F31639" w:rsidRPr="00DC62D9" w:rsidRDefault="00F3163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 xml:space="preserve">ERP </w:t>
                  </w:r>
                  <w:r w:rsidR="00DC62D9" w:rsidRPr="00DC62D9">
                    <w:rPr>
                      <w:rFonts w:asciiTheme="minorHAnsi" w:eastAsia="Times New Roman" w:hAnsiTheme="minorHAnsi" w:cstheme="minorHAnsi"/>
                      <w:b/>
                      <w:bCs/>
                      <w:color w:val="002C47" w:themeColor="accent1"/>
                      <w:sz w:val="18"/>
                      <w:szCs w:val="18"/>
                      <w:lang w:eastAsia="en-AU"/>
                    </w:rPr>
                    <w:t>I</w:t>
                  </w:r>
                  <w:r w:rsidRPr="00DC62D9">
                    <w:rPr>
                      <w:rFonts w:asciiTheme="minorHAnsi" w:eastAsia="Times New Roman" w:hAnsiTheme="minorHAnsi" w:cstheme="minorHAnsi"/>
                      <w:b/>
                      <w:bCs/>
                      <w:color w:val="002C47" w:themeColor="accent1"/>
                      <w:sz w:val="18"/>
                      <w:szCs w:val="18"/>
                      <w:lang w:eastAsia="en-AU"/>
                    </w:rPr>
                    <w:t>ncrease</w:t>
                  </w:r>
                </w:p>
                <w:p w14:paraId="4DC77349" w14:textId="77777777" w:rsidR="00F31639" w:rsidRPr="00DC62D9" w:rsidRDefault="00F31639">
                  <w:pPr>
                    <w:spacing w:before="40" w:after="40" w:line="276" w:lineRule="auto"/>
                    <w:jc w:val="center"/>
                    <w:rPr>
                      <w:rFonts w:asciiTheme="minorHAnsi" w:eastAsia="Times New Roman" w:hAnsiTheme="minorHAnsi" w:cstheme="minorHAnsi"/>
                      <w:bCs/>
                      <w:color w:val="002C47" w:themeColor="accent1"/>
                      <w:sz w:val="18"/>
                      <w:szCs w:val="18"/>
                      <w:lang w:eastAsia="en-AU"/>
                    </w:rPr>
                  </w:pPr>
                  <w:r w:rsidRPr="00DC62D9">
                    <w:rPr>
                      <w:rFonts w:asciiTheme="minorHAnsi" w:eastAsia="Times New Roman" w:hAnsiTheme="minorHAnsi" w:cstheme="minorHAnsi"/>
                      <w:bCs/>
                      <w:color w:val="000000" w:themeColor="text1"/>
                      <w:sz w:val="18"/>
                      <w:szCs w:val="18"/>
                      <w:lang w:eastAsia="en-AU"/>
                    </w:rPr>
                    <w:t>Since December 2019</w:t>
                  </w:r>
                </w:p>
              </w:tc>
              <w:tc>
                <w:tcPr>
                  <w:tcW w:w="1334" w:type="dxa"/>
                  <w:tcBorders>
                    <w:top w:val="single" w:sz="4" w:space="0" w:color="002C47" w:themeColor="accent1"/>
                    <w:bottom w:val="single" w:sz="4" w:space="0" w:color="002C47" w:themeColor="accent1"/>
                  </w:tcBorders>
                  <w:tcMar>
                    <w:left w:w="28" w:type="dxa"/>
                    <w:right w:w="0" w:type="dxa"/>
                  </w:tcMar>
                </w:tcPr>
                <w:p w14:paraId="779E9746" w14:textId="57D512F4" w:rsidR="00F31639" w:rsidRPr="00DC62D9" w:rsidRDefault="00F31639" w:rsidP="0083440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ERP Increase</w:t>
                  </w:r>
                </w:p>
                <w:p w14:paraId="1A1E5DE1" w14:textId="739488E7" w:rsidR="00F31639" w:rsidRPr="00DC62D9" w:rsidDel="00306224" w:rsidRDefault="00DA5649">
                  <w:pPr>
                    <w:spacing w:before="40" w:after="40" w:line="276" w:lineRule="auto"/>
                    <w:jc w:val="center"/>
                    <w:rPr>
                      <w:rFonts w:asciiTheme="minorHAnsi" w:eastAsia="Times New Roman" w:hAnsiTheme="minorHAnsi" w:cstheme="minorHAnsi"/>
                      <w:bCs/>
                      <w:color w:val="002C47" w:themeColor="accent1"/>
                      <w:sz w:val="18"/>
                      <w:szCs w:val="18"/>
                      <w:lang w:eastAsia="en-AU"/>
                    </w:rPr>
                  </w:pPr>
                  <w:r>
                    <w:rPr>
                      <w:rFonts w:asciiTheme="minorHAnsi" w:eastAsia="Times New Roman" w:hAnsiTheme="minorHAnsi" w:cstheme="minorHAnsi"/>
                      <w:bCs/>
                      <w:color w:val="000000" w:themeColor="text1"/>
                      <w:sz w:val="18"/>
                      <w:szCs w:val="18"/>
                      <w:lang w:eastAsia="en-AU"/>
                    </w:rPr>
                    <w:t xml:space="preserve">annual </w:t>
                  </w:r>
                  <w:r w:rsidR="00F31639" w:rsidRPr="00DC62D9">
                    <w:rPr>
                      <w:rFonts w:asciiTheme="minorHAnsi" w:eastAsia="Times New Roman" w:hAnsiTheme="minorHAnsi" w:cstheme="minorHAnsi"/>
                      <w:bCs/>
                      <w:color w:val="000000" w:themeColor="text1"/>
                      <w:sz w:val="18"/>
                      <w:szCs w:val="18"/>
                      <w:lang w:eastAsia="en-AU"/>
                    </w:rPr>
                    <w:t>%</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1A04478C" w14:textId="77777777" w:rsidR="00F31639" w:rsidRPr="00DC62D9" w:rsidRDefault="00F3163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Natural Increase</w:t>
                  </w:r>
                </w:p>
                <w:p w14:paraId="3139924A" w14:textId="42B5E668" w:rsidR="00F31639" w:rsidRPr="00DC62D9" w:rsidRDefault="00DA5649">
                  <w:pPr>
                    <w:spacing w:before="40" w:after="40" w:line="276" w:lineRule="auto"/>
                    <w:jc w:val="center"/>
                    <w:rPr>
                      <w:rFonts w:asciiTheme="minorHAnsi" w:eastAsia="Times New Roman" w:hAnsiTheme="minorHAnsi" w:cstheme="minorHAnsi"/>
                      <w:bCs/>
                      <w:color w:val="002C47" w:themeColor="accent1"/>
                      <w:sz w:val="18"/>
                      <w:szCs w:val="18"/>
                      <w:lang w:eastAsia="en-AU"/>
                    </w:rPr>
                  </w:pPr>
                  <w:r>
                    <w:rPr>
                      <w:rFonts w:asciiTheme="minorHAnsi" w:eastAsia="Times New Roman" w:hAnsiTheme="minorHAnsi" w:cstheme="minorHAnsi"/>
                      <w:bCs/>
                      <w:color w:val="000000" w:themeColor="text1"/>
                      <w:sz w:val="18"/>
                      <w:szCs w:val="18"/>
                      <w:lang w:eastAsia="en-AU"/>
                    </w:rPr>
                    <w:t xml:space="preserve">annual </w:t>
                  </w:r>
                  <w:r w:rsidR="00F31639" w:rsidRPr="00DC62D9">
                    <w:rPr>
                      <w:rFonts w:asciiTheme="minorHAnsi" w:eastAsia="Times New Roman" w:hAnsiTheme="minorHAnsi" w:cstheme="minorHAnsi"/>
                      <w:bCs/>
                      <w:color w:val="000000" w:themeColor="text1"/>
                      <w:sz w:val="18"/>
                      <w:szCs w:val="18"/>
                      <w:lang w:eastAsia="en-AU"/>
                    </w:rPr>
                    <w:t>contribution</w:t>
                  </w:r>
                </w:p>
              </w:tc>
              <w:tc>
                <w:tcPr>
                  <w:tcW w:w="1333" w:type="dxa"/>
                  <w:tcBorders>
                    <w:top w:val="single" w:sz="4" w:space="0" w:color="002C47" w:themeColor="accent1"/>
                    <w:bottom w:val="single" w:sz="4" w:space="0" w:color="002C47" w:themeColor="accent1"/>
                  </w:tcBorders>
                  <w:shd w:val="clear" w:color="auto" w:fill="auto"/>
                  <w:tcMar>
                    <w:left w:w="28" w:type="dxa"/>
                    <w:right w:w="0" w:type="dxa"/>
                  </w:tcMar>
                  <w:hideMark/>
                </w:tcPr>
                <w:p w14:paraId="08ADDEDA" w14:textId="77777777" w:rsidR="00F31639" w:rsidRPr="00DC62D9" w:rsidRDefault="00F3163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NIM</w:t>
                  </w:r>
                </w:p>
                <w:p w14:paraId="114B0CFE" w14:textId="0299EFFC" w:rsidR="00F31639" w:rsidRPr="00DC62D9" w:rsidRDefault="00DA5649">
                  <w:pPr>
                    <w:spacing w:before="40" w:after="40" w:line="276" w:lineRule="auto"/>
                    <w:jc w:val="center"/>
                    <w:rPr>
                      <w:rFonts w:asciiTheme="minorHAnsi" w:eastAsia="Times New Roman" w:hAnsiTheme="minorHAnsi" w:cstheme="minorHAnsi"/>
                      <w:bCs/>
                      <w:color w:val="002C47" w:themeColor="accent1"/>
                      <w:sz w:val="18"/>
                      <w:szCs w:val="18"/>
                      <w:lang w:eastAsia="en-AU"/>
                    </w:rPr>
                  </w:pPr>
                  <w:r>
                    <w:rPr>
                      <w:rFonts w:asciiTheme="minorHAnsi" w:eastAsia="Times New Roman" w:hAnsiTheme="minorHAnsi" w:cstheme="minorHAnsi"/>
                      <w:bCs/>
                      <w:color w:val="000000" w:themeColor="text1"/>
                      <w:sz w:val="18"/>
                      <w:szCs w:val="18"/>
                      <w:lang w:eastAsia="en-AU"/>
                    </w:rPr>
                    <w:t xml:space="preserve">annual </w:t>
                  </w:r>
                  <w:r w:rsidR="00F31639" w:rsidRPr="00DC62D9">
                    <w:rPr>
                      <w:rFonts w:asciiTheme="minorHAnsi" w:eastAsia="Times New Roman" w:hAnsiTheme="minorHAnsi" w:cstheme="minorHAnsi"/>
                      <w:bCs/>
                      <w:color w:val="000000" w:themeColor="text1"/>
                      <w:sz w:val="18"/>
                      <w:szCs w:val="18"/>
                      <w:lang w:eastAsia="en-AU"/>
                    </w:rPr>
                    <w:t>contribution</w:t>
                  </w:r>
                </w:p>
              </w:tc>
              <w:tc>
                <w:tcPr>
                  <w:tcW w:w="1334" w:type="dxa"/>
                  <w:tcBorders>
                    <w:top w:val="single" w:sz="4" w:space="0" w:color="002C47" w:themeColor="accent1"/>
                    <w:bottom w:val="single" w:sz="4" w:space="0" w:color="002C47" w:themeColor="accent1"/>
                  </w:tcBorders>
                  <w:shd w:val="clear" w:color="auto" w:fill="auto"/>
                  <w:tcMar>
                    <w:left w:w="28" w:type="dxa"/>
                    <w:right w:w="0" w:type="dxa"/>
                  </w:tcMar>
                  <w:hideMark/>
                </w:tcPr>
                <w:p w14:paraId="073E1DCE" w14:textId="77777777" w:rsidR="00F31639" w:rsidRPr="00DC62D9" w:rsidRDefault="00F31639">
                  <w:pPr>
                    <w:spacing w:before="40" w:after="40" w:line="276" w:lineRule="auto"/>
                    <w:jc w:val="center"/>
                    <w:rPr>
                      <w:rFonts w:asciiTheme="minorHAnsi" w:eastAsia="Times New Roman" w:hAnsiTheme="minorHAnsi" w:cstheme="minorHAnsi"/>
                      <w:b/>
                      <w:bCs/>
                      <w:color w:val="002C47" w:themeColor="accent1"/>
                      <w:sz w:val="18"/>
                      <w:szCs w:val="18"/>
                      <w:lang w:eastAsia="en-AU"/>
                    </w:rPr>
                  </w:pPr>
                  <w:r w:rsidRPr="00DC62D9">
                    <w:rPr>
                      <w:rFonts w:asciiTheme="minorHAnsi" w:eastAsia="Times New Roman" w:hAnsiTheme="minorHAnsi" w:cstheme="minorHAnsi"/>
                      <w:b/>
                      <w:bCs/>
                      <w:color w:val="002C47" w:themeColor="accent1"/>
                      <w:sz w:val="18"/>
                      <w:szCs w:val="18"/>
                      <w:lang w:eastAsia="en-AU"/>
                    </w:rPr>
                    <w:t>NOM</w:t>
                  </w:r>
                </w:p>
                <w:p w14:paraId="750A1DC8" w14:textId="3DD5DCBF" w:rsidR="00F31639" w:rsidRPr="00DC62D9" w:rsidRDefault="00DA5649">
                  <w:pPr>
                    <w:spacing w:before="40" w:after="40" w:line="276" w:lineRule="auto"/>
                    <w:jc w:val="center"/>
                    <w:rPr>
                      <w:rFonts w:asciiTheme="minorHAnsi" w:eastAsia="Times New Roman" w:hAnsiTheme="minorHAnsi" w:cstheme="minorHAnsi"/>
                      <w:bCs/>
                      <w:color w:val="002C47" w:themeColor="accent1"/>
                      <w:sz w:val="18"/>
                      <w:szCs w:val="18"/>
                      <w:lang w:eastAsia="en-AU"/>
                    </w:rPr>
                  </w:pPr>
                  <w:r>
                    <w:rPr>
                      <w:rFonts w:asciiTheme="minorHAnsi" w:eastAsia="Times New Roman" w:hAnsiTheme="minorHAnsi" w:cstheme="minorHAnsi"/>
                      <w:bCs/>
                      <w:color w:val="000000" w:themeColor="text1"/>
                      <w:sz w:val="18"/>
                      <w:szCs w:val="18"/>
                      <w:lang w:eastAsia="en-AU"/>
                    </w:rPr>
                    <w:t xml:space="preserve">annual </w:t>
                  </w:r>
                  <w:r w:rsidR="00F31639" w:rsidRPr="00DC62D9">
                    <w:rPr>
                      <w:rFonts w:asciiTheme="minorHAnsi" w:eastAsia="Times New Roman" w:hAnsiTheme="minorHAnsi" w:cstheme="minorHAnsi"/>
                      <w:bCs/>
                      <w:color w:val="000000" w:themeColor="text1"/>
                      <w:sz w:val="18"/>
                      <w:szCs w:val="18"/>
                      <w:lang w:eastAsia="en-AU"/>
                    </w:rPr>
                    <w:t>contribution</w:t>
                  </w:r>
                </w:p>
              </w:tc>
            </w:tr>
            <w:tr w:rsidR="009C2B09" w:rsidRPr="009C2B09" w14:paraId="371A336D" w14:textId="77777777" w:rsidTr="00834409">
              <w:trPr>
                <w:trHeight w:val="204"/>
                <w:jc w:val="center"/>
              </w:trPr>
              <w:tc>
                <w:tcPr>
                  <w:tcW w:w="969" w:type="dxa"/>
                  <w:tcBorders>
                    <w:top w:val="single" w:sz="4" w:space="0" w:color="002C47" w:themeColor="accent1"/>
                  </w:tcBorders>
                  <w:shd w:val="clear" w:color="auto" w:fill="auto"/>
                  <w:noWrap/>
                  <w:tcMar>
                    <w:left w:w="28" w:type="dxa"/>
                  </w:tcMar>
                  <w:vAlign w:val="bottom"/>
                  <w:hideMark/>
                </w:tcPr>
                <w:p w14:paraId="58B1B527"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NSW</w:t>
                  </w:r>
                </w:p>
              </w:tc>
              <w:tc>
                <w:tcPr>
                  <w:tcW w:w="1333" w:type="dxa"/>
                  <w:tcBorders>
                    <w:top w:val="single" w:sz="4" w:space="0" w:color="002C47" w:themeColor="accent1"/>
                    <w:left w:val="nil"/>
                    <w:bottom w:val="nil"/>
                    <w:right w:val="nil"/>
                  </w:tcBorders>
                  <w:shd w:val="clear" w:color="auto" w:fill="auto"/>
                  <w:noWrap/>
                  <w:vAlign w:val="bottom"/>
                </w:tcPr>
                <w:p w14:paraId="347F7ABA" w14:textId="4D0D1C43"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8,172,505</w:t>
                  </w:r>
                </w:p>
              </w:tc>
              <w:tc>
                <w:tcPr>
                  <w:tcW w:w="1333" w:type="dxa"/>
                  <w:tcBorders>
                    <w:top w:val="single" w:sz="4" w:space="0" w:color="002C47" w:themeColor="accent1"/>
                    <w:left w:val="nil"/>
                    <w:bottom w:val="nil"/>
                    <w:right w:val="nil"/>
                  </w:tcBorders>
                  <w:shd w:val="clear" w:color="auto" w:fill="auto"/>
                  <w:noWrap/>
                  <w:vAlign w:val="bottom"/>
                </w:tcPr>
                <w:p w14:paraId="1993F815" w14:textId="040AA2A4"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35,608</w:t>
                  </w:r>
                </w:p>
              </w:tc>
              <w:tc>
                <w:tcPr>
                  <w:tcW w:w="1334" w:type="dxa"/>
                  <w:tcBorders>
                    <w:top w:val="single" w:sz="4" w:space="0" w:color="002C47" w:themeColor="accent1"/>
                    <w:left w:val="nil"/>
                    <w:bottom w:val="nil"/>
                    <w:right w:val="nil"/>
                  </w:tcBorders>
                  <w:shd w:val="clear" w:color="auto" w:fill="auto"/>
                  <w:vAlign w:val="bottom"/>
                </w:tcPr>
                <w:p w14:paraId="5CA0EE2E" w14:textId="4D49981A"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0.4</w:t>
                  </w:r>
                </w:p>
              </w:tc>
              <w:tc>
                <w:tcPr>
                  <w:tcW w:w="1333" w:type="dxa"/>
                  <w:tcBorders>
                    <w:top w:val="single" w:sz="4" w:space="0" w:color="002C47" w:themeColor="accent1"/>
                    <w:left w:val="nil"/>
                    <w:bottom w:val="nil"/>
                    <w:right w:val="nil"/>
                  </w:tcBorders>
                  <w:shd w:val="clear" w:color="auto" w:fill="auto"/>
                  <w:noWrap/>
                  <w:vAlign w:val="bottom"/>
                </w:tcPr>
                <w:p w14:paraId="24DE4F87" w14:textId="15DE70E8"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42,968</w:t>
                  </w:r>
                </w:p>
              </w:tc>
              <w:tc>
                <w:tcPr>
                  <w:tcW w:w="1333" w:type="dxa"/>
                  <w:tcBorders>
                    <w:top w:val="single" w:sz="4" w:space="0" w:color="002C47" w:themeColor="accent1"/>
                    <w:left w:val="nil"/>
                    <w:bottom w:val="nil"/>
                    <w:right w:val="nil"/>
                  </w:tcBorders>
                  <w:shd w:val="clear" w:color="auto" w:fill="auto"/>
                  <w:noWrap/>
                  <w:vAlign w:val="bottom"/>
                </w:tcPr>
                <w:p w14:paraId="7F9DA855" w14:textId="2EEA8EF6"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-18,873</w:t>
                  </w:r>
                </w:p>
              </w:tc>
              <w:tc>
                <w:tcPr>
                  <w:tcW w:w="1334" w:type="dxa"/>
                  <w:tcBorders>
                    <w:top w:val="single" w:sz="4" w:space="0" w:color="002C47" w:themeColor="accent1"/>
                    <w:left w:val="nil"/>
                    <w:bottom w:val="nil"/>
                    <w:right w:val="nil"/>
                  </w:tcBorders>
                  <w:shd w:val="clear" w:color="auto" w:fill="auto"/>
                  <w:noWrap/>
                  <w:vAlign w:val="bottom"/>
                </w:tcPr>
                <w:p w14:paraId="5E4FD138" w14:textId="693D7B31"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11,513</w:t>
                  </w:r>
                </w:p>
              </w:tc>
            </w:tr>
            <w:tr w:rsidR="009C2B09" w:rsidRPr="009C2B09" w14:paraId="4FB47BDC" w14:textId="77777777" w:rsidTr="00834409">
              <w:trPr>
                <w:trHeight w:val="204"/>
                <w:jc w:val="center"/>
              </w:trPr>
              <w:tc>
                <w:tcPr>
                  <w:tcW w:w="969" w:type="dxa"/>
                  <w:shd w:val="clear" w:color="auto" w:fill="auto"/>
                  <w:noWrap/>
                  <w:tcMar>
                    <w:left w:w="28" w:type="dxa"/>
                  </w:tcMar>
                  <w:vAlign w:val="bottom"/>
                  <w:hideMark/>
                </w:tcPr>
                <w:p w14:paraId="0333AD86"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VIC</w:t>
                  </w:r>
                </w:p>
              </w:tc>
              <w:tc>
                <w:tcPr>
                  <w:tcW w:w="1333" w:type="dxa"/>
                  <w:tcBorders>
                    <w:top w:val="nil"/>
                    <w:left w:val="nil"/>
                    <w:bottom w:val="nil"/>
                    <w:right w:val="nil"/>
                  </w:tcBorders>
                  <w:shd w:val="clear" w:color="auto" w:fill="auto"/>
                  <w:noWrap/>
                  <w:vAlign w:val="bottom"/>
                </w:tcPr>
                <w:p w14:paraId="7094A7BF" w14:textId="0B022024"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6,661,736</w:t>
                  </w:r>
                </w:p>
              </w:tc>
              <w:tc>
                <w:tcPr>
                  <w:tcW w:w="1333" w:type="dxa"/>
                  <w:tcBorders>
                    <w:top w:val="nil"/>
                    <w:left w:val="nil"/>
                    <w:bottom w:val="nil"/>
                    <w:right w:val="nil"/>
                  </w:tcBorders>
                  <w:shd w:val="clear" w:color="auto" w:fill="auto"/>
                  <w:noWrap/>
                  <w:vAlign w:val="bottom"/>
                </w:tcPr>
                <w:p w14:paraId="11F441D4" w14:textId="270E1717"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745</w:t>
                  </w:r>
                </w:p>
              </w:tc>
              <w:tc>
                <w:tcPr>
                  <w:tcW w:w="1334" w:type="dxa"/>
                  <w:tcBorders>
                    <w:top w:val="nil"/>
                    <w:left w:val="nil"/>
                    <w:bottom w:val="nil"/>
                    <w:right w:val="nil"/>
                  </w:tcBorders>
                  <w:shd w:val="clear" w:color="auto" w:fill="auto"/>
                  <w:vAlign w:val="bottom"/>
                </w:tcPr>
                <w:p w14:paraId="628E1ABC" w14:textId="1B5D0B5E"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0.0</w:t>
                  </w:r>
                </w:p>
              </w:tc>
              <w:tc>
                <w:tcPr>
                  <w:tcW w:w="1333" w:type="dxa"/>
                  <w:tcBorders>
                    <w:top w:val="nil"/>
                    <w:left w:val="nil"/>
                    <w:bottom w:val="nil"/>
                    <w:right w:val="nil"/>
                  </w:tcBorders>
                  <w:shd w:val="clear" w:color="auto" w:fill="auto"/>
                  <w:noWrap/>
                  <w:vAlign w:val="bottom"/>
                </w:tcPr>
                <w:p w14:paraId="00A48B66" w14:textId="119E2104"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32,432</w:t>
                  </w:r>
                </w:p>
              </w:tc>
              <w:tc>
                <w:tcPr>
                  <w:tcW w:w="1333" w:type="dxa"/>
                  <w:tcBorders>
                    <w:top w:val="nil"/>
                    <w:left w:val="nil"/>
                    <w:bottom w:val="nil"/>
                    <w:right w:val="nil"/>
                  </w:tcBorders>
                  <w:shd w:val="clear" w:color="auto" w:fill="auto"/>
                  <w:noWrap/>
                  <w:vAlign w:val="bottom"/>
                </w:tcPr>
                <w:p w14:paraId="43846726" w14:textId="777B4A5B"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-12,737</w:t>
                  </w:r>
                </w:p>
              </w:tc>
              <w:tc>
                <w:tcPr>
                  <w:tcW w:w="1334" w:type="dxa"/>
                  <w:tcBorders>
                    <w:top w:val="nil"/>
                    <w:left w:val="nil"/>
                    <w:bottom w:val="nil"/>
                    <w:right w:val="nil"/>
                  </w:tcBorders>
                  <w:shd w:val="clear" w:color="auto" w:fill="auto"/>
                  <w:noWrap/>
                  <w:vAlign w:val="bottom"/>
                </w:tcPr>
                <w:p w14:paraId="49760541" w14:textId="76ABECDA"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-18,950</w:t>
                  </w:r>
                </w:p>
              </w:tc>
            </w:tr>
            <w:tr w:rsidR="009C2B09" w:rsidRPr="009C2B09" w14:paraId="48F2D304" w14:textId="77777777" w:rsidTr="00834409">
              <w:trPr>
                <w:trHeight w:val="204"/>
                <w:jc w:val="center"/>
              </w:trPr>
              <w:tc>
                <w:tcPr>
                  <w:tcW w:w="969" w:type="dxa"/>
                  <w:shd w:val="clear" w:color="auto" w:fill="auto"/>
                  <w:noWrap/>
                  <w:tcMar>
                    <w:left w:w="28" w:type="dxa"/>
                  </w:tcMar>
                  <w:vAlign w:val="bottom"/>
                  <w:hideMark/>
                </w:tcPr>
                <w:p w14:paraId="5A007A51"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QLD</w:t>
                  </w:r>
                </w:p>
              </w:tc>
              <w:tc>
                <w:tcPr>
                  <w:tcW w:w="1333" w:type="dxa"/>
                  <w:tcBorders>
                    <w:top w:val="nil"/>
                    <w:left w:val="nil"/>
                    <w:bottom w:val="nil"/>
                    <w:right w:val="nil"/>
                  </w:tcBorders>
                  <w:shd w:val="clear" w:color="auto" w:fill="auto"/>
                  <w:noWrap/>
                  <w:vAlign w:val="bottom"/>
                </w:tcPr>
                <w:p w14:paraId="5F6155A2" w14:textId="6B97CAD6"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5,194,879</w:t>
                  </w:r>
                </w:p>
              </w:tc>
              <w:tc>
                <w:tcPr>
                  <w:tcW w:w="1333" w:type="dxa"/>
                  <w:tcBorders>
                    <w:top w:val="nil"/>
                    <w:left w:val="nil"/>
                    <w:bottom w:val="nil"/>
                    <w:right w:val="nil"/>
                  </w:tcBorders>
                  <w:shd w:val="clear" w:color="auto" w:fill="auto"/>
                  <w:noWrap/>
                  <w:vAlign w:val="bottom"/>
                </w:tcPr>
                <w:p w14:paraId="341F0A62" w14:textId="629898F5"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58,114</w:t>
                  </w:r>
                </w:p>
              </w:tc>
              <w:tc>
                <w:tcPr>
                  <w:tcW w:w="1334" w:type="dxa"/>
                  <w:tcBorders>
                    <w:top w:val="nil"/>
                    <w:left w:val="nil"/>
                    <w:bottom w:val="nil"/>
                    <w:right w:val="nil"/>
                  </w:tcBorders>
                  <w:shd w:val="clear" w:color="auto" w:fill="auto"/>
                  <w:vAlign w:val="bottom"/>
                </w:tcPr>
                <w:p w14:paraId="25DE25F9" w14:textId="5B89DA88"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1.1</w:t>
                  </w:r>
                </w:p>
              </w:tc>
              <w:tc>
                <w:tcPr>
                  <w:tcW w:w="1333" w:type="dxa"/>
                  <w:tcBorders>
                    <w:top w:val="nil"/>
                    <w:left w:val="nil"/>
                    <w:bottom w:val="nil"/>
                    <w:right w:val="nil"/>
                  </w:tcBorders>
                  <w:shd w:val="clear" w:color="auto" w:fill="auto"/>
                  <w:noWrap/>
                  <w:vAlign w:val="bottom"/>
                </w:tcPr>
                <w:p w14:paraId="5663892A" w14:textId="7A655AC9"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28,120</w:t>
                  </w:r>
                </w:p>
              </w:tc>
              <w:tc>
                <w:tcPr>
                  <w:tcW w:w="1333" w:type="dxa"/>
                  <w:tcBorders>
                    <w:top w:val="nil"/>
                    <w:left w:val="nil"/>
                    <w:bottom w:val="nil"/>
                    <w:right w:val="nil"/>
                  </w:tcBorders>
                  <w:shd w:val="clear" w:color="auto" w:fill="auto"/>
                  <w:noWrap/>
                  <w:vAlign w:val="bottom"/>
                </w:tcPr>
                <w:p w14:paraId="4391E394" w14:textId="4FE080D7"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30,018</w:t>
                  </w:r>
                </w:p>
              </w:tc>
              <w:tc>
                <w:tcPr>
                  <w:tcW w:w="1334" w:type="dxa"/>
                  <w:tcBorders>
                    <w:top w:val="nil"/>
                    <w:left w:val="nil"/>
                    <w:bottom w:val="nil"/>
                    <w:right w:val="nil"/>
                  </w:tcBorders>
                  <w:shd w:val="clear" w:color="auto" w:fill="auto"/>
                  <w:noWrap/>
                  <w:vAlign w:val="bottom"/>
                </w:tcPr>
                <w:p w14:paraId="4ED47E01" w14:textId="3CAA502C"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-24</w:t>
                  </w:r>
                </w:p>
              </w:tc>
            </w:tr>
            <w:tr w:rsidR="009C2B09" w:rsidRPr="009C2B09" w14:paraId="26B52AB4" w14:textId="77777777" w:rsidTr="00834409">
              <w:trPr>
                <w:trHeight w:val="204"/>
                <w:jc w:val="center"/>
              </w:trPr>
              <w:tc>
                <w:tcPr>
                  <w:tcW w:w="969" w:type="dxa"/>
                  <w:shd w:val="clear" w:color="auto" w:fill="auto"/>
                  <w:noWrap/>
                  <w:tcMar>
                    <w:left w:w="28" w:type="dxa"/>
                  </w:tcMar>
                  <w:vAlign w:val="bottom"/>
                  <w:hideMark/>
                </w:tcPr>
                <w:p w14:paraId="26961473"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SA</w:t>
                  </w:r>
                </w:p>
              </w:tc>
              <w:tc>
                <w:tcPr>
                  <w:tcW w:w="1333" w:type="dxa"/>
                  <w:tcBorders>
                    <w:top w:val="nil"/>
                    <w:left w:val="nil"/>
                    <w:bottom w:val="nil"/>
                    <w:right w:val="nil"/>
                  </w:tcBorders>
                  <w:shd w:val="clear" w:color="auto" w:fill="auto"/>
                  <w:noWrap/>
                  <w:vAlign w:val="bottom"/>
                </w:tcPr>
                <w:p w14:paraId="669B4B01" w14:textId="394D51B4"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1,770,790</w:t>
                  </w:r>
                </w:p>
              </w:tc>
              <w:tc>
                <w:tcPr>
                  <w:tcW w:w="1333" w:type="dxa"/>
                  <w:tcBorders>
                    <w:top w:val="nil"/>
                    <w:left w:val="nil"/>
                    <w:bottom w:val="nil"/>
                    <w:right w:val="nil"/>
                  </w:tcBorders>
                  <w:shd w:val="clear" w:color="auto" w:fill="auto"/>
                  <w:noWrap/>
                  <w:vAlign w:val="bottom"/>
                </w:tcPr>
                <w:p w14:paraId="6E994D49" w14:textId="1330D369"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9,401</w:t>
                  </w:r>
                </w:p>
              </w:tc>
              <w:tc>
                <w:tcPr>
                  <w:tcW w:w="1334" w:type="dxa"/>
                  <w:tcBorders>
                    <w:top w:val="nil"/>
                    <w:left w:val="nil"/>
                    <w:bottom w:val="nil"/>
                    <w:right w:val="nil"/>
                  </w:tcBorders>
                  <w:shd w:val="clear" w:color="auto" w:fill="auto"/>
                  <w:vAlign w:val="bottom"/>
                </w:tcPr>
                <w:p w14:paraId="0A36E741" w14:textId="529174E3"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0.5</w:t>
                  </w:r>
                </w:p>
              </w:tc>
              <w:tc>
                <w:tcPr>
                  <w:tcW w:w="1333" w:type="dxa"/>
                  <w:tcBorders>
                    <w:top w:val="nil"/>
                    <w:left w:val="nil"/>
                    <w:bottom w:val="nil"/>
                    <w:right w:val="nil"/>
                  </w:tcBorders>
                  <w:shd w:val="clear" w:color="auto" w:fill="auto"/>
                  <w:noWrap/>
                  <w:vAlign w:val="bottom"/>
                </w:tcPr>
                <w:p w14:paraId="7752544B" w14:textId="1D58C409"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4,889</w:t>
                  </w:r>
                </w:p>
              </w:tc>
              <w:tc>
                <w:tcPr>
                  <w:tcW w:w="1333" w:type="dxa"/>
                  <w:tcBorders>
                    <w:top w:val="nil"/>
                    <w:left w:val="nil"/>
                    <w:bottom w:val="nil"/>
                    <w:right w:val="nil"/>
                  </w:tcBorders>
                  <w:shd w:val="clear" w:color="auto" w:fill="auto"/>
                  <w:noWrap/>
                  <w:vAlign w:val="bottom"/>
                </w:tcPr>
                <w:p w14:paraId="2C78BD7B" w14:textId="72BB94A4"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98</w:t>
                  </w:r>
                </w:p>
              </w:tc>
              <w:tc>
                <w:tcPr>
                  <w:tcW w:w="1334" w:type="dxa"/>
                  <w:tcBorders>
                    <w:top w:val="nil"/>
                    <w:left w:val="nil"/>
                    <w:bottom w:val="nil"/>
                    <w:right w:val="nil"/>
                  </w:tcBorders>
                  <w:shd w:val="clear" w:color="auto" w:fill="auto"/>
                  <w:noWrap/>
                  <w:vAlign w:val="bottom"/>
                </w:tcPr>
                <w:p w14:paraId="2F09D174" w14:textId="6CD26DE4"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4,414</w:t>
                  </w:r>
                </w:p>
              </w:tc>
            </w:tr>
            <w:tr w:rsidR="009C2B09" w:rsidRPr="009C2B09" w14:paraId="7BC19809" w14:textId="77777777" w:rsidTr="00834409">
              <w:trPr>
                <w:trHeight w:val="204"/>
                <w:jc w:val="center"/>
              </w:trPr>
              <w:tc>
                <w:tcPr>
                  <w:tcW w:w="969" w:type="dxa"/>
                  <w:shd w:val="clear" w:color="auto" w:fill="auto"/>
                  <w:noWrap/>
                  <w:tcMar>
                    <w:left w:w="28" w:type="dxa"/>
                  </w:tcMar>
                  <w:vAlign w:val="bottom"/>
                  <w:hideMark/>
                </w:tcPr>
                <w:p w14:paraId="0F3413E2"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WA</w:t>
                  </w:r>
                </w:p>
              </w:tc>
              <w:tc>
                <w:tcPr>
                  <w:tcW w:w="1333" w:type="dxa"/>
                  <w:tcBorders>
                    <w:top w:val="nil"/>
                    <w:left w:val="nil"/>
                    <w:bottom w:val="nil"/>
                    <w:right w:val="nil"/>
                  </w:tcBorders>
                  <w:shd w:val="clear" w:color="auto" w:fill="auto"/>
                  <w:noWrap/>
                  <w:vAlign w:val="bottom"/>
                </w:tcPr>
                <w:p w14:paraId="5BEB8C6F" w14:textId="664437D6"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2,670,241</w:t>
                  </w:r>
                </w:p>
              </w:tc>
              <w:tc>
                <w:tcPr>
                  <w:tcW w:w="1333" w:type="dxa"/>
                  <w:tcBorders>
                    <w:top w:val="nil"/>
                    <w:left w:val="nil"/>
                    <w:bottom w:val="nil"/>
                    <w:right w:val="nil"/>
                  </w:tcBorders>
                  <w:shd w:val="clear" w:color="auto" w:fill="auto"/>
                  <w:noWrap/>
                  <w:vAlign w:val="bottom"/>
                </w:tcPr>
                <w:p w14:paraId="7677552A" w14:textId="532B25E8"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24,537</w:t>
                  </w:r>
                </w:p>
              </w:tc>
              <w:tc>
                <w:tcPr>
                  <w:tcW w:w="1334" w:type="dxa"/>
                  <w:tcBorders>
                    <w:top w:val="nil"/>
                    <w:left w:val="nil"/>
                    <w:bottom w:val="nil"/>
                    <w:right w:val="nil"/>
                  </w:tcBorders>
                  <w:shd w:val="clear" w:color="auto" w:fill="auto"/>
                  <w:vAlign w:val="bottom"/>
                </w:tcPr>
                <w:p w14:paraId="5B0B1A1A" w14:textId="313E0E5E"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0.9</w:t>
                  </w:r>
                </w:p>
              </w:tc>
              <w:tc>
                <w:tcPr>
                  <w:tcW w:w="1333" w:type="dxa"/>
                  <w:tcBorders>
                    <w:top w:val="nil"/>
                    <w:left w:val="nil"/>
                    <w:bottom w:val="nil"/>
                    <w:right w:val="nil"/>
                  </w:tcBorders>
                  <w:shd w:val="clear" w:color="auto" w:fill="auto"/>
                  <w:noWrap/>
                  <w:vAlign w:val="bottom"/>
                </w:tcPr>
                <w:p w14:paraId="53F53C5F" w14:textId="71656036"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17,432</w:t>
                  </w:r>
                </w:p>
              </w:tc>
              <w:tc>
                <w:tcPr>
                  <w:tcW w:w="1333" w:type="dxa"/>
                  <w:tcBorders>
                    <w:top w:val="nil"/>
                    <w:left w:val="nil"/>
                    <w:bottom w:val="nil"/>
                    <w:right w:val="nil"/>
                  </w:tcBorders>
                  <w:shd w:val="clear" w:color="auto" w:fill="auto"/>
                  <w:noWrap/>
                  <w:vAlign w:val="bottom"/>
                </w:tcPr>
                <w:p w14:paraId="0219FC0E" w14:textId="21423DEF"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1,385</w:t>
                  </w:r>
                </w:p>
              </w:tc>
              <w:tc>
                <w:tcPr>
                  <w:tcW w:w="1334" w:type="dxa"/>
                  <w:tcBorders>
                    <w:top w:val="nil"/>
                    <w:left w:val="nil"/>
                    <w:bottom w:val="nil"/>
                    <w:right w:val="nil"/>
                  </w:tcBorders>
                  <w:shd w:val="clear" w:color="auto" w:fill="auto"/>
                  <w:noWrap/>
                  <w:vAlign w:val="bottom"/>
                </w:tcPr>
                <w:p w14:paraId="39E75C02" w14:textId="5FCEAFB9"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5,720</w:t>
                  </w:r>
                </w:p>
              </w:tc>
            </w:tr>
            <w:tr w:rsidR="009C2B09" w:rsidRPr="009C2B09" w14:paraId="064EB090" w14:textId="77777777" w:rsidTr="00834409">
              <w:trPr>
                <w:trHeight w:val="204"/>
                <w:jc w:val="center"/>
              </w:trPr>
              <w:tc>
                <w:tcPr>
                  <w:tcW w:w="969" w:type="dxa"/>
                  <w:shd w:val="clear" w:color="auto" w:fill="auto"/>
                  <w:noWrap/>
                  <w:tcMar>
                    <w:left w:w="28" w:type="dxa"/>
                  </w:tcMar>
                  <w:vAlign w:val="bottom"/>
                  <w:hideMark/>
                </w:tcPr>
                <w:p w14:paraId="4CF283E9"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TAS</w:t>
                  </w:r>
                </w:p>
              </w:tc>
              <w:tc>
                <w:tcPr>
                  <w:tcW w:w="1333" w:type="dxa"/>
                  <w:tcBorders>
                    <w:top w:val="nil"/>
                    <w:left w:val="nil"/>
                    <w:bottom w:val="nil"/>
                    <w:right w:val="nil"/>
                  </w:tcBorders>
                  <w:shd w:val="clear" w:color="auto" w:fill="auto"/>
                  <w:noWrap/>
                  <w:vAlign w:val="bottom"/>
                </w:tcPr>
                <w:p w14:paraId="0EBB5831" w14:textId="621EF797"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541,506</w:t>
                  </w:r>
                </w:p>
              </w:tc>
              <w:tc>
                <w:tcPr>
                  <w:tcW w:w="1333" w:type="dxa"/>
                  <w:tcBorders>
                    <w:top w:val="nil"/>
                    <w:left w:val="nil"/>
                    <w:bottom w:val="nil"/>
                    <w:right w:val="nil"/>
                  </w:tcBorders>
                  <w:shd w:val="clear" w:color="auto" w:fill="auto"/>
                  <w:noWrap/>
                  <w:vAlign w:val="bottom"/>
                </w:tcPr>
                <w:p w14:paraId="4432FB69" w14:textId="395A090D"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3,237</w:t>
                  </w:r>
                </w:p>
              </w:tc>
              <w:tc>
                <w:tcPr>
                  <w:tcW w:w="1334" w:type="dxa"/>
                  <w:tcBorders>
                    <w:top w:val="nil"/>
                    <w:left w:val="nil"/>
                    <w:bottom w:val="nil"/>
                    <w:right w:val="nil"/>
                  </w:tcBorders>
                  <w:shd w:val="clear" w:color="auto" w:fill="auto"/>
                  <w:vAlign w:val="bottom"/>
                </w:tcPr>
                <w:p w14:paraId="72E3BA0B" w14:textId="34BA0730"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0.6</w:t>
                  </w:r>
                </w:p>
              </w:tc>
              <w:tc>
                <w:tcPr>
                  <w:tcW w:w="1333" w:type="dxa"/>
                  <w:tcBorders>
                    <w:top w:val="nil"/>
                    <w:left w:val="nil"/>
                    <w:bottom w:val="nil"/>
                    <w:right w:val="nil"/>
                  </w:tcBorders>
                  <w:shd w:val="clear" w:color="auto" w:fill="auto"/>
                  <w:noWrap/>
                  <w:vAlign w:val="bottom"/>
                </w:tcPr>
                <w:p w14:paraId="25651C1A" w14:textId="5928FABE"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1,344</w:t>
                  </w:r>
                </w:p>
              </w:tc>
              <w:tc>
                <w:tcPr>
                  <w:tcW w:w="1333" w:type="dxa"/>
                  <w:tcBorders>
                    <w:top w:val="nil"/>
                    <w:left w:val="nil"/>
                    <w:bottom w:val="nil"/>
                    <w:right w:val="nil"/>
                  </w:tcBorders>
                  <w:shd w:val="clear" w:color="auto" w:fill="auto"/>
                  <w:noWrap/>
                  <w:vAlign w:val="bottom"/>
                </w:tcPr>
                <w:p w14:paraId="32F3DEB3" w14:textId="054EB219"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1,164</w:t>
                  </w:r>
                </w:p>
              </w:tc>
              <w:tc>
                <w:tcPr>
                  <w:tcW w:w="1334" w:type="dxa"/>
                  <w:tcBorders>
                    <w:top w:val="nil"/>
                    <w:left w:val="nil"/>
                    <w:bottom w:val="nil"/>
                    <w:right w:val="nil"/>
                  </w:tcBorders>
                  <w:shd w:val="clear" w:color="auto" w:fill="auto"/>
                  <w:noWrap/>
                  <w:vAlign w:val="bottom"/>
                </w:tcPr>
                <w:p w14:paraId="50B336EB" w14:textId="17383BA1"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729</w:t>
                  </w:r>
                </w:p>
              </w:tc>
            </w:tr>
            <w:tr w:rsidR="009C2B09" w:rsidRPr="009C2B09" w14:paraId="73AAADE5" w14:textId="77777777" w:rsidTr="00834409">
              <w:trPr>
                <w:trHeight w:val="204"/>
                <w:jc w:val="center"/>
              </w:trPr>
              <w:tc>
                <w:tcPr>
                  <w:tcW w:w="969" w:type="dxa"/>
                  <w:shd w:val="clear" w:color="auto" w:fill="auto"/>
                  <w:noWrap/>
                  <w:tcMar>
                    <w:left w:w="28" w:type="dxa"/>
                  </w:tcMar>
                  <w:vAlign w:val="bottom"/>
                  <w:hideMark/>
                </w:tcPr>
                <w:p w14:paraId="13D839F7"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NT</w:t>
                  </w:r>
                </w:p>
              </w:tc>
              <w:tc>
                <w:tcPr>
                  <w:tcW w:w="1333" w:type="dxa"/>
                  <w:tcBorders>
                    <w:top w:val="nil"/>
                    <w:left w:val="nil"/>
                    <w:bottom w:val="nil"/>
                    <w:right w:val="nil"/>
                  </w:tcBorders>
                  <w:shd w:val="clear" w:color="auto" w:fill="auto"/>
                  <w:noWrap/>
                  <w:vAlign w:val="bottom"/>
                </w:tcPr>
                <w:p w14:paraId="69346E4D" w14:textId="590D3671"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246,561</w:t>
                  </w:r>
                </w:p>
              </w:tc>
              <w:tc>
                <w:tcPr>
                  <w:tcW w:w="1333" w:type="dxa"/>
                  <w:tcBorders>
                    <w:top w:val="nil"/>
                    <w:left w:val="nil"/>
                    <w:bottom w:val="nil"/>
                    <w:right w:val="nil"/>
                  </w:tcBorders>
                  <w:shd w:val="clear" w:color="auto" w:fill="auto"/>
                  <w:noWrap/>
                  <w:vAlign w:val="bottom"/>
                </w:tcPr>
                <w:p w14:paraId="1B787B4F" w14:textId="4E1A1469"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1,344</w:t>
                  </w:r>
                </w:p>
              </w:tc>
              <w:tc>
                <w:tcPr>
                  <w:tcW w:w="1334" w:type="dxa"/>
                  <w:tcBorders>
                    <w:top w:val="nil"/>
                    <w:left w:val="nil"/>
                    <w:bottom w:val="nil"/>
                    <w:right w:val="nil"/>
                  </w:tcBorders>
                  <w:shd w:val="clear" w:color="auto" w:fill="auto"/>
                  <w:vAlign w:val="bottom"/>
                </w:tcPr>
                <w:p w14:paraId="781F386C" w14:textId="5FB28A83"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w:t>
                  </w:r>
                  <w:r w:rsidR="00D14E2C">
                    <w:rPr>
                      <w:rFonts w:asciiTheme="minorHAnsi" w:eastAsia="Times New Roman" w:hAnsiTheme="minorHAnsi" w:cstheme="minorHAnsi"/>
                      <w:color w:val="000000"/>
                      <w:sz w:val="18"/>
                      <w:szCs w:val="18"/>
                      <w:lang w:eastAsia="en-AU"/>
                    </w:rPr>
                    <w:t>6</w:t>
                  </w:r>
                </w:p>
              </w:tc>
              <w:tc>
                <w:tcPr>
                  <w:tcW w:w="1333" w:type="dxa"/>
                  <w:tcBorders>
                    <w:top w:val="nil"/>
                    <w:left w:val="nil"/>
                    <w:bottom w:val="nil"/>
                    <w:right w:val="nil"/>
                  </w:tcBorders>
                  <w:shd w:val="clear" w:color="auto" w:fill="auto"/>
                  <w:noWrap/>
                  <w:vAlign w:val="bottom"/>
                </w:tcPr>
                <w:p w14:paraId="60C48650" w14:textId="14282012"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2,610</w:t>
                  </w:r>
                </w:p>
              </w:tc>
              <w:tc>
                <w:tcPr>
                  <w:tcW w:w="1333" w:type="dxa"/>
                  <w:tcBorders>
                    <w:top w:val="nil"/>
                    <w:left w:val="nil"/>
                    <w:bottom w:val="nil"/>
                    <w:right w:val="nil"/>
                  </w:tcBorders>
                  <w:shd w:val="clear" w:color="auto" w:fill="auto"/>
                  <w:noWrap/>
                  <w:vAlign w:val="bottom"/>
                </w:tcPr>
                <w:p w14:paraId="6E61874C" w14:textId="37132C5E"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-1,342</w:t>
                  </w:r>
                </w:p>
              </w:tc>
              <w:tc>
                <w:tcPr>
                  <w:tcW w:w="1334" w:type="dxa"/>
                  <w:tcBorders>
                    <w:top w:val="nil"/>
                    <w:left w:val="nil"/>
                    <w:bottom w:val="nil"/>
                    <w:right w:val="nil"/>
                  </w:tcBorders>
                  <w:shd w:val="clear" w:color="auto" w:fill="auto"/>
                  <w:noWrap/>
                  <w:vAlign w:val="bottom"/>
                </w:tcPr>
                <w:p w14:paraId="2E905F74" w14:textId="635446C9"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76</w:t>
                  </w:r>
                </w:p>
              </w:tc>
            </w:tr>
            <w:tr w:rsidR="009C2B09" w:rsidRPr="009C2B09" w14:paraId="13A6C198" w14:textId="77777777" w:rsidTr="00834409">
              <w:trPr>
                <w:trHeight w:val="204"/>
                <w:jc w:val="center"/>
              </w:trPr>
              <w:tc>
                <w:tcPr>
                  <w:tcW w:w="969" w:type="dxa"/>
                  <w:tcBorders>
                    <w:bottom w:val="nil"/>
                  </w:tcBorders>
                  <w:shd w:val="clear" w:color="auto" w:fill="auto"/>
                  <w:noWrap/>
                  <w:tcMar>
                    <w:left w:w="28" w:type="dxa"/>
                  </w:tcMar>
                  <w:vAlign w:val="bottom"/>
                  <w:hideMark/>
                </w:tcPr>
                <w:p w14:paraId="75DE1257"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ACT</w:t>
                  </w:r>
                </w:p>
              </w:tc>
              <w:tc>
                <w:tcPr>
                  <w:tcW w:w="1333" w:type="dxa"/>
                  <w:tcBorders>
                    <w:top w:val="nil"/>
                    <w:left w:val="nil"/>
                    <w:bottom w:val="nil"/>
                    <w:right w:val="nil"/>
                  </w:tcBorders>
                  <w:shd w:val="clear" w:color="auto" w:fill="auto"/>
                  <w:noWrap/>
                  <w:vAlign w:val="bottom"/>
                </w:tcPr>
                <w:p w14:paraId="63728006" w14:textId="6AEE7E0A"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431,484</w:t>
                  </w:r>
                </w:p>
              </w:tc>
              <w:tc>
                <w:tcPr>
                  <w:tcW w:w="1333" w:type="dxa"/>
                  <w:tcBorders>
                    <w:top w:val="nil"/>
                    <w:left w:val="nil"/>
                    <w:bottom w:val="nil"/>
                    <w:right w:val="nil"/>
                  </w:tcBorders>
                  <w:shd w:val="clear" w:color="auto" w:fill="auto"/>
                  <w:noWrap/>
                  <w:vAlign w:val="bottom"/>
                </w:tcPr>
                <w:p w14:paraId="3AA66017" w14:textId="598DCE12"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3,241</w:t>
                  </w:r>
                </w:p>
              </w:tc>
              <w:tc>
                <w:tcPr>
                  <w:tcW w:w="1334" w:type="dxa"/>
                  <w:tcBorders>
                    <w:top w:val="nil"/>
                    <w:left w:val="nil"/>
                    <w:bottom w:val="nil"/>
                    <w:right w:val="nil"/>
                  </w:tcBorders>
                  <w:shd w:val="clear" w:color="auto" w:fill="auto"/>
                  <w:vAlign w:val="bottom"/>
                </w:tcPr>
                <w:p w14:paraId="1BC11A24" w14:textId="5F78A7C4"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w:t>
                  </w:r>
                  <w:r w:rsidR="00D14E2C">
                    <w:rPr>
                      <w:rFonts w:asciiTheme="minorHAnsi" w:eastAsia="Times New Roman" w:hAnsiTheme="minorHAnsi" w:cstheme="minorHAnsi"/>
                      <w:color w:val="000000"/>
                      <w:sz w:val="18"/>
                      <w:szCs w:val="18"/>
                      <w:lang w:eastAsia="en-AU"/>
                    </w:rPr>
                    <w:t>8</w:t>
                  </w:r>
                </w:p>
              </w:tc>
              <w:tc>
                <w:tcPr>
                  <w:tcW w:w="1333" w:type="dxa"/>
                  <w:tcBorders>
                    <w:top w:val="nil"/>
                    <w:left w:val="nil"/>
                    <w:bottom w:val="nil"/>
                    <w:right w:val="nil"/>
                  </w:tcBorders>
                  <w:shd w:val="clear" w:color="auto" w:fill="auto"/>
                  <w:noWrap/>
                  <w:vAlign w:val="bottom"/>
                </w:tcPr>
                <w:p w14:paraId="5A148B01" w14:textId="62630C3B"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3,206</w:t>
                  </w:r>
                </w:p>
              </w:tc>
              <w:tc>
                <w:tcPr>
                  <w:tcW w:w="1333" w:type="dxa"/>
                  <w:tcBorders>
                    <w:top w:val="nil"/>
                    <w:left w:val="nil"/>
                    <w:bottom w:val="nil"/>
                    <w:right w:val="nil"/>
                  </w:tcBorders>
                  <w:shd w:val="clear" w:color="auto" w:fill="auto"/>
                  <w:noWrap/>
                  <w:vAlign w:val="bottom"/>
                </w:tcPr>
                <w:p w14:paraId="61257A7B" w14:textId="7599F055"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287</w:t>
                  </w:r>
                </w:p>
              </w:tc>
              <w:tc>
                <w:tcPr>
                  <w:tcW w:w="1334" w:type="dxa"/>
                  <w:tcBorders>
                    <w:top w:val="nil"/>
                    <w:left w:val="nil"/>
                    <w:bottom w:val="nil"/>
                    <w:right w:val="nil"/>
                  </w:tcBorders>
                  <w:shd w:val="clear" w:color="auto" w:fill="auto"/>
                  <w:noWrap/>
                  <w:vAlign w:val="bottom"/>
                </w:tcPr>
                <w:p w14:paraId="75D8A7B5" w14:textId="332C68CF"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-252</w:t>
                  </w:r>
                </w:p>
              </w:tc>
            </w:tr>
            <w:tr w:rsidR="00DA5649" w:rsidRPr="00E93E5D" w14:paraId="00EBCB71" w14:textId="77777777" w:rsidTr="00DA5649">
              <w:trPr>
                <w:trHeight w:val="204"/>
                <w:jc w:val="center"/>
              </w:trPr>
              <w:tc>
                <w:tcPr>
                  <w:tcW w:w="969" w:type="dxa"/>
                  <w:tcBorders>
                    <w:top w:val="nil"/>
                    <w:bottom w:val="single" w:sz="4" w:space="0" w:color="002C47" w:themeColor="accent1"/>
                  </w:tcBorders>
                  <w:shd w:val="clear" w:color="auto" w:fill="D2EDFF" w:themeFill="accent1" w:themeFillTint="1A"/>
                  <w:noWrap/>
                  <w:tcMar>
                    <w:left w:w="28" w:type="dxa"/>
                  </w:tcMar>
                  <w:vAlign w:val="bottom"/>
                  <w:hideMark/>
                </w:tcPr>
                <w:p w14:paraId="7F5D9AFD" w14:textId="77777777" w:rsidR="009C2B09" w:rsidRPr="009C2B09" w:rsidRDefault="009C2B09" w:rsidP="00DC62D9">
                  <w:pPr>
                    <w:spacing w:before="40" w:after="40" w:line="276" w:lineRule="auto"/>
                    <w:rPr>
                      <w:rFonts w:asciiTheme="minorHAnsi" w:eastAsia="Times New Roman" w:hAnsiTheme="minorHAnsi" w:cstheme="minorHAnsi"/>
                      <w:b/>
                      <w:bCs/>
                      <w:color w:val="000000"/>
                      <w:sz w:val="18"/>
                      <w:szCs w:val="18"/>
                      <w:lang w:eastAsia="en-AU"/>
                    </w:rPr>
                  </w:pPr>
                  <w:r w:rsidRPr="009C2B09">
                    <w:rPr>
                      <w:rFonts w:asciiTheme="minorHAnsi" w:eastAsia="Times New Roman" w:hAnsiTheme="minorHAnsi" w:cstheme="minorHAnsi"/>
                      <w:b/>
                      <w:bCs/>
                      <w:color w:val="000000"/>
                      <w:sz w:val="18"/>
                      <w:szCs w:val="18"/>
                      <w:lang w:eastAsia="en-AU"/>
                    </w:rPr>
                    <w:t>Australia*</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450FD3A5" w14:textId="5A664289"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25,694,393</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0B3744F9" w14:textId="30275EC8"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136,261</w:t>
                  </w:r>
                </w:p>
              </w:tc>
              <w:tc>
                <w:tcPr>
                  <w:tcW w:w="1334" w:type="dxa"/>
                  <w:tcBorders>
                    <w:top w:val="nil"/>
                    <w:left w:val="nil"/>
                    <w:bottom w:val="single" w:sz="4" w:space="0" w:color="002C47" w:themeColor="accent1"/>
                    <w:right w:val="nil"/>
                  </w:tcBorders>
                  <w:shd w:val="clear" w:color="auto" w:fill="D2EDFF" w:themeFill="accent1" w:themeFillTint="1A"/>
                  <w:vAlign w:val="bottom"/>
                </w:tcPr>
                <w:p w14:paraId="625DCABD" w14:textId="32C904C9" w:rsidR="009C2B09" w:rsidRPr="009C2B09" w:rsidRDefault="009C2B09" w:rsidP="00DC62D9">
                  <w:pPr>
                    <w:tabs>
                      <w:tab w:val="decimal" w:pos="454"/>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0.5</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43379D09" w14:textId="0CD92E65" w:rsidR="009C2B09" w:rsidRPr="009C2B09" w:rsidRDefault="009C2B09" w:rsidP="00DC62D9">
                  <w:pPr>
                    <w:tabs>
                      <w:tab w:val="decimal" w:pos="736"/>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133,008</w:t>
                  </w:r>
                </w:p>
              </w:tc>
              <w:tc>
                <w:tcPr>
                  <w:tcW w:w="1333" w:type="dxa"/>
                  <w:tcBorders>
                    <w:top w:val="nil"/>
                    <w:left w:val="nil"/>
                    <w:bottom w:val="single" w:sz="4" w:space="0" w:color="002C47" w:themeColor="accent1"/>
                    <w:right w:val="nil"/>
                  </w:tcBorders>
                  <w:shd w:val="clear" w:color="auto" w:fill="D2EDFF" w:themeFill="accent1" w:themeFillTint="1A"/>
                  <w:noWrap/>
                  <w:vAlign w:val="bottom"/>
                </w:tcPr>
                <w:p w14:paraId="47903D15" w14:textId="4D9F9D2D" w:rsidR="009C2B09" w:rsidRPr="009C2B09" w:rsidRDefault="009C2B09" w:rsidP="00DC62D9">
                  <w:pPr>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NA</w:t>
                  </w:r>
                </w:p>
              </w:tc>
              <w:tc>
                <w:tcPr>
                  <w:tcW w:w="1334" w:type="dxa"/>
                  <w:tcBorders>
                    <w:top w:val="nil"/>
                    <w:left w:val="nil"/>
                    <w:bottom w:val="single" w:sz="4" w:space="0" w:color="002C47" w:themeColor="accent1"/>
                    <w:right w:val="nil"/>
                  </w:tcBorders>
                  <w:shd w:val="clear" w:color="auto" w:fill="D2EDFF" w:themeFill="accent1" w:themeFillTint="1A"/>
                  <w:noWrap/>
                  <w:vAlign w:val="bottom"/>
                </w:tcPr>
                <w:p w14:paraId="03842E2B" w14:textId="49BD943B" w:rsidR="009C2B09" w:rsidRPr="009C2B09" w:rsidRDefault="009C2B0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9C2B09">
                    <w:rPr>
                      <w:rFonts w:asciiTheme="minorHAnsi" w:eastAsia="Times New Roman" w:hAnsiTheme="minorHAnsi" w:cstheme="minorHAnsi"/>
                      <w:color w:val="000000"/>
                      <w:sz w:val="18"/>
                      <w:szCs w:val="18"/>
                      <w:lang w:eastAsia="en-AU"/>
                    </w:rPr>
                    <w:t>3,253</w:t>
                  </w:r>
                </w:p>
              </w:tc>
            </w:tr>
          </w:tbl>
          <w:p w14:paraId="70E85AC8" w14:textId="2502A2FF" w:rsidR="00F31639" w:rsidRDefault="00F31639" w:rsidP="00E36B42">
            <w:pPr>
              <w:pStyle w:val="Bullet"/>
              <w:numPr>
                <w:ilvl w:val="0"/>
                <w:numId w:val="0"/>
              </w:numPr>
              <w:spacing w:before="40"/>
              <w:rPr>
                <w:sz w:val="16"/>
                <w:szCs w:val="16"/>
              </w:rPr>
            </w:pPr>
            <w:r w:rsidRPr="007C7EAD">
              <w:rPr>
                <w:sz w:val="16"/>
                <w:szCs w:val="16"/>
              </w:rPr>
              <w:t>* Includes other Territories comprising Jervis Bay Territory, Christmas Island, the Cocos (Keeling) Islands and Norfolk Island</w:t>
            </w:r>
          </w:p>
          <w:p w14:paraId="40479F3F" w14:textId="02CC0E96" w:rsidR="00DC62D9" w:rsidRDefault="00F31639" w:rsidP="00DC62D9">
            <w:pPr>
              <w:pStyle w:val="TableMainHeading"/>
              <w:spacing w:after="120"/>
              <w:ind w:left="992" w:hanging="992"/>
            </w:pPr>
            <w:r w:rsidRPr="00737787">
              <w:t>Upcoming major population releases</w:t>
            </w:r>
          </w:p>
          <w:tbl>
            <w:tblPr>
              <w:tblW w:w="7748" w:type="dxa"/>
              <w:jc w:val="center"/>
              <w:tblBorders>
                <w:top w:val="single" w:sz="4" w:space="0" w:color="auto"/>
                <w:bottom w:val="single" w:sz="4" w:space="0" w:color="auto"/>
              </w:tblBorders>
              <w:tblLayout w:type="fixed"/>
              <w:tblLook w:val="04A0" w:firstRow="1" w:lastRow="0" w:firstColumn="1" w:lastColumn="0" w:noHBand="0" w:noVBand="1"/>
            </w:tblPr>
            <w:tblGrid>
              <w:gridCol w:w="4731"/>
              <w:gridCol w:w="1425"/>
              <w:gridCol w:w="1592"/>
            </w:tblGrid>
            <w:tr w:rsidR="00DC62D9" w:rsidRPr="009C2B09" w14:paraId="1F60A23F" w14:textId="77777777" w:rsidTr="00834409">
              <w:trPr>
                <w:trHeight w:val="271"/>
                <w:jc w:val="center"/>
              </w:trPr>
              <w:tc>
                <w:tcPr>
                  <w:tcW w:w="4731" w:type="dxa"/>
                  <w:tcBorders>
                    <w:top w:val="single" w:sz="4" w:space="0" w:color="002C47" w:themeColor="accent1"/>
                    <w:bottom w:val="single" w:sz="4" w:space="0" w:color="002C47" w:themeColor="accent1"/>
                  </w:tcBorders>
                  <w:shd w:val="clear" w:color="auto" w:fill="auto"/>
                  <w:noWrap/>
                  <w:tcMar>
                    <w:left w:w="28" w:type="dxa"/>
                    <w:right w:w="0" w:type="dxa"/>
                  </w:tcMar>
                  <w:hideMark/>
                </w:tcPr>
                <w:p w14:paraId="05272BF2" w14:textId="66160A70" w:rsidR="00DC62D9" w:rsidRPr="00DC62D9" w:rsidRDefault="00DC62D9" w:rsidP="00DC62D9">
                  <w:pPr>
                    <w:spacing w:before="40" w:after="40" w:line="276" w:lineRule="auto"/>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w:t>
                  </w:r>
                </w:p>
              </w:tc>
              <w:tc>
                <w:tcPr>
                  <w:tcW w:w="1425" w:type="dxa"/>
                  <w:tcBorders>
                    <w:top w:val="single" w:sz="4" w:space="0" w:color="002C47" w:themeColor="accent1"/>
                    <w:bottom w:val="single" w:sz="4" w:space="0" w:color="002C47" w:themeColor="accent1"/>
                  </w:tcBorders>
                  <w:shd w:val="clear" w:color="auto" w:fill="auto"/>
                  <w:tcMar>
                    <w:left w:w="28" w:type="dxa"/>
                    <w:right w:w="0" w:type="dxa"/>
                  </w:tcMar>
                  <w:hideMark/>
                </w:tcPr>
                <w:p w14:paraId="152293E2" w14:textId="4C0D2CF5" w:rsidR="00DC62D9" w:rsidRPr="00DC62D9" w:rsidRDefault="00DC62D9" w:rsidP="00DC62D9">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Former catalogue</w:t>
                  </w:r>
                </w:p>
              </w:tc>
              <w:tc>
                <w:tcPr>
                  <w:tcW w:w="1592" w:type="dxa"/>
                  <w:tcBorders>
                    <w:top w:val="single" w:sz="4" w:space="0" w:color="002C47" w:themeColor="accent1"/>
                    <w:bottom w:val="single" w:sz="4" w:space="0" w:color="002C47" w:themeColor="accent1"/>
                  </w:tcBorders>
                  <w:shd w:val="clear" w:color="auto" w:fill="auto"/>
                  <w:tcMar>
                    <w:left w:w="28" w:type="dxa"/>
                    <w:right w:w="0" w:type="dxa"/>
                  </w:tcMar>
                  <w:hideMark/>
                </w:tcPr>
                <w:p w14:paraId="336AB2F8" w14:textId="7583602A" w:rsidR="00DC62D9" w:rsidRPr="00DC62D9" w:rsidRDefault="00DC62D9" w:rsidP="00DC62D9">
                  <w:pPr>
                    <w:spacing w:before="40" w:after="40" w:line="276" w:lineRule="auto"/>
                    <w:jc w:val="center"/>
                    <w:rPr>
                      <w:rFonts w:asciiTheme="minorHAnsi" w:eastAsia="Times New Roman" w:hAnsiTheme="minorHAnsi" w:cstheme="minorHAnsi"/>
                      <w:b/>
                      <w:bCs/>
                      <w:color w:val="002C47" w:themeColor="accent1"/>
                      <w:sz w:val="18"/>
                      <w:szCs w:val="18"/>
                      <w:lang w:eastAsia="en-AU"/>
                    </w:rPr>
                  </w:pPr>
                  <w:r>
                    <w:rPr>
                      <w:rFonts w:asciiTheme="minorHAnsi" w:eastAsia="Times New Roman" w:hAnsiTheme="minorHAnsi" w:cstheme="minorHAnsi"/>
                      <w:b/>
                      <w:bCs/>
                      <w:color w:val="002C47" w:themeColor="accent1"/>
                      <w:sz w:val="18"/>
                      <w:szCs w:val="18"/>
                      <w:lang w:eastAsia="en-AU"/>
                    </w:rPr>
                    <w:t>Release date</w:t>
                  </w:r>
                </w:p>
              </w:tc>
            </w:tr>
            <w:tr w:rsidR="00DC62D9" w:rsidRPr="009C2B09" w14:paraId="4D14C745" w14:textId="77777777" w:rsidTr="00834409">
              <w:trPr>
                <w:trHeight w:val="204"/>
                <w:jc w:val="center"/>
              </w:trPr>
              <w:tc>
                <w:tcPr>
                  <w:tcW w:w="4731" w:type="dxa"/>
                  <w:tcBorders>
                    <w:top w:val="single" w:sz="4" w:space="0" w:color="002C47" w:themeColor="accent1"/>
                  </w:tcBorders>
                  <w:shd w:val="clear" w:color="auto" w:fill="auto"/>
                  <w:noWrap/>
                  <w:tcMar>
                    <w:left w:w="28" w:type="dxa"/>
                  </w:tcMar>
                  <w:vAlign w:val="bottom"/>
                </w:tcPr>
                <w:p w14:paraId="593D0FAB" w14:textId="64C97327" w:rsidR="00DC62D9" w:rsidRPr="009C2B09" w:rsidRDefault="00513619" w:rsidP="00DC62D9">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Regional internal migration estimates, provisional</w:t>
                  </w:r>
                  <w:r>
                    <w:rPr>
                      <w:rFonts w:asciiTheme="minorHAnsi" w:eastAsia="Times New Roman" w:hAnsiTheme="minorHAnsi" w:cstheme="minorHAnsi"/>
                      <w:b/>
                      <w:bCs/>
                      <w:color w:val="000000"/>
                      <w:sz w:val="18"/>
                      <w:szCs w:val="18"/>
                      <w:lang w:eastAsia="en-AU"/>
                    </w:rPr>
                    <w:t xml:space="preserve"> (PRIME)</w:t>
                  </w:r>
                </w:p>
              </w:tc>
              <w:tc>
                <w:tcPr>
                  <w:tcW w:w="1425" w:type="dxa"/>
                  <w:tcBorders>
                    <w:top w:val="single" w:sz="4" w:space="0" w:color="002C47" w:themeColor="accent1"/>
                    <w:left w:val="nil"/>
                    <w:bottom w:val="nil"/>
                    <w:right w:val="nil"/>
                  </w:tcBorders>
                  <w:shd w:val="clear" w:color="auto" w:fill="auto"/>
                  <w:noWrap/>
                  <w:vAlign w:val="bottom"/>
                </w:tcPr>
                <w:p w14:paraId="1A1C1C7E" w14:textId="60DB7635" w:rsidR="00DC62D9" w:rsidRPr="009C2B09" w:rsidRDefault="00DA5649" w:rsidP="00DC62D9">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N/A</w:t>
                  </w:r>
                </w:p>
              </w:tc>
              <w:tc>
                <w:tcPr>
                  <w:tcW w:w="1592" w:type="dxa"/>
                  <w:tcBorders>
                    <w:top w:val="single" w:sz="4" w:space="0" w:color="002C47" w:themeColor="accent1"/>
                    <w:left w:val="nil"/>
                    <w:bottom w:val="nil"/>
                    <w:right w:val="nil"/>
                  </w:tcBorders>
                  <w:shd w:val="clear" w:color="auto" w:fill="auto"/>
                  <w:noWrap/>
                  <w:vAlign w:val="bottom"/>
                </w:tcPr>
                <w:p w14:paraId="437DD302" w14:textId="7411CFDF" w:rsidR="00DC62D9" w:rsidRPr="009C2B09" w:rsidRDefault="0051361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13619">
                    <w:rPr>
                      <w:rFonts w:asciiTheme="minorHAnsi" w:eastAsia="Times New Roman" w:hAnsiTheme="minorHAnsi" w:cstheme="minorHAnsi"/>
                      <w:color w:val="000000"/>
                      <w:sz w:val="18"/>
                      <w:szCs w:val="18"/>
                      <w:lang w:eastAsia="en-AU"/>
                    </w:rPr>
                    <w:t>3/08/2021</w:t>
                  </w:r>
                </w:p>
              </w:tc>
            </w:tr>
            <w:tr w:rsidR="00DC62D9" w:rsidRPr="009C2B09" w14:paraId="7D7FFD98" w14:textId="77777777" w:rsidTr="00834409">
              <w:trPr>
                <w:trHeight w:val="204"/>
                <w:jc w:val="center"/>
              </w:trPr>
              <w:tc>
                <w:tcPr>
                  <w:tcW w:w="4731" w:type="dxa"/>
                  <w:tcBorders>
                    <w:bottom w:val="nil"/>
                  </w:tcBorders>
                  <w:shd w:val="clear" w:color="auto" w:fill="auto"/>
                  <w:noWrap/>
                  <w:tcMar>
                    <w:left w:w="28" w:type="dxa"/>
                  </w:tcMar>
                  <w:vAlign w:val="bottom"/>
                </w:tcPr>
                <w:p w14:paraId="312D9036" w14:textId="1F537ABC" w:rsidR="00DC62D9" w:rsidRPr="009C2B09" w:rsidRDefault="000C1DC4" w:rsidP="00DC62D9">
                  <w:pPr>
                    <w:spacing w:before="40" w:after="40" w:line="276" w:lineRule="auto"/>
                    <w:rPr>
                      <w:rFonts w:asciiTheme="minorHAnsi" w:eastAsia="Times New Roman" w:hAnsiTheme="minorHAnsi" w:cstheme="minorHAnsi"/>
                      <w:b/>
                      <w:bCs/>
                      <w:color w:val="000000"/>
                      <w:sz w:val="18"/>
                      <w:szCs w:val="18"/>
                      <w:lang w:eastAsia="en-AU"/>
                    </w:rPr>
                  </w:pPr>
                  <w:r>
                    <w:rPr>
                      <w:rFonts w:asciiTheme="minorHAnsi" w:eastAsia="Times New Roman" w:hAnsiTheme="minorHAnsi" w:cstheme="minorHAnsi"/>
                      <w:b/>
                      <w:bCs/>
                      <w:color w:val="000000"/>
                      <w:sz w:val="18"/>
                      <w:szCs w:val="18"/>
                      <w:lang w:eastAsia="en-AU"/>
                    </w:rPr>
                    <w:t xml:space="preserve">Regional </w:t>
                  </w:r>
                  <w:r w:rsidR="00C86822">
                    <w:rPr>
                      <w:rFonts w:asciiTheme="minorHAnsi" w:eastAsia="Times New Roman" w:hAnsiTheme="minorHAnsi" w:cstheme="minorHAnsi"/>
                      <w:b/>
                      <w:bCs/>
                      <w:color w:val="000000"/>
                      <w:sz w:val="18"/>
                      <w:szCs w:val="18"/>
                      <w:lang w:eastAsia="en-AU"/>
                    </w:rPr>
                    <w:t>population by age and sex</w:t>
                  </w:r>
                </w:p>
              </w:tc>
              <w:tc>
                <w:tcPr>
                  <w:tcW w:w="1425" w:type="dxa"/>
                  <w:tcBorders>
                    <w:top w:val="nil"/>
                    <w:left w:val="nil"/>
                    <w:bottom w:val="nil"/>
                    <w:right w:val="nil"/>
                  </w:tcBorders>
                  <w:shd w:val="clear" w:color="auto" w:fill="auto"/>
                  <w:noWrap/>
                  <w:vAlign w:val="bottom"/>
                </w:tcPr>
                <w:p w14:paraId="0F66DE6F" w14:textId="5852D071" w:rsidR="00DC62D9" w:rsidRPr="009C2B09" w:rsidRDefault="00C86822" w:rsidP="00DC62D9">
                  <w:pPr>
                    <w:spacing w:before="40" w:after="40" w:line="276" w:lineRule="auto"/>
                    <w:jc w:val="right"/>
                    <w:rPr>
                      <w:rFonts w:asciiTheme="minorHAnsi" w:eastAsia="Times New Roman" w:hAnsiTheme="minorHAnsi" w:cstheme="minorHAnsi"/>
                      <w:color w:val="000000"/>
                      <w:sz w:val="18"/>
                      <w:szCs w:val="18"/>
                      <w:lang w:eastAsia="en-AU"/>
                    </w:rPr>
                  </w:pPr>
                  <w:r w:rsidRPr="00C86822">
                    <w:rPr>
                      <w:rFonts w:asciiTheme="minorHAnsi" w:eastAsia="Times New Roman" w:hAnsiTheme="minorHAnsi" w:cstheme="minorHAnsi"/>
                      <w:color w:val="000000"/>
                      <w:sz w:val="18"/>
                      <w:szCs w:val="18"/>
                      <w:lang w:eastAsia="en-AU"/>
                    </w:rPr>
                    <w:t>3235</w:t>
                  </w:r>
                  <w:r w:rsidR="00513619" w:rsidRPr="00513619">
                    <w:rPr>
                      <w:rFonts w:asciiTheme="minorHAnsi" w:eastAsia="Times New Roman" w:hAnsiTheme="minorHAnsi" w:cstheme="minorHAnsi"/>
                      <w:color w:val="000000"/>
                      <w:sz w:val="18"/>
                      <w:szCs w:val="18"/>
                      <w:lang w:eastAsia="en-AU"/>
                    </w:rPr>
                    <w:t>.0</w:t>
                  </w:r>
                </w:p>
              </w:tc>
              <w:tc>
                <w:tcPr>
                  <w:tcW w:w="1592" w:type="dxa"/>
                  <w:tcBorders>
                    <w:top w:val="nil"/>
                    <w:left w:val="nil"/>
                    <w:bottom w:val="nil"/>
                    <w:right w:val="nil"/>
                  </w:tcBorders>
                  <w:shd w:val="clear" w:color="auto" w:fill="auto"/>
                  <w:noWrap/>
                  <w:vAlign w:val="bottom"/>
                </w:tcPr>
                <w:p w14:paraId="78700BC2" w14:textId="017A7200" w:rsidR="00DC62D9" w:rsidRPr="009C2B09" w:rsidRDefault="0051361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sidRPr="00513619">
                    <w:rPr>
                      <w:rFonts w:asciiTheme="minorHAnsi" w:eastAsia="Times New Roman" w:hAnsiTheme="minorHAnsi" w:cstheme="minorHAnsi"/>
                      <w:color w:val="000000"/>
                      <w:sz w:val="18"/>
                      <w:szCs w:val="18"/>
                      <w:lang w:eastAsia="en-AU"/>
                    </w:rPr>
                    <w:t>2</w:t>
                  </w:r>
                  <w:r w:rsidR="00C86822">
                    <w:rPr>
                      <w:rFonts w:asciiTheme="minorHAnsi" w:eastAsia="Times New Roman" w:hAnsiTheme="minorHAnsi" w:cstheme="minorHAnsi"/>
                      <w:color w:val="000000"/>
                      <w:sz w:val="18"/>
                      <w:szCs w:val="18"/>
                      <w:lang w:eastAsia="en-AU"/>
                    </w:rPr>
                    <w:t>7</w:t>
                  </w:r>
                  <w:r w:rsidRPr="00513619">
                    <w:rPr>
                      <w:rFonts w:asciiTheme="minorHAnsi" w:eastAsia="Times New Roman" w:hAnsiTheme="minorHAnsi" w:cstheme="minorHAnsi"/>
                      <w:color w:val="000000"/>
                      <w:sz w:val="18"/>
                      <w:szCs w:val="18"/>
                      <w:lang w:eastAsia="en-AU"/>
                    </w:rPr>
                    <w:t>/0</w:t>
                  </w:r>
                  <w:r w:rsidR="00C86822">
                    <w:rPr>
                      <w:rFonts w:asciiTheme="minorHAnsi" w:eastAsia="Times New Roman" w:hAnsiTheme="minorHAnsi" w:cstheme="minorHAnsi"/>
                      <w:color w:val="000000"/>
                      <w:sz w:val="18"/>
                      <w:szCs w:val="18"/>
                      <w:lang w:eastAsia="en-AU"/>
                    </w:rPr>
                    <w:t>8</w:t>
                  </w:r>
                  <w:r w:rsidRPr="00513619">
                    <w:rPr>
                      <w:rFonts w:asciiTheme="minorHAnsi" w:eastAsia="Times New Roman" w:hAnsiTheme="minorHAnsi" w:cstheme="minorHAnsi"/>
                      <w:color w:val="000000"/>
                      <w:sz w:val="18"/>
                      <w:szCs w:val="18"/>
                      <w:lang w:eastAsia="en-AU"/>
                    </w:rPr>
                    <w:t>/</w:t>
                  </w:r>
                  <w:r w:rsidR="00C86822">
                    <w:rPr>
                      <w:rFonts w:asciiTheme="minorHAnsi" w:eastAsia="Times New Roman" w:hAnsiTheme="minorHAnsi" w:cstheme="minorHAnsi"/>
                      <w:color w:val="000000"/>
                      <w:sz w:val="18"/>
                      <w:szCs w:val="18"/>
                      <w:lang w:eastAsia="en-AU"/>
                    </w:rPr>
                    <w:t>2021</w:t>
                  </w:r>
                </w:p>
              </w:tc>
            </w:tr>
            <w:tr w:rsidR="00DC62D9" w:rsidRPr="009C2B09" w14:paraId="66E28E1D" w14:textId="77777777" w:rsidTr="00834409">
              <w:trPr>
                <w:trHeight w:val="204"/>
                <w:jc w:val="center"/>
              </w:trPr>
              <w:tc>
                <w:tcPr>
                  <w:tcW w:w="4731" w:type="dxa"/>
                  <w:tcBorders>
                    <w:top w:val="nil"/>
                    <w:bottom w:val="single" w:sz="4" w:space="0" w:color="002C47" w:themeColor="accent1"/>
                  </w:tcBorders>
                  <w:shd w:val="clear" w:color="auto" w:fill="auto"/>
                  <w:noWrap/>
                  <w:tcMar>
                    <w:left w:w="28" w:type="dxa"/>
                  </w:tcMar>
                  <w:vAlign w:val="bottom"/>
                </w:tcPr>
                <w:p w14:paraId="3230B49E" w14:textId="49868CEE" w:rsidR="00DC62D9" w:rsidRPr="009C2B09" w:rsidRDefault="00513619" w:rsidP="00DC62D9">
                  <w:pPr>
                    <w:spacing w:before="40" w:after="40" w:line="276" w:lineRule="auto"/>
                    <w:rPr>
                      <w:rFonts w:asciiTheme="minorHAnsi" w:eastAsia="Times New Roman" w:hAnsiTheme="minorHAnsi" w:cstheme="minorHAnsi"/>
                      <w:b/>
                      <w:bCs/>
                      <w:color w:val="000000"/>
                      <w:sz w:val="18"/>
                      <w:szCs w:val="18"/>
                      <w:lang w:eastAsia="en-AU"/>
                    </w:rPr>
                  </w:pPr>
                  <w:r w:rsidRPr="00513619">
                    <w:rPr>
                      <w:rFonts w:asciiTheme="minorHAnsi" w:eastAsia="Times New Roman" w:hAnsiTheme="minorHAnsi" w:cstheme="minorHAnsi"/>
                      <w:b/>
                      <w:bCs/>
                      <w:color w:val="000000"/>
                      <w:sz w:val="18"/>
                      <w:szCs w:val="18"/>
                      <w:lang w:eastAsia="en-AU"/>
                    </w:rPr>
                    <w:t>National, state and territory population</w:t>
                  </w:r>
                  <w:r>
                    <w:rPr>
                      <w:rFonts w:asciiTheme="minorHAnsi" w:eastAsia="Times New Roman" w:hAnsiTheme="minorHAnsi" w:cstheme="minorHAnsi"/>
                      <w:b/>
                      <w:bCs/>
                      <w:color w:val="000000"/>
                      <w:sz w:val="18"/>
                      <w:szCs w:val="18"/>
                      <w:lang w:eastAsia="en-AU"/>
                    </w:rPr>
                    <w:t xml:space="preserve"> March</w:t>
                  </w:r>
                  <w:r w:rsidR="000C1DC4">
                    <w:rPr>
                      <w:rFonts w:asciiTheme="minorHAnsi" w:eastAsia="Times New Roman" w:hAnsiTheme="minorHAnsi" w:cstheme="minorHAnsi"/>
                      <w:b/>
                      <w:bCs/>
                      <w:color w:val="000000"/>
                      <w:sz w:val="18"/>
                      <w:szCs w:val="18"/>
                      <w:lang w:eastAsia="en-AU"/>
                    </w:rPr>
                    <w:t xml:space="preserve"> 2021</w:t>
                  </w:r>
                </w:p>
              </w:tc>
              <w:tc>
                <w:tcPr>
                  <w:tcW w:w="1425" w:type="dxa"/>
                  <w:tcBorders>
                    <w:top w:val="nil"/>
                    <w:left w:val="nil"/>
                    <w:bottom w:val="single" w:sz="4" w:space="0" w:color="002C47" w:themeColor="accent1"/>
                    <w:right w:val="nil"/>
                  </w:tcBorders>
                  <w:shd w:val="clear" w:color="auto" w:fill="auto"/>
                  <w:noWrap/>
                  <w:vAlign w:val="bottom"/>
                </w:tcPr>
                <w:p w14:paraId="4866131E" w14:textId="17B50F7B" w:rsidR="00DC62D9" w:rsidRPr="009C2B09" w:rsidRDefault="00513619" w:rsidP="00DC62D9">
                  <w:pPr>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3101.0</w:t>
                  </w:r>
                </w:p>
              </w:tc>
              <w:tc>
                <w:tcPr>
                  <w:tcW w:w="1592" w:type="dxa"/>
                  <w:tcBorders>
                    <w:top w:val="nil"/>
                    <w:left w:val="nil"/>
                    <w:bottom w:val="single" w:sz="4" w:space="0" w:color="002C47" w:themeColor="accent1"/>
                    <w:right w:val="nil"/>
                  </w:tcBorders>
                  <w:shd w:val="clear" w:color="auto" w:fill="auto"/>
                  <w:noWrap/>
                  <w:vAlign w:val="bottom"/>
                </w:tcPr>
                <w:p w14:paraId="0EF84E5A" w14:textId="1C4832ED" w:rsidR="00DC62D9" w:rsidRPr="009C2B09" w:rsidRDefault="00513619" w:rsidP="00DC62D9">
                  <w:pPr>
                    <w:tabs>
                      <w:tab w:val="decimal" w:pos="741"/>
                    </w:tabs>
                    <w:spacing w:before="40" w:after="40" w:line="276" w:lineRule="auto"/>
                    <w:jc w:val="right"/>
                    <w:rPr>
                      <w:rFonts w:asciiTheme="minorHAnsi" w:eastAsia="Times New Roman" w:hAnsiTheme="minorHAnsi" w:cstheme="minorHAnsi"/>
                      <w:color w:val="000000"/>
                      <w:sz w:val="18"/>
                      <w:szCs w:val="18"/>
                      <w:lang w:eastAsia="en-AU"/>
                    </w:rPr>
                  </w:pPr>
                  <w:r>
                    <w:rPr>
                      <w:rFonts w:asciiTheme="minorHAnsi" w:eastAsia="Times New Roman" w:hAnsiTheme="minorHAnsi" w:cstheme="minorHAnsi"/>
                      <w:color w:val="000000"/>
                      <w:sz w:val="18"/>
                      <w:szCs w:val="18"/>
                      <w:lang w:eastAsia="en-AU"/>
                    </w:rPr>
                    <w:t>16/09/2021</w:t>
                  </w:r>
                </w:p>
              </w:tc>
            </w:tr>
          </w:tbl>
          <w:p w14:paraId="770411C3" w14:textId="040F6F77" w:rsidR="00A21A3E" w:rsidRPr="00A21A3E" w:rsidRDefault="00A21A3E" w:rsidP="00A21A3E"/>
        </w:tc>
      </w:tr>
      <w:tr w:rsidR="008E0014" w:rsidRPr="0023709A" w14:paraId="225AE3FE" w14:textId="77777777" w:rsidTr="00834409">
        <w:trPr>
          <w:trHeight w:val="300"/>
        </w:trPr>
        <w:tc>
          <w:tcPr>
            <w:tcW w:w="5000" w:type="pct"/>
          </w:tcPr>
          <w:p w14:paraId="002B90B3" w14:textId="77777777" w:rsidR="008E0014" w:rsidRPr="00834409" w:rsidRDefault="008E0014" w:rsidP="008E0014"/>
        </w:tc>
      </w:tr>
      <w:tr w:rsidR="00D24DBE" w:rsidRPr="00D24DBE" w14:paraId="3E3C4608" w14:textId="77777777" w:rsidTr="0034464F">
        <w:trPr>
          <w:trHeight w:val="300"/>
        </w:trPr>
        <w:tc>
          <w:tcPr>
            <w:tcW w:w="5000" w:type="pct"/>
            <w:tcBorders>
              <w:bottom w:val="single" w:sz="12" w:space="0" w:color="002C47" w:themeColor="accent1"/>
            </w:tcBorders>
            <w:vAlign w:val="center"/>
          </w:tcPr>
          <w:p w14:paraId="39AA9A9E" w14:textId="53E7A0BA" w:rsidR="00D24DBE" w:rsidRPr="006579A0" w:rsidRDefault="00D24DBE" w:rsidP="00834409">
            <w:pPr>
              <w:pStyle w:val="Heading3"/>
            </w:pPr>
            <w:r>
              <w:t>NOTES</w:t>
            </w:r>
          </w:p>
          <w:p w14:paraId="555BFA99" w14:textId="49D95D4D" w:rsidR="009820F8" w:rsidRDefault="009820F8" w:rsidP="00862857">
            <w:r w:rsidRPr="009820F8">
              <w:t>To ensure the ongoing production of fit-for-purpose official population estimates through the COVID-19 pandemic, the ABS has been assessing the likely impact of changed traveller behaviour on preliminary overseas migration estimates, a component of ERP. The ABS has introduced more frequent revisions to overseas migration to ensure the suite of demographic statistics continue to be of high quality and reflect the most timely data available. Preliminary overseas migration estimates will be revised every quarter over four quarters, instead of once after four quarters, until it becomes final. These more frequent revisions will ensure the most timely and accurate data flows through to ERP.</w:t>
            </w:r>
          </w:p>
          <w:p w14:paraId="767D413A" w14:textId="438533F8" w:rsidR="00862857" w:rsidRPr="00D24DBE" w:rsidRDefault="00D24DBE" w:rsidP="00862857">
            <w:r>
              <w:t xml:space="preserve">Further detail is available from the Australian Bureau of Statistics </w:t>
            </w:r>
            <w:hyperlink r:id="rId25" w:history="1">
              <w:r w:rsidR="009820F8" w:rsidRPr="009820F8">
                <w:rPr>
                  <w:rStyle w:val="Hyperlink"/>
                </w:rPr>
                <w:t>here.</w:t>
              </w:r>
            </w:hyperlink>
          </w:p>
        </w:tc>
      </w:tr>
    </w:tbl>
    <w:p w14:paraId="5EDE9743" w14:textId="6A7398AA" w:rsidR="002B5824" w:rsidRDefault="002B5824" w:rsidP="00A43EFE">
      <w:pPr>
        <w:rPr>
          <w:color w:val="000000"/>
        </w:rPr>
      </w:pPr>
    </w:p>
    <w:sectPr w:rsidR="002B5824" w:rsidSect="00142FC9">
      <w:headerReference w:type="first" r:id="rId26"/>
      <w:pgSz w:w="11906" w:h="16838" w:code="9"/>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76091" w14:textId="77777777" w:rsidR="00732E1E" w:rsidRDefault="00732E1E" w:rsidP="008F6A37">
      <w:r>
        <w:separator/>
      </w:r>
    </w:p>
  </w:endnote>
  <w:endnote w:type="continuationSeparator" w:id="0">
    <w:p w14:paraId="7DEB4247" w14:textId="77777777" w:rsidR="00732E1E" w:rsidRDefault="00732E1E" w:rsidP="008F6A37">
      <w:r>
        <w:continuationSeparator/>
      </w:r>
    </w:p>
  </w:endnote>
  <w:endnote w:type="continuationNotice" w:id="1">
    <w:p w14:paraId="3F975AF4" w14:textId="77777777" w:rsidR="00732E1E" w:rsidRDefault="0073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2922" w14:textId="5094E8FC" w:rsid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4</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9E99" w14:textId="1A5995E3" w:rsid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5</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6E9A" w14:textId="3429208B" w:rsidR="004B5358" w:rsidRPr="004B5358" w:rsidRDefault="004B5358" w:rsidP="004B5358">
    <w:pPr>
      <w:pStyle w:val="Footer"/>
    </w:pPr>
    <w:r w:rsidRPr="004B5358">
      <w:t xml:space="preserve">Page </w:t>
    </w:r>
    <w:r w:rsidRPr="004B5358">
      <w:rPr>
        <w:b/>
        <w:bCs/>
      </w:rPr>
      <w:fldChar w:fldCharType="begin"/>
    </w:r>
    <w:r w:rsidRPr="004B5358">
      <w:rPr>
        <w:b/>
        <w:bCs/>
      </w:rPr>
      <w:instrText xml:space="preserve"> PAGE  \* Arabic  \* MERGEFORMAT </w:instrText>
    </w:r>
    <w:r w:rsidRPr="004B5358">
      <w:rPr>
        <w:b/>
        <w:bCs/>
      </w:rPr>
      <w:fldChar w:fldCharType="separate"/>
    </w:r>
    <w:r w:rsidR="00815D89">
      <w:rPr>
        <w:b/>
        <w:bCs/>
        <w:noProof/>
      </w:rPr>
      <w:t>2</w:t>
    </w:r>
    <w:r w:rsidRPr="004B5358">
      <w:rPr>
        <w:b/>
        <w:bCs/>
      </w:rPr>
      <w:fldChar w:fldCharType="end"/>
    </w:r>
    <w:r w:rsidRPr="004B5358">
      <w:t xml:space="preserve"> of </w:t>
    </w:r>
    <w:r w:rsidRPr="004B5358">
      <w:rPr>
        <w:b/>
        <w:bCs/>
      </w:rPr>
      <w:fldChar w:fldCharType="begin"/>
    </w:r>
    <w:r w:rsidRPr="004B5358">
      <w:rPr>
        <w:b/>
        <w:bCs/>
      </w:rPr>
      <w:instrText xml:space="preserve"> NUMPAGES  \* Arabic  \* MERGEFORMAT </w:instrText>
    </w:r>
    <w:r w:rsidRPr="004B5358">
      <w:rPr>
        <w:b/>
        <w:bCs/>
      </w:rPr>
      <w:fldChar w:fldCharType="separate"/>
    </w:r>
    <w:r w:rsidR="00815D89">
      <w:rPr>
        <w:b/>
        <w:bCs/>
        <w:noProof/>
      </w:rPr>
      <w:t>5</w:t>
    </w:r>
    <w:r w:rsidRPr="004B535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CF40" w14:textId="77777777" w:rsidR="00732E1E" w:rsidRDefault="00732E1E" w:rsidP="008F6A37">
      <w:r>
        <w:separator/>
      </w:r>
    </w:p>
  </w:footnote>
  <w:footnote w:type="continuationSeparator" w:id="0">
    <w:p w14:paraId="3253209F" w14:textId="77777777" w:rsidR="00732E1E" w:rsidRDefault="00732E1E" w:rsidP="008F6A37">
      <w:r>
        <w:continuationSeparator/>
      </w:r>
    </w:p>
  </w:footnote>
  <w:footnote w:type="continuationNotice" w:id="1">
    <w:p w14:paraId="286DFC9F" w14:textId="77777777" w:rsidR="00732E1E" w:rsidRDefault="00732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A8E0" w14:textId="1133E707" w:rsidR="00D759FD" w:rsidRPr="003A7FFE" w:rsidRDefault="00AB6652" w:rsidP="00815D89">
    <w:pPr>
      <w:pStyle w:val="HeaderEven"/>
      <w:jc w:val="right"/>
      <w:rPr>
        <w:i/>
      </w:rPr>
    </w:pPr>
    <w:r w:rsidRPr="00834409">
      <w:rPr>
        <w:b w:val="0"/>
        <w:bCs/>
        <w:iCs/>
      </w:rPr>
      <w:t xml:space="preserve">Analysis of </w:t>
    </w:r>
    <w:r w:rsidR="003A7FFE">
      <w:rPr>
        <w:b w:val="0"/>
        <w:bCs/>
        <w:i/>
      </w:rPr>
      <w:t>National, state and territory population, December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E419" w14:textId="32DD40D2" w:rsidR="00D759FD" w:rsidRPr="00834409" w:rsidRDefault="00815D89" w:rsidP="00BD20D7">
    <w:pPr>
      <w:pStyle w:val="HeaderOdd"/>
      <w:jc w:val="left"/>
      <w:rPr>
        <w:b w:val="0"/>
      </w:rPr>
    </w:pPr>
    <w:r w:rsidRPr="00834409">
      <w:rPr>
        <w:b w:val="0"/>
        <w:bCs/>
      </w:rPr>
      <w:t>Centre for Population</w:t>
    </w:r>
    <w:r w:rsidR="003A7FFE" w:rsidRPr="00834409">
      <w:rPr>
        <w:b w:val="0"/>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EC37" w14:textId="68A61C6A" w:rsidR="00AE6BF9" w:rsidRDefault="00A54E21">
    <w:pPr>
      <w:pStyle w:val="Header"/>
    </w:pPr>
    <w:r>
      <w:rPr>
        <w:noProof/>
        <w:lang w:eastAsia="en-AU"/>
      </w:rPr>
      <w:drawing>
        <wp:anchor distT="0" distB="0" distL="114300" distR="114300" simplePos="0" relativeHeight="251658240" behindDoc="0" locked="0" layoutInCell="1" allowOverlap="1" wp14:anchorId="730E3FB9" wp14:editId="73BAE1A0">
          <wp:simplePos x="0" y="0"/>
          <wp:positionH relativeFrom="page">
            <wp:posOffset>-159</wp:posOffset>
          </wp:positionH>
          <wp:positionV relativeFrom="paragraph">
            <wp:posOffset>-468240</wp:posOffset>
          </wp:positionV>
          <wp:extent cx="7559994" cy="1441305"/>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994" cy="144130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7CB3" w14:textId="6D0C76B4" w:rsidR="004B5358" w:rsidRPr="00AB6652" w:rsidRDefault="00AB6652" w:rsidP="003A7FFE">
    <w:pPr>
      <w:pStyle w:val="HeaderOdd"/>
      <w:jc w:val="left"/>
    </w:pPr>
    <w:r w:rsidRPr="003E678D">
      <w:rPr>
        <w:b w:val="0"/>
        <w:bCs/>
      </w:rPr>
      <w:t xml:space="preserve">Centre for Population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2ED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E7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167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E07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B4D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43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584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64D7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041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60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88BE711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DF7717"/>
    <w:multiLevelType w:val="multilevel"/>
    <w:tmpl w:val="5DAAA53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4A0461"/>
    <w:multiLevelType w:val="hybridMultilevel"/>
    <w:tmpl w:val="91260442"/>
    <w:lvl w:ilvl="0" w:tplc="B49A184C">
      <w:start w:val="1"/>
      <w:numFmt w:val="decimal"/>
      <w:lvlText w:val="Chart %1."/>
      <w:lvlJc w:val="left"/>
      <w:pPr>
        <w:ind w:left="5038"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6118" w:hanging="360"/>
      </w:pPr>
    </w:lvl>
    <w:lvl w:ilvl="2" w:tplc="0C09001B" w:tentative="1">
      <w:start w:val="1"/>
      <w:numFmt w:val="lowerRoman"/>
      <w:lvlText w:val="%3."/>
      <w:lvlJc w:val="right"/>
      <w:pPr>
        <w:ind w:left="6838" w:hanging="180"/>
      </w:pPr>
    </w:lvl>
    <w:lvl w:ilvl="3" w:tplc="0C09000F" w:tentative="1">
      <w:start w:val="1"/>
      <w:numFmt w:val="decimal"/>
      <w:lvlText w:val="%4."/>
      <w:lvlJc w:val="left"/>
      <w:pPr>
        <w:ind w:left="7558" w:hanging="360"/>
      </w:pPr>
    </w:lvl>
    <w:lvl w:ilvl="4" w:tplc="0C090019" w:tentative="1">
      <w:start w:val="1"/>
      <w:numFmt w:val="lowerLetter"/>
      <w:lvlText w:val="%5."/>
      <w:lvlJc w:val="left"/>
      <w:pPr>
        <w:ind w:left="8278" w:hanging="360"/>
      </w:pPr>
    </w:lvl>
    <w:lvl w:ilvl="5" w:tplc="0C09001B" w:tentative="1">
      <w:start w:val="1"/>
      <w:numFmt w:val="lowerRoman"/>
      <w:lvlText w:val="%6."/>
      <w:lvlJc w:val="right"/>
      <w:pPr>
        <w:ind w:left="8998" w:hanging="180"/>
      </w:pPr>
    </w:lvl>
    <w:lvl w:ilvl="6" w:tplc="0C09000F" w:tentative="1">
      <w:start w:val="1"/>
      <w:numFmt w:val="decimal"/>
      <w:lvlText w:val="%7."/>
      <w:lvlJc w:val="left"/>
      <w:pPr>
        <w:ind w:left="9718" w:hanging="360"/>
      </w:pPr>
    </w:lvl>
    <w:lvl w:ilvl="7" w:tplc="0C090019" w:tentative="1">
      <w:start w:val="1"/>
      <w:numFmt w:val="lowerLetter"/>
      <w:lvlText w:val="%8."/>
      <w:lvlJc w:val="left"/>
      <w:pPr>
        <w:ind w:left="10438" w:hanging="360"/>
      </w:pPr>
    </w:lvl>
    <w:lvl w:ilvl="8" w:tplc="0C09001B" w:tentative="1">
      <w:start w:val="1"/>
      <w:numFmt w:val="lowerRoman"/>
      <w:lvlText w:val="%9."/>
      <w:lvlJc w:val="right"/>
      <w:pPr>
        <w:ind w:left="11158" w:hanging="180"/>
      </w:pPr>
    </w:lvl>
  </w:abstractNum>
  <w:abstractNum w:abstractNumId="14" w15:restartNumberingAfterBreak="0">
    <w:nsid w:val="27826BF0"/>
    <w:multiLevelType w:val="multilevel"/>
    <w:tmpl w:val="863C3022"/>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326A3C"/>
    <w:multiLevelType w:val="multilevel"/>
    <w:tmpl w:val="4EAEC0E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2" w:hanging="360"/>
      </w:pPr>
    </w:lvl>
    <w:lvl w:ilvl="4">
      <w:start w:val="1"/>
      <w:numFmt w:val="lowerLetter"/>
      <w:lvlText w:val="(%5)"/>
      <w:lvlJc w:val="left"/>
      <w:pPr>
        <w:ind w:left="2322" w:hanging="360"/>
      </w:pPr>
    </w:lvl>
    <w:lvl w:ilvl="5">
      <w:start w:val="1"/>
      <w:numFmt w:val="lowerRoman"/>
      <w:lvlText w:val="(%6)"/>
      <w:lvlJc w:val="left"/>
      <w:pPr>
        <w:ind w:left="2682" w:hanging="360"/>
      </w:pPr>
    </w:lvl>
    <w:lvl w:ilvl="6">
      <w:start w:val="1"/>
      <w:numFmt w:val="decimal"/>
      <w:lvlText w:val="%7."/>
      <w:lvlJc w:val="left"/>
      <w:pPr>
        <w:ind w:left="3042" w:hanging="360"/>
      </w:pPr>
    </w:lvl>
    <w:lvl w:ilvl="7">
      <w:start w:val="1"/>
      <w:numFmt w:val="lowerLetter"/>
      <w:lvlText w:val="%8."/>
      <w:lvlJc w:val="left"/>
      <w:pPr>
        <w:ind w:left="3402" w:hanging="360"/>
      </w:pPr>
    </w:lvl>
    <w:lvl w:ilvl="8">
      <w:start w:val="1"/>
      <w:numFmt w:val="lowerRoman"/>
      <w:lvlText w:val="%9."/>
      <w:lvlJc w:val="left"/>
      <w:pPr>
        <w:ind w:left="3762" w:hanging="360"/>
      </w:pPr>
    </w:lvl>
  </w:abstractNum>
  <w:abstractNum w:abstractNumId="16" w15:restartNumberingAfterBreak="0">
    <w:nsid w:val="308C2710"/>
    <w:multiLevelType w:val="multilevel"/>
    <w:tmpl w:val="5810D1F2"/>
    <w:styleLink w:val="BulletedList"/>
    <w:lvl w:ilvl="0">
      <w:start w:val="1"/>
      <w:numFmt w:val="bullet"/>
      <w:lvlRestart w:val="0"/>
      <w:pStyle w:val="Norm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Normaldash"/>
      <w:lvlText w:val="–"/>
      <w:lvlJc w:val="left"/>
      <w:pPr>
        <w:tabs>
          <w:tab w:val="num" w:pos="567"/>
        </w:tabs>
        <w:ind w:left="567" w:hanging="284"/>
      </w:pPr>
      <w:rPr>
        <w:rFonts w:ascii="Times New Roman" w:hAnsi="Times New Roman" w:cs="Times New Roman" w:hint="default"/>
        <w:b w:val="0"/>
        <w:i w:val="0"/>
      </w:rPr>
    </w:lvl>
    <w:lvl w:ilvl="2">
      <w:start w:val="1"/>
      <w:numFmt w:val="bullet"/>
      <w:pStyle w:val="Norm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0C37C0"/>
    <w:multiLevelType w:val="hybridMultilevel"/>
    <w:tmpl w:val="7E4EFDA8"/>
    <w:lvl w:ilvl="0" w:tplc="BD6EB0BC">
      <w:start w:val="1"/>
      <w:numFmt w:val="decimal"/>
      <w:lvlText w:val="Chart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7F6AB3"/>
    <w:multiLevelType w:val="hybridMultilevel"/>
    <w:tmpl w:val="E8D02006"/>
    <w:lvl w:ilvl="0" w:tplc="56DE09CA">
      <w:start w:val="1"/>
      <w:numFmt w:val="decimal"/>
      <w:pStyle w:val="TableHeadingContinued"/>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szCs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68013C"/>
    <w:multiLevelType w:val="hybridMultilevel"/>
    <w:tmpl w:val="3E24635E"/>
    <w:lvl w:ilvl="0" w:tplc="7C960E5A">
      <w:start w:val="1"/>
      <w:numFmt w:val="decimal"/>
      <w:pStyle w:val="Heading8"/>
      <w:lvlText w:val="Table %1."/>
      <w:lvlJc w:val="left"/>
      <w:pPr>
        <w:tabs>
          <w:tab w:val="num" w:pos="992"/>
        </w:tabs>
        <w:ind w:left="992"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20637"/>
    <w:multiLevelType w:val="hybridMultilevel"/>
    <w:tmpl w:val="E57A028C"/>
    <w:lvl w:ilvl="0" w:tplc="345E5FF0">
      <w:start w:val="1"/>
      <w:numFmt w:val="decimal"/>
      <w:lvlText w:val="Table %1."/>
      <w:lvlJc w:val="left"/>
      <w:pPr>
        <w:ind w:left="720" w:hanging="360"/>
      </w:pPr>
      <w:rPr>
        <w:b w:val="0"/>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0F57A5"/>
    <w:multiLevelType w:val="hybridMultilevel"/>
    <w:tmpl w:val="2BBAD246"/>
    <w:lvl w:ilvl="0" w:tplc="5F86231A">
      <w:start w:val="1"/>
      <w:numFmt w:val="decimal"/>
      <w:pStyle w:val="TableMainHeading"/>
      <w:lvlText w:val="Table %1."/>
      <w:lvlJc w:val="left"/>
      <w:pPr>
        <w:ind w:left="720" w:hanging="360"/>
      </w:pPr>
      <w:rPr>
        <w:rFonts w:ascii="Calibri" w:hAnsi="Calibri" w:hint="default"/>
        <w:b/>
        <w:i w:val="0"/>
        <w:caps w:val="0"/>
        <w:strike w:val="0"/>
        <w:dstrike w:val="0"/>
        <w:vanish w:val="0"/>
        <w:color w:val="002C47" w:themeColor="accent1"/>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8C2"/>
    <w:multiLevelType w:val="hybridMultilevel"/>
    <w:tmpl w:val="76307676"/>
    <w:lvl w:ilvl="0" w:tplc="E162F2F0">
      <w:start w:val="1"/>
      <w:numFmt w:val="decimal"/>
      <w:lvlText w:val="Table %1."/>
      <w:lvlJc w:val="left"/>
      <w:pPr>
        <w:ind w:left="360" w:hanging="360"/>
      </w:pPr>
      <w:rPr>
        <w:rFonts w:ascii="Calibri" w:hAnsi="Calibri" w:hint="default"/>
        <w:b/>
        <w:bCs w:val="0"/>
        <w:i w:val="0"/>
        <w:iCs w:val="0"/>
        <w:caps w:val="0"/>
        <w:strike w:val="0"/>
        <w:dstrike w:val="0"/>
        <w:outline w:val="0"/>
        <w:shadow w:val="0"/>
        <w:emboss w:val="0"/>
        <w:imprint w:val="0"/>
        <w:vanish w:val="0"/>
        <w:color w:val="002C47" w:themeColor="accent1"/>
        <w:spacing w:val="0"/>
        <w:kern w:val="0"/>
        <w:position w:val="0"/>
        <w:sz w:val="28"/>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66D76"/>
    <w:multiLevelType w:val="hybridMultilevel"/>
    <w:tmpl w:val="2F844B7A"/>
    <w:lvl w:ilvl="0" w:tplc="AC4EB56E">
      <w:start w:val="1"/>
      <w:numFmt w:val="decimal"/>
      <w:pStyle w:val="BoxHeading"/>
      <w:lvlText w:val="Box %1."/>
      <w:lvlJc w:val="left"/>
      <w:pPr>
        <w:ind w:left="720" w:hanging="360"/>
      </w:pPr>
      <w:rPr>
        <w:rFonts w:hint="default"/>
        <w:cap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5A02C0"/>
    <w:multiLevelType w:val="hybridMultilevel"/>
    <w:tmpl w:val="E1DEB99E"/>
    <w:lvl w:ilvl="0" w:tplc="860AB498">
      <w:start w:val="1"/>
      <w:numFmt w:val="decimal"/>
      <w:pStyle w:val="ChartMainHeading"/>
      <w:lvlText w:val="Chart %1."/>
      <w:lvlJc w:val="left"/>
      <w:pPr>
        <w:tabs>
          <w:tab w:val="num" w:pos="992"/>
        </w:tabs>
        <w:ind w:left="992" w:hanging="99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C040BD"/>
    <w:multiLevelType w:val="hybridMultilevel"/>
    <w:tmpl w:val="0274866E"/>
    <w:lvl w:ilvl="0" w:tplc="7972652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4"/>
  </w:num>
  <w:num w:numId="18">
    <w:abstractNumId w:val="17"/>
  </w:num>
  <w:num w:numId="19">
    <w:abstractNumId w:val="12"/>
  </w:num>
  <w:num w:numId="20">
    <w:abstractNumId w:val="20"/>
  </w:num>
  <w:num w:numId="21">
    <w:abstractNumId w:val="13"/>
  </w:num>
  <w:num w:numId="22">
    <w:abstractNumId w:val="18"/>
  </w:num>
  <w:num w:numId="23">
    <w:abstractNumId w:val="11"/>
  </w:num>
  <w:num w:numId="24">
    <w:abstractNumId w:val="14"/>
  </w:num>
  <w:num w:numId="25">
    <w:abstractNumId w:val="22"/>
  </w:num>
  <w:num w:numId="26">
    <w:abstractNumId w:val="19"/>
  </w:num>
  <w:num w:numId="27">
    <w:abstractNumId w:val="23"/>
  </w:num>
  <w:num w:numId="28">
    <w:abstractNumId w:val="26"/>
  </w:num>
  <w:num w:numId="29">
    <w:abstractNumId w:val="25"/>
  </w:num>
  <w:num w:numId="30">
    <w:abstractNumId w:val="21"/>
  </w:num>
  <w:num w:numId="31">
    <w:abstractNumId w:val="26"/>
  </w:num>
  <w:num w:numId="32">
    <w:abstractNumId w:val="15"/>
  </w:num>
  <w:num w:numId="33">
    <w:abstractNumId w:val="15"/>
  </w:num>
  <w:num w:numId="34">
    <w:abstractNumId w:val="15"/>
  </w:num>
  <w:num w:numId="35">
    <w:abstractNumId w:val="26"/>
  </w:num>
  <w:num w:numId="36">
    <w:abstractNumId w:val="2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F"/>
    <w:rsid w:val="000025C3"/>
    <w:rsid w:val="00005552"/>
    <w:rsid w:val="00005C33"/>
    <w:rsid w:val="00005FDD"/>
    <w:rsid w:val="000075D6"/>
    <w:rsid w:val="00011E58"/>
    <w:rsid w:val="0001357F"/>
    <w:rsid w:val="000135AD"/>
    <w:rsid w:val="000138FE"/>
    <w:rsid w:val="00014B3E"/>
    <w:rsid w:val="00017247"/>
    <w:rsid w:val="000212AE"/>
    <w:rsid w:val="000219AA"/>
    <w:rsid w:val="00022B42"/>
    <w:rsid w:val="00022C7A"/>
    <w:rsid w:val="00023CBA"/>
    <w:rsid w:val="00024A4C"/>
    <w:rsid w:val="00024D0B"/>
    <w:rsid w:val="00027731"/>
    <w:rsid w:val="00027CE2"/>
    <w:rsid w:val="000321E4"/>
    <w:rsid w:val="000330A2"/>
    <w:rsid w:val="00036886"/>
    <w:rsid w:val="0004038D"/>
    <w:rsid w:val="00040405"/>
    <w:rsid w:val="000405D3"/>
    <w:rsid w:val="000409F3"/>
    <w:rsid w:val="0004496F"/>
    <w:rsid w:val="00044A6C"/>
    <w:rsid w:val="00044BD0"/>
    <w:rsid w:val="00046DAC"/>
    <w:rsid w:val="0004718D"/>
    <w:rsid w:val="00047BA9"/>
    <w:rsid w:val="000507D3"/>
    <w:rsid w:val="00053DE3"/>
    <w:rsid w:val="00053FF1"/>
    <w:rsid w:val="0005424F"/>
    <w:rsid w:val="0005568F"/>
    <w:rsid w:val="00056E4C"/>
    <w:rsid w:val="00057D34"/>
    <w:rsid w:val="0006007C"/>
    <w:rsid w:val="00062F7E"/>
    <w:rsid w:val="00064D04"/>
    <w:rsid w:val="00065FAE"/>
    <w:rsid w:val="000702C0"/>
    <w:rsid w:val="00073631"/>
    <w:rsid w:val="000741B6"/>
    <w:rsid w:val="0007513C"/>
    <w:rsid w:val="0008139F"/>
    <w:rsid w:val="00081BE4"/>
    <w:rsid w:val="000833DC"/>
    <w:rsid w:val="00085F2A"/>
    <w:rsid w:val="00093E21"/>
    <w:rsid w:val="0009422F"/>
    <w:rsid w:val="00094A06"/>
    <w:rsid w:val="00096136"/>
    <w:rsid w:val="000967BC"/>
    <w:rsid w:val="000A130F"/>
    <w:rsid w:val="000A2E8D"/>
    <w:rsid w:val="000A709B"/>
    <w:rsid w:val="000A77D4"/>
    <w:rsid w:val="000B065B"/>
    <w:rsid w:val="000B2BC3"/>
    <w:rsid w:val="000B43F7"/>
    <w:rsid w:val="000B4C4B"/>
    <w:rsid w:val="000B6715"/>
    <w:rsid w:val="000B7540"/>
    <w:rsid w:val="000C1DC4"/>
    <w:rsid w:val="000C2BBD"/>
    <w:rsid w:val="000C5C34"/>
    <w:rsid w:val="000D0233"/>
    <w:rsid w:val="000D1ADE"/>
    <w:rsid w:val="000D2084"/>
    <w:rsid w:val="000D4B22"/>
    <w:rsid w:val="000D63F6"/>
    <w:rsid w:val="000D7E77"/>
    <w:rsid w:val="000E1BCE"/>
    <w:rsid w:val="000E283D"/>
    <w:rsid w:val="000E3CD8"/>
    <w:rsid w:val="000E3E0C"/>
    <w:rsid w:val="000E68E6"/>
    <w:rsid w:val="000F0031"/>
    <w:rsid w:val="000F04C1"/>
    <w:rsid w:val="000F1A5D"/>
    <w:rsid w:val="000F1F16"/>
    <w:rsid w:val="000F60AE"/>
    <w:rsid w:val="000F60CF"/>
    <w:rsid w:val="000F6912"/>
    <w:rsid w:val="001039A8"/>
    <w:rsid w:val="001140DF"/>
    <w:rsid w:val="00116FB0"/>
    <w:rsid w:val="00120861"/>
    <w:rsid w:val="001211DA"/>
    <w:rsid w:val="00122466"/>
    <w:rsid w:val="00122485"/>
    <w:rsid w:val="00126350"/>
    <w:rsid w:val="00133E61"/>
    <w:rsid w:val="00135022"/>
    <w:rsid w:val="001418C5"/>
    <w:rsid w:val="00142FC9"/>
    <w:rsid w:val="0014336B"/>
    <w:rsid w:val="001452FF"/>
    <w:rsid w:val="0014580B"/>
    <w:rsid w:val="00150047"/>
    <w:rsid w:val="00150552"/>
    <w:rsid w:val="00153143"/>
    <w:rsid w:val="00153E9E"/>
    <w:rsid w:val="001540C3"/>
    <w:rsid w:val="00154658"/>
    <w:rsid w:val="001548EE"/>
    <w:rsid w:val="00157EB6"/>
    <w:rsid w:val="0016052C"/>
    <w:rsid w:val="00160A10"/>
    <w:rsid w:val="00164BB5"/>
    <w:rsid w:val="00166D3E"/>
    <w:rsid w:val="00167034"/>
    <w:rsid w:val="0016769B"/>
    <w:rsid w:val="00170425"/>
    <w:rsid w:val="00171B99"/>
    <w:rsid w:val="0017330F"/>
    <w:rsid w:val="001737E2"/>
    <w:rsid w:val="00174442"/>
    <w:rsid w:val="0017622D"/>
    <w:rsid w:val="0017717F"/>
    <w:rsid w:val="00180671"/>
    <w:rsid w:val="001831C2"/>
    <w:rsid w:val="00184350"/>
    <w:rsid w:val="001844D9"/>
    <w:rsid w:val="00186406"/>
    <w:rsid w:val="001869A8"/>
    <w:rsid w:val="00187C81"/>
    <w:rsid w:val="00187E5F"/>
    <w:rsid w:val="00187EAE"/>
    <w:rsid w:val="00190A0A"/>
    <w:rsid w:val="00192757"/>
    <w:rsid w:val="00194E8F"/>
    <w:rsid w:val="00197182"/>
    <w:rsid w:val="001A1254"/>
    <w:rsid w:val="001A24B0"/>
    <w:rsid w:val="001B0934"/>
    <w:rsid w:val="001B0EDA"/>
    <w:rsid w:val="001B0EE4"/>
    <w:rsid w:val="001B275D"/>
    <w:rsid w:val="001B2923"/>
    <w:rsid w:val="001B690A"/>
    <w:rsid w:val="001C0224"/>
    <w:rsid w:val="001C0F70"/>
    <w:rsid w:val="001C2DAA"/>
    <w:rsid w:val="001C38B5"/>
    <w:rsid w:val="001C6454"/>
    <w:rsid w:val="001C6A41"/>
    <w:rsid w:val="001C6E25"/>
    <w:rsid w:val="001D0043"/>
    <w:rsid w:val="001D259D"/>
    <w:rsid w:val="001D5A3A"/>
    <w:rsid w:val="001D76C7"/>
    <w:rsid w:val="001E17A9"/>
    <w:rsid w:val="001E20B9"/>
    <w:rsid w:val="001E2E52"/>
    <w:rsid w:val="001F5C62"/>
    <w:rsid w:val="001F62EA"/>
    <w:rsid w:val="001F67C7"/>
    <w:rsid w:val="001F6AFA"/>
    <w:rsid w:val="001F7C99"/>
    <w:rsid w:val="00201F7A"/>
    <w:rsid w:val="002046A2"/>
    <w:rsid w:val="002065FF"/>
    <w:rsid w:val="0021002C"/>
    <w:rsid w:val="0021212C"/>
    <w:rsid w:val="0021232B"/>
    <w:rsid w:val="002123E7"/>
    <w:rsid w:val="00215C3B"/>
    <w:rsid w:val="00220979"/>
    <w:rsid w:val="00221231"/>
    <w:rsid w:val="002237C5"/>
    <w:rsid w:val="00223EE9"/>
    <w:rsid w:val="002240CA"/>
    <w:rsid w:val="00230525"/>
    <w:rsid w:val="00230721"/>
    <w:rsid w:val="00230EB4"/>
    <w:rsid w:val="0023398A"/>
    <w:rsid w:val="00233AC7"/>
    <w:rsid w:val="00233BBC"/>
    <w:rsid w:val="00235115"/>
    <w:rsid w:val="0023583C"/>
    <w:rsid w:val="00235CD5"/>
    <w:rsid w:val="00236C31"/>
    <w:rsid w:val="0023709A"/>
    <w:rsid w:val="00237879"/>
    <w:rsid w:val="0023795B"/>
    <w:rsid w:val="002406D2"/>
    <w:rsid w:val="0024076E"/>
    <w:rsid w:val="00242910"/>
    <w:rsid w:val="00244526"/>
    <w:rsid w:val="00245B70"/>
    <w:rsid w:val="00245C98"/>
    <w:rsid w:val="0024662A"/>
    <w:rsid w:val="0024753F"/>
    <w:rsid w:val="00247742"/>
    <w:rsid w:val="0025079E"/>
    <w:rsid w:val="00250DCD"/>
    <w:rsid w:val="002526C9"/>
    <w:rsid w:val="00256CAD"/>
    <w:rsid w:val="00257970"/>
    <w:rsid w:val="00257D71"/>
    <w:rsid w:val="002622FF"/>
    <w:rsid w:val="002668C3"/>
    <w:rsid w:val="00275740"/>
    <w:rsid w:val="00275A41"/>
    <w:rsid w:val="00275C6D"/>
    <w:rsid w:val="00277157"/>
    <w:rsid w:val="00277DCD"/>
    <w:rsid w:val="002830CF"/>
    <w:rsid w:val="00283A37"/>
    <w:rsid w:val="00284FDF"/>
    <w:rsid w:val="0028692E"/>
    <w:rsid w:val="00287D12"/>
    <w:rsid w:val="002919A7"/>
    <w:rsid w:val="00291D2F"/>
    <w:rsid w:val="002929EF"/>
    <w:rsid w:val="00292EFE"/>
    <w:rsid w:val="00293C4B"/>
    <w:rsid w:val="002950F4"/>
    <w:rsid w:val="002A2AB7"/>
    <w:rsid w:val="002A4563"/>
    <w:rsid w:val="002A7BB1"/>
    <w:rsid w:val="002B09EB"/>
    <w:rsid w:val="002B0CAC"/>
    <w:rsid w:val="002B1DF1"/>
    <w:rsid w:val="002B40ED"/>
    <w:rsid w:val="002B5824"/>
    <w:rsid w:val="002B684F"/>
    <w:rsid w:val="002B6A32"/>
    <w:rsid w:val="002C03D9"/>
    <w:rsid w:val="002C0D7D"/>
    <w:rsid w:val="002C2D5A"/>
    <w:rsid w:val="002D01D9"/>
    <w:rsid w:val="002D0D59"/>
    <w:rsid w:val="002D1DDD"/>
    <w:rsid w:val="002D4BDD"/>
    <w:rsid w:val="002D4EB4"/>
    <w:rsid w:val="002D5196"/>
    <w:rsid w:val="002D5D79"/>
    <w:rsid w:val="002E1020"/>
    <w:rsid w:val="002E1867"/>
    <w:rsid w:val="002E290A"/>
    <w:rsid w:val="002E2FAA"/>
    <w:rsid w:val="002E57F5"/>
    <w:rsid w:val="002E5932"/>
    <w:rsid w:val="002E6DD2"/>
    <w:rsid w:val="002F0ECB"/>
    <w:rsid w:val="002F1DE2"/>
    <w:rsid w:val="002F323C"/>
    <w:rsid w:val="002F77A5"/>
    <w:rsid w:val="0030289A"/>
    <w:rsid w:val="00302A94"/>
    <w:rsid w:val="0030553F"/>
    <w:rsid w:val="00317D6E"/>
    <w:rsid w:val="003207E9"/>
    <w:rsid w:val="00323571"/>
    <w:rsid w:val="00325741"/>
    <w:rsid w:val="003266FB"/>
    <w:rsid w:val="00330482"/>
    <w:rsid w:val="003348F5"/>
    <w:rsid w:val="003369A9"/>
    <w:rsid w:val="00336E85"/>
    <w:rsid w:val="003413C9"/>
    <w:rsid w:val="00341522"/>
    <w:rsid w:val="00341E00"/>
    <w:rsid w:val="0034464F"/>
    <w:rsid w:val="00344B69"/>
    <w:rsid w:val="003478BF"/>
    <w:rsid w:val="00347F56"/>
    <w:rsid w:val="00351A5B"/>
    <w:rsid w:val="00354BA3"/>
    <w:rsid w:val="003558C3"/>
    <w:rsid w:val="0035639A"/>
    <w:rsid w:val="00357348"/>
    <w:rsid w:val="003600B6"/>
    <w:rsid w:val="00362537"/>
    <w:rsid w:val="00364843"/>
    <w:rsid w:val="00365126"/>
    <w:rsid w:val="00365E78"/>
    <w:rsid w:val="00366737"/>
    <w:rsid w:val="0037217C"/>
    <w:rsid w:val="003770CC"/>
    <w:rsid w:val="0038054F"/>
    <w:rsid w:val="00381B77"/>
    <w:rsid w:val="00381C48"/>
    <w:rsid w:val="003826CF"/>
    <w:rsid w:val="00393ABA"/>
    <w:rsid w:val="00394E0D"/>
    <w:rsid w:val="003A06BD"/>
    <w:rsid w:val="003A1707"/>
    <w:rsid w:val="003A3DD6"/>
    <w:rsid w:val="003A5CFB"/>
    <w:rsid w:val="003A748B"/>
    <w:rsid w:val="003A7FFE"/>
    <w:rsid w:val="003B06DE"/>
    <w:rsid w:val="003B47F5"/>
    <w:rsid w:val="003B702A"/>
    <w:rsid w:val="003C01A4"/>
    <w:rsid w:val="003C3E27"/>
    <w:rsid w:val="003C63DE"/>
    <w:rsid w:val="003C759F"/>
    <w:rsid w:val="003D148A"/>
    <w:rsid w:val="003D3445"/>
    <w:rsid w:val="003D4110"/>
    <w:rsid w:val="003D4771"/>
    <w:rsid w:val="003D5324"/>
    <w:rsid w:val="003D7915"/>
    <w:rsid w:val="003E1B45"/>
    <w:rsid w:val="003E5E43"/>
    <w:rsid w:val="003F00FC"/>
    <w:rsid w:val="003F1886"/>
    <w:rsid w:val="003F2541"/>
    <w:rsid w:val="003F3B05"/>
    <w:rsid w:val="003F3F0B"/>
    <w:rsid w:val="003F4900"/>
    <w:rsid w:val="003F5859"/>
    <w:rsid w:val="003F5DC8"/>
    <w:rsid w:val="00400285"/>
    <w:rsid w:val="00400C70"/>
    <w:rsid w:val="00401FAD"/>
    <w:rsid w:val="00402BBA"/>
    <w:rsid w:val="004033FC"/>
    <w:rsid w:val="00403CA5"/>
    <w:rsid w:val="0040438A"/>
    <w:rsid w:val="00404954"/>
    <w:rsid w:val="00405536"/>
    <w:rsid w:val="004056DC"/>
    <w:rsid w:val="00405AD5"/>
    <w:rsid w:val="00410B21"/>
    <w:rsid w:val="004175A1"/>
    <w:rsid w:val="00420363"/>
    <w:rsid w:val="00423191"/>
    <w:rsid w:val="0042650B"/>
    <w:rsid w:val="0042763C"/>
    <w:rsid w:val="00431FE2"/>
    <w:rsid w:val="00432A34"/>
    <w:rsid w:val="004331C1"/>
    <w:rsid w:val="0043774A"/>
    <w:rsid w:val="0044091A"/>
    <w:rsid w:val="00441AEB"/>
    <w:rsid w:val="004431B7"/>
    <w:rsid w:val="00445CD9"/>
    <w:rsid w:val="004464EF"/>
    <w:rsid w:val="00447B0D"/>
    <w:rsid w:val="00447EDC"/>
    <w:rsid w:val="00450BCE"/>
    <w:rsid w:val="00453087"/>
    <w:rsid w:val="004547F8"/>
    <w:rsid w:val="0045794D"/>
    <w:rsid w:val="0046058D"/>
    <w:rsid w:val="0046136D"/>
    <w:rsid w:val="00461D8E"/>
    <w:rsid w:val="0046456E"/>
    <w:rsid w:val="00465C90"/>
    <w:rsid w:val="004671F2"/>
    <w:rsid w:val="004711B6"/>
    <w:rsid w:val="0047532A"/>
    <w:rsid w:val="0047768D"/>
    <w:rsid w:val="004820B2"/>
    <w:rsid w:val="00482FE6"/>
    <w:rsid w:val="0048321B"/>
    <w:rsid w:val="00484CB6"/>
    <w:rsid w:val="0048560C"/>
    <w:rsid w:val="00487CB6"/>
    <w:rsid w:val="00490182"/>
    <w:rsid w:val="00491076"/>
    <w:rsid w:val="00491E2A"/>
    <w:rsid w:val="004927CF"/>
    <w:rsid w:val="00493780"/>
    <w:rsid w:val="004A1D45"/>
    <w:rsid w:val="004A6A96"/>
    <w:rsid w:val="004A6ECE"/>
    <w:rsid w:val="004A6FE6"/>
    <w:rsid w:val="004A7907"/>
    <w:rsid w:val="004B31F7"/>
    <w:rsid w:val="004B32ED"/>
    <w:rsid w:val="004B523D"/>
    <w:rsid w:val="004B5358"/>
    <w:rsid w:val="004B53AF"/>
    <w:rsid w:val="004C38EA"/>
    <w:rsid w:val="004C6AEA"/>
    <w:rsid w:val="004D06C2"/>
    <w:rsid w:val="004D1E83"/>
    <w:rsid w:val="004D5E45"/>
    <w:rsid w:val="004E1632"/>
    <w:rsid w:val="004E1C71"/>
    <w:rsid w:val="004E2245"/>
    <w:rsid w:val="004E4B0C"/>
    <w:rsid w:val="004E6D11"/>
    <w:rsid w:val="004F0C24"/>
    <w:rsid w:val="004F34F6"/>
    <w:rsid w:val="004F427D"/>
    <w:rsid w:val="004F4E43"/>
    <w:rsid w:val="004F4FDD"/>
    <w:rsid w:val="004F55F6"/>
    <w:rsid w:val="00500E7E"/>
    <w:rsid w:val="00504F21"/>
    <w:rsid w:val="005060E0"/>
    <w:rsid w:val="00507E46"/>
    <w:rsid w:val="00513619"/>
    <w:rsid w:val="0051477F"/>
    <w:rsid w:val="0051509F"/>
    <w:rsid w:val="005152E5"/>
    <w:rsid w:val="00515427"/>
    <w:rsid w:val="00516060"/>
    <w:rsid w:val="005163B4"/>
    <w:rsid w:val="00516F2E"/>
    <w:rsid w:val="00517F9D"/>
    <w:rsid w:val="005211B9"/>
    <w:rsid w:val="00523E0B"/>
    <w:rsid w:val="00527E02"/>
    <w:rsid w:val="00527FAF"/>
    <w:rsid w:val="0053040C"/>
    <w:rsid w:val="00532145"/>
    <w:rsid w:val="00532759"/>
    <w:rsid w:val="00532BEE"/>
    <w:rsid w:val="005330EA"/>
    <w:rsid w:val="0053664F"/>
    <w:rsid w:val="00540F12"/>
    <w:rsid w:val="005433F9"/>
    <w:rsid w:val="005461A1"/>
    <w:rsid w:val="00552451"/>
    <w:rsid w:val="00553293"/>
    <w:rsid w:val="0055406A"/>
    <w:rsid w:val="00555C4A"/>
    <w:rsid w:val="00556113"/>
    <w:rsid w:val="00556908"/>
    <w:rsid w:val="0056128B"/>
    <w:rsid w:val="0056171F"/>
    <w:rsid w:val="0056226B"/>
    <w:rsid w:val="00562946"/>
    <w:rsid w:val="00562A8F"/>
    <w:rsid w:val="005630EA"/>
    <w:rsid w:val="00563395"/>
    <w:rsid w:val="0057167F"/>
    <w:rsid w:val="00581D1C"/>
    <w:rsid w:val="00583823"/>
    <w:rsid w:val="00583A6A"/>
    <w:rsid w:val="00583B2D"/>
    <w:rsid w:val="0058746B"/>
    <w:rsid w:val="00590175"/>
    <w:rsid w:val="00591A94"/>
    <w:rsid w:val="00592F47"/>
    <w:rsid w:val="0059471F"/>
    <w:rsid w:val="00595444"/>
    <w:rsid w:val="00596A22"/>
    <w:rsid w:val="005A272D"/>
    <w:rsid w:val="005A2937"/>
    <w:rsid w:val="005A2F15"/>
    <w:rsid w:val="005A3A4F"/>
    <w:rsid w:val="005A5838"/>
    <w:rsid w:val="005A74B5"/>
    <w:rsid w:val="005B1EB3"/>
    <w:rsid w:val="005B2A7E"/>
    <w:rsid w:val="005B347F"/>
    <w:rsid w:val="005B74A2"/>
    <w:rsid w:val="005C0D05"/>
    <w:rsid w:val="005C0DCD"/>
    <w:rsid w:val="005C15BD"/>
    <w:rsid w:val="005C2132"/>
    <w:rsid w:val="005C2327"/>
    <w:rsid w:val="005C4011"/>
    <w:rsid w:val="005C4800"/>
    <w:rsid w:val="005C606E"/>
    <w:rsid w:val="005C6849"/>
    <w:rsid w:val="005C6A65"/>
    <w:rsid w:val="005C6E7A"/>
    <w:rsid w:val="005C7473"/>
    <w:rsid w:val="005D04BB"/>
    <w:rsid w:val="005D06AA"/>
    <w:rsid w:val="005D5CC8"/>
    <w:rsid w:val="005D6768"/>
    <w:rsid w:val="005D6939"/>
    <w:rsid w:val="005D75B6"/>
    <w:rsid w:val="005D798F"/>
    <w:rsid w:val="005D7E76"/>
    <w:rsid w:val="005E58EF"/>
    <w:rsid w:val="005E6F5E"/>
    <w:rsid w:val="005E7E57"/>
    <w:rsid w:val="005F1051"/>
    <w:rsid w:val="005F1701"/>
    <w:rsid w:val="005F55A2"/>
    <w:rsid w:val="005F5ABA"/>
    <w:rsid w:val="005F63FE"/>
    <w:rsid w:val="006001CF"/>
    <w:rsid w:val="00601733"/>
    <w:rsid w:val="00610743"/>
    <w:rsid w:val="006110E2"/>
    <w:rsid w:val="006129E0"/>
    <w:rsid w:val="00616494"/>
    <w:rsid w:val="00621790"/>
    <w:rsid w:val="00622667"/>
    <w:rsid w:val="0062490B"/>
    <w:rsid w:val="00624B5A"/>
    <w:rsid w:val="00626060"/>
    <w:rsid w:val="006263EE"/>
    <w:rsid w:val="006264E9"/>
    <w:rsid w:val="00630CC8"/>
    <w:rsid w:val="006317B5"/>
    <w:rsid w:val="00633548"/>
    <w:rsid w:val="00635BCC"/>
    <w:rsid w:val="006403A5"/>
    <w:rsid w:val="00640B92"/>
    <w:rsid w:val="00641342"/>
    <w:rsid w:val="00641A0F"/>
    <w:rsid w:val="00643E14"/>
    <w:rsid w:val="00645F4A"/>
    <w:rsid w:val="006528FC"/>
    <w:rsid w:val="006579A0"/>
    <w:rsid w:val="00660B67"/>
    <w:rsid w:val="00663FE2"/>
    <w:rsid w:val="0066539C"/>
    <w:rsid w:val="006669AF"/>
    <w:rsid w:val="00671AC6"/>
    <w:rsid w:val="00671AFD"/>
    <w:rsid w:val="00675B6D"/>
    <w:rsid w:val="006834DE"/>
    <w:rsid w:val="00685EE6"/>
    <w:rsid w:val="00690549"/>
    <w:rsid w:val="00690D8D"/>
    <w:rsid w:val="006910AB"/>
    <w:rsid w:val="006912A0"/>
    <w:rsid w:val="00691847"/>
    <w:rsid w:val="00692645"/>
    <w:rsid w:val="00692771"/>
    <w:rsid w:val="00692B90"/>
    <w:rsid w:val="006945A0"/>
    <w:rsid w:val="00694A0F"/>
    <w:rsid w:val="00694C37"/>
    <w:rsid w:val="006A1463"/>
    <w:rsid w:val="006A298B"/>
    <w:rsid w:val="006A3DBE"/>
    <w:rsid w:val="006A5224"/>
    <w:rsid w:val="006B1110"/>
    <w:rsid w:val="006B257F"/>
    <w:rsid w:val="006B5086"/>
    <w:rsid w:val="006B533A"/>
    <w:rsid w:val="006B5943"/>
    <w:rsid w:val="006C4875"/>
    <w:rsid w:val="006C761C"/>
    <w:rsid w:val="006D19E6"/>
    <w:rsid w:val="006D66A4"/>
    <w:rsid w:val="006D78FA"/>
    <w:rsid w:val="006E12FF"/>
    <w:rsid w:val="006E2A16"/>
    <w:rsid w:val="006E2D65"/>
    <w:rsid w:val="006E32B5"/>
    <w:rsid w:val="006F2478"/>
    <w:rsid w:val="006F3A88"/>
    <w:rsid w:val="006F3F34"/>
    <w:rsid w:val="0070296C"/>
    <w:rsid w:val="0070388B"/>
    <w:rsid w:val="00704125"/>
    <w:rsid w:val="00704F10"/>
    <w:rsid w:val="00706F04"/>
    <w:rsid w:val="00706FDC"/>
    <w:rsid w:val="00707C5B"/>
    <w:rsid w:val="00711D07"/>
    <w:rsid w:val="007137D3"/>
    <w:rsid w:val="007171AE"/>
    <w:rsid w:val="00721E28"/>
    <w:rsid w:val="007222AC"/>
    <w:rsid w:val="00722C5A"/>
    <w:rsid w:val="0072327E"/>
    <w:rsid w:val="00723DB1"/>
    <w:rsid w:val="00724625"/>
    <w:rsid w:val="00725EFC"/>
    <w:rsid w:val="00725F91"/>
    <w:rsid w:val="007261C9"/>
    <w:rsid w:val="007321EE"/>
    <w:rsid w:val="00732D37"/>
    <w:rsid w:val="00732E1E"/>
    <w:rsid w:val="007331FC"/>
    <w:rsid w:val="00734CC6"/>
    <w:rsid w:val="0073520B"/>
    <w:rsid w:val="00735369"/>
    <w:rsid w:val="00737787"/>
    <w:rsid w:val="00742228"/>
    <w:rsid w:val="00742B87"/>
    <w:rsid w:val="00743156"/>
    <w:rsid w:val="00745F3D"/>
    <w:rsid w:val="007464C1"/>
    <w:rsid w:val="00747C31"/>
    <w:rsid w:val="00751B0F"/>
    <w:rsid w:val="0075220D"/>
    <w:rsid w:val="007522A2"/>
    <w:rsid w:val="0075511A"/>
    <w:rsid w:val="007553F0"/>
    <w:rsid w:val="00756761"/>
    <w:rsid w:val="00760EC7"/>
    <w:rsid w:val="00761231"/>
    <w:rsid w:val="00761B9D"/>
    <w:rsid w:val="0076249E"/>
    <w:rsid w:val="007634BF"/>
    <w:rsid w:val="00763CD0"/>
    <w:rsid w:val="00775370"/>
    <w:rsid w:val="00775DE1"/>
    <w:rsid w:val="00781150"/>
    <w:rsid w:val="0078346F"/>
    <w:rsid w:val="007835B6"/>
    <w:rsid w:val="007847A7"/>
    <w:rsid w:val="00787BD7"/>
    <w:rsid w:val="00791A7A"/>
    <w:rsid w:val="00792B9D"/>
    <w:rsid w:val="00792C05"/>
    <w:rsid w:val="00793EB3"/>
    <w:rsid w:val="007A1AB1"/>
    <w:rsid w:val="007C116A"/>
    <w:rsid w:val="007C3E5F"/>
    <w:rsid w:val="007C4E46"/>
    <w:rsid w:val="007C5639"/>
    <w:rsid w:val="007D4C47"/>
    <w:rsid w:val="007E0422"/>
    <w:rsid w:val="007E0789"/>
    <w:rsid w:val="007E21C1"/>
    <w:rsid w:val="007E2D43"/>
    <w:rsid w:val="007E4C4E"/>
    <w:rsid w:val="007E50DE"/>
    <w:rsid w:val="007E74A1"/>
    <w:rsid w:val="007E765D"/>
    <w:rsid w:val="007F31EF"/>
    <w:rsid w:val="00800B84"/>
    <w:rsid w:val="00801461"/>
    <w:rsid w:val="00804227"/>
    <w:rsid w:val="00804C84"/>
    <w:rsid w:val="008125C8"/>
    <w:rsid w:val="00812992"/>
    <w:rsid w:val="008144E1"/>
    <w:rsid w:val="00815D89"/>
    <w:rsid w:val="00815FD8"/>
    <w:rsid w:val="00816A93"/>
    <w:rsid w:val="0082060D"/>
    <w:rsid w:val="008253F3"/>
    <w:rsid w:val="00825A1C"/>
    <w:rsid w:val="00826B87"/>
    <w:rsid w:val="0082762B"/>
    <w:rsid w:val="00831ED3"/>
    <w:rsid w:val="00834409"/>
    <w:rsid w:val="008348BA"/>
    <w:rsid w:val="00846AD4"/>
    <w:rsid w:val="00850D87"/>
    <w:rsid w:val="00852284"/>
    <w:rsid w:val="008534E3"/>
    <w:rsid w:val="008537F6"/>
    <w:rsid w:val="00854DF4"/>
    <w:rsid w:val="00854FFD"/>
    <w:rsid w:val="00856E74"/>
    <w:rsid w:val="008579FA"/>
    <w:rsid w:val="0086127A"/>
    <w:rsid w:val="00862857"/>
    <w:rsid w:val="008657D5"/>
    <w:rsid w:val="00867744"/>
    <w:rsid w:val="00870C89"/>
    <w:rsid w:val="0087108A"/>
    <w:rsid w:val="0087207B"/>
    <w:rsid w:val="00876539"/>
    <w:rsid w:val="0088375A"/>
    <w:rsid w:val="008852F9"/>
    <w:rsid w:val="00885AD0"/>
    <w:rsid w:val="00886DCF"/>
    <w:rsid w:val="00887B7F"/>
    <w:rsid w:val="00887FC5"/>
    <w:rsid w:val="00894841"/>
    <w:rsid w:val="00894A5B"/>
    <w:rsid w:val="00896C7B"/>
    <w:rsid w:val="008A12DF"/>
    <w:rsid w:val="008A1AED"/>
    <w:rsid w:val="008A21C0"/>
    <w:rsid w:val="008A3ADA"/>
    <w:rsid w:val="008A4660"/>
    <w:rsid w:val="008A5B6C"/>
    <w:rsid w:val="008A6100"/>
    <w:rsid w:val="008A7180"/>
    <w:rsid w:val="008B12A5"/>
    <w:rsid w:val="008B4A6F"/>
    <w:rsid w:val="008B5AF4"/>
    <w:rsid w:val="008B76FB"/>
    <w:rsid w:val="008C0026"/>
    <w:rsid w:val="008C321C"/>
    <w:rsid w:val="008C3336"/>
    <w:rsid w:val="008C60D2"/>
    <w:rsid w:val="008C6B04"/>
    <w:rsid w:val="008C6C1B"/>
    <w:rsid w:val="008C7635"/>
    <w:rsid w:val="008C76FC"/>
    <w:rsid w:val="008C7FFA"/>
    <w:rsid w:val="008D36E2"/>
    <w:rsid w:val="008D3F5B"/>
    <w:rsid w:val="008D5237"/>
    <w:rsid w:val="008D5CD8"/>
    <w:rsid w:val="008D5F1B"/>
    <w:rsid w:val="008D7C09"/>
    <w:rsid w:val="008D7CA9"/>
    <w:rsid w:val="008E0014"/>
    <w:rsid w:val="008E1539"/>
    <w:rsid w:val="008E2FAB"/>
    <w:rsid w:val="008E41C6"/>
    <w:rsid w:val="008E4B5F"/>
    <w:rsid w:val="008E58A4"/>
    <w:rsid w:val="008E71A6"/>
    <w:rsid w:val="008F24C6"/>
    <w:rsid w:val="008F38FB"/>
    <w:rsid w:val="008F3E7F"/>
    <w:rsid w:val="008F3EEE"/>
    <w:rsid w:val="008F58C6"/>
    <w:rsid w:val="008F6A37"/>
    <w:rsid w:val="00900E15"/>
    <w:rsid w:val="00900E6C"/>
    <w:rsid w:val="00901055"/>
    <w:rsid w:val="00901CF0"/>
    <w:rsid w:val="00902539"/>
    <w:rsid w:val="009033F7"/>
    <w:rsid w:val="0090605A"/>
    <w:rsid w:val="009064B8"/>
    <w:rsid w:val="009064D6"/>
    <w:rsid w:val="00910EB7"/>
    <w:rsid w:val="00912B87"/>
    <w:rsid w:val="00913488"/>
    <w:rsid w:val="00913F02"/>
    <w:rsid w:val="00916CCF"/>
    <w:rsid w:val="009171FE"/>
    <w:rsid w:val="0092086C"/>
    <w:rsid w:val="009220D8"/>
    <w:rsid w:val="00922FB5"/>
    <w:rsid w:val="00924741"/>
    <w:rsid w:val="009255A7"/>
    <w:rsid w:val="00933C47"/>
    <w:rsid w:val="009351C8"/>
    <w:rsid w:val="00935940"/>
    <w:rsid w:val="0093776F"/>
    <w:rsid w:val="0094175A"/>
    <w:rsid w:val="009433EE"/>
    <w:rsid w:val="00943626"/>
    <w:rsid w:val="00945AA7"/>
    <w:rsid w:val="00945E30"/>
    <w:rsid w:val="00946672"/>
    <w:rsid w:val="009467B9"/>
    <w:rsid w:val="00947956"/>
    <w:rsid w:val="00950F36"/>
    <w:rsid w:val="00953A4F"/>
    <w:rsid w:val="00953BFB"/>
    <w:rsid w:val="00956EC0"/>
    <w:rsid w:val="00957951"/>
    <w:rsid w:val="00966184"/>
    <w:rsid w:val="00966FC9"/>
    <w:rsid w:val="0096704E"/>
    <w:rsid w:val="00975BC4"/>
    <w:rsid w:val="0097778D"/>
    <w:rsid w:val="00977DC6"/>
    <w:rsid w:val="009820F8"/>
    <w:rsid w:val="0098238E"/>
    <w:rsid w:val="00984A49"/>
    <w:rsid w:val="00987C1E"/>
    <w:rsid w:val="009947E7"/>
    <w:rsid w:val="00995774"/>
    <w:rsid w:val="00997D47"/>
    <w:rsid w:val="009A2AFF"/>
    <w:rsid w:val="009A6918"/>
    <w:rsid w:val="009A71C9"/>
    <w:rsid w:val="009B3992"/>
    <w:rsid w:val="009B6D04"/>
    <w:rsid w:val="009B777C"/>
    <w:rsid w:val="009C180E"/>
    <w:rsid w:val="009C2B09"/>
    <w:rsid w:val="009C3C53"/>
    <w:rsid w:val="009C6C28"/>
    <w:rsid w:val="009D0275"/>
    <w:rsid w:val="009D3AF8"/>
    <w:rsid w:val="009D3B86"/>
    <w:rsid w:val="009D3FBE"/>
    <w:rsid w:val="009D46EF"/>
    <w:rsid w:val="009E166B"/>
    <w:rsid w:val="009E5E56"/>
    <w:rsid w:val="009E70CE"/>
    <w:rsid w:val="009F05B9"/>
    <w:rsid w:val="009F2865"/>
    <w:rsid w:val="009F2887"/>
    <w:rsid w:val="009F2977"/>
    <w:rsid w:val="009F2BC9"/>
    <w:rsid w:val="009F3160"/>
    <w:rsid w:val="009F4B8B"/>
    <w:rsid w:val="009F6670"/>
    <w:rsid w:val="00A006AD"/>
    <w:rsid w:val="00A018DF"/>
    <w:rsid w:val="00A05AE0"/>
    <w:rsid w:val="00A05B9B"/>
    <w:rsid w:val="00A0663C"/>
    <w:rsid w:val="00A07A65"/>
    <w:rsid w:val="00A11A2E"/>
    <w:rsid w:val="00A11D2A"/>
    <w:rsid w:val="00A14612"/>
    <w:rsid w:val="00A150C6"/>
    <w:rsid w:val="00A152DC"/>
    <w:rsid w:val="00A15F83"/>
    <w:rsid w:val="00A1708A"/>
    <w:rsid w:val="00A21A3E"/>
    <w:rsid w:val="00A235AE"/>
    <w:rsid w:val="00A26589"/>
    <w:rsid w:val="00A268EF"/>
    <w:rsid w:val="00A26B26"/>
    <w:rsid w:val="00A27E10"/>
    <w:rsid w:val="00A325A5"/>
    <w:rsid w:val="00A32BC3"/>
    <w:rsid w:val="00A34F3B"/>
    <w:rsid w:val="00A36A25"/>
    <w:rsid w:val="00A37C09"/>
    <w:rsid w:val="00A40FCB"/>
    <w:rsid w:val="00A43EFE"/>
    <w:rsid w:val="00A44BFB"/>
    <w:rsid w:val="00A45BD3"/>
    <w:rsid w:val="00A462B2"/>
    <w:rsid w:val="00A46483"/>
    <w:rsid w:val="00A468B5"/>
    <w:rsid w:val="00A46D50"/>
    <w:rsid w:val="00A47833"/>
    <w:rsid w:val="00A50BB2"/>
    <w:rsid w:val="00A50D2F"/>
    <w:rsid w:val="00A537A5"/>
    <w:rsid w:val="00A543AD"/>
    <w:rsid w:val="00A54E21"/>
    <w:rsid w:val="00A57D21"/>
    <w:rsid w:val="00A615B2"/>
    <w:rsid w:val="00A62B45"/>
    <w:rsid w:val="00A647E5"/>
    <w:rsid w:val="00A666D2"/>
    <w:rsid w:val="00A669D8"/>
    <w:rsid w:val="00A711D0"/>
    <w:rsid w:val="00A711E0"/>
    <w:rsid w:val="00A728CD"/>
    <w:rsid w:val="00A76C65"/>
    <w:rsid w:val="00A82BB9"/>
    <w:rsid w:val="00A85A5B"/>
    <w:rsid w:val="00A90FA0"/>
    <w:rsid w:val="00A92B32"/>
    <w:rsid w:val="00A951DC"/>
    <w:rsid w:val="00A95B50"/>
    <w:rsid w:val="00A95F73"/>
    <w:rsid w:val="00A97ADB"/>
    <w:rsid w:val="00A97C3E"/>
    <w:rsid w:val="00A97CBF"/>
    <w:rsid w:val="00AA0DAF"/>
    <w:rsid w:val="00AA49BC"/>
    <w:rsid w:val="00AA635F"/>
    <w:rsid w:val="00AA6C45"/>
    <w:rsid w:val="00AB2E11"/>
    <w:rsid w:val="00AB557E"/>
    <w:rsid w:val="00AB6652"/>
    <w:rsid w:val="00AB7A16"/>
    <w:rsid w:val="00AB7C17"/>
    <w:rsid w:val="00AC28E2"/>
    <w:rsid w:val="00AC2D06"/>
    <w:rsid w:val="00AC6243"/>
    <w:rsid w:val="00AD00CE"/>
    <w:rsid w:val="00AD343E"/>
    <w:rsid w:val="00AD39F4"/>
    <w:rsid w:val="00AD4AB7"/>
    <w:rsid w:val="00AE0060"/>
    <w:rsid w:val="00AE11D3"/>
    <w:rsid w:val="00AE18E7"/>
    <w:rsid w:val="00AE1BF4"/>
    <w:rsid w:val="00AE213D"/>
    <w:rsid w:val="00AE290E"/>
    <w:rsid w:val="00AE3249"/>
    <w:rsid w:val="00AE436C"/>
    <w:rsid w:val="00AE446A"/>
    <w:rsid w:val="00AE5C6D"/>
    <w:rsid w:val="00AE5E6A"/>
    <w:rsid w:val="00AE6BF9"/>
    <w:rsid w:val="00AF097C"/>
    <w:rsid w:val="00AF27D8"/>
    <w:rsid w:val="00AF3E5D"/>
    <w:rsid w:val="00AF6645"/>
    <w:rsid w:val="00B00596"/>
    <w:rsid w:val="00B02A26"/>
    <w:rsid w:val="00B05480"/>
    <w:rsid w:val="00B068F8"/>
    <w:rsid w:val="00B14ECA"/>
    <w:rsid w:val="00B16EF4"/>
    <w:rsid w:val="00B17212"/>
    <w:rsid w:val="00B20CF5"/>
    <w:rsid w:val="00B2115F"/>
    <w:rsid w:val="00B21AA3"/>
    <w:rsid w:val="00B21D19"/>
    <w:rsid w:val="00B2322B"/>
    <w:rsid w:val="00B236FA"/>
    <w:rsid w:val="00B26556"/>
    <w:rsid w:val="00B34BBD"/>
    <w:rsid w:val="00B35F1C"/>
    <w:rsid w:val="00B3615E"/>
    <w:rsid w:val="00B40DD0"/>
    <w:rsid w:val="00B42261"/>
    <w:rsid w:val="00B4333E"/>
    <w:rsid w:val="00B44DF1"/>
    <w:rsid w:val="00B45D09"/>
    <w:rsid w:val="00B47917"/>
    <w:rsid w:val="00B47C4B"/>
    <w:rsid w:val="00B51CC3"/>
    <w:rsid w:val="00B52C44"/>
    <w:rsid w:val="00B52D42"/>
    <w:rsid w:val="00B5343C"/>
    <w:rsid w:val="00B54E66"/>
    <w:rsid w:val="00B57359"/>
    <w:rsid w:val="00B6079A"/>
    <w:rsid w:val="00B627AC"/>
    <w:rsid w:val="00B63885"/>
    <w:rsid w:val="00B63FA7"/>
    <w:rsid w:val="00B64A02"/>
    <w:rsid w:val="00B671CF"/>
    <w:rsid w:val="00B67962"/>
    <w:rsid w:val="00B70CAC"/>
    <w:rsid w:val="00B70D16"/>
    <w:rsid w:val="00B77BDC"/>
    <w:rsid w:val="00B80B96"/>
    <w:rsid w:val="00B80EA9"/>
    <w:rsid w:val="00B80EF2"/>
    <w:rsid w:val="00B830D8"/>
    <w:rsid w:val="00B8733E"/>
    <w:rsid w:val="00B87814"/>
    <w:rsid w:val="00B90504"/>
    <w:rsid w:val="00B907AC"/>
    <w:rsid w:val="00B91E74"/>
    <w:rsid w:val="00B938EC"/>
    <w:rsid w:val="00B96D10"/>
    <w:rsid w:val="00BA0D0C"/>
    <w:rsid w:val="00BA1883"/>
    <w:rsid w:val="00BA39C7"/>
    <w:rsid w:val="00BB308B"/>
    <w:rsid w:val="00BB473C"/>
    <w:rsid w:val="00BB473D"/>
    <w:rsid w:val="00BB5ACD"/>
    <w:rsid w:val="00BB5D58"/>
    <w:rsid w:val="00BB5D8E"/>
    <w:rsid w:val="00BC14D8"/>
    <w:rsid w:val="00BC45ED"/>
    <w:rsid w:val="00BC720A"/>
    <w:rsid w:val="00BD20D7"/>
    <w:rsid w:val="00BD21F3"/>
    <w:rsid w:val="00BD35A0"/>
    <w:rsid w:val="00BD4845"/>
    <w:rsid w:val="00BD6BBE"/>
    <w:rsid w:val="00BE1677"/>
    <w:rsid w:val="00BE643A"/>
    <w:rsid w:val="00BF094C"/>
    <w:rsid w:val="00BF2E06"/>
    <w:rsid w:val="00BF3EAA"/>
    <w:rsid w:val="00BF7CAE"/>
    <w:rsid w:val="00C10BA2"/>
    <w:rsid w:val="00C1149E"/>
    <w:rsid w:val="00C127E6"/>
    <w:rsid w:val="00C131A4"/>
    <w:rsid w:val="00C1582D"/>
    <w:rsid w:val="00C226FF"/>
    <w:rsid w:val="00C2347B"/>
    <w:rsid w:val="00C2441B"/>
    <w:rsid w:val="00C2486B"/>
    <w:rsid w:val="00C24C23"/>
    <w:rsid w:val="00C25AB6"/>
    <w:rsid w:val="00C32CD0"/>
    <w:rsid w:val="00C3453B"/>
    <w:rsid w:val="00C34D4D"/>
    <w:rsid w:val="00C36A62"/>
    <w:rsid w:val="00C37489"/>
    <w:rsid w:val="00C40097"/>
    <w:rsid w:val="00C40A17"/>
    <w:rsid w:val="00C40EC1"/>
    <w:rsid w:val="00C4288D"/>
    <w:rsid w:val="00C441C0"/>
    <w:rsid w:val="00C4623A"/>
    <w:rsid w:val="00C47491"/>
    <w:rsid w:val="00C531FE"/>
    <w:rsid w:val="00C533D6"/>
    <w:rsid w:val="00C56F5E"/>
    <w:rsid w:val="00C572F2"/>
    <w:rsid w:val="00C5750E"/>
    <w:rsid w:val="00C575C2"/>
    <w:rsid w:val="00C657C5"/>
    <w:rsid w:val="00C661D7"/>
    <w:rsid w:val="00C67BC4"/>
    <w:rsid w:val="00C707DB"/>
    <w:rsid w:val="00C71259"/>
    <w:rsid w:val="00C717E8"/>
    <w:rsid w:val="00C73072"/>
    <w:rsid w:val="00C757B6"/>
    <w:rsid w:val="00C76C98"/>
    <w:rsid w:val="00C77BFF"/>
    <w:rsid w:val="00C80F13"/>
    <w:rsid w:val="00C84C42"/>
    <w:rsid w:val="00C84C4B"/>
    <w:rsid w:val="00C859DC"/>
    <w:rsid w:val="00C863A8"/>
    <w:rsid w:val="00C86822"/>
    <w:rsid w:val="00C878BA"/>
    <w:rsid w:val="00C87D89"/>
    <w:rsid w:val="00C9332E"/>
    <w:rsid w:val="00C942F3"/>
    <w:rsid w:val="00C95707"/>
    <w:rsid w:val="00C97DFC"/>
    <w:rsid w:val="00CA128B"/>
    <w:rsid w:val="00CA1F09"/>
    <w:rsid w:val="00CA2965"/>
    <w:rsid w:val="00CA3C73"/>
    <w:rsid w:val="00CA4A4C"/>
    <w:rsid w:val="00CA5A13"/>
    <w:rsid w:val="00CA6BAA"/>
    <w:rsid w:val="00CB0D90"/>
    <w:rsid w:val="00CB1136"/>
    <w:rsid w:val="00CB41AF"/>
    <w:rsid w:val="00CB4FAC"/>
    <w:rsid w:val="00CC384F"/>
    <w:rsid w:val="00CC3F37"/>
    <w:rsid w:val="00CC4995"/>
    <w:rsid w:val="00CC5E84"/>
    <w:rsid w:val="00CD0899"/>
    <w:rsid w:val="00CD4C9A"/>
    <w:rsid w:val="00CD70A7"/>
    <w:rsid w:val="00CE0946"/>
    <w:rsid w:val="00CE0C4B"/>
    <w:rsid w:val="00CE21AC"/>
    <w:rsid w:val="00CE4489"/>
    <w:rsid w:val="00CE7048"/>
    <w:rsid w:val="00CE7E13"/>
    <w:rsid w:val="00CF0D2F"/>
    <w:rsid w:val="00CF1000"/>
    <w:rsid w:val="00D00033"/>
    <w:rsid w:val="00D00095"/>
    <w:rsid w:val="00D006FC"/>
    <w:rsid w:val="00D025C8"/>
    <w:rsid w:val="00D04755"/>
    <w:rsid w:val="00D05994"/>
    <w:rsid w:val="00D07E1B"/>
    <w:rsid w:val="00D1182D"/>
    <w:rsid w:val="00D1406D"/>
    <w:rsid w:val="00D14E2C"/>
    <w:rsid w:val="00D164AE"/>
    <w:rsid w:val="00D2209B"/>
    <w:rsid w:val="00D22A12"/>
    <w:rsid w:val="00D231BE"/>
    <w:rsid w:val="00D23F6A"/>
    <w:rsid w:val="00D24DBE"/>
    <w:rsid w:val="00D264B5"/>
    <w:rsid w:val="00D26B53"/>
    <w:rsid w:val="00D27A24"/>
    <w:rsid w:val="00D27C88"/>
    <w:rsid w:val="00D30817"/>
    <w:rsid w:val="00D32A7F"/>
    <w:rsid w:val="00D33FF5"/>
    <w:rsid w:val="00D36A32"/>
    <w:rsid w:val="00D36F10"/>
    <w:rsid w:val="00D40FBF"/>
    <w:rsid w:val="00D41C90"/>
    <w:rsid w:val="00D45BA9"/>
    <w:rsid w:val="00D539EF"/>
    <w:rsid w:val="00D53CC9"/>
    <w:rsid w:val="00D567A0"/>
    <w:rsid w:val="00D601FC"/>
    <w:rsid w:val="00D623C3"/>
    <w:rsid w:val="00D63032"/>
    <w:rsid w:val="00D63CAE"/>
    <w:rsid w:val="00D65302"/>
    <w:rsid w:val="00D65D4B"/>
    <w:rsid w:val="00D66535"/>
    <w:rsid w:val="00D67FCF"/>
    <w:rsid w:val="00D71FDA"/>
    <w:rsid w:val="00D723BE"/>
    <w:rsid w:val="00D735CC"/>
    <w:rsid w:val="00D73D5A"/>
    <w:rsid w:val="00D74D30"/>
    <w:rsid w:val="00D759FD"/>
    <w:rsid w:val="00D827F9"/>
    <w:rsid w:val="00D82DD9"/>
    <w:rsid w:val="00D84026"/>
    <w:rsid w:val="00D87101"/>
    <w:rsid w:val="00D9354F"/>
    <w:rsid w:val="00D971C5"/>
    <w:rsid w:val="00D97356"/>
    <w:rsid w:val="00D97789"/>
    <w:rsid w:val="00D97D3A"/>
    <w:rsid w:val="00DA0706"/>
    <w:rsid w:val="00DA55BE"/>
    <w:rsid w:val="00DA5649"/>
    <w:rsid w:val="00DA5CB9"/>
    <w:rsid w:val="00DB124C"/>
    <w:rsid w:val="00DB2622"/>
    <w:rsid w:val="00DC5081"/>
    <w:rsid w:val="00DC62D9"/>
    <w:rsid w:val="00DD063F"/>
    <w:rsid w:val="00DD23B1"/>
    <w:rsid w:val="00DD3237"/>
    <w:rsid w:val="00DD57EE"/>
    <w:rsid w:val="00DD7BA5"/>
    <w:rsid w:val="00DE0AC2"/>
    <w:rsid w:val="00DE3394"/>
    <w:rsid w:val="00DE37D8"/>
    <w:rsid w:val="00DE3C40"/>
    <w:rsid w:val="00DE465F"/>
    <w:rsid w:val="00DE5C34"/>
    <w:rsid w:val="00DE5C82"/>
    <w:rsid w:val="00DE5E22"/>
    <w:rsid w:val="00DE6F79"/>
    <w:rsid w:val="00DE7648"/>
    <w:rsid w:val="00DF7589"/>
    <w:rsid w:val="00E02EF7"/>
    <w:rsid w:val="00E03D34"/>
    <w:rsid w:val="00E03DEA"/>
    <w:rsid w:val="00E05AB9"/>
    <w:rsid w:val="00E06B2E"/>
    <w:rsid w:val="00E07196"/>
    <w:rsid w:val="00E073D6"/>
    <w:rsid w:val="00E07A10"/>
    <w:rsid w:val="00E108FF"/>
    <w:rsid w:val="00E17B4A"/>
    <w:rsid w:val="00E21E8D"/>
    <w:rsid w:val="00E24284"/>
    <w:rsid w:val="00E2787C"/>
    <w:rsid w:val="00E27EDC"/>
    <w:rsid w:val="00E30550"/>
    <w:rsid w:val="00E3055C"/>
    <w:rsid w:val="00E36B42"/>
    <w:rsid w:val="00E36C8E"/>
    <w:rsid w:val="00E40677"/>
    <w:rsid w:val="00E43609"/>
    <w:rsid w:val="00E4504F"/>
    <w:rsid w:val="00E45E0D"/>
    <w:rsid w:val="00E466F4"/>
    <w:rsid w:val="00E467E8"/>
    <w:rsid w:val="00E50386"/>
    <w:rsid w:val="00E52C87"/>
    <w:rsid w:val="00E52CC2"/>
    <w:rsid w:val="00E53111"/>
    <w:rsid w:val="00E56C41"/>
    <w:rsid w:val="00E63B9B"/>
    <w:rsid w:val="00E63BEA"/>
    <w:rsid w:val="00E641D6"/>
    <w:rsid w:val="00E679EC"/>
    <w:rsid w:val="00E7374B"/>
    <w:rsid w:val="00E73D5B"/>
    <w:rsid w:val="00E81CCC"/>
    <w:rsid w:val="00E8218D"/>
    <w:rsid w:val="00E82DC3"/>
    <w:rsid w:val="00E85477"/>
    <w:rsid w:val="00E857CC"/>
    <w:rsid w:val="00E86659"/>
    <w:rsid w:val="00E86FE5"/>
    <w:rsid w:val="00E9016D"/>
    <w:rsid w:val="00E9144E"/>
    <w:rsid w:val="00E91460"/>
    <w:rsid w:val="00E91824"/>
    <w:rsid w:val="00E93E5D"/>
    <w:rsid w:val="00E979E3"/>
    <w:rsid w:val="00EA01E9"/>
    <w:rsid w:val="00EA1D52"/>
    <w:rsid w:val="00EA322E"/>
    <w:rsid w:val="00EA3499"/>
    <w:rsid w:val="00EA6DED"/>
    <w:rsid w:val="00EB40A1"/>
    <w:rsid w:val="00EB7027"/>
    <w:rsid w:val="00EC0A48"/>
    <w:rsid w:val="00EC100F"/>
    <w:rsid w:val="00EC3E6C"/>
    <w:rsid w:val="00EC5223"/>
    <w:rsid w:val="00EC646E"/>
    <w:rsid w:val="00ED1AF6"/>
    <w:rsid w:val="00ED45CE"/>
    <w:rsid w:val="00ED5877"/>
    <w:rsid w:val="00EE1538"/>
    <w:rsid w:val="00EE28D3"/>
    <w:rsid w:val="00EE571E"/>
    <w:rsid w:val="00EE660F"/>
    <w:rsid w:val="00EE66AA"/>
    <w:rsid w:val="00EF0326"/>
    <w:rsid w:val="00EF04A4"/>
    <w:rsid w:val="00EF26AA"/>
    <w:rsid w:val="00EF3965"/>
    <w:rsid w:val="00EF4C0F"/>
    <w:rsid w:val="00EF6CFF"/>
    <w:rsid w:val="00EF6EA4"/>
    <w:rsid w:val="00EF7DCC"/>
    <w:rsid w:val="00F01530"/>
    <w:rsid w:val="00F01CFC"/>
    <w:rsid w:val="00F0590E"/>
    <w:rsid w:val="00F0626A"/>
    <w:rsid w:val="00F11E82"/>
    <w:rsid w:val="00F13BFE"/>
    <w:rsid w:val="00F155B0"/>
    <w:rsid w:val="00F164A2"/>
    <w:rsid w:val="00F31639"/>
    <w:rsid w:val="00F31EDA"/>
    <w:rsid w:val="00F3311B"/>
    <w:rsid w:val="00F342FD"/>
    <w:rsid w:val="00F344E2"/>
    <w:rsid w:val="00F35C1D"/>
    <w:rsid w:val="00F36D22"/>
    <w:rsid w:val="00F377EC"/>
    <w:rsid w:val="00F37DC6"/>
    <w:rsid w:val="00F404CA"/>
    <w:rsid w:val="00F40638"/>
    <w:rsid w:val="00F40CF7"/>
    <w:rsid w:val="00F40D86"/>
    <w:rsid w:val="00F421BD"/>
    <w:rsid w:val="00F43BD4"/>
    <w:rsid w:val="00F464FC"/>
    <w:rsid w:val="00F50EFD"/>
    <w:rsid w:val="00F51FD7"/>
    <w:rsid w:val="00F55052"/>
    <w:rsid w:val="00F5608A"/>
    <w:rsid w:val="00F563B6"/>
    <w:rsid w:val="00F565FB"/>
    <w:rsid w:val="00F608E1"/>
    <w:rsid w:val="00F63D8F"/>
    <w:rsid w:val="00F644EA"/>
    <w:rsid w:val="00F64A52"/>
    <w:rsid w:val="00F64D0B"/>
    <w:rsid w:val="00F65D1B"/>
    <w:rsid w:val="00F718C9"/>
    <w:rsid w:val="00F73591"/>
    <w:rsid w:val="00F75275"/>
    <w:rsid w:val="00F75DA9"/>
    <w:rsid w:val="00F76C50"/>
    <w:rsid w:val="00F812D7"/>
    <w:rsid w:val="00F8353E"/>
    <w:rsid w:val="00F842D1"/>
    <w:rsid w:val="00F8475C"/>
    <w:rsid w:val="00F84A12"/>
    <w:rsid w:val="00F854A1"/>
    <w:rsid w:val="00F873F5"/>
    <w:rsid w:val="00F91541"/>
    <w:rsid w:val="00F91C3E"/>
    <w:rsid w:val="00F92416"/>
    <w:rsid w:val="00F92649"/>
    <w:rsid w:val="00F92929"/>
    <w:rsid w:val="00F92F61"/>
    <w:rsid w:val="00F9368C"/>
    <w:rsid w:val="00F94C79"/>
    <w:rsid w:val="00F9551B"/>
    <w:rsid w:val="00F95D43"/>
    <w:rsid w:val="00F961E8"/>
    <w:rsid w:val="00FA3347"/>
    <w:rsid w:val="00FA3ADA"/>
    <w:rsid w:val="00FA67B9"/>
    <w:rsid w:val="00FB46F8"/>
    <w:rsid w:val="00FB74A3"/>
    <w:rsid w:val="00FC15F6"/>
    <w:rsid w:val="00FC29A7"/>
    <w:rsid w:val="00FC45D4"/>
    <w:rsid w:val="00FC5735"/>
    <w:rsid w:val="00FC7B44"/>
    <w:rsid w:val="00FD19C7"/>
    <w:rsid w:val="00FD45DF"/>
    <w:rsid w:val="00FD4915"/>
    <w:rsid w:val="00FD4B42"/>
    <w:rsid w:val="00FD7E05"/>
    <w:rsid w:val="00FE106B"/>
    <w:rsid w:val="00FE3E28"/>
    <w:rsid w:val="00FE4092"/>
    <w:rsid w:val="00FE4DF8"/>
    <w:rsid w:val="00FE57CB"/>
    <w:rsid w:val="00FE627E"/>
    <w:rsid w:val="00FE63E5"/>
    <w:rsid w:val="00FF29AA"/>
    <w:rsid w:val="00FF3F89"/>
    <w:rsid w:val="00FF4428"/>
    <w:rsid w:val="00FF4CC4"/>
    <w:rsid w:val="00FF5AC5"/>
    <w:rsid w:val="00FF5AC6"/>
    <w:rsid w:val="00FF5E41"/>
    <w:rsid w:val="00FF7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03A18A"/>
  <w15:docId w15:val="{E12C9B5E-4157-41B4-BB61-E128615A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E"/>
    <w:pPr>
      <w:spacing w:before="120" w:after="120" w:line="240" w:lineRule="auto"/>
    </w:pPr>
    <w:rPr>
      <w:rFonts w:ascii="Calibri" w:eastAsiaTheme="minorEastAsia" w:hAnsi="Calibri"/>
      <w:sz w:val="20"/>
      <w:szCs w:val="20"/>
    </w:rPr>
  </w:style>
  <w:style w:type="paragraph" w:styleId="Heading1">
    <w:name w:val="heading 1"/>
    <w:basedOn w:val="Normal"/>
    <w:next w:val="Normal"/>
    <w:link w:val="Heading1Char"/>
    <w:qFormat/>
    <w:rsid w:val="00975BC4"/>
    <w:pPr>
      <w:keepNext/>
      <w:spacing w:after="240"/>
      <w:outlineLvl w:val="0"/>
    </w:pPr>
    <w:rPr>
      <w:b/>
      <w:color w:val="002C47"/>
      <w:sz w:val="36"/>
      <w:szCs w:val="22"/>
    </w:rPr>
  </w:style>
  <w:style w:type="paragraph" w:styleId="Heading2">
    <w:name w:val="heading 2"/>
    <w:basedOn w:val="Normal"/>
    <w:next w:val="Normal"/>
    <w:link w:val="Heading2Char"/>
    <w:unhideWhenUsed/>
    <w:qFormat/>
    <w:rsid w:val="003A7FFE"/>
    <w:pPr>
      <w:keepNext/>
      <w:spacing w:before="240"/>
      <w:outlineLvl w:val="1"/>
    </w:pPr>
    <w:rPr>
      <w:b/>
      <w:i/>
      <w:color w:val="002C47"/>
      <w:sz w:val="28"/>
    </w:rPr>
  </w:style>
  <w:style w:type="paragraph" w:styleId="Heading3">
    <w:name w:val="heading 3"/>
    <w:basedOn w:val="Normal"/>
    <w:next w:val="Normal"/>
    <w:link w:val="Heading3Char"/>
    <w:unhideWhenUsed/>
    <w:qFormat/>
    <w:rsid w:val="004C38EA"/>
    <w:pPr>
      <w:keepNext/>
      <w:outlineLvl w:val="2"/>
    </w:pPr>
    <w:rPr>
      <w:rFonts w:eastAsia="Calibri"/>
      <w:b/>
      <w:i/>
      <w:iCs/>
      <w:color w:val="002C47" w:themeColor="accent1"/>
      <w:sz w:val="24"/>
    </w:rPr>
  </w:style>
  <w:style w:type="paragraph" w:styleId="Heading4">
    <w:name w:val="heading 4"/>
    <w:basedOn w:val="Normal"/>
    <w:next w:val="Normal"/>
    <w:link w:val="Heading4Char"/>
    <w:unhideWhenUsed/>
    <w:qFormat/>
    <w:rsid w:val="00A468B5"/>
    <w:pPr>
      <w:pBdr>
        <w:top w:val="dotted" w:sz="6" w:space="1" w:color="002C47" w:themeColor="accent1"/>
      </w:pBdr>
      <w:spacing w:before="200" w:after="0"/>
      <w:outlineLvl w:val="3"/>
    </w:pPr>
    <w:rPr>
      <w:b/>
      <w:smallCaps/>
      <w:color w:val="002C47" w:themeColor="accent1"/>
      <w:spacing w:val="10"/>
    </w:rPr>
  </w:style>
  <w:style w:type="paragraph" w:styleId="Heading5">
    <w:name w:val="heading 5"/>
    <w:basedOn w:val="Normal"/>
    <w:next w:val="Normal"/>
    <w:link w:val="Heading5Char"/>
    <w:unhideWhenUsed/>
    <w:qFormat/>
    <w:rsid w:val="00A468B5"/>
    <w:pPr>
      <w:keepNext/>
      <w:pBdr>
        <w:bottom w:val="single" w:sz="6" w:space="1" w:color="002C47" w:themeColor="accent1"/>
      </w:pBdr>
      <w:spacing w:before="200" w:after="0"/>
      <w:outlineLvl w:val="4"/>
    </w:pPr>
    <w:rPr>
      <w:i/>
      <w:smallCaps/>
      <w:color w:val="002C47" w:themeColor="accent1"/>
      <w:spacing w:val="10"/>
    </w:rPr>
  </w:style>
  <w:style w:type="paragraph" w:styleId="Heading6">
    <w:name w:val="heading 6"/>
    <w:basedOn w:val="Normal"/>
    <w:next w:val="Normal"/>
    <w:link w:val="Heading6Char"/>
    <w:unhideWhenUsed/>
    <w:qFormat/>
    <w:rsid w:val="00A468B5"/>
    <w:pPr>
      <w:pBdr>
        <w:bottom w:val="dotted" w:sz="6" w:space="1" w:color="002C47" w:themeColor="accent1"/>
      </w:pBdr>
      <w:spacing w:before="200" w:after="0"/>
      <w:outlineLvl w:val="5"/>
    </w:pPr>
    <w:rPr>
      <w:i/>
      <w:smallCaps/>
      <w:color w:val="002C47" w:themeColor="accent1"/>
      <w:spacing w:val="10"/>
    </w:rPr>
  </w:style>
  <w:style w:type="paragraph" w:styleId="Heading7">
    <w:name w:val="heading 7"/>
    <w:basedOn w:val="Normal"/>
    <w:next w:val="Normal"/>
    <w:link w:val="Heading7Char"/>
    <w:uiPriority w:val="9"/>
    <w:unhideWhenUsed/>
    <w:qFormat/>
    <w:rsid w:val="00A468B5"/>
    <w:pPr>
      <w:spacing w:after="0"/>
      <w:outlineLvl w:val="6"/>
    </w:pPr>
    <w:rPr>
      <w:b/>
      <w:i/>
      <w:color w:val="002C47" w:themeColor="accent1"/>
    </w:rPr>
  </w:style>
  <w:style w:type="paragraph" w:styleId="Heading8">
    <w:name w:val="heading 8"/>
    <w:basedOn w:val="Heading9"/>
    <w:next w:val="Normal"/>
    <w:link w:val="Heading8Char"/>
    <w:uiPriority w:val="9"/>
    <w:unhideWhenUsed/>
    <w:qFormat/>
    <w:rsid w:val="0028692E"/>
    <w:pPr>
      <w:numPr>
        <w:numId w:val="30"/>
      </w:numPr>
      <w:outlineLvl w:val="7"/>
    </w:pPr>
  </w:style>
  <w:style w:type="paragraph" w:styleId="Heading9">
    <w:name w:val="heading 9"/>
    <w:basedOn w:val="ChartMainHeading"/>
    <w:next w:val="Normal"/>
    <w:link w:val="Heading9Char"/>
    <w:uiPriority w:val="9"/>
    <w:unhideWhenUsed/>
    <w:qFormat/>
    <w:rsid w:val="008E0014"/>
    <w:pPr>
      <w:pBdr>
        <w:top w:val="dashed" w:sz="4" w:space="1" w:color="002C47" w:themeColor="accent1"/>
      </w:pBdr>
      <w:spacing w:before="120"/>
    </w:pPr>
    <w:rPr>
      <w:rFonts w:eastAsia="Calibri"/>
      <w:bCs/>
      <w:smallCaps/>
      <w:color w:val="002C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A468B5"/>
    <w:rPr>
      <w:sz w:val="16"/>
      <w:szCs w:val="16"/>
    </w:rPr>
  </w:style>
  <w:style w:type="paragraph" w:styleId="CommentText">
    <w:name w:val="annotation text"/>
    <w:basedOn w:val="Normal"/>
    <w:link w:val="CommentTextChar"/>
    <w:uiPriority w:val="99"/>
    <w:unhideWhenUsed/>
    <w:rsid w:val="00A468B5"/>
  </w:style>
  <w:style w:type="character" w:customStyle="1" w:styleId="CommentTextChar">
    <w:name w:val="Comment Text Char"/>
    <w:basedOn w:val="DefaultParagraphFont"/>
    <w:link w:val="CommentText"/>
    <w:uiPriority w:val="99"/>
    <w:rsid w:val="00A468B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8B5"/>
    <w:rPr>
      <w:b/>
      <w:bCs/>
    </w:rPr>
  </w:style>
  <w:style w:type="character" w:customStyle="1" w:styleId="CommentSubjectChar">
    <w:name w:val="Comment Subject Char"/>
    <w:basedOn w:val="CommentTextChar"/>
    <w:link w:val="CommentSubject"/>
    <w:uiPriority w:val="99"/>
    <w:semiHidden/>
    <w:rsid w:val="00A468B5"/>
    <w:rPr>
      <w:rFonts w:eastAsiaTheme="minorEastAsia"/>
      <w:b/>
      <w:bCs/>
      <w:sz w:val="20"/>
      <w:szCs w:val="20"/>
    </w:rPr>
  </w:style>
  <w:style w:type="paragraph" w:customStyle="1" w:styleId="Bullet">
    <w:name w:val="Bullet"/>
    <w:basedOn w:val="Normal"/>
    <w:link w:val="BulletChar"/>
    <w:rsid w:val="009F6670"/>
    <w:pPr>
      <w:numPr>
        <w:numId w:val="1"/>
      </w:numPr>
    </w:pPr>
  </w:style>
  <w:style w:type="character" w:customStyle="1" w:styleId="BulletChar">
    <w:name w:val="Bullet Char"/>
    <w:basedOn w:val="DefaultParagraphFont"/>
    <w:link w:val="Bullet"/>
    <w:rsid w:val="009F6670"/>
    <w:rPr>
      <w:rFonts w:ascii="Calibri" w:hAnsi="Calibri" w:cs="Times New Roman"/>
    </w:rPr>
  </w:style>
  <w:style w:type="paragraph" w:customStyle="1" w:styleId="Dash">
    <w:name w:val="Dash"/>
    <w:basedOn w:val="Normal"/>
    <w:link w:val="DashChar"/>
    <w:rsid w:val="009F6670"/>
    <w:pPr>
      <w:numPr>
        <w:ilvl w:val="1"/>
        <w:numId w:val="1"/>
      </w:numPr>
    </w:pPr>
  </w:style>
  <w:style w:type="character" w:customStyle="1" w:styleId="DashChar">
    <w:name w:val="Dash Char"/>
    <w:basedOn w:val="DefaultParagraphFont"/>
    <w:link w:val="Dash"/>
    <w:rsid w:val="009F6670"/>
    <w:rPr>
      <w:rFonts w:ascii="Calibri" w:hAnsi="Calibri" w:cs="Times New Roman"/>
    </w:rPr>
  </w:style>
  <w:style w:type="paragraph" w:customStyle="1" w:styleId="DoubleDot">
    <w:name w:val="Double Dot"/>
    <w:basedOn w:val="Normal"/>
    <w:link w:val="DoubleDotChar"/>
    <w:rsid w:val="009F6670"/>
    <w:pPr>
      <w:numPr>
        <w:ilvl w:val="2"/>
        <w:numId w:val="1"/>
      </w:numPr>
    </w:pPr>
  </w:style>
  <w:style w:type="character" w:customStyle="1" w:styleId="DoubleDotChar">
    <w:name w:val="Double Dot Char"/>
    <w:basedOn w:val="DefaultParagraphFont"/>
    <w:link w:val="DoubleDot"/>
    <w:rsid w:val="009F6670"/>
    <w:rPr>
      <w:rFonts w:ascii="Calibri" w:hAnsi="Calibri" w:cs="Times New Roman"/>
    </w:rPr>
  </w:style>
  <w:style w:type="paragraph" w:customStyle="1" w:styleId="Default">
    <w:name w:val="Default"/>
    <w:rsid w:val="00A468B5"/>
    <w:pPr>
      <w:autoSpaceDE w:val="0"/>
      <w:autoSpaceDN w:val="0"/>
      <w:adjustRightInd w:val="0"/>
      <w:spacing w:before="100" w:after="0" w:line="240" w:lineRule="auto"/>
    </w:pPr>
    <w:rPr>
      <w:rFonts w:ascii="Palatino" w:eastAsia="Times New Roman" w:hAnsi="Palatino" w:cs="Palatino"/>
      <w:color w:val="000000"/>
      <w:sz w:val="24"/>
      <w:szCs w:val="24"/>
      <w:lang w:val="en-US"/>
    </w:rPr>
  </w:style>
  <w:style w:type="table" w:styleId="TableGrid">
    <w:name w:val="Table Grid"/>
    <w:basedOn w:val="TableNormal"/>
    <w:uiPriority w:val="59"/>
    <w:rsid w:val="00A468B5"/>
    <w:pPr>
      <w:spacing w:before="100" w:after="240" w:line="260" w:lineRule="exact"/>
      <w:jc w:val="both"/>
    </w:pPr>
    <w:rPr>
      <w:rFonts w:eastAsia="Times New Roman" w:cs="Times New Roman"/>
      <w:sz w:val="20"/>
      <w:szCs w:val="20"/>
      <w:lang w:eastAsia="en-AU"/>
    </w:rPr>
    <w:tblPr/>
    <w:tcPr>
      <w:shd w:val="clear" w:color="auto" w:fill="E6E6E6"/>
    </w:tcPr>
  </w:style>
  <w:style w:type="paragraph" w:styleId="Revision">
    <w:name w:val="Revision"/>
    <w:hidden/>
    <w:uiPriority w:val="99"/>
    <w:semiHidden/>
    <w:rsid w:val="001B275D"/>
    <w:pPr>
      <w:spacing w:after="0" w:line="240" w:lineRule="auto"/>
    </w:pPr>
    <w:rPr>
      <w:rFonts w:ascii="Calibri" w:hAnsi="Calibri" w:cs="Times New Roman"/>
    </w:rPr>
  </w:style>
  <w:style w:type="table" w:customStyle="1" w:styleId="TableGrid1">
    <w:name w:val="Table Grid1"/>
    <w:basedOn w:val="TableNormal"/>
    <w:next w:val="TableGrid"/>
    <w:uiPriority w:val="39"/>
    <w:rsid w:val="006E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B5"/>
    <w:pPr>
      <w:keepNext/>
      <w:spacing w:before="0" w:after="0"/>
      <w:jc w:val="right"/>
    </w:pPr>
    <w:rPr>
      <w:color w:val="004A7F"/>
    </w:rPr>
  </w:style>
  <w:style w:type="character" w:customStyle="1" w:styleId="HeaderChar">
    <w:name w:val="Header Char"/>
    <w:basedOn w:val="DefaultParagraphFont"/>
    <w:link w:val="Header"/>
    <w:uiPriority w:val="99"/>
    <w:rsid w:val="00A468B5"/>
    <w:rPr>
      <w:rFonts w:eastAsiaTheme="minorEastAsia"/>
      <w:color w:val="004A7F"/>
      <w:sz w:val="20"/>
      <w:szCs w:val="20"/>
    </w:rPr>
  </w:style>
  <w:style w:type="paragraph" w:styleId="Footer">
    <w:name w:val="footer"/>
    <w:basedOn w:val="Normal"/>
    <w:link w:val="FooterChar"/>
    <w:unhideWhenUsed/>
    <w:rsid w:val="004B5358"/>
    <w:pPr>
      <w:tabs>
        <w:tab w:val="center" w:pos="4513"/>
        <w:tab w:val="right" w:pos="9026"/>
      </w:tabs>
      <w:spacing w:before="0" w:after="0"/>
      <w:jc w:val="center"/>
    </w:pPr>
    <w:rPr>
      <w:color w:val="002C47"/>
      <w:sz w:val="18"/>
    </w:rPr>
  </w:style>
  <w:style w:type="character" w:customStyle="1" w:styleId="FooterChar">
    <w:name w:val="Footer Char"/>
    <w:basedOn w:val="DefaultParagraphFont"/>
    <w:link w:val="Footer"/>
    <w:rsid w:val="004B5358"/>
    <w:rPr>
      <w:rFonts w:ascii="Calibri" w:eastAsiaTheme="minorEastAsia" w:hAnsi="Calibri"/>
      <w:color w:val="002C47"/>
      <w:sz w:val="18"/>
      <w:szCs w:val="20"/>
    </w:rPr>
  </w:style>
  <w:style w:type="character" w:styleId="Hyperlink">
    <w:name w:val="Hyperlink"/>
    <w:basedOn w:val="DefaultParagraphFont"/>
    <w:uiPriority w:val="99"/>
    <w:rsid w:val="0048560C"/>
    <w:rPr>
      <w:color w:val="4470A7"/>
      <w:u w:val="none"/>
    </w:rPr>
  </w:style>
  <w:style w:type="paragraph" w:styleId="ListParagraph">
    <w:name w:val="List Paragraph"/>
    <w:basedOn w:val="Normal"/>
    <w:uiPriority w:val="34"/>
    <w:rsid w:val="00A468B5"/>
    <w:pPr>
      <w:ind w:left="720"/>
      <w:contextualSpacing/>
    </w:pPr>
  </w:style>
  <w:style w:type="paragraph" w:styleId="FootnoteText">
    <w:name w:val="footnote text"/>
    <w:basedOn w:val="CommentText"/>
    <w:link w:val="FootnoteTextChar"/>
    <w:uiPriority w:val="99"/>
    <w:rsid w:val="00BF7CAE"/>
    <w:pPr>
      <w:tabs>
        <w:tab w:val="left" w:pos="284"/>
      </w:tabs>
      <w:ind w:left="284" w:hanging="284"/>
    </w:pPr>
    <w:rPr>
      <w:sz w:val="16"/>
    </w:rPr>
  </w:style>
  <w:style w:type="character" w:customStyle="1" w:styleId="FootnoteTextChar">
    <w:name w:val="Footnote Text Char"/>
    <w:basedOn w:val="DefaultParagraphFont"/>
    <w:link w:val="FootnoteText"/>
    <w:uiPriority w:val="99"/>
    <w:rsid w:val="00BF7CAE"/>
    <w:rPr>
      <w:rFonts w:ascii="Calibri" w:eastAsiaTheme="minorEastAsia" w:hAnsi="Calibri"/>
      <w:sz w:val="16"/>
      <w:szCs w:val="20"/>
    </w:rPr>
  </w:style>
  <w:style w:type="character" w:styleId="FootnoteReference">
    <w:name w:val="footnote reference"/>
    <w:basedOn w:val="DefaultParagraphFont"/>
    <w:uiPriority w:val="99"/>
    <w:rsid w:val="00A468B5"/>
    <w:rPr>
      <w:rFonts w:ascii="Calibri" w:hAnsi="Calibri"/>
      <w:sz w:val="20"/>
      <w:vertAlign w:val="superscript"/>
    </w:rPr>
  </w:style>
  <w:style w:type="character" w:customStyle="1" w:styleId="Heading1Char">
    <w:name w:val="Heading 1 Char"/>
    <w:basedOn w:val="DefaultParagraphFont"/>
    <w:link w:val="Heading1"/>
    <w:rsid w:val="00975BC4"/>
    <w:rPr>
      <w:rFonts w:ascii="Calibri" w:eastAsiaTheme="minorEastAsia" w:hAnsi="Calibri"/>
      <w:b/>
      <w:color w:val="002C47"/>
      <w:sz w:val="36"/>
    </w:rPr>
  </w:style>
  <w:style w:type="character" w:customStyle="1" w:styleId="Heading2Char">
    <w:name w:val="Heading 2 Char"/>
    <w:basedOn w:val="DefaultParagraphFont"/>
    <w:link w:val="Heading2"/>
    <w:rsid w:val="003A7FFE"/>
    <w:rPr>
      <w:rFonts w:ascii="Calibri" w:eastAsiaTheme="minorEastAsia" w:hAnsi="Calibri"/>
      <w:b/>
      <w:i/>
      <w:color w:val="002C47"/>
      <w:sz w:val="28"/>
      <w:szCs w:val="20"/>
    </w:rPr>
  </w:style>
  <w:style w:type="character" w:customStyle="1" w:styleId="Heading3Char">
    <w:name w:val="Heading 3 Char"/>
    <w:basedOn w:val="DefaultParagraphFont"/>
    <w:link w:val="Heading3"/>
    <w:rsid w:val="004C38EA"/>
    <w:rPr>
      <w:rFonts w:ascii="Calibri" w:eastAsia="Calibri" w:hAnsi="Calibri"/>
      <w:b/>
      <w:i/>
      <w:iCs/>
      <w:color w:val="002C47" w:themeColor="accent1"/>
      <w:sz w:val="24"/>
      <w:szCs w:val="20"/>
    </w:rPr>
  </w:style>
  <w:style w:type="character" w:customStyle="1" w:styleId="Heading4Char">
    <w:name w:val="Heading 4 Char"/>
    <w:basedOn w:val="DefaultParagraphFont"/>
    <w:link w:val="Heading4"/>
    <w:rsid w:val="00A468B5"/>
    <w:rPr>
      <w:rFonts w:eastAsiaTheme="minorEastAsia"/>
      <w:b/>
      <w:smallCaps/>
      <w:color w:val="002C47" w:themeColor="accent1"/>
      <w:spacing w:val="10"/>
      <w:sz w:val="20"/>
      <w:szCs w:val="20"/>
    </w:rPr>
  </w:style>
  <w:style w:type="character" w:customStyle="1" w:styleId="Heading5Char">
    <w:name w:val="Heading 5 Char"/>
    <w:basedOn w:val="DefaultParagraphFont"/>
    <w:link w:val="Heading5"/>
    <w:rsid w:val="00A468B5"/>
    <w:rPr>
      <w:rFonts w:eastAsiaTheme="minorEastAsia"/>
      <w:i/>
      <w:smallCaps/>
      <w:color w:val="002C47" w:themeColor="accent1"/>
      <w:spacing w:val="10"/>
      <w:sz w:val="20"/>
      <w:szCs w:val="20"/>
    </w:rPr>
  </w:style>
  <w:style w:type="character" w:customStyle="1" w:styleId="Heading6Char">
    <w:name w:val="Heading 6 Char"/>
    <w:basedOn w:val="DefaultParagraphFont"/>
    <w:link w:val="Heading6"/>
    <w:rsid w:val="00A468B5"/>
    <w:rPr>
      <w:rFonts w:eastAsiaTheme="minorEastAsia"/>
      <w:i/>
      <w:smallCaps/>
      <w:color w:val="002C47" w:themeColor="accent1"/>
      <w:spacing w:val="10"/>
      <w:sz w:val="20"/>
      <w:szCs w:val="20"/>
    </w:rPr>
  </w:style>
  <w:style w:type="character" w:customStyle="1" w:styleId="Heading7Char">
    <w:name w:val="Heading 7 Char"/>
    <w:basedOn w:val="DefaultParagraphFont"/>
    <w:link w:val="Heading7"/>
    <w:uiPriority w:val="9"/>
    <w:rsid w:val="00A468B5"/>
    <w:rPr>
      <w:rFonts w:eastAsiaTheme="minorEastAsia"/>
      <w:b/>
      <w:i/>
      <w:color w:val="002C47" w:themeColor="accent1"/>
      <w:sz w:val="20"/>
      <w:szCs w:val="20"/>
    </w:rPr>
  </w:style>
  <w:style w:type="character" w:customStyle="1" w:styleId="Heading8Char">
    <w:name w:val="Heading 8 Char"/>
    <w:basedOn w:val="DefaultParagraphFont"/>
    <w:link w:val="Heading8"/>
    <w:uiPriority w:val="9"/>
    <w:rsid w:val="0028692E"/>
    <w:rPr>
      <w:rFonts w:ascii="Calibri" w:eastAsiaTheme="minorEastAsia" w:hAnsi="Calibri"/>
      <w:b/>
      <w:color w:val="002C47" w:themeColor="accent1"/>
      <w:szCs w:val="20"/>
    </w:rPr>
  </w:style>
  <w:style w:type="character" w:customStyle="1" w:styleId="Heading9Char">
    <w:name w:val="Heading 9 Char"/>
    <w:basedOn w:val="DefaultParagraphFont"/>
    <w:link w:val="Heading9"/>
    <w:uiPriority w:val="9"/>
    <w:rsid w:val="008E0014"/>
    <w:rPr>
      <w:rFonts w:ascii="Calibri" w:eastAsia="Calibri" w:hAnsi="Calibri"/>
      <w:b/>
      <w:bCs/>
      <w:smallCaps/>
      <w:color w:val="002C47" w:themeColor="accent1"/>
      <w:sz w:val="20"/>
      <w:szCs w:val="20"/>
    </w:rPr>
  </w:style>
  <w:style w:type="paragraph" w:customStyle="1" w:styleId="ChartGraphic">
    <w:name w:val="Chart Graphic"/>
    <w:basedOn w:val="Normal"/>
    <w:next w:val="Normal"/>
    <w:rsid w:val="00142FC9"/>
    <w:pPr>
      <w:keepNext/>
      <w:spacing w:before="0" w:after="240"/>
    </w:pPr>
    <w:rPr>
      <w:color w:val="004A7F"/>
    </w:rPr>
  </w:style>
  <w:style w:type="paragraph" w:customStyle="1" w:styleId="AlphaParagraph">
    <w:name w:val="Alpha Paragraph"/>
    <w:basedOn w:val="Normal"/>
    <w:rsid w:val="00A468B5"/>
    <w:pPr>
      <w:numPr>
        <w:ilvl w:val="1"/>
        <w:numId w:val="24"/>
      </w:numPr>
      <w:spacing w:before="0"/>
    </w:pPr>
  </w:style>
  <w:style w:type="paragraph" w:customStyle="1" w:styleId="BoxBullet">
    <w:name w:val="Box Bullet"/>
    <w:basedOn w:val="Normal"/>
    <w:link w:val="BoxBulletChar"/>
    <w:rsid w:val="00A468B5"/>
    <w:pPr>
      <w:numPr>
        <w:numId w:val="15"/>
      </w:numPr>
      <w:spacing w:before="40" w:after="40"/>
      <w:jc w:val="both"/>
    </w:pPr>
    <w:rPr>
      <w:rFonts w:cs="Times New Roman"/>
      <w:bdr w:val="none" w:sz="0" w:space="0" w:color="auto" w:frame="1"/>
      <w:lang w:eastAsia="en-AU"/>
    </w:rPr>
  </w:style>
  <w:style w:type="paragraph" w:customStyle="1" w:styleId="BoxDash">
    <w:name w:val="Box Dash"/>
    <w:basedOn w:val="Normal"/>
    <w:link w:val="BoxDashChar"/>
    <w:rsid w:val="00A468B5"/>
    <w:pPr>
      <w:numPr>
        <w:ilvl w:val="1"/>
        <w:numId w:val="15"/>
      </w:numPr>
      <w:spacing w:before="40" w:after="40"/>
      <w:jc w:val="both"/>
    </w:pPr>
    <w:rPr>
      <w:rFonts w:cs="Times New Roman"/>
      <w:bdr w:val="none" w:sz="0" w:space="0" w:color="auto" w:frame="1"/>
      <w:lang w:eastAsia="en-AU"/>
    </w:rPr>
  </w:style>
  <w:style w:type="paragraph" w:customStyle="1" w:styleId="BoxDoubleDot">
    <w:name w:val="Box Double Dot"/>
    <w:basedOn w:val="Normal"/>
    <w:rsid w:val="00A468B5"/>
    <w:pPr>
      <w:numPr>
        <w:ilvl w:val="2"/>
        <w:numId w:val="15"/>
      </w:numPr>
      <w:spacing w:before="0"/>
    </w:pPr>
  </w:style>
  <w:style w:type="paragraph" w:customStyle="1" w:styleId="BoxHeading">
    <w:name w:val="Box Heading"/>
    <w:basedOn w:val="Heading3"/>
    <w:next w:val="BoxText"/>
    <w:qFormat/>
    <w:rsid w:val="00A468B5"/>
    <w:pPr>
      <w:numPr>
        <w:numId w:val="29"/>
      </w:numPr>
      <w:tabs>
        <w:tab w:val="left" w:pos="1134"/>
      </w:tabs>
      <w:spacing w:before="240"/>
      <w:ind w:left="0" w:firstLine="0"/>
      <w:jc w:val="both"/>
    </w:pPr>
    <w:rPr>
      <w:rFonts w:asciiTheme="majorHAnsi" w:hAnsiTheme="majorHAnsi" w:cstheme="majorHAnsi"/>
      <w:sz w:val="26"/>
      <w:szCs w:val="26"/>
      <w:lang w:eastAsia="en-AU"/>
    </w:rPr>
  </w:style>
  <w:style w:type="paragraph" w:customStyle="1" w:styleId="BoxText">
    <w:name w:val="Box Text"/>
    <w:basedOn w:val="Normal"/>
    <w:rsid w:val="00A21A3E"/>
    <w:pPr>
      <w:ind w:left="57" w:right="57"/>
      <w:jc w:val="both"/>
    </w:pPr>
    <w:rPr>
      <w:rFonts w:cstheme="minorHAnsi"/>
      <w:sz w:val="19"/>
      <w:lang w:eastAsia="en-AU"/>
    </w:rPr>
  </w:style>
  <w:style w:type="paragraph" w:customStyle="1" w:styleId="Normalbullet">
    <w:name w:val="Normal bullet"/>
    <w:basedOn w:val="Normal"/>
    <w:link w:val="NormalbulletChar"/>
    <w:qFormat/>
    <w:rsid w:val="00A468B5"/>
    <w:pPr>
      <w:numPr>
        <w:numId w:val="16"/>
      </w:numPr>
      <w:spacing w:before="0"/>
    </w:pPr>
  </w:style>
  <w:style w:type="paragraph" w:customStyle="1" w:styleId="ChartandTableFootnoteAlpha">
    <w:name w:val="Chart and Table Footnote Alpha"/>
    <w:rsid w:val="00A468B5"/>
    <w:pPr>
      <w:numPr>
        <w:numId w:val="18"/>
      </w:numPr>
      <w:spacing w:before="100"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Normal"/>
    <w:next w:val="ChartGraphic"/>
    <w:rsid w:val="005C6849"/>
    <w:pPr>
      <w:keepNext/>
      <w:numPr>
        <w:numId w:val="28"/>
      </w:numPr>
      <w:spacing w:before="240"/>
      <w:outlineLvl w:val="8"/>
    </w:pPr>
    <w:rPr>
      <w:b/>
      <w:color w:val="1E75BA" w:themeColor="accent2"/>
      <w:sz w:val="22"/>
    </w:rPr>
  </w:style>
  <w:style w:type="paragraph" w:customStyle="1" w:styleId="ChartorTableNote">
    <w:name w:val="Chart or Table Note"/>
    <w:next w:val="Normal"/>
    <w:rsid w:val="00A711E0"/>
    <w:pPr>
      <w:tabs>
        <w:tab w:val="left" w:pos="454"/>
      </w:tabs>
      <w:spacing w:after="360" w:line="240" w:lineRule="auto"/>
      <w:ind w:left="454" w:hanging="454"/>
      <w:jc w:val="both"/>
    </w:pPr>
    <w:rPr>
      <w:rFonts w:ascii="Calibri" w:eastAsia="Times New Roman" w:hAnsi="Calibri" w:cs="Times New Roman"/>
      <w:bCs/>
      <w:color w:val="4470A7"/>
      <w:sz w:val="17"/>
      <w:szCs w:val="20"/>
      <w:lang w:eastAsia="en-AU"/>
    </w:rPr>
  </w:style>
  <w:style w:type="paragraph" w:customStyle="1" w:styleId="ChartSecondHeading">
    <w:name w:val="Chart Second Heading"/>
    <w:basedOn w:val="TableSecondHeading"/>
    <w:next w:val="ChartGraphic"/>
    <w:rsid w:val="00A468B5"/>
    <w:rPr>
      <w:color w:val="277F98" w:themeColor="accent6"/>
    </w:rPr>
  </w:style>
  <w:style w:type="paragraph" w:customStyle="1" w:styleId="ReportDate">
    <w:name w:val="Report Date"/>
    <w:basedOn w:val="Normal"/>
    <w:link w:val="ReportDateChar"/>
    <w:rsid w:val="00A468B5"/>
    <w:pPr>
      <w:keepNext/>
      <w:spacing w:before="0" w:after="360"/>
    </w:pPr>
    <w:rPr>
      <w:color w:val="FFFFFF" w:themeColor="background1"/>
      <w:sz w:val="44"/>
    </w:rPr>
  </w:style>
  <w:style w:type="paragraph" w:customStyle="1" w:styleId="Normaldash">
    <w:name w:val="Normal dash"/>
    <w:basedOn w:val="Normal"/>
    <w:link w:val="NormaldashChar"/>
    <w:qFormat/>
    <w:rsid w:val="00A468B5"/>
    <w:pPr>
      <w:numPr>
        <w:ilvl w:val="1"/>
        <w:numId w:val="16"/>
      </w:numPr>
      <w:spacing w:before="0"/>
    </w:pPr>
  </w:style>
  <w:style w:type="paragraph" w:customStyle="1" w:styleId="Normaldoubledot">
    <w:name w:val="Normal double dot"/>
    <w:basedOn w:val="Normal"/>
    <w:qFormat/>
    <w:rsid w:val="00A468B5"/>
    <w:pPr>
      <w:numPr>
        <w:ilvl w:val="2"/>
        <w:numId w:val="16"/>
      </w:numPr>
      <w:spacing w:before="0"/>
    </w:pPr>
  </w:style>
  <w:style w:type="paragraph" w:customStyle="1" w:styleId="TableMainHeading">
    <w:name w:val="Table Main Heading"/>
    <w:basedOn w:val="Normal"/>
    <w:next w:val="Normal"/>
    <w:rsid w:val="00A468B5"/>
    <w:pPr>
      <w:keepNext/>
      <w:numPr>
        <w:numId w:val="27"/>
      </w:numPr>
      <w:pBdr>
        <w:top w:val="dashed" w:sz="4" w:space="1" w:color="002C47" w:themeColor="accent1"/>
      </w:pBdr>
      <w:tabs>
        <w:tab w:val="left" w:pos="993"/>
      </w:tabs>
      <w:spacing w:after="0"/>
      <w:ind w:left="993" w:hanging="993"/>
      <w:outlineLvl w:val="7"/>
    </w:pPr>
    <w:rPr>
      <w:b/>
      <w:smallCaps/>
      <w:color w:val="002C47" w:themeColor="accent1"/>
      <w:spacing w:val="15"/>
    </w:rPr>
  </w:style>
  <w:style w:type="paragraph" w:customStyle="1" w:styleId="FooterEven">
    <w:name w:val="Footer Even"/>
    <w:basedOn w:val="Footer"/>
    <w:rsid w:val="00A468B5"/>
    <w:pPr>
      <w:keepNext/>
      <w:tabs>
        <w:tab w:val="clear" w:pos="4513"/>
        <w:tab w:val="clear" w:pos="9026"/>
      </w:tabs>
      <w:jc w:val="left"/>
    </w:pPr>
    <w:rPr>
      <w:noProof/>
      <w:color w:val="002C47" w:themeColor="accent1"/>
    </w:rPr>
  </w:style>
  <w:style w:type="paragraph" w:customStyle="1" w:styleId="FooterOdd">
    <w:name w:val="Footer Odd"/>
    <w:basedOn w:val="Footer"/>
    <w:rsid w:val="00A468B5"/>
    <w:pPr>
      <w:keepNext/>
      <w:tabs>
        <w:tab w:val="clear" w:pos="4513"/>
        <w:tab w:val="clear" w:pos="9026"/>
      </w:tabs>
      <w:jc w:val="right"/>
    </w:pPr>
    <w:rPr>
      <w:color w:val="002C47" w:themeColor="accent1"/>
    </w:rPr>
  </w:style>
  <w:style w:type="paragraph" w:customStyle="1" w:styleId="OutlineNumbered1">
    <w:name w:val="Outline Numbered 1"/>
    <w:basedOn w:val="Normal"/>
    <w:rsid w:val="00A468B5"/>
    <w:pPr>
      <w:numPr>
        <w:numId w:val="23"/>
      </w:numPr>
      <w:spacing w:before="0"/>
    </w:pPr>
  </w:style>
  <w:style w:type="paragraph" w:customStyle="1" w:styleId="OneLevelNumberedParagraph">
    <w:name w:val="One Level Numbered Paragraph"/>
    <w:basedOn w:val="Normal"/>
    <w:rsid w:val="00A468B5"/>
    <w:pPr>
      <w:numPr>
        <w:numId w:val="22"/>
      </w:numPr>
      <w:spacing w:before="0"/>
    </w:pPr>
  </w:style>
  <w:style w:type="paragraph" w:customStyle="1" w:styleId="OutlineNumbered2">
    <w:name w:val="Outline Numbered 2"/>
    <w:basedOn w:val="Normal"/>
    <w:rsid w:val="00A468B5"/>
    <w:pPr>
      <w:numPr>
        <w:ilvl w:val="1"/>
        <w:numId w:val="23"/>
      </w:numPr>
      <w:spacing w:before="0"/>
    </w:pPr>
  </w:style>
  <w:style w:type="paragraph" w:customStyle="1" w:styleId="OutlineNumbered3">
    <w:name w:val="Outline Numbered 3"/>
    <w:basedOn w:val="Normal"/>
    <w:rsid w:val="00A468B5"/>
    <w:pPr>
      <w:numPr>
        <w:ilvl w:val="2"/>
        <w:numId w:val="23"/>
      </w:numPr>
      <w:spacing w:before="0"/>
    </w:pPr>
  </w:style>
  <w:style w:type="paragraph" w:customStyle="1" w:styleId="Romannumeral">
    <w:name w:val="Roman numeral"/>
    <w:basedOn w:val="Normal"/>
    <w:rsid w:val="00A468B5"/>
    <w:pPr>
      <w:numPr>
        <w:numId w:val="24"/>
      </w:numPr>
      <w:tabs>
        <w:tab w:val="clear" w:pos="720"/>
        <w:tab w:val="num" w:pos="851"/>
      </w:tabs>
      <w:spacing w:before="0"/>
    </w:pPr>
  </w:style>
  <w:style w:type="paragraph" w:customStyle="1" w:styleId="SingleParagraph">
    <w:name w:val="Single Paragraph"/>
    <w:basedOn w:val="Normal"/>
    <w:link w:val="SingleParagraphChar"/>
    <w:rsid w:val="00A468B5"/>
    <w:pPr>
      <w:spacing w:before="0" w:after="0"/>
    </w:pPr>
  </w:style>
  <w:style w:type="paragraph" w:customStyle="1" w:styleId="TableSecondHeading">
    <w:name w:val="Table Second Heading"/>
    <w:basedOn w:val="Normal"/>
    <w:next w:val="Normal"/>
    <w:qFormat/>
    <w:rsid w:val="00A468B5"/>
    <w:pPr>
      <w:keepNext/>
      <w:spacing w:before="0" w:after="20"/>
      <w:jc w:val="center"/>
    </w:pPr>
    <w:rPr>
      <w:rFonts w:cs="Times New Roman"/>
      <w:b/>
      <w:smallCaps/>
      <w:color w:val="002C47" w:themeColor="accent1"/>
      <w:bdr w:val="none" w:sz="0" w:space="0" w:color="auto" w:frame="1"/>
      <w:lang w:eastAsia="en-AU"/>
    </w:rPr>
  </w:style>
  <w:style w:type="paragraph" w:customStyle="1" w:styleId="TableColumnHeadingCentred">
    <w:name w:val="Table Column Heading Centred"/>
    <w:basedOn w:val="TableTextLeft"/>
    <w:rsid w:val="00A468B5"/>
    <w:pPr>
      <w:jc w:val="center"/>
    </w:pPr>
    <w:rPr>
      <w:b/>
      <w:color w:val="004A7F"/>
    </w:rPr>
  </w:style>
  <w:style w:type="paragraph" w:customStyle="1" w:styleId="TableColumnHeadingLeft">
    <w:name w:val="Table Column Heading Left"/>
    <w:basedOn w:val="TableTextLeft"/>
    <w:rsid w:val="00A468B5"/>
    <w:rPr>
      <w:b/>
      <w:color w:val="004A7F"/>
    </w:rPr>
  </w:style>
  <w:style w:type="paragraph" w:customStyle="1" w:styleId="TableColumnHeadingRight">
    <w:name w:val="Table Column Heading Right"/>
    <w:basedOn w:val="TableTextLeft"/>
    <w:rsid w:val="00A468B5"/>
    <w:pPr>
      <w:jc w:val="right"/>
    </w:pPr>
    <w:rPr>
      <w:b/>
      <w:color w:val="004A7F"/>
    </w:rPr>
  </w:style>
  <w:style w:type="paragraph" w:customStyle="1" w:styleId="TableTextCentered">
    <w:name w:val="Table Text Centered"/>
    <w:basedOn w:val="TableTextRight"/>
    <w:rsid w:val="00A468B5"/>
    <w:pPr>
      <w:jc w:val="center"/>
    </w:pPr>
  </w:style>
  <w:style w:type="paragraph" w:customStyle="1" w:styleId="TableTextLeft">
    <w:name w:val="Table Text Left"/>
    <w:basedOn w:val="TableTextRight"/>
    <w:rsid w:val="00A468B5"/>
    <w:pPr>
      <w:jc w:val="left"/>
    </w:pPr>
    <w:rPr>
      <w:rFonts w:cs="Times New Roman"/>
      <w:bdr w:val="none" w:sz="0" w:space="0" w:color="auto" w:frame="1"/>
      <w:lang w:eastAsia="en-AU"/>
    </w:rPr>
  </w:style>
  <w:style w:type="paragraph" w:customStyle="1" w:styleId="TableTextRight">
    <w:name w:val="Table Text Right"/>
    <w:basedOn w:val="Normal"/>
    <w:rsid w:val="00A468B5"/>
    <w:pPr>
      <w:spacing w:before="40" w:after="40"/>
      <w:jc w:val="right"/>
    </w:pPr>
    <w:rPr>
      <w:color w:val="000000"/>
    </w:rPr>
  </w:style>
  <w:style w:type="paragraph" w:styleId="TOC1">
    <w:name w:val="toc 1"/>
    <w:basedOn w:val="Normal"/>
    <w:next w:val="Normal"/>
    <w:uiPriority w:val="39"/>
    <w:rsid w:val="00A468B5"/>
    <w:pPr>
      <w:keepNext/>
      <w:tabs>
        <w:tab w:val="right" w:leader="dot" w:pos="9072"/>
      </w:tabs>
      <w:spacing w:before="180" w:after="0"/>
      <w:ind w:right="-2"/>
    </w:pPr>
    <w:rPr>
      <w:b/>
      <w:noProof/>
      <w:color w:val="000000" w:themeColor="text1"/>
      <w:szCs w:val="22"/>
    </w:rPr>
  </w:style>
  <w:style w:type="paragraph" w:styleId="TOC2">
    <w:name w:val="toc 2"/>
    <w:basedOn w:val="Normal"/>
    <w:next w:val="Normal"/>
    <w:uiPriority w:val="39"/>
    <w:rsid w:val="00A468B5"/>
    <w:pPr>
      <w:keepNext/>
      <w:tabs>
        <w:tab w:val="right" w:leader="dot" w:pos="9072"/>
      </w:tabs>
      <w:spacing w:before="40" w:after="20"/>
      <w:ind w:left="142" w:right="-2"/>
    </w:pPr>
    <w:rPr>
      <w:noProof/>
      <w:color w:val="000000" w:themeColor="text1"/>
    </w:rPr>
  </w:style>
  <w:style w:type="paragraph" w:styleId="TOC3">
    <w:name w:val="toc 3"/>
    <w:basedOn w:val="Normal"/>
    <w:next w:val="Normal"/>
    <w:uiPriority w:val="39"/>
    <w:rsid w:val="00A468B5"/>
    <w:pPr>
      <w:tabs>
        <w:tab w:val="right" w:leader="dot" w:pos="9072"/>
      </w:tabs>
      <w:spacing w:before="20" w:after="0"/>
      <w:ind w:left="284" w:right="-2"/>
    </w:pPr>
    <w:rPr>
      <w:rFonts w:cs="Calibri"/>
      <w:noProof/>
      <w:color w:val="000000" w:themeColor="text1"/>
    </w:rPr>
  </w:style>
  <w:style w:type="numbering" w:customStyle="1" w:styleId="OutlineList">
    <w:name w:val="OutlineList"/>
    <w:uiPriority w:val="99"/>
    <w:rsid w:val="00A468B5"/>
    <w:pPr>
      <w:numPr>
        <w:numId w:val="23"/>
      </w:numPr>
    </w:pPr>
  </w:style>
  <w:style w:type="numbering" w:customStyle="1" w:styleId="BulletedList">
    <w:name w:val="Bulleted List"/>
    <w:uiPriority w:val="99"/>
    <w:rsid w:val="00A468B5"/>
    <w:pPr>
      <w:numPr>
        <w:numId w:val="16"/>
      </w:numPr>
    </w:pPr>
  </w:style>
  <w:style w:type="numbering" w:customStyle="1" w:styleId="BoxBulletedList">
    <w:name w:val="Box Bulleted List"/>
    <w:uiPriority w:val="99"/>
    <w:rsid w:val="00A468B5"/>
    <w:pPr>
      <w:numPr>
        <w:numId w:val="15"/>
      </w:numPr>
    </w:pPr>
  </w:style>
  <w:style w:type="numbering" w:customStyle="1" w:styleId="OneLevelList">
    <w:name w:val="OneLevelList"/>
    <w:uiPriority w:val="99"/>
    <w:rsid w:val="00A468B5"/>
    <w:pPr>
      <w:numPr>
        <w:numId w:val="22"/>
      </w:numPr>
    </w:pPr>
  </w:style>
  <w:style w:type="numbering" w:customStyle="1" w:styleId="ChartandTableFootnoteAlphaList">
    <w:name w:val="ChartandTableFootnoteAlphaList"/>
    <w:uiPriority w:val="99"/>
    <w:rsid w:val="00A468B5"/>
    <w:pPr>
      <w:numPr>
        <w:numId w:val="18"/>
      </w:numPr>
    </w:pPr>
  </w:style>
  <w:style w:type="paragraph" w:customStyle="1" w:styleId="Crest">
    <w:name w:val="Crest"/>
    <w:basedOn w:val="Header"/>
    <w:rsid w:val="00A468B5"/>
    <w:pPr>
      <w:spacing w:after="480"/>
      <w:jc w:val="center"/>
    </w:pPr>
    <w:rPr>
      <w:color w:val="000000" w:themeColor="text1"/>
    </w:rPr>
  </w:style>
  <w:style w:type="paragraph" w:customStyle="1" w:styleId="Heading1Numbered">
    <w:name w:val="Heading 1 Numbered"/>
    <w:basedOn w:val="Heading1"/>
    <w:next w:val="Normal"/>
    <w:rsid w:val="00A468B5"/>
    <w:pPr>
      <w:numPr>
        <w:numId w:val="19"/>
      </w:numPr>
    </w:pPr>
  </w:style>
  <w:style w:type="character" w:customStyle="1" w:styleId="SingleParagraphChar">
    <w:name w:val="Single Paragraph Char"/>
    <w:basedOn w:val="DefaultParagraphFont"/>
    <w:link w:val="SingleParagraph"/>
    <w:rsid w:val="00A468B5"/>
    <w:rPr>
      <w:rFonts w:eastAsiaTheme="minorEastAsia"/>
      <w:sz w:val="20"/>
      <w:szCs w:val="20"/>
    </w:rPr>
  </w:style>
  <w:style w:type="paragraph" w:customStyle="1" w:styleId="Heading2Numbered">
    <w:name w:val="Heading 2 Numbered"/>
    <w:basedOn w:val="Heading2"/>
    <w:next w:val="Normal"/>
    <w:rsid w:val="00A468B5"/>
    <w:pPr>
      <w:numPr>
        <w:ilvl w:val="1"/>
        <w:numId w:val="19"/>
      </w:numPr>
    </w:pPr>
  </w:style>
  <w:style w:type="paragraph" w:customStyle="1" w:styleId="Heading3Numbered">
    <w:name w:val="Heading 3 Numbered"/>
    <w:basedOn w:val="Heading3"/>
    <w:qFormat/>
    <w:rsid w:val="00A468B5"/>
    <w:pPr>
      <w:numPr>
        <w:ilvl w:val="2"/>
        <w:numId w:val="19"/>
      </w:numPr>
    </w:pPr>
  </w:style>
  <w:style w:type="paragraph" w:styleId="Title">
    <w:name w:val="Title"/>
    <w:basedOn w:val="Normal"/>
    <w:next w:val="Normal"/>
    <w:link w:val="TitleChar"/>
    <w:uiPriority w:val="10"/>
    <w:qFormat/>
    <w:rsid w:val="00A468B5"/>
    <w:pPr>
      <w:spacing w:before="0" w:after="0"/>
    </w:pPr>
    <w:rPr>
      <w:rFonts w:asciiTheme="majorHAnsi" w:eastAsiaTheme="majorEastAsia" w:hAnsiTheme="majorHAnsi" w:cstheme="majorBidi"/>
      <w:b/>
      <w:caps/>
      <w:color w:val="FFFFFF" w:themeColor="background1"/>
      <w:spacing w:val="10"/>
      <w:sz w:val="44"/>
      <w:szCs w:val="52"/>
    </w:rPr>
  </w:style>
  <w:style w:type="character" w:customStyle="1" w:styleId="TitleChar">
    <w:name w:val="Title Char"/>
    <w:basedOn w:val="DefaultParagraphFont"/>
    <w:link w:val="Title"/>
    <w:uiPriority w:val="10"/>
    <w:rsid w:val="00A468B5"/>
    <w:rPr>
      <w:rFonts w:asciiTheme="majorHAnsi" w:eastAsiaTheme="majorEastAsia" w:hAnsiTheme="majorHAnsi" w:cstheme="majorBidi"/>
      <w:b/>
      <w:caps/>
      <w:color w:val="FFFFFF" w:themeColor="background1"/>
      <w:spacing w:val="10"/>
      <w:sz w:val="44"/>
      <w:szCs w:val="52"/>
    </w:rPr>
  </w:style>
  <w:style w:type="paragraph" w:styleId="Subtitle">
    <w:name w:val="Subtitle"/>
    <w:basedOn w:val="Normal"/>
    <w:next w:val="Normal"/>
    <w:link w:val="SubtitleChar"/>
    <w:uiPriority w:val="11"/>
    <w:rsid w:val="00A468B5"/>
    <w:pPr>
      <w:spacing w:before="0" w:after="500"/>
    </w:pPr>
    <w:rPr>
      <w:caps/>
      <w:color w:val="FFFFFF" w:themeColor="background1"/>
      <w:spacing w:val="10"/>
      <w:sz w:val="21"/>
      <w:szCs w:val="21"/>
    </w:rPr>
  </w:style>
  <w:style w:type="character" w:customStyle="1" w:styleId="SubtitleChar">
    <w:name w:val="Subtitle Char"/>
    <w:basedOn w:val="DefaultParagraphFont"/>
    <w:link w:val="Subtitle"/>
    <w:uiPriority w:val="11"/>
    <w:rsid w:val="00A468B5"/>
    <w:rPr>
      <w:rFonts w:eastAsiaTheme="minorEastAsia"/>
      <w:caps/>
      <w:color w:val="FFFFFF" w:themeColor="background1"/>
      <w:spacing w:val="10"/>
      <w:sz w:val="21"/>
      <w:szCs w:val="21"/>
    </w:rPr>
  </w:style>
  <w:style w:type="character" w:styleId="SubtleEmphasis">
    <w:name w:val="Subtle Emphasis"/>
    <w:uiPriority w:val="19"/>
    <w:rsid w:val="00A468B5"/>
    <w:rPr>
      <w:i/>
      <w:iCs/>
      <w:color w:val="001523" w:themeColor="accent1" w:themeShade="7F"/>
    </w:rPr>
  </w:style>
  <w:style w:type="character" w:styleId="PlaceholderText">
    <w:name w:val="Placeholder Text"/>
    <w:basedOn w:val="DefaultParagraphFont"/>
    <w:uiPriority w:val="99"/>
    <w:semiHidden/>
    <w:rsid w:val="00A468B5"/>
    <w:rPr>
      <w:color w:val="808080"/>
    </w:rPr>
  </w:style>
  <w:style w:type="paragraph" w:customStyle="1" w:styleId="AppendixHeading">
    <w:name w:val="Appendix Heading"/>
    <w:basedOn w:val="Normal"/>
    <w:next w:val="Normal"/>
    <w:rsid w:val="00A468B5"/>
    <w:pPr>
      <w:keepNext/>
      <w:spacing w:before="720" w:after="360"/>
    </w:pPr>
    <w:rPr>
      <w:rFonts w:ascii="Arial Bold" w:hAnsi="Arial Bold"/>
      <w:b/>
      <w:smallCaps/>
      <w:color w:val="004A7F"/>
      <w:sz w:val="36"/>
      <w:szCs w:val="36"/>
    </w:rPr>
  </w:style>
  <w:style w:type="paragraph" w:customStyle="1" w:styleId="HeadingBase">
    <w:name w:val="Heading Base"/>
    <w:rsid w:val="00A468B5"/>
    <w:pPr>
      <w:keepNext/>
      <w:spacing w:before="100"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A468B5"/>
    <w:rPr>
      <w:rFonts w:eastAsiaTheme="minorEastAsia"/>
      <w:color w:val="FFFFFF" w:themeColor="background1"/>
      <w:sz w:val="44"/>
      <w:szCs w:val="20"/>
    </w:rPr>
  </w:style>
  <w:style w:type="paragraph" w:customStyle="1" w:styleId="Disclaimer">
    <w:name w:val="Disclaimer"/>
    <w:basedOn w:val="ReportDate"/>
    <w:rsid w:val="00A468B5"/>
    <w:pPr>
      <w:spacing w:after="1800"/>
      <w:ind w:right="142"/>
    </w:pPr>
    <w:rPr>
      <w:rFonts w:ascii="Century Gothic" w:hAnsi="Century Gothic"/>
      <w:b/>
      <w:bCs/>
      <w:color w:val="38AFCF" w:themeColor="text2"/>
      <w:sz w:val="22"/>
    </w:rPr>
  </w:style>
  <w:style w:type="paragraph" w:customStyle="1" w:styleId="NotesHeading">
    <w:name w:val="Notes Heading"/>
    <w:basedOn w:val="Normal"/>
    <w:rsid w:val="00A468B5"/>
    <w:pPr>
      <w:keepNext/>
      <w:spacing w:before="240" w:after="360"/>
      <w:jc w:val="center"/>
    </w:pPr>
    <w:rPr>
      <w:rFonts w:ascii="Century Gothic" w:hAnsi="Century Gothic"/>
      <w:smallCaps/>
      <w:color w:val="38AFCF" w:themeColor="text2"/>
      <w:sz w:val="36"/>
      <w:szCs w:val="36"/>
    </w:rPr>
  </w:style>
  <w:style w:type="paragraph" w:customStyle="1" w:styleId="Divider">
    <w:name w:val="Divider"/>
    <w:basedOn w:val="ReportDate"/>
    <w:rsid w:val="00A468B5"/>
    <w:pPr>
      <w:spacing w:after="1800"/>
    </w:pPr>
    <w:rPr>
      <w:rFonts w:ascii="Rockwell" w:hAnsi="Rockwell"/>
      <w:sz w:val="24"/>
    </w:rPr>
  </w:style>
  <w:style w:type="character" w:customStyle="1" w:styleId="FramedFooter">
    <w:name w:val="Framed Footer"/>
    <w:rsid w:val="00A468B5"/>
    <w:rPr>
      <w:rFonts w:ascii="Arial" w:hAnsi="Arial"/>
      <w:color w:val="002C47"/>
      <w:sz w:val="18"/>
    </w:rPr>
  </w:style>
  <w:style w:type="character" w:customStyle="1" w:styleId="FramedHeader">
    <w:name w:val="Framed Header"/>
    <w:basedOn w:val="DefaultParagraphFont"/>
    <w:rsid w:val="00A468B5"/>
    <w:rPr>
      <w:rFonts w:ascii="Arial" w:hAnsi="Arial"/>
      <w:dstrike w:val="0"/>
      <w:color w:val="auto"/>
      <w:sz w:val="18"/>
      <w:vertAlign w:val="baseline"/>
    </w:rPr>
  </w:style>
  <w:style w:type="paragraph" w:customStyle="1" w:styleId="TableTextIndented">
    <w:name w:val="Table Text Indented"/>
    <w:basedOn w:val="TableTextLeft"/>
    <w:rsid w:val="00A468B5"/>
    <w:pPr>
      <w:ind w:left="284"/>
    </w:pPr>
  </w:style>
  <w:style w:type="paragraph" w:customStyle="1" w:styleId="TableHeadingContinued">
    <w:name w:val="Table Heading Continued"/>
    <w:basedOn w:val="TableMainHeading"/>
    <w:next w:val="TableGraphic"/>
    <w:qFormat/>
    <w:rsid w:val="00A468B5"/>
    <w:pPr>
      <w:numPr>
        <w:numId w:val="20"/>
      </w:numPr>
    </w:pPr>
  </w:style>
  <w:style w:type="paragraph" w:customStyle="1" w:styleId="TableGraphic">
    <w:name w:val="Table Graphic"/>
    <w:basedOn w:val="HeadingBase"/>
    <w:next w:val="Normal"/>
    <w:rsid w:val="00A468B5"/>
    <w:pPr>
      <w:spacing w:after="0"/>
    </w:pPr>
    <w:rPr>
      <w:color w:val="auto"/>
      <w:sz w:val="22"/>
    </w:rPr>
  </w:style>
  <w:style w:type="paragraph" w:customStyle="1" w:styleId="HeaderEven">
    <w:name w:val="Header Even"/>
    <w:basedOn w:val="HeaderOdd"/>
    <w:rsid w:val="00975BC4"/>
    <w:pPr>
      <w:jc w:val="left"/>
    </w:pPr>
  </w:style>
  <w:style w:type="paragraph" w:customStyle="1" w:styleId="HeaderOdd">
    <w:name w:val="Header Odd"/>
    <w:basedOn w:val="Header"/>
    <w:rsid w:val="00975BC4"/>
    <w:rPr>
      <w:b/>
      <w:color w:val="002C47" w:themeColor="accent1"/>
      <w:sz w:val="18"/>
    </w:rPr>
  </w:style>
  <w:style w:type="paragraph" w:styleId="NoSpacing">
    <w:name w:val="No Spacing"/>
    <w:link w:val="NoSpacingChar"/>
    <w:uiPriority w:val="1"/>
    <w:rsid w:val="00A468B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A468B5"/>
    <w:rPr>
      <w:rFonts w:eastAsiaTheme="minorEastAsia"/>
      <w:sz w:val="20"/>
      <w:szCs w:val="20"/>
    </w:rPr>
  </w:style>
  <w:style w:type="paragraph" w:customStyle="1" w:styleId="PreparedBy">
    <w:name w:val="PreparedBy"/>
    <w:basedOn w:val="Subtitle"/>
    <w:qFormat/>
    <w:rsid w:val="00A468B5"/>
  </w:style>
  <w:style w:type="character" w:styleId="BookTitle">
    <w:name w:val="Book Title"/>
    <w:uiPriority w:val="33"/>
    <w:rsid w:val="00A468B5"/>
    <w:rPr>
      <w:b/>
      <w:bCs/>
      <w:i/>
      <w:iCs/>
      <w:spacing w:val="0"/>
    </w:rPr>
  </w:style>
  <w:style w:type="character" w:customStyle="1" w:styleId="NormalbulletChar">
    <w:name w:val="Normal bullet Char"/>
    <w:basedOn w:val="DefaultParagraphFont"/>
    <w:link w:val="Normalbullet"/>
    <w:locked/>
    <w:rsid w:val="00A468B5"/>
    <w:rPr>
      <w:rFonts w:eastAsiaTheme="minorEastAsia"/>
      <w:sz w:val="20"/>
      <w:szCs w:val="20"/>
    </w:rPr>
  </w:style>
  <w:style w:type="paragraph" w:styleId="Caption">
    <w:name w:val="caption"/>
    <w:basedOn w:val="Normal"/>
    <w:next w:val="Normal"/>
    <w:uiPriority w:val="35"/>
    <w:semiHidden/>
    <w:unhideWhenUsed/>
    <w:qFormat/>
    <w:rsid w:val="00A468B5"/>
    <w:rPr>
      <w:b/>
      <w:bCs/>
      <w:color w:val="002035" w:themeColor="accent1" w:themeShade="BF"/>
      <w:sz w:val="16"/>
      <w:szCs w:val="16"/>
    </w:rPr>
  </w:style>
  <w:style w:type="character" w:customStyle="1" w:styleId="NormaldashChar">
    <w:name w:val="Normal dash Char"/>
    <w:basedOn w:val="DefaultParagraphFont"/>
    <w:link w:val="Normaldash"/>
    <w:locked/>
    <w:rsid w:val="00A468B5"/>
    <w:rPr>
      <w:rFonts w:eastAsiaTheme="minorEastAsia"/>
      <w:sz w:val="20"/>
      <w:szCs w:val="20"/>
    </w:rPr>
  </w:style>
  <w:style w:type="character" w:styleId="Emphasis">
    <w:name w:val="Emphasis"/>
    <w:uiPriority w:val="20"/>
    <w:rsid w:val="00A468B5"/>
    <w:rPr>
      <w:caps/>
      <w:color w:val="001523" w:themeColor="accent1" w:themeShade="7F"/>
      <w:spacing w:val="5"/>
    </w:rPr>
  </w:style>
  <w:style w:type="character" w:styleId="IntenseEmphasis">
    <w:name w:val="Intense Emphasis"/>
    <w:uiPriority w:val="21"/>
    <w:rsid w:val="00A468B5"/>
    <w:rPr>
      <w:b/>
      <w:bCs/>
      <w:caps/>
      <w:color w:val="001523" w:themeColor="accent1" w:themeShade="7F"/>
      <w:spacing w:val="10"/>
    </w:rPr>
  </w:style>
  <w:style w:type="paragraph" w:styleId="IntenseQuote">
    <w:name w:val="Intense Quote"/>
    <w:basedOn w:val="Normal"/>
    <w:next w:val="Normal"/>
    <w:link w:val="IntenseQuoteChar"/>
    <w:uiPriority w:val="30"/>
    <w:rsid w:val="00A468B5"/>
    <w:pPr>
      <w:spacing w:before="240" w:after="240"/>
      <w:ind w:left="1080" w:right="1080"/>
      <w:jc w:val="center"/>
    </w:pPr>
    <w:rPr>
      <w:color w:val="002C47" w:themeColor="accent1"/>
      <w:sz w:val="24"/>
      <w:szCs w:val="24"/>
    </w:rPr>
  </w:style>
  <w:style w:type="character" w:customStyle="1" w:styleId="IntenseQuoteChar">
    <w:name w:val="Intense Quote Char"/>
    <w:basedOn w:val="DefaultParagraphFont"/>
    <w:link w:val="IntenseQuote"/>
    <w:uiPriority w:val="30"/>
    <w:rsid w:val="00A468B5"/>
    <w:rPr>
      <w:rFonts w:eastAsiaTheme="minorEastAsia"/>
      <w:color w:val="002C47" w:themeColor="accent1"/>
      <w:sz w:val="24"/>
      <w:szCs w:val="24"/>
    </w:rPr>
  </w:style>
  <w:style w:type="character" w:styleId="IntenseReference">
    <w:name w:val="Intense Reference"/>
    <w:uiPriority w:val="32"/>
    <w:rsid w:val="00A468B5"/>
    <w:rPr>
      <w:b/>
      <w:bCs/>
      <w:i/>
      <w:iCs/>
      <w:caps/>
      <w:color w:val="002C47" w:themeColor="accent1"/>
    </w:rPr>
  </w:style>
  <w:style w:type="paragraph" w:styleId="NormalWeb">
    <w:name w:val="Normal (Web)"/>
    <w:basedOn w:val="Normal"/>
    <w:uiPriority w:val="99"/>
    <w:unhideWhenUsed/>
    <w:rsid w:val="00A468B5"/>
    <w:pPr>
      <w:spacing w:beforeAutospacing="1" w:after="100" w:afterAutospacing="1"/>
    </w:pPr>
    <w:rPr>
      <w:rFonts w:ascii="Times New Roman" w:hAnsi="Times New Roman"/>
      <w:sz w:val="24"/>
      <w:szCs w:val="24"/>
    </w:rPr>
  </w:style>
  <w:style w:type="paragraph" w:styleId="Quote">
    <w:name w:val="Quote"/>
    <w:basedOn w:val="Normal"/>
    <w:next w:val="Normal"/>
    <w:link w:val="QuoteChar"/>
    <w:uiPriority w:val="29"/>
    <w:rsid w:val="00A468B5"/>
    <w:rPr>
      <w:i/>
      <w:iCs/>
      <w:sz w:val="24"/>
      <w:szCs w:val="24"/>
    </w:rPr>
  </w:style>
  <w:style w:type="character" w:customStyle="1" w:styleId="QuoteChar">
    <w:name w:val="Quote Char"/>
    <w:basedOn w:val="DefaultParagraphFont"/>
    <w:link w:val="Quote"/>
    <w:uiPriority w:val="29"/>
    <w:rsid w:val="00A468B5"/>
    <w:rPr>
      <w:rFonts w:eastAsiaTheme="minorEastAsia"/>
      <w:i/>
      <w:iCs/>
      <w:sz w:val="24"/>
      <w:szCs w:val="24"/>
    </w:rPr>
  </w:style>
  <w:style w:type="character" w:styleId="Strong">
    <w:name w:val="Strong"/>
    <w:uiPriority w:val="22"/>
    <w:rsid w:val="00A468B5"/>
    <w:rPr>
      <w:b/>
      <w:bCs/>
    </w:rPr>
  </w:style>
  <w:style w:type="character" w:styleId="SubtleReference">
    <w:name w:val="Subtle Reference"/>
    <w:uiPriority w:val="31"/>
    <w:rsid w:val="00A468B5"/>
    <w:rPr>
      <w:b/>
      <w:bCs/>
      <w:color w:val="002C47" w:themeColor="accent1"/>
    </w:rPr>
  </w:style>
  <w:style w:type="paragraph" w:styleId="TOCHeading">
    <w:name w:val="TOC Heading"/>
    <w:basedOn w:val="Heading1"/>
    <w:next w:val="Normal"/>
    <w:uiPriority w:val="39"/>
    <w:semiHidden/>
    <w:unhideWhenUsed/>
    <w:qFormat/>
    <w:rsid w:val="00A468B5"/>
    <w:pPr>
      <w:outlineLvl w:val="9"/>
    </w:pPr>
  </w:style>
  <w:style w:type="character" w:customStyle="1" w:styleId="value">
    <w:name w:val="value"/>
    <w:basedOn w:val="DefaultParagraphFont"/>
    <w:rsid w:val="00A468B5"/>
  </w:style>
  <w:style w:type="paragraph" w:styleId="BodyText">
    <w:name w:val="Body Text"/>
    <w:basedOn w:val="Normal"/>
    <w:link w:val="BodyTextChar"/>
    <w:uiPriority w:val="99"/>
    <w:semiHidden/>
    <w:unhideWhenUsed/>
    <w:rsid w:val="00A468B5"/>
  </w:style>
  <w:style w:type="character" w:customStyle="1" w:styleId="BodyTextChar">
    <w:name w:val="Body Text Char"/>
    <w:basedOn w:val="DefaultParagraphFont"/>
    <w:link w:val="BodyText"/>
    <w:uiPriority w:val="99"/>
    <w:semiHidden/>
    <w:rsid w:val="00A468B5"/>
    <w:rPr>
      <w:rFonts w:eastAsiaTheme="minorEastAsia"/>
      <w:sz w:val="20"/>
      <w:szCs w:val="20"/>
    </w:rPr>
  </w:style>
  <w:style w:type="character" w:customStyle="1" w:styleId="BoxBulletChar">
    <w:name w:val="Box Bullet Char"/>
    <w:basedOn w:val="DefaultParagraphFont"/>
    <w:link w:val="BoxBullet"/>
    <w:rsid w:val="00A468B5"/>
    <w:rPr>
      <w:rFonts w:eastAsiaTheme="minorEastAsia" w:cs="Times New Roman"/>
      <w:sz w:val="20"/>
      <w:szCs w:val="20"/>
      <w:bdr w:val="none" w:sz="0" w:space="0" w:color="auto" w:frame="1"/>
      <w:lang w:eastAsia="en-AU"/>
    </w:rPr>
  </w:style>
  <w:style w:type="character" w:customStyle="1" w:styleId="BoxDashChar">
    <w:name w:val="Box Dash Char"/>
    <w:basedOn w:val="DefaultParagraphFont"/>
    <w:link w:val="BoxDash"/>
    <w:rsid w:val="00A468B5"/>
    <w:rPr>
      <w:rFonts w:eastAsiaTheme="minorEastAsia" w:cs="Times New Roman"/>
      <w:sz w:val="20"/>
      <w:szCs w:val="20"/>
      <w:bdr w:val="none" w:sz="0" w:space="0" w:color="auto" w:frame="1"/>
      <w:lang w:eastAsia="en-AU"/>
    </w:rPr>
  </w:style>
  <w:style w:type="paragraph" w:customStyle="1" w:styleId="Source">
    <w:name w:val="Source"/>
    <w:basedOn w:val="Normaldash"/>
    <w:link w:val="SourceChar"/>
    <w:qFormat/>
    <w:rsid w:val="00815D89"/>
    <w:pPr>
      <w:numPr>
        <w:ilvl w:val="0"/>
        <w:numId w:val="0"/>
      </w:numPr>
      <w:pBdr>
        <w:bottom w:val="dashed" w:sz="4" w:space="1" w:color="002C47" w:themeColor="accent1"/>
      </w:pBdr>
      <w:tabs>
        <w:tab w:val="left" w:pos="596"/>
      </w:tabs>
      <w:ind w:left="596" w:hanging="567"/>
    </w:pPr>
    <w:rPr>
      <w:bdr w:val="none" w:sz="0" w:space="0" w:color="auto" w:frame="1"/>
    </w:rPr>
  </w:style>
  <w:style w:type="character" w:customStyle="1" w:styleId="SourceChar">
    <w:name w:val="Source Char"/>
    <w:basedOn w:val="NormaldashChar"/>
    <w:link w:val="Source"/>
    <w:rsid w:val="00815D89"/>
    <w:rPr>
      <w:rFonts w:ascii="Calibri" w:eastAsiaTheme="minorEastAsia" w:hAnsi="Calibri"/>
      <w:sz w:val="20"/>
      <w:szCs w:val="20"/>
      <w:bdr w:val="none" w:sz="0" w:space="0" w:color="auto" w:frame="1"/>
    </w:rPr>
  </w:style>
  <w:style w:type="paragraph" w:customStyle="1" w:styleId="Tabledash">
    <w:name w:val="Table dash"/>
    <w:basedOn w:val="BoxDash"/>
    <w:link w:val="TabledashChar"/>
    <w:qFormat/>
    <w:rsid w:val="00A468B5"/>
    <w:pPr>
      <w:tabs>
        <w:tab w:val="clear" w:pos="567"/>
        <w:tab w:val="num" w:pos="283"/>
      </w:tabs>
      <w:ind w:left="568" w:hanging="283"/>
    </w:pPr>
  </w:style>
  <w:style w:type="character" w:customStyle="1" w:styleId="TabledashChar">
    <w:name w:val="Table dash Char"/>
    <w:basedOn w:val="BoxDashChar"/>
    <w:link w:val="Tabledash"/>
    <w:rsid w:val="00A468B5"/>
    <w:rPr>
      <w:rFonts w:eastAsiaTheme="minorEastAsia" w:cs="Times New Roman"/>
      <w:sz w:val="20"/>
      <w:szCs w:val="20"/>
      <w:bdr w:val="none" w:sz="0" w:space="0" w:color="auto" w:frame="1"/>
      <w:lang w:eastAsia="en-AU"/>
    </w:rPr>
  </w:style>
  <w:style w:type="paragraph" w:customStyle="1" w:styleId="Tabledot">
    <w:name w:val="Table dot"/>
    <w:basedOn w:val="BoxBullet"/>
    <w:link w:val="TabledotChar"/>
    <w:qFormat/>
    <w:rsid w:val="00A468B5"/>
    <w:pPr>
      <w:numPr>
        <w:numId w:val="0"/>
      </w:numPr>
    </w:pPr>
  </w:style>
  <w:style w:type="character" w:customStyle="1" w:styleId="TabledotChar">
    <w:name w:val="Table dot Char"/>
    <w:basedOn w:val="BoxBulletChar"/>
    <w:link w:val="Tabledot"/>
    <w:rsid w:val="00A468B5"/>
    <w:rPr>
      <w:rFonts w:eastAsiaTheme="minorEastAsia" w:cs="Times New Roman"/>
      <w:sz w:val="20"/>
      <w:szCs w:val="20"/>
      <w:bdr w:val="none" w:sz="0" w:space="0" w:color="auto" w:frame="1"/>
      <w:lang w:eastAsia="en-AU"/>
    </w:rPr>
  </w:style>
  <w:style w:type="character" w:styleId="UnresolvedMention">
    <w:name w:val="Unresolved Mention"/>
    <w:basedOn w:val="DefaultParagraphFont"/>
    <w:uiPriority w:val="99"/>
    <w:semiHidden/>
    <w:unhideWhenUsed/>
    <w:rsid w:val="00D9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3236">
      <w:bodyDiv w:val="1"/>
      <w:marLeft w:val="0"/>
      <w:marRight w:val="0"/>
      <w:marTop w:val="0"/>
      <w:marBottom w:val="0"/>
      <w:divBdr>
        <w:top w:val="none" w:sz="0" w:space="0" w:color="auto"/>
        <w:left w:val="none" w:sz="0" w:space="0" w:color="auto"/>
        <w:bottom w:val="none" w:sz="0" w:space="0" w:color="auto"/>
        <w:right w:val="none" w:sz="0" w:space="0" w:color="auto"/>
      </w:divBdr>
    </w:div>
    <w:div w:id="229080329">
      <w:bodyDiv w:val="1"/>
      <w:marLeft w:val="0"/>
      <w:marRight w:val="0"/>
      <w:marTop w:val="0"/>
      <w:marBottom w:val="0"/>
      <w:divBdr>
        <w:top w:val="none" w:sz="0" w:space="0" w:color="auto"/>
        <w:left w:val="none" w:sz="0" w:space="0" w:color="auto"/>
        <w:bottom w:val="none" w:sz="0" w:space="0" w:color="auto"/>
        <w:right w:val="none" w:sz="0" w:space="0" w:color="auto"/>
      </w:divBdr>
    </w:div>
    <w:div w:id="272515186">
      <w:bodyDiv w:val="1"/>
      <w:marLeft w:val="0"/>
      <w:marRight w:val="0"/>
      <w:marTop w:val="0"/>
      <w:marBottom w:val="0"/>
      <w:divBdr>
        <w:top w:val="none" w:sz="0" w:space="0" w:color="auto"/>
        <w:left w:val="none" w:sz="0" w:space="0" w:color="auto"/>
        <w:bottom w:val="none" w:sz="0" w:space="0" w:color="auto"/>
        <w:right w:val="none" w:sz="0" w:space="0" w:color="auto"/>
      </w:divBdr>
    </w:div>
    <w:div w:id="562177477">
      <w:bodyDiv w:val="1"/>
      <w:marLeft w:val="0"/>
      <w:marRight w:val="0"/>
      <w:marTop w:val="0"/>
      <w:marBottom w:val="0"/>
      <w:divBdr>
        <w:top w:val="none" w:sz="0" w:space="0" w:color="auto"/>
        <w:left w:val="none" w:sz="0" w:space="0" w:color="auto"/>
        <w:bottom w:val="none" w:sz="0" w:space="0" w:color="auto"/>
        <w:right w:val="none" w:sz="0" w:space="0" w:color="auto"/>
      </w:divBdr>
    </w:div>
    <w:div w:id="585769590">
      <w:bodyDiv w:val="1"/>
      <w:marLeft w:val="0"/>
      <w:marRight w:val="0"/>
      <w:marTop w:val="0"/>
      <w:marBottom w:val="0"/>
      <w:divBdr>
        <w:top w:val="none" w:sz="0" w:space="0" w:color="auto"/>
        <w:left w:val="none" w:sz="0" w:space="0" w:color="auto"/>
        <w:bottom w:val="none" w:sz="0" w:space="0" w:color="auto"/>
        <w:right w:val="none" w:sz="0" w:space="0" w:color="auto"/>
      </w:divBdr>
    </w:div>
    <w:div w:id="668824284">
      <w:bodyDiv w:val="1"/>
      <w:marLeft w:val="0"/>
      <w:marRight w:val="0"/>
      <w:marTop w:val="0"/>
      <w:marBottom w:val="0"/>
      <w:divBdr>
        <w:top w:val="none" w:sz="0" w:space="0" w:color="auto"/>
        <w:left w:val="none" w:sz="0" w:space="0" w:color="auto"/>
        <w:bottom w:val="none" w:sz="0" w:space="0" w:color="auto"/>
        <w:right w:val="none" w:sz="0" w:space="0" w:color="auto"/>
      </w:divBdr>
    </w:div>
    <w:div w:id="768426986">
      <w:bodyDiv w:val="1"/>
      <w:marLeft w:val="0"/>
      <w:marRight w:val="0"/>
      <w:marTop w:val="0"/>
      <w:marBottom w:val="0"/>
      <w:divBdr>
        <w:top w:val="none" w:sz="0" w:space="0" w:color="auto"/>
        <w:left w:val="none" w:sz="0" w:space="0" w:color="auto"/>
        <w:bottom w:val="none" w:sz="0" w:space="0" w:color="auto"/>
        <w:right w:val="none" w:sz="0" w:space="0" w:color="auto"/>
      </w:divBdr>
    </w:div>
    <w:div w:id="777406539">
      <w:bodyDiv w:val="1"/>
      <w:marLeft w:val="0"/>
      <w:marRight w:val="0"/>
      <w:marTop w:val="0"/>
      <w:marBottom w:val="0"/>
      <w:divBdr>
        <w:top w:val="none" w:sz="0" w:space="0" w:color="auto"/>
        <w:left w:val="none" w:sz="0" w:space="0" w:color="auto"/>
        <w:bottom w:val="none" w:sz="0" w:space="0" w:color="auto"/>
        <w:right w:val="none" w:sz="0" w:space="0" w:color="auto"/>
      </w:divBdr>
    </w:div>
    <w:div w:id="919605794">
      <w:bodyDiv w:val="1"/>
      <w:marLeft w:val="0"/>
      <w:marRight w:val="0"/>
      <w:marTop w:val="0"/>
      <w:marBottom w:val="0"/>
      <w:divBdr>
        <w:top w:val="none" w:sz="0" w:space="0" w:color="auto"/>
        <w:left w:val="none" w:sz="0" w:space="0" w:color="auto"/>
        <w:bottom w:val="none" w:sz="0" w:space="0" w:color="auto"/>
        <w:right w:val="none" w:sz="0" w:space="0" w:color="auto"/>
      </w:divBdr>
    </w:div>
    <w:div w:id="1118987896">
      <w:bodyDiv w:val="1"/>
      <w:marLeft w:val="0"/>
      <w:marRight w:val="0"/>
      <w:marTop w:val="0"/>
      <w:marBottom w:val="0"/>
      <w:divBdr>
        <w:top w:val="none" w:sz="0" w:space="0" w:color="auto"/>
        <w:left w:val="none" w:sz="0" w:space="0" w:color="auto"/>
        <w:bottom w:val="none" w:sz="0" w:space="0" w:color="auto"/>
        <w:right w:val="none" w:sz="0" w:space="0" w:color="auto"/>
      </w:divBdr>
    </w:div>
    <w:div w:id="1235161167">
      <w:bodyDiv w:val="1"/>
      <w:marLeft w:val="0"/>
      <w:marRight w:val="0"/>
      <w:marTop w:val="0"/>
      <w:marBottom w:val="0"/>
      <w:divBdr>
        <w:top w:val="none" w:sz="0" w:space="0" w:color="auto"/>
        <w:left w:val="none" w:sz="0" w:space="0" w:color="auto"/>
        <w:bottom w:val="none" w:sz="0" w:space="0" w:color="auto"/>
        <w:right w:val="none" w:sz="0" w:space="0" w:color="auto"/>
      </w:divBdr>
    </w:div>
    <w:div w:id="1342321349">
      <w:bodyDiv w:val="1"/>
      <w:marLeft w:val="0"/>
      <w:marRight w:val="0"/>
      <w:marTop w:val="0"/>
      <w:marBottom w:val="0"/>
      <w:divBdr>
        <w:top w:val="none" w:sz="0" w:space="0" w:color="auto"/>
        <w:left w:val="none" w:sz="0" w:space="0" w:color="auto"/>
        <w:bottom w:val="none" w:sz="0" w:space="0" w:color="auto"/>
        <w:right w:val="none" w:sz="0" w:space="0" w:color="auto"/>
      </w:divBdr>
    </w:div>
    <w:div w:id="1362169744">
      <w:bodyDiv w:val="1"/>
      <w:marLeft w:val="0"/>
      <w:marRight w:val="0"/>
      <w:marTop w:val="0"/>
      <w:marBottom w:val="0"/>
      <w:divBdr>
        <w:top w:val="none" w:sz="0" w:space="0" w:color="auto"/>
        <w:left w:val="none" w:sz="0" w:space="0" w:color="auto"/>
        <w:bottom w:val="none" w:sz="0" w:space="0" w:color="auto"/>
        <w:right w:val="none" w:sz="0" w:space="0" w:color="auto"/>
      </w:divBdr>
    </w:div>
    <w:div w:id="1425764062">
      <w:bodyDiv w:val="1"/>
      <w:marLeft w:val="0"/>
      <w:marRight w:val="0"/>
      <w:marTop w:val="0"/>
      <w:marBottom w:val="0"/>
      <w:divBdr>
        <w:top w:val="none" w:sz="0" w:space="0" w:color="auto"/>
        <w:left w:val="none" w:sz="0" w:space="0" w:color="auto"/>
        <w:bottom w:val="none" w:sz="0" w:space="0" w:color="auto"/>
        <w:right w:val="none" w:sz="0" w:space="0" w:color="auto"/>
      </w:divBdr>
    </w:div>
    <w:div w:id="1563910358">
      <w:bodyDiv w:val="1"/>
      <w:marLeft w:val="0"/>
      <w:marRight w:val="0"/>
      <w:marTop w:val="0"/>
      <w:marBottom w:val="0"/>
      <w:divBdr>
        <w:top w:val="none" w:sz="0" w:space="0" w:color="auto"/>
        <w:left w:val="none" w:sz="0" w:space="0" w:color="auto"/>
        <w:bottom w:val="none" w:sz="0" w:space="0" w:color="auto"/>
        <w:right w:val="none" w:sz="0" w:space="0" w:color="auto"/>
      </w:divBdr>
    </w:div>
    <w:div w:id="1598102195">
      <w:bodyDiv w:val="1"/>
      <w:marLeft w:val="0"/>
      <w:marRight w:val="0"/>
      <w:marTop w:val="0"/>
      <w:marBottom w:val="0"/>
      <w:divBdr>
        <w:top w:val="none" w:sz="0" w:space="0" w:color="auto"/>
        <w:left w:val="none" w:sz="0" w:space="0" w:color="auto"/>
        <w:bottom w:val="none" w:sz="0" w:space="0" w:color="auto"/>
        <w:right w:val="none" w:sz="0" w:space="0" w:color="auto"/>
      </w:divBdr>
    </w:div>
    <w:div w:id="1927611883">
      <w:bodyDiv w:val="1"/>
      <w:marLeft w:val="0"/>
      <w:marRight w:val="0"/>
      <w:marTop w:val="0"/>
      <w:marBottom w:val="0"/>
      <w:divBdr>
        <w:top w:val="none" w:sz="0" w:space="0" w:color="auto"/>
        <w:left w:val="none" w:sz="0" w:space="0" w:color="auto"/>
        <w:bottom w:val="none" w:sz="0" w:space="0" w:color="auto"/>
        <w:right w:val="none" w:sz="0" w:space="0" w:color="auto"/>
      </w:divBdr>
    </w:div>
    <w:div w:id="2013146446">
      <w:bodyDiv w:val="1"/>
      <w:marLeft w:val="0"/>
      <w:marRight w:val="0"/>
      <w:marTop w:val="0"/>
      <w:marBottom w:val="0"/>
      <w:divBdr>
        <w:top w:val="none" w:sz="0" w:space="0" w:color="auto"/>
        <w:left w:val="none" w:sz="0" w:space="0" w:color="auto"/>
        <w:bottom w:val="none" w:sz="0" w:space="0" w:color="auto"/>
        <w:right w:val="none" w:sz="0" w:space="0" w:color="auto"/>
      </w:divBdr>
    </w:div>
    <w:div w:id="21018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population.gov.au/data-and-forecasts/data-and-forecasts-data-release-provisional-mortality-statistics-january-december-2020.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bs.gov.au/statistics/people/population/national-state-and-territory-population/latest-relea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population.gov.au/data-and-forecasts/data-and-forecasts-data-release-prime-release-december-2020.html"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Resource\Workgroup%20Template%202020\Centre%20for%20Population\Centre%20for%20Population%20Internal.dotx" TargetMode="Externa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7b7a547-5880-464f-83f8-cefe583c3af4" ContentTypeId="0x01010079842B7BE5DD8E409B7EECD6B050253D"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403</Value>
      <Value>1480</Value>
      <Value>298</Value>
      <Value>1468</Value>
      <Value>309</Value>
      <Value>1361</Value>
    </TaxCatchAll>
    <_dlc_DocId xmlns="0f563589-9cf9-4143-b1eb-fb0534803d38">2021JWJ6HQSX-1422168352-2261</_dlc_DocId>
    <_dlc_DocIdUrl xmlns="0f563589-9cf9-4143-b1eb-fb0534803d38">
      <Url>http://tweb/sites/pop/cfp/_layouts/15/DocIdRedir.aspx?ID=2021JWJ6HQSX-1422168352-2261</Url>
      <Description>2021JWJ6HQSX-1422168352-2261</Description>
    </_dlc_DocIdUrl>
    <cpopDue_x0020_Date xmlns="d496f99b-b1db-4f49-ba6b-7f936f7bb1fd" xsi:nil="true"/>
    <b01cfe90be52474b8e18e3381839b0e5 xmlns="0f563589-9cf9-4143-b1eb-fb0534803d38">
      <Terms xmlns="http://schemas.microsoft.com/office/infopath/2007/PartnerControls">
        <TermInfo xmlns="http://schemas.microsoft.com/office/infopath/2007/PartnerControls">
          <TermName xmlns="http://schemas.microsoft.com/office/infopath/2007/PartnerControls">Economic note</TermName>
          <TermId xmlns="http://schemas.microsoft.com/office/infopath/2007/PartnerControls">9da9dffc-b8ed-4512-88c8-d09b5325e551</TermId>
        </TermInfo>
      </Terms>
    </b01cfe90be52474b8e18e3381839b0e5>
    <o46f31d2a77f450686730c449e7761c5 xmlns="d496f99b-b1db-4f49-ba6b-7f936f7bb1fd">
      <Terms xmlns="http://schemas.microsoft.com/office/infopath/2007/PartnerControls"/>
    </o46f31d2a77f450686730c449e7761c5>
    <bd15a34e52e3468a87b49920a3b7dd6b xmlns="0f563589-9cf9-4143-b1eb-fb0534803d38">
      <Terms xmlns="http://schemas.microsoft.com/office/infopath/2007/PartnerControls">
        <TermInfo xmlns="http://schemas.microsoft.com/office/infopath/2007/PartnerControls">
          <TermName xmlns="http://schemas.microsoft.com/office/infopath/2007/PartnerControls">Natural increase - mortality</TermName>
          <TermId xmlns="http://schemas.microsoft.com/office/infopath/2007/PartnerControls">5318a4f3-c83c-4903-9171-a49e65bd6c24</TermId>
        </TermInfo>
      </Terms>
    </bd15a34e52e3468a87b49920a3b7dd6b>
    <f3486d5f7e7540d7aac4d0eb58bc535f xmlns="d496f99b-b1db-4f49-ba6b-7f936f7bb1fd">
      <Terms xmlns="http://schemas.microsoft.com/office/infopath/2007/PartnerControls"/>
    </f3486d5f7e7540d7aac4d0eb58bc53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Enterprise Document" ma:contentTypeID="0x01010079842B7BE5DD8E409B7EECD6B050253D009384E8F4D1D5034693D13589CA0F0E07" ma:contentTypeVersion="15260" ma:contentTypeDescription="" ma:contentTypeScope="" ma:versionID="6f98f3c03657e35e077e8bdf70fb5021">
  <xsd:schema xmlns:xsd="http://www.w3.org/2001/XMLSchema" xmlns:xs="http://www.w3.org/2001/XMLSchema" xmlns:p="http://schemas.microsoft.com/office/2006/metadata/properties" xmlns:ns2="0f563589-9cf9-4143-b1eb-fb0534803d38" xmlns:ns3="d496f99b-b1db-4f49-ba6b-7f936f7bb1fd" targetNamespace="http://schemas.microsoft.com/office/2006/metadata/properties" ma:root="true" ma:fieldsID="53ef67aba17455ca350aeeced00c6604" ns2:_="" ns3:_="">
    <xsd:import namespace="0f563589-9cf9-4143-b1eb-fb0534803d38"/>
    <xsd:import namespace="d496f99b-b1db-4f49-ba6b-7f936f7bb1f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01cfe90be52474b8e18e3381839b0e5" minOccurs="0"/>
                <xsd:element ref="ns2:bd15a34e52e3468a87b49920a3b7dd6b" minOccurs="0"/>
                <xsd:element ref="ns3:f3486d5f7e7540d7aac4d0eb58bc535f" minOccurs="0"/>
                <xsd:element ref="ns3:o46f31d2a77f450686730c449e7761c5" minOccurs="0"/>
                <xsd:element ref="ns3:cpop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f8a8e69-a481-4a32-8574-a60cf19e510f}" ma:internalName="TaxCatchAll" ma:showField="CatchAllData"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f8a8e69-a481-4a32-8574-a60cf19e510f}" ma:internalName="TaxCatchAllLabel" ma:readOnly="true" ma:showField="CatchAllDataLabel" ma:web="d496f99b-b1db-4f49-ba6b-7f936f7bb1fd">
      <xsd:complexType>
        <xsd:complexContent>
          <xsd:extension base="dms:MultiChoiceLookup">
            <xsd:sequence>
              <xsd:element name="Value" type="dms:Lookup" maxOccurs="unbounded" minOccurs="0" nillable="true"/>
            </xsd:sequence>
          </xsd:extension>
        </xsd:complexContent>
      </xsd:complexType>
    </xsd:element>
    <xsd:element name="b01cfe90be52474b8e18e3381839b0e5" ma:index="13" ma:taxonomy="true" ma:internalName="b01cfe90be52474b8e18e3381839b0e5" ma:taxonomyFieldName="eTheme_x002F_Activity_x002F_Document_x0020_Type" ma:displayName="Theme/Activity/Document Type" ma:readOnly="false" ma:default="" ma:fieldId="{b01cfe90-be52-474b-8e18-e3381839b0e5}" ma:sspId="77b7a547-5880-464f-83f8-cefe583c3af4" ma:termSetId="3c0d1693-3b42-49b7-bddf-28e823765e04" ma:anchorId="6dccd8e5-96e6-4ded-89e4-8f53d9e55129" ma:open="false" ma:isKeyword="false">
      <xsd:complexType>
        <xsd:sequence>
          <xsd:element ref="pc:Terms" minOccurs="0" maxOccurs="1"/>
        </xsd:sequence>
      </xsd:complexType>
    </xsd:element>
    <xsd:element name="bd15a34e52e3468a87b49920a3b7dd6b" ma:index="15" ma:taxonomy="true" ma:internalName="bd15a34e52e3468a87b49920a3b7dd6b" ma:taxonomyFieldName="eTheme_x002F_Topic" ma:displayName="Theme/Topic" ma:readOnly="false" ma:default="" ma:fieldId="{bd15a34e-52e3-468a-87b4-9920a3b7dd6b}" ma:taxonomyMulti="true" ma:sspId="77b7a547-5880-464f-83f8-cefe583c3af4" ma:termSetId="fe275d3b-acbf-4477-98d4-b06bbe13079d" ma:anchorId="768f1f5f-dad2-496f-809e-500fb57d74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96f99b-b1db-4f49-ba6b-7f936f7bb1fd" elementFormDefault="qualified">
    <xsd:import namespace="http://schemas.microsoft.com/office/2006/documentManagement/types"/>
    <xsd:import namespace="http://schemas.microsoft.com/office/infopath/2007/PartnerControls"/>
    <xsd:element name="f3486d5f7e7540d7aac4d0eb58bc535f" ma:index="17" nillable="true" ma:taxonomy="true" ma:internalName="f3486d5f7e7540d7aac4d0eb58bc535f" ma:taxonomyFieldName="Project" ma:displayName="Project" ma:default="" ma:fieldId="{f3486d5f-7e75-40d7-aac4-d0eb58bc535f}" ma:taxonomyMulti="true" ma:sspId="77b7a547-5880-464f-83f8-cefe583c3af4" ma:termSetId="6b4b8051-62e7-47ed-a8bb-37ac7ed2047d" ma:anchorId="00000000-0000-0000-0000-000000000000" ma:open="true" ma:isKeyword="false">
      <xsd:complexType>
        <xsd:sequence>
          <xsd:element ref="pc:Terms" minOccurs="0" maxOccurs="1"/>
        </xsd:sequence>
      </xsd:complexType>
    </xsd:element>
    <xsd:element name="o46f31d2a77f450686730c449e7761c5" ma:index="19" nillable="true" ma:taxonomy="true" ma:internalName="o46f31d2a77f450686730c449e7761c5" ma:taxonomyFieldName="Client" ma:displayName="Client" ma:readOnly="false" ma:default="" ma:fieldId="{846f31d2-a77f-4506-8673-0c449e7761c5}" ma:taxonomyMulti="true" ma:sspId="77b7a547-5880-464f-83f8-cefe583c3af4" ma:termSetId="eac17a8e-5ff2-4694-bfcd-02f97bea9008" ma:anchorId="00000000-0000-0000-0000-000000000000" ma:open="false" ma:isKeyword="false">
      <xsd:complexType>
        <xsd:sequence>
          <xsd:element ref="pc:Terms" minOccurs="0" maxOccurs="1"/>
        </xsd:sequence>
      </xsd:complexType>
    </xsd:element>
    <xsd:element name="cpopDue_x0020_Date" ma:index="21" nillable="true" ma:displayName="cpopDue Date" ma:format="DateOnly" ma:internalName="cpop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93E8D-AB01-4862-A841-FD59545D2F27}">
  <ds:schemaRefs>
    <ds:schemaRef ds:uri="http://schemas.microsoft.com/sharepoint/events"/>
  </ds:schemaRefs>
</ds:datastoreItem>
</file>

<file path=customXml/itemProps2.xml><?xml version="1.0" encoding="utf-8"?>
<ds:datastoreItem xmlns:ds="http://schemas.openxmlformats.org/officeDocument/2006/customXml" ds:itemID="{42FD8CF0-0848-436B-8E42-2B49FBC2E9EF}">
  <ds:schemaRefs>
    <ds:schemaRef ds:uri="http://schemas.openxmlformats.org/officeDocument/2006/bibliography"/>
  </ds:schemaRefs>
</ds:datastoreItem>
</file>

<file path=customXml/itemProps3.xml><?xml version="1.0" encoding="utf-8"?>
<ds:datastoreItem xmlns:ds="http://schemas.openxmlformats.org/officeDocument/2006/customXml" ds:itemID="{89FF8C04-32F3-4BC3-BA15-708541BB13FE}">
  <ds:schemaRefs>
    <ds:schemaRef ds:uri="Microsoft.SharePoint.Taxonomy.ContentTypeSync"/>
  </ds:schemaRefs>
</ds:datastoreItem>
</file>

<file path=customXml/itemProps4.xml><?xml version="1.0" encoding="utf-8"?>
<ds:datastoreItem xmlns:ds="http://schemas.openxmlformats.org/officeDocument/2006/customXml" ds:itemID="{8EBF7C61-34C1-4EF2-9128-B9B8458ED656}">
  <ds:schemaRef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96f99b-b1db-4f49-ba6b-7f936f7bb1fd"/>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229F43C-3A89-4C23-8D39-92D8839E10CA}">
  <ds:schemaRefs>
    <ds:schemaRef ds:uri="http://schemas.microsoft.com/sharepoint/v3/contenttype/forms"/>
  </ds:schemaRefs>
</ds:datastoreItem>
</file>

<file path=customXml/itemProps6.xml><?xml version="1.0" encoding="utf-8"?>
<ds:datastoreItem xmlns:ds="http://schemas.openxmlformats.org/officeDocument/2006/customXml" ds:itemID="{D7C130B9-5708-4162-A2C0-53FD6553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d496f99b-b1db-4f49-ba6b-7f936f7bb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Centre for Population Internal.dotx</Template>
  <TotalTime>663</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Orzechowska-Fischer, Ewa</dc:creator>
  <cp:lastModifiedBy>Iqbal, Shaheen</cp:lastModifiedBy>
  <cp:revision>120</cp:revision>
  <cp:lastPrinted>2021-06-18T06:35:00Z</cp:lastPrinted>
  <dcterms:created xsi:type="dcterms:W3CDTF">2021-06-15T01:26:00Z</dcterms:created>
  <dcterms:modified xsi:type="dcterms:W3CDTF">2021-06-18T06:35:00Z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0x01010079842B7BE5DD8E409B7EECD6B050253D009384E8F4D1D5034693D13589CA0F0E07</vt:lpwstr>
  </property>
  <property fmtid="{D5CDD505-2E9C-101B-9397-08002B2CF9AE}" pid="4" name="Client">
    <vt:lpwstr/>
  </property>
  <property fmtid="{D5CDD505-2E9C-101B-9397-08002B2CF9AE}" pid="5" name="Project">
    <vt:lpwstr/>
  </property>
  <property fmtid="{D5CDD505-2E9C-101B-9397-08002B2CF9AE}" pid="6" name="TaxKeyword">
    <vt:lpwstr/>
  </property>
  <property fmtid="{D5CDD505-2E9C-101B-9397-08002B2CF9AE}" pid="7" name="cpopDocument Type">
    <vt:lpwstr>104;#Economic note|6e616825-84b5-4d2a-9459-a9ccfa0e8dca</vt:lpwstr>
  </property>
  <property fmtid="{D5CDD505-2E9C-101B-9397-08002B2CF9AE}" pid="8" name="cpopProcess/Activity">
    <vt:lpwstr>48;#Analysis|4d6350c2-cb79-4ad5-a73e-09ced580562a</vt:lpwstr>
  </property>
  <property fmtid="{D5CDD505-2E9C-101B-9397-08002B2CF9AE}" pid="9" name="CpopTopic">
    <vt:lpwstr>21;#Population - general|e78774f9-7fe8-4c9c-991f-a3ff79dac6ff</vt:lpwstr>
  </property>
  <property fmtid="{D5CDD505-2E9C-101B-9397-08002B2CF9AE}" pid="10" name="cpopTheme">
    <vt:lpwstr>2;#Population|48b7fe81-37e0-414b-a384-8c1c3228e96f</vt:lpwstr>
  </property>
  <property fmtid="{D5CDD505-2E9C-101B-9397-08002B2CF9AE}" pid="11" name="_dlc_DocIdItemGuid">
    <vt:lpwstr>3693b1f6-fc40-45a2-ab70-1e89298cfac0</vt:lpwstr>
  </property>
  <property fmtid="{D5CDD505-2E9C-101B-9397-08002B2CF9AE}" pid="12" name="ceb8c4f4647046198a38a633d14483c1">
    <vt:lpwstr>Population|dfc189bb-46ec-4771-b471-77807c301c0c</vt:lpwstr>
  </property>
  <property fmtid="{D5CDD505-2E9C-101B-9397-08002B2CF9AE}" pid="13" name="aec7340661804c61a5c6d3d18e9a3b44">
    <vt:lpwstr>Natural increase - mortality|b4bced38-4a57-4efc-9a39-507510b67dc8</vt:lpwstr>
  </property>
  <property fmtid="{D5CDD505-2E9C-101B-9397-08002B2CF9AE}" pid="14" name="n5b5f1cefb2e4f15823921d1c3115a95">
    <vt:lpwstr>Analysis|1c05f84f-a96d-4b64-970a-14a4c22445cc</vt:lpwstr>
  </property>
  <property fmtid="{D5CDD505-2E9C-101B-9397-08002B2CF9AE}" pid="15" name="eActivity">
    <vt:lpwstr>309;#Analysis|1c05f84f-a96d-4b64-970a-14a4c22445cc</vt:lpwstr>
  </property>
  <property fmtid="{D5CDD505-2E9C-101B-9397-08002B2CF9AE}" pid="16" name="eDocument Type">
    <vt:lpwstr>403;#Economic note|e1f04c8c-4290-4b29-8ab8-31a9d0ce335c</vt:lpwstr>
  </property>
  <property fmtid="{D5CDD505-2E9C-101B-9397-08002B2CF9AE}" pid="17" name="eDocument_x0020_Type">
    <vt:lpwstr>403;#Economic note|e1f04c8c-4290-4b29-8ab8-31a9d0ce335c</vt:lpwstr>
  </property>
  <property fmtid="{D5CDD505-2E9C-101B-9397-08002B2CF9AE}" pid="18" name="eTheme/Activity/Document Type">
    <vt:lpwstr>1468;#Economic note|9da9dffc-b8ed-4512-88c8-d09b5325e551</vt:lpwstr>
  </property>
  <property fmtid="{D5CDD505-2E9C-101B-9397-08002B2CF9AE}" pid="19" name="eTheme">
    <vt:lpwstr>298;#Population|dfc189bb-46ec-4771-b471-77807c301c0c</vt:lpwstr>
  </property>
  <property fmtid="{D5CDD505-2E9C-101B-9397-08002B2CF9AE}" pid="20" name="eTheme/Topic">
    <vt:lpwstr>1480;#Natural increase - mortality|5318a4f3-c83c-4903-9171-a49e65bd6c24</vt:lpwstr>
  </property>
  <property fmtid="{D5CDD505-2E9C-101B-9397-08002B2CF9AE}" pid="21" name="n0adeebb38644e3a8c7de3f8fea0418e">
    <vt:lpwstr>Economic note|e1f04c8c-4290-4b29-8ab8-31a9d0ce335c</vt:lpwstr>
  </property>
  <property fmtid="{D5CDD505-2E9C-101B-9397-08002B2CF9AE}" pid="22" name="eTopic">
    <vt:lpwstr>1361;#Natural increase - mortality|b4bced38-4a57-4efc-9a39-507510b67dc8</vt:lpwstr>
  </property>
</Properties>
</file>