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0" w:type="dxa"/>
        <w:tblLook w:val="04A0" w:firstRow="1" w:lastRow="0" w:firstColumn="1" w:lastColumn="0" w:noHBand="0" w:noVBand="1"/>
      </w:tblPr>
      <w:tblGrid>
        <w:gridCol w:w="9070"/>
      </w:tblGrid>
      <w:tr w:rsidR="00293C4B" w:rsidRPr="0023709A" w14:paraId="10296DCC" w14:textId="77777777" w:rsidTr="004B53AF">
        <w:trPr>
          <w:trHeight w:val="300"/>
        </w:trPr>
        <w:tc>
          <w:tcPr>
            <w:tcW w:w="5000" w:type="pct"/>
            <w:shd w:val="clear" w:color="auto" w:fill="auto"/>
            <w:vAlign w:val="center"/>
          </w:tcPr>
          <w:p w14:paraId="3B7EF27D" w14:textId="4F136945" w:rsidR="00293C4B" w:rsidRPr="003A7FFE" w:rsidRDefault="005C15BD" w:rsidP="003A7FFE">
            <w:pPr>
              <w:pStyle w:val="Heading2"/>
            </w:pPr>
            <w:bookmarkStart w:id="0" w:name="_Ref69990914"/>
            <w:r w:rsidRPr="003A7FFE">
              <w:t>National, state and territory population</w:t>
            </w:r>
            <w:r w:rsidR="00BD20D7" w:rsidRPr="003A7FFE">
              <w:t>,</w:t>
            </w:r>
            <w:r w:rsidR="00E27F67">
              <w:t xml:space="preserve"> March</w:t>
            </w:r>
            <w:bookmarkEnd w:id="0"/>
            <w:r w:rsidR="0028692E" w:rsidRPr="003A7FFE">
              <w:t xml:space="preserve"> </w:t>
            </w:r>
            <w:r w:rsidRPr="003A7FFE">
              <w:t>202</w:t>
            </w:r>
            <w:r w:rsidR="00E27F67">
              <w:t>1</w:t>
            </w:r>
            <w:r w:rsidR="00754C9A">
              <w:t xml:space="preserve"> </w:t>
            </w:r>
            <w:r w:rsidR="00B01C35">
              <w:br/>
            </w:r>
            <w:r w:rsidR="00754C9A">
              <w:t>(Australian Bureau of Statistics)</w:t>
            </w:r>
          </w:p>
        </w:tc>
      </w:tr>
      <w:tr w:rsidR="00293C4B" w:rsidRPr="0023709A" w14:paraId="35587571" w14:textId="77777777" w:rsidTr="009E166B">
        <w:trPr>
          <w:trHeight w:val="300"/>
        </w:trPr>
        <w:tc>
          <w:tcPr>
            <w:tcW w:w="5000" w:type="pct"/>
            <w:shd w:val="clear" w:color="auto" w:fill="CCE3F6" w:themeFill="accent2" w:themeFillTint="33"/>
            <w:vAlign w:val="center"/>
          </w:tcPr>
          <w:p w14:paraId="07102755" w14:textId="31AD254F" w:rsidR="00056E4C" w:rsidRPr="0044695E" w:rsidRDefault="00945E30" w:rsidP="00945E30">
            <w:pPr>
              <w:pStyle w:val="BoxText"/>
              <w:rPr>
                <w:szCs w:val="19"/>
              </w:rPr>
            </w:pPr>
            <w:r w:rsidRPr="000B6715">
              <w:rPr>
                <w:szCs w:val="19"/>
              </w:rPr>
              <w:t xml:space="preserve">The Estimated Resident Population (ERP) of Australia </w:t>
            </w:r>
            <w:r w:rsidRPr="0044695E">
              <w:rPr>
                <w:szCs w:val="19"/>
              </w:rPr>
              <w:t xml:space="preserve">was </w:t>
            </w:r>
            <w:r w:rsidR="00523E0B" w:rsidRPr="0044695E">
              <w:rPr>
                <w:szCs w:val="19"/>
              </w:rPr>
              <w:t>25.7</w:t>
            </w:r>
            <w:r w:rsidRPr="0044695E">
              <w:rPr>
                <w:szCs w:val="19"/>
              </w:rPr>
              <w:t xml:space="preserve"> million people at </w:t>
            </w:r>
            <w:r w:rsidR="000B6715" w:rsidRPr="0044695E">
              <w:rPr>
                <w:szCs w:val="19"/>
              </w:rPr>
              <w:t xml:space="preserve">31 </w:t>
            </w:r>
            <w:r w:rsidR="00C047F9" w:rsidRPr="0044695E">
              <w:rPr>
                <w:szCs w:val="19"/>
              </w:rPr>
              <w:t>March</w:t>
            </w:r>
            <w:r w:rsidRPr="0044695E">
              <w:rPr>
                <w:szCs w:val="19"/>
              </w:rPr>
              <w:t xml:space="preserve"> 202</w:t>
            </w:r>
            <w:r w:rsidR="00C047F9" w:rsidRPr="0044695E">
              <w:rPr>
                <w:szCs w:val="19"/>
              </w:rPr>
              <w:t>1</w:t>
            </w:r>
            <w:r w:rsidRPr="0044695E">
              <w:rPr>
                <w:szCs w:val="19"/>
              </w:rPr>
              <w:t xml:space="preserve">, around </w:t>
            </w:r>
            <w:r w:rsidR="00210BF7" w:rsidRPr="0044695E">
              <w:rPr>
                <w:szCs w:val="19"/>
              </w:rPr>
              <w:t>21</w:t>
            </w:r>
            <w:r w:rsidR="00523E0B" w:rsidRPr="0044695E">
              <w:rPr>
                <w:szCs w:val="19"/>
              </w:rPr>
              <w:t>,</w:t>
            </w:r>
            <w:r w:rsidR="00210BF7" w:rsidRPr="0044695E">
              <w:rPr>
                <w:szCs w:val="19"/>
              </w:rPr>
              <w:t>0</w:t>
            </w:r>
            <w:r w:rsidR="00523E0B" w:rsidRPr="0044695E">
              <w:rPr>
                <w:szCs w:val="19"/>
              </w:rPr>
              <w:t>00</w:t>
            </w:r>
            <w:r w:rsidRPr="0044695E">
              <w:rPr>
                <w:szCs w:val="19"/>
              </w:rPr>
              <w:t xml:space="preserve"> people larger than </w:t>
            </w:r>
            <w:r w:rsidR="0045180A">
              <w:rPr>
                <w:szCs w:val="19"/>
              </w:rPr>
              <w:t xml:space="preserve">at </w:t>
            </w:r>
            <w:r w:rsidRPr="0044695E">
              <w:rPr>
                <w:szCs w:val="19"/>
              </w:rPr>
              <w:t xml:space="preserve">the </w:t>
            </w:r>
            <w:r w:rsidR="0045180A">
              <w:rPr>
                <w:szCs w:val="19"/>
              </w:rPr>
              <w:t xml:space="preserve">end of </w:t>
            </w:r>
            <w:r w:rsidR="006B64B5" w:rsidRPr="0044695E">
              <w:rPr>
                <w:szCs w:val="19"/>
              </w:rPr>
              <w:t>December</w:t>
            </w:r>
            <w:r w:rsidRPr="0044695E">
              <w:rPr>
                <w:szCs w:val="19"/>
              </w:rPr>
              <w:t xml:space="preserve"> 2020. </w:t>
            </w:r>
            <w:r w:rsidR="005330EA" w:rsidRPr="0044695E">
              <w:rPr>
                <w:szCs w:val="19"/>
              </w:rPr>
              <w:t xml:space="preserve">Population growth for </w:t>
            </w:r>
            <w:r w:rsidR="003E5E43" w:rsidRPr="0044695E">
              <w:rPr>
                <w:szCs w:val="19"/>
              </w:rPr>
              <w:t xml:space="preserve">the </w:t>
            </w:r>
            <w:r w:rsidR="005330EA" w:rsidRPr="0044695E">
              <w:rPr>
                <w:szCs w:val="19"/>
              </w:rPr>
              <w:t xml:space="preserve">year ending </w:t>
            </w:r>
            <w:r w:rsidR="006B64B5" w:rsidRPr="0044695E">
              <w:rPr>
                <w:szCs w:val="19"/>
              </w:rPr>
              <w:t>March</w:t>
            </w:r>
            <w:r w:rsidR="005330EA" w:rsidRPr="0044695E">
              <w:rPr>
                <w:szCs w:val="19"/>
              </w:rPr>
              <w:t xml:space="preserve"> 202</w:t>
            </w:r>
            <w:r w:rsidR="006B64B5" w:rsidRPr="0044695E">
              <w:rPr>
                <w:szCs w:val="19"/>
              </w:rPr>
              <w:t>1</w:t>
            </w:r>
            <w:r w:rsidR="00056E4C" w:rsidRPr="0044695E">
              <w:rPr>
                <w:szCs w:val="19"/>
              </w:rPr>
              <w:t xml:space="preserve"> was </w:t>
            </w:r>
            <w:r w:rsidR="0079608C">
              <w:rPr>
                <w:szCs w:val="19"/>
              </w:rPr>
              <w:t xml:space="preserve">around </w:t>
            </w:r>
            <w:r w:rsidR="00056E4C" w:rsidRPr="0044695E">
              <w:rPr>
                <w:szCs w:val="19"/>
              </w:rPr>
              <w:t>0.</w:t>
            </w:r>
            <w:r w:rsidR="00210BF7" w:rsidRPr="0044695E">
              <w:rPr>
                <w:szCs w:val="19"/>
              </w:rPr>
              <w:t>1</w:t>
            </w:r>
            <w:r w:rsidR="00056E4C" w:rsidRPr="0044695E">
              <w:rPr>
                <w:szCs w:val="19"/>
              </w:rPr>
              <w:t xml:space="preserve"> per cent</w:t>
            </w:r>
            <w:r w:rsidR="005E58EF" w:rsidRPr="0044695E">
              <w:rPr>
                <w:szCs w:val="19"/>
              </w:rPr>
              <w:t xml:space="preserve"> (</w:t>
            </w:r>
            <w:r w:rsidR="00210BF7" w:rsidRPr="0044695E">
              <w:rPr>
                <w:szCs w:val="19"/>
              </w:rPr>
              <w:t>35</w:t>
            </w:r>
            <w:r w:rsidR="005E58EF" w:rsidRPr="0044695E">
              <w:rPr>
                <w:szCs w:val="19"/>
              </w:rPr>
              <w:t>,</w:t>
            </w:r>
            <w:r w:rsidR="00210BF7" w:rsidRPr="0044695E">
              <w:rPr>
                <w:szCs w:val="19"/>
              </w:rPr>
              <w:t>7</w:t>
            </w:r>
            <w:r w:rsidR="005E58EF" w:rsidRPr="0044695E">
              <w:rPr>
                <w:szCs w:val="19"/>
              </w:rPr>
              <w:t>00 people)</w:t>
            </w:r>
            <w:r w:rsidR="00056E4C" w:rsidRPr="0044695E">
              <w:rPr>
                <w:szCs w:val="19"/>
              </w:rPr>
              <w:t xml:space="preserve">, down from </w:t>
            </w:r>
            <w:r w:rsidR="00210BF7" w:rsidRPr="0044695E">
              <w:rPr>
                <w:szCs w:val="19"/>
              </w:rPr>
              <w:t>0.</w:t>
            </w:r>
            <w:r w:rsidR="00C047F9" w:rsidRPr="0044695E">
              <w:rPr>
                <w:szCs w:val="19"/>
              </w:rPr>
              <w:t>5</w:t>
            </w:r>
            <w:r w:rsidR="00056E4C" w:rsidRPr="0044695E">
              <w:rPr>
                <w:szCs w:val="19"/>
              </w:rPr>
              <w:t xml:space="preserve"> per cent </w:t>
            </w:r>
            <w:r w:rsidR="0079608C">
              <w:rPr>
                <w:szCs w:val="19"/>
              </w:rPr>
              <w:t>for</w:t>
            </w:r>
            <w:r w:rsidR="0079608C" w:rsidRPr="0044695E">
              <w:rPr>
                <w:szCs w:val="19"/>
              </w:rPr>
              <w:t xml:space="preserve"> </w:t>
            </w:r>
            <w:r w:rsidR="00056E4C" w:rsidRPr="0044695E">
              <w:rPr>
                <w:szCs w:val="19"/>
              </w:rPr>
              <w:t xml:space="preserve">the year ending </w:t>
            </w:r>
            <w:r w:rsidR="00C047F9" w:rsidRPr="0044695E">
              <w:rPr>
                <w:szCs w:val="19"/>
              </w:rPr>
              <w:t xml:space="preserve">December </w:t>
            </w:r>
            <w:r w:rsidR="00056E4C" w:rsidRPr="0044695E">
              <w:rPr>
                <w:szCs w:val="19"/>
              </w:rPr>
              <w:t>20</w:t>
            </w:r>
            <w:r w:rsidR="006B64B5" w:rsidRPr="0044695E">
              <w:rPr>
                <w:szCs w:val="19"/>
              </w:rPr>
              <w:t>20</w:t>
            </w:r>
            <w:r w:rsidR="00056E4C" w:rsidRPr="0044695E">
              <w:rPr>
                <w:szCs w:val="19"/>
              </w:rPr>
              <w:t>.</w:t>
            </w:r>
            <w:r w:rsidR="003A7FFE" w:rsidRPr="0044695E">
              <w:rPr>
                <w:szCs w:val="19"/>
              </w:rPr>
              <w:t xml:space="preserve"> </w:t>
            </w:r>
            <w:r w:rsidR="00056E4C" w:rsidRPr="0044695E">
              <w:rPr>
                <w:szCs w:val="19"/>
              </w:rPr>
              <w:t>This is the</w:t>
            </w:r>
            <w:r w:rsidR="008A1109" w:rsidRPr="0044695E">
              <w:rPr>
                <w:szCs w:val="19"/>
              </w:rPr>
              <w:t xml:space="preserve"> </w:t>
            </w:r>
            <w:r w:rsidR="00056E4C" w:rsidRPr="0044695E">
              <w:rPr>
                <w:szCs w:val="19"/>
              </w:rPr>
              <w:t>lowest</w:t>
            </w:r>
            <w:r w:rsidR="005E58EF" w:rsidRPr="0044695E">
              <w:rPr>
                <w:szCs w:val="19"/>
              </w:rPr>
              <w:t xml:space="preserve"> </w:t>
            </w:r>
            <w:r w:rsidR="0045180A">
              <w:rPr>
                <w:szCs w:val="19"/>
              </w:rPr>
              <w:t xml:space="preserve">recorded </w:t>
            </w:r>
            <w:r w:rsidR="00955B00" w:rsidRPr="0044695E">
              <w:rPr>
                <w:szCs w:val="19"/>
              </w:rPr>
              <w:t xml:space="preserve">annual </w:t>
            </w:r>
            <w:r w:rsidR="0045180A">
              <w:rPr>
                <w:szCs w:val="19"/>
              </w:rPr>
              <w:t xml:space="preserve">population </w:t>
            </w:r>
            <w:r w:rsidR="00056E4C" w:rsidRPr="0044695E">
              <w:rPr>
                <w:szCs w:val="19"/>
              </w:rPr>
              <w:t>growth</w:t>
            </w:r>
            <w:r w:rsidR="008A1109" w:rsidRPr="0044695E">
              <w:rPr>
                <w:szCs w:val="19"/>
              </w:rPr>
              <w:t xml:space="preserve"> </w:t>
            </w:r>
            <w:r w:rsidR="00056E4C" w:rsidRPr="0044695E">
              <w:rPr>
                <w:szCs w:val="19"/>
              </w:rPr>
              <w:t>since 191</w:t>
            </w:r>
            <w:r w:rsidR="00955B00" w:rsidRPr="0044695E">
              <w:rPr>
                <w:szCs w:val="19"/>
              </w:rPr>
              <w:t>6</w:t>
            </w:r>
            <w:r w:rsidR="005B033F">
              <w:rPr>
                <w:szCs w:val="19"/>
              </w:rPr>
              <w:t xml:space="preserve">-17 </w:t>
            </w:r>
            <w:r w:rsidR="00056E4C" w:rsidRPr="0044695E">
              <w:rPr>
                <w:szCs w:val="19"/>
              </w:rPr>
              <w:t xml:space="preserve">when growth was </w:t>
            </w:r>
            <w:r w:rsidR="005B033F">
              <w:rPr>
                <w:szCs w:val="19"/>
              </w:rPr>
              <w:t>0.0</w:t>
            </w:r>
            <w:r w:rsidR="00955B00" w:rsidRPr="0044695E">
              <w:rPr>
                <w:szCs w:val="19"/>
              </w:rPr>
              <w:t xml:space="preserve"> </w:t>
            </w:r>
            <w:r w:rsidR="005E58EF" w:rsidRPr="0044695E">
              <w:rPr>
                <w:szCs w:val="19"/>
              </w:rPr>
              <w:t>per cent.</w:t>
            </w:r>
          </w:p>
          <w:p w14:paraId="28C9CDE8" w14:textId="3BBD8832" w:rsidR="000B05DA" w:rsidRDefault="0079608C" w:rsidP="002E6A6D">
            <w:pPr>
              <w:pStyle w:val="BoxText"/>
              <w:rPr>
                <w:szCs w:val="19"/>
              </w:rPr>
            </w:pPr>
            <w:r>
              <w:rPr>
                <w:szCs w:val="19"/>
              </w:rPr>
              <w:t>N</w:t>
            </w:r>
            <w:r w:rsidR="00BC14D8" w:rsidRPr="0044695E">
              <w:rPr>
                <w:szCs w:val="19"/>
              </w:rPr>
              <w:t xml:space="preserve">et overseas migration (NOM) </w:t>
            </w:r>
            <w:r>
              <w:rPr>
                <w:szCs w:val="19"/>
              </w:rPr>
              <w:t xml:space="preserve">of </w:t>
            </w:r>
            <w:r w:rsidR="008260E5" w:rsidRPr="0044695E">
              <w:rPr>
                <w:szCs w:val="19"/>
              </w:rPr>
              <w:t>-</w:t>
            </w:r>
            <w:r w:rsidR="00E41441">
              <w:rPr>
                <w:szCs w:val="19"/>
              </w:rPr>
              <w:t>14</w:t>
            </w:r>
            <w:r w:rsidR="008260E5" w:rsidRPr="0044695E">
              <w:rPr>
                <w:szCs w:val="19"/>
              </w:rPr>
              <w:t>,</w:t>
            </w:r>
            <w:r w:rsidR="00E41441">
              <w:rPr>
                <w:szCs w:val="19"/>
              </w:rPr>
              <w:t>7</w:t>
            </w:r>
            <w:r w:rsidR="008260E5" w:rsidRPr="0044695E">
              <w:rPr>
                <w:szCs w:val="19"/>
              </w:rPr>
              <w:t>00</w:t>
            </w:r>
            <w:r w:rsidR="0045180A">
              <w:rPr>
                <w:szCs w:val="19"/>
              </w:rPr>
              <w:t xml:space="preserve"> </w:t>
            </w:r>
            <w:r>
              <w:rPr>
                <w:szCs w:val="19"/>
              </w:rPr>
              <w:t xml:space="preserve">was </w:t>
            </w:r>
            <w:r w:rsidR="0045180A">
              <w:rPr>
                <w:szCs w:val="19"/>
              </w:rPr>
              <w:t xml:space="preserve">around </w:t>
            </w:r>
            <w:r w:rsidR="00E41441">
              <w:rPr>
                <w:szCs w:val="19"/>
              </w:rPr>
              <w:t>14,700</w:t>
            </w:r>
            <w:r w:rsidR="0045180A">
              <w:rPr>
                <w:szCs w:val="19"/>
              </w:rPr>
              <w:t xml:space="preserve"> </w:t>
            </w:r>
            <w:r>
              <w:rPr>
                <w:szCs w:val="19"/>
              </w:rPr>
              <w:t xml:space="preserve">higher than the previous quarter, but still negative. This is the fourth consecutive quarter </w:t>
            </w:r>
            <w:r w:rsidR="00137221">
              <w:rPr>
                <w:szCs w:val="19"/>
              </w:rPr>
              <w:t>record</w:t>
            </w:r>
            <w:r>
              <w:rPr>
                <w:szCs w:val="19"/>
              </w:rPr>
              <w:t>ing</w:t>
            </w:r>
            <w:r w:rsidR="00137221">
              <w:rPr>
                <w:szCs w:val="19"/>
              </w:rPr>
              <w:t xml:space="preserve"> higher overseas departures than arrivals</w:t>
            </w:r>
            <w:r w:rsidR="002E6A6D">
              <w:rPr>
                <w:szCs w:val="19"/>
              </w:rPr>
              <w:t xml:space="preserve">, leading </w:t>
            </w:r>
            <w:r w:rsidR="008260E5" w:rsidRPr="0044695E">
              <w:rPr>
                <w:szCs w:val="19"/>
              </w:rPr>
              <w:t>to</w:t>
            </w:r>
            <w:r w:rsidR="00EE1538" w:rsidRPr="0044695E">
              <w:rPr>
                <w:szCs w:val="19"/>
              </w:rPr>
              <w:t xml:space="preserve"> the lowest </w:t>
            </w:r>
            <w:r w:rsidR="00277DCD" w:rsidRPr="0044695E">
              <w:rPr>
                <w:szCs w:val="19"/>
              </w:rPr>
              <w:t xml:space="preserve">annual </w:t>
            </w:r>
            <w:r w:rsidR="008260E5" w:rsidRPr="0044695E">
              <w:rPr>
                <w:szCs w:val="19"/>
              </w:rPr>
              <w:t>NOM</w:t>
            </w:r>
            <w:r w:rsidR="004C0A6E">
              <w:rPr>
                <w:szCs w:val="19"/>
              </w:rPr>
              <w:t xml:space="preserve"> in over a hundred years</w:t>
            </w:r>
            <w:r w:rsidR="00E41441">
              <w:rPr>
                <w:szCs w:val="19"/>
              </w:rPr>
              <w:t>.</w:t>
            </w:r>
            <w:r w:rsidR="002E6A6D">
              <w:rPr>
                <w:szCs w:val="19"/>
              </w:rPr>
              <w:t xml:space="preserve"> </w:t>
            </w:r>
            <w:r>
              <w:rPr>
                <w:szCs w:val="19"/>
              </w:rPr>
              <w:t>N</w:t>
            </w:r>
            <w:r w:rsidR="002E6A6D">
              <w:rPr>
                <w:szCs w:val="19"/>
              </w:rPr>
              <w:t xml:space="preserve">atural increase over the year </w:t>
            </w:r>
            <w:r w:rsidR="006B18ED">
              <w:rPr>
                <w:szCs w:val="19"/>
              </w:rPr>
              <w:t xml:space="preserve">ending March 2021 </w:t>
            </w:r>
            <w:r w:rsidR="002E6A6D">
              <w:rPr>
                <w:szCs w:val="19"/>
              </w:rPr>
              <w:t>was relatively more stable</w:t>
            </w:r>
            <w:r w:rsidR="006B18ED">
              <w:rPr>
                <w:szCs w:val="19"/>
              </w:rPr>
              <w:t xml:space="preserve">, </w:t>
            </w:r>
            <w:r w:rsidR="00632916">
              <w:rPr>
                <w:szCs w:val="19"/>
              </w:rPr>
              <w:t>although</w:t>
            </w:r>
            <w:r w:rsidR="000B05DA">
              <w:rPr>
                <w:szCs w:val="19"/>
              </w:rPr>
              <w:t xml:space="preserve"> 5,400 </w:t>
            </w:r>
            <w:r w:rsidR="00C76D9B">
              <w:rPr>
                <w:szCs w:val="19"/>
              </w:rPr>
              <w:t xml:space="preserve">less </w:t>
            </w:r>
            <w:r w:rsidR="000B05DA">
              <w:rPr>
                <w:szCs w:val="19"/>
              </w:rPr>
              <w:t>than the levels observed the previous year</w:t>
            </w:r>
            <w:r w:rsidR="00C76D9B">
              <w:rPr>
                <w:szCs w:val="19"/>
              </w:rPr>
              <w:t>, mainly</w:t>
            </w:r>
            <w:r w:rsidR="0098197A">
              <w:rPr>
                <w:szCs w:val="19"/>
              </w:rPr>
              <w:t xml:space="preserve"> due to </w:t>
            </w:r>
            <w:r w:rsidR="003D0CAD">
              <w:rPr>
                <w:szCs w:val="19"/>
              </w:rPr>
              <w:t>8,600</w:t>
            </w:r>
            <w:r w:rsidR="0098197A">
              <w:rPr>
                <w:szCs w:val="19"/>
              </w:rPr>
              <w:t xml:space="preserve"> </w:t>
            </w:r>
            <w:r w:rsidR="003D0CAD">
              <w:rPr>
                <w:szCs w:val="19"/>
              </w:rPr>
              <w:t xml:space="preserve">fewer births </w:t>
            </w:r>
            <w:r w:rsidR="0098197A">
              <w:rPr>
                <w:szCs w:val="19"/>
              </w:rPr>
              <w:t>over the year.</w:t>
            </w:r>
          </w:p>
          <w:p w14:paraId="195A3964" w14:textId="0882B548" w:rsidR="00815D89" w:rsidRPr="00044A6C" w:rsidRDefault="00031C99" w:rsidP="00E5688C">
            <w:pPr>
              <w:pStyle w:val="BoxText"/>
              <w:rPr>
                <w:rFonts w:eastAsia="Calibri" w:cs="Calibri"/>
              </w:rPr>
            </w:pPr>
            <w:r w:rsidRPr="00031C99">
              <w:rPr>
                <w:szCs w:val="19"/>
              </w:rPr>
              <w:t xml:space="preserve">Annual population growth was positive in all but one of the states and territories, but generally lower compared to the previous year. Victoria, which was the fastest growing state over the year ending March 2020, recorded a population decline of -0.6 per cent for the year after its fourth consecutive quarter of negative net overseas and interstate migration. The negative net interstate migration to Victoria over this period occurred at the same time as </w:t>
            </w:r>
            <w:r w:rsidR="00E30C18">
              <w:rPr>
                <w:szCs w:val="19"/>
              </w:rPr>
              <w:t>positive</w:t>
            </w:r>
            <w:r w:rsidRPr="00031C99">
              <w:rPr>
                <w:szCs w:val="19"/>
              </w:rPr>
              <w:t xml:space="preserve"> net interstate migration in South Australia, Western Australia</w:t>
            </w:r>
            <w:r w:rsidR="00D33CA5">
              <w:rPr>
                <w:szCs w:val="19"/>
              </w:rPr>
              <w:t xml:space="preserve">, </w:t>
            </w:r>
            <w:r w:rsidR="00E30C18" w:rsidRPr="00031C99">
              <w:rPr>
                <w:szCs w:val="19"/>
              </w:rPr>
              <w:t xml:space="preserve">and </w:t>
            </w:r>
            <w:r w:rsidR="00D33CA5">
              <w:rPr>
                <w:szCs w:val="19"/>
              </w:rPr>
              <w:t>Australian Capital Territory</w:t>
            </w:r>
            <w:r w:rsidRPr="00031C99">
              <w:rPr>
                <w:szCs w:val="19"/>
              </w:rPr>
              <w:t xml:space="preserve">, </w:t>
            </w:r>
            <w:r w:rsidR="00C76D9B">
              <w:rPr>
                <w:szCs w:val="19"/>
              </w:rPr>
              <w:t xml:space="preserve">and lower than recently recorded net interstate outflows from Northern Territory, </w:t>
            </w:r>
            <w:r w:rsidRPr="00031C99">
              <w:rPr>
                <w:szCs w:val="19"/>
              </w:rPr>
              <w:t xml:space="preserve">suggesting </w:t>
            </w:r>
            <w:r w:rsidR="00C76D9B">
              <w:rPr>
                <w:szCs w:val="19"/>
              </w:rPr>
              <w:t xml:space="preserve">that some </w:t>
            </w:r>
            <w:r w:rsidRPr="00031C99">
              <w:rPr>
                <w:szCs w:val="19"/>
              </w:rPr>
              <w:t xml:space="preserve">people who might otherwise have moved to Victoria remained in these </w:t>
            </w:r>
            <w:r w:rsidR="00C76D9B">
              <w:rPr>
                <w:szCs w:val="19"/>
              </w:rPr>
              <w:t xml:space="preserve">jurisdictions </w:t>
            </w:r>
            <w:r w:rsidRPr="00031C99">
              <w:rPr>
                <w:szCs w:val="19"/>
              </w:rPr>
              <w:t>instead. Northern Territory was the only jurisdiction that experienced a higher population growth compared to the previous year.</w:t>
            </w:r>
          </w:p>
        </w:tc>
      </w:tr>
      <w:tr w:rsidR="00AE6BF9" w:rsidRPr="0023709A" w14:paraId="357663B1" w14:textId="77777777" w:rsidTr="00AE6BF9">
        <w:trPr>
          <w:trHeight w:val="300"/>
        </w:trPr>
        <w:tc>
          <w:tcPr>
            <w:tcW w:w="5000" w:type="pct"/>
            <w:shd w:val="clear" w:color="auto" w:fill="auto"/>
            <w:vAlign w:val="center"/>
          </w:tcPr>
          <w:p w14:paraId="16E1BD8B" w14:textId="16448EA8" w:rsidR="00405AD5" w:rsidRPr="0044695E" w:rsidRDefault="00405AD5">
            <w:pPr>
              <w:pStyle w:val="Heading3"/>
            </w:pPr>
            <w:r w:rsidRPr="0044695E">
              <w:t>National outcomes</w:t>
            </w:r>
          </w:p>
          <w:p w14:paraId="329C12DC" w14:textId="6AB12FE2" w:rsidR="00CC2059" w:rsidRPr="0044695E" w:rsidRDefault="00AE6BF9">
            <w:r w:rsidRPr="0044695E">
              <w:t xml:space="preserve">Australia’s population grew by </w:t>
            </w:r>
            <w:r w:rsidR="00632916">
              <w:t xml:space="preserve">around </w:t>
            </w:r>
            <w:r w:rsidR="009D0E08" w:rsidRPr="0044695E">
              <w:t>21</w:t>
            </w:r>
            <w:r w:rsidRPr="0044695E">
              <w:t>,</w:t>
            </w:r>
            <w:r w:rsidR="009D0E08" w:rsidRPr="0044695E">
              <w:t>0</w:t>
            </w:r>
            <w:r w:rsidRPr="0044695E">
              <w:t xml:space="preserve">00 people in the </w:t>
            </w:r>
            <w:r w:rsidR="00BC48E2" w:rsidRPr="0044695E">
              <w:t>March</w:t>
            </w:r>
            <w:r w:rsidRPr="0044695E">
              <w:t xml:space="preserve"> 202</w:t>
            </w:r>
            <w:r w:rsidR="00BC48E2" w:rsidRPr="0044695E">
              <w:t>1</w:t>
            </w:r>
            <w:r w:rsidRPr="0044695E">
              <w:t xml:space="preserve"> quarter (0.</w:t>
            </w:r>
            <w:r w:rsidR="009D0E08" w:rsidRPr="0044695E">
              <w:t>1</w:t>
            </w:r>
            <w:r w:rsidRPr="0044695E">
              <w:t xml:space="preserve"> per cent</w:t>
            </w:r>
            <w:r w:rsidR="00A34BB6">
              <w:t xml:space="preserve">). This was entirely due </w:t>
            </w:r>
            <w:r w:rsidR="00632916">
              <w:t xml:space="preserve">to natural increase of </w:t>
            </w:r>
            <w:r w:rsidR="006C2FC2">
              <w:t>35,700</w:t>
            </w:r>
            <w:r w:rsidR="00632916">
              <w:t xml:space="preserve"> for the quarter, partly offset by net overseas migration of </w:t>
            </w:r>
            <w:r w:rsidR="006C2FC2">
              <w:t>-14,700</w:t>
            </w:r>
            <w:r w:rsidR="00A34BB6">
              <w:t xml:space="preserve"> (see </w:t>
            </w:r>
            <w:r w:rsidR="00CC2059" w:rsidRPr="0044695E">
              <w:t>Chart 1</w:t>
            </w:r>
            <w:r w:rsidR="00A34BB6">
              <w:t>)</w:t>
            </w:r>
            <w:r w:rsidR="00CC2059" w:rsidRPr="0044695E">
              <w:t>.</w:t>
            </w:r>
          </w:p>
          <w:p w14:paraId="21F46DF3" w14:textId="77777777" w:rsidR="00CC2059" w:rsidRPr="0044695E" w:rsidRDefault="00CC2059" w:rsidP="00CC2059">
            <w:pPr>
              <w:pStyle w:val="Heading9"/>
            </w:pPr>
            <w:r w:rsidRPr="0044695E">
              <w:t>Quarterly national population growth and components, number of people</w:t>
            </w:r>
          </w:p>
          <w:p w14:paraId="3FD09F3D" w14:textId="181F7354" w:rsidR="009C3546" w:rsidRPr="0044695E" w:rsidRDefault="00255BEE" w:rsidP="00AE6BF9">
            <w:r w:rsidRPr="0044695E">
              <w:t xml:space="preserve"> </w:t>
            </w:r>
            <w:r w:rsidR="009C3546" w:rsidRPr="0044695E">
              <w:rPr>
                <w:noProof/>
              </w:rPr>
              <w:drawing>
                <wp:inline distT="0" distB="0" distL="0" distR="0" wp14:anchorId="57D22DAB" wp14:editId="5B813642">
                  <wp:extent cx="5759450" cy="23704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2370455"/>
                          </a:xfrm>
                          <a:prstGeom prst="rect">
                            <a:avLst/>
                          </a:prstGeom>
                          <a:noFill/>
                          <a:ln>
                            <a:noFill/>
                          </a:ln>
                        </pic:spPr>
                      </pic:pic>
                    </a:graphicData>
                  </a:graphic>
                </wp:inline>
              </w:drawing>
            </w:r>
          </w:p>
          <w:p w14:paraId="3829C4F9" w14:textId="7EDF310B" w:rsidR="00AE6BF9" w:rsidRPr="00945E30" w:rsidRDefault="00CC2059" w:rsidP="00E41441">
            <w:r w:rsidRPr="0044695E">
              <w:t>54</w:t>
            </w:r>
            <w:r w:rsidR="00AE6BF9" w:rsidRPr="0044695E">
              <w:t>,</w:t>
            </w:r>
            <w:r w:rsidRPr="0044695E">
              <w:t>9</w:t>
            </w:r>
            <w:r w:rsidR="00AE6BF9" w:rsidRPr="0044695E">
              <w:t xml:space="preserve">00 people emigrated from Australia </w:t>
            </w:r>
            <w:r w:rsidR="00A34BB6">
              <w:t xml:space="preserve">this quarter </w:t>
            </w:r>
            <w:r w:rsidR="00AE6BF9" w:rsidRPr="0044695E">
              <w:t>compared to 4</w:t>
            </w:r>
            <w:r w:rsidRPr="0044695E">
              <w:t>0</w:t>
            </w:r>
            <w:r w:rsidR="00AE6BF9" w:rsidRPr="0044695E">
              <w:t>,</w:t>
            </w:r>
            <w:r w:rsidRPr="0044695E">
              <w:t>2</w:t>
            </w:r>
            <w:r w:rsidR="00AE6BF9" w:rsidRPr="0044695E">
              <w:t xml:space="preserve">00 arriving immigrants. While the resulting </w:t>
            </w:r>
            <w:r w:rsidR="00632916">
              <w:t>NOM</w:t>
            </w:r>
            <w:r w:rsidR="00AE6BF9" w:rsidRPr="0044695E">
              <w:t xml:space="preserve"> of -</w:t>
            </w:r>
            <w:r w:rsidR="002C1040" w:rsidRPr="0044695E">
              <w:t>1</w:t>
            </w:r>
            <w:r w:rsidR="0016052C" w:rsidRPr="0044695E">
              <w:t>4</w:t>
            </w:r>
            <w:r w:rsidR="00AE6BF9" w:rsidRPr="0044695E">
              <w:t>,</w:t>
            </w:r>
            <w:r w:rsidR="002C1040" w:rsidRPr="0044695E">
              <w:t>7</w:t>
            </w:r>
            <w:r w:rsidR="00AE6BF9" w:rsidRPr="0044695E">
              <w:t xml:space="preserve">00 is higher compared to </w:t>
            </w:r>
            <w:r w:rsidR="00AE6BF9" w:rsidRPr="0044695E">
              <w:noBreakHyphen/>
            </w:r>
            <w:r w:rsidR="002C1040" w:rsidRPr="0044695E">
              <w:t>29</w:t>
            </w:r>
            <w:r w:rsidR="00AE6BF9" w:rsidRPr="0044695E">
              <w:t>,</w:t>
            </w:r>
            <w:r w:rsidR="002C1040" w:rsidRPr="0044695E">
              <w:t>4</w:t>
            </w:r>
            <w:r w:rsidR="00AE6BF9" w:rsidRPr="0044695E">
              <w:t xml:space="preserve">00 in the previous quarter (Chart 1), this is the </w:t>
            </w:r>
            <w:r w:rsidR="00277832" w:rsidRPr="0044695E">
              <w:t>fourth</w:t>
            </w:r>
            <w:r w:rsidR="00AE6BF9" w:rsidRPr="0044695E">
              <w:t xml:space="preserve"> consecutive quarter of negative NOM since the beginning of the COVID-19 pandemic, and </w:t>
            </w:r>
            <w:r w:rsidR="004C38EA" w:rsidRPr="0044695E">
              <w:t>the f</w:t>
            </w:r>
            <w:r w:rsidR="00277832" w:rsidRPr="0044695E">
              <w:t>ifth</w:t>
            </w:r>
            <w:r w:rsidR="00AE6BF9" w:rsidRPr="0044695E">
              <w:t xml:space="preserve"> observation of negative NOM since the ERP series began. Annual NOM over the year </w:t>
            </w:r>
            <w:r w:rsidR="00632916">
              <w:t>ending</w:t>
            </w:r>
            <w:r w:rsidR="00632916" w:rsidRPr="0044695E">
              <w:t xml:space="preserve"> </w:t>
            </w:r>
            <w:r w:rsidR="00756DA2" w:rsidRPr="0044695E">
              <w:t>March</w:t>
            </w:r>
            <w:r w:rsidR="00AE6BF9" w:rsidRPr="0044695E">
              <w:t xml:space="preserve"> 202</w:t>
            </w:r>
            <w:r w:rsidR="00756DA2" w:rsidRPr="0044695E">
              <w:t>1</w:t>
            </w:r>
            <w:r w:rsidR="00AE6BF9" w:rsidRPr="0044695E">
              <w:t xml:space="preserve"> was </w:t>
            </w:r>
            <w:r w:rsidR="00277832" w:rsidRPr="0044695E">
              <w:t>-95</w:t>
            </w:r>
            <w:r w:rsidR="00AE6BF9" w:rsidRPr="0044695E">
              <w:t xml:space="preserve">,300, a decrease of </w:t>
            </w:r>
            <w:r w:rsidR="00277832" w:rsidRPr="0044695E">
              <w:t>334</w:t>
            </w:r>
            <w:r w:rsidR="00AE6BF9" w:rsidRPr="0044695E">
              <w:t>,</w:t>
            </w:r>
            <w:r w:rsidR="00277832" w:rsidRPr="0044695E">
              <w:t>5</w:t>
            </w:r>
            <w:r w:rsidR="00AE6BF9" w:rsidRPr="0044695E">
              <w:t xml:space="preserve">00 </w:t>
            </w:r>
            <w:r w:rsidR="00632916">
              <w:t xml:space="preserve">compared to </w:t>
            </w:r>
            <w:r w:rsidR="00AE6BF9" w:rsidRPr="0044695E">
              <w:t xml:space="preserve">the year </w:t>
            </w:r>
            <w:r w:rsidR="00632916">
              <w:t xml:space="preserve">ending </w:t>
            </w:r>
            <w:r w:rsidR="00756DA2" w:rsidRPr="0044695E">
              <w:t>March</w:t>
            </w:r>
            <w:r w:rsidR="00AE6BF9" w:rsidRPr="0044695E">
              <w:t xml:space="preserve"> 20</w:t>
            </w:r>
            <w:r w:rsidR="00756DA2" w:rsidRPr="0044695E">
              <w:t>20</w:t>
            </w:r>
            <w:r w:rsidR="00A34BB6">
              <w:t xml:space="preserve"> </w:t>
            </w:r>
            <w:r w:rsidR="00AE6BF9" w:rsidRPr="0044695E">
              <w:t>(Chart 2).</w:t>
            </w:r>
          </w:p>
        </w:tc>
      </w:tr>
    </w:tbl>
    <w:p w14:paraId="1F41662B" w14:textId="77777777" w:rsidR="00AE6BF9" w:rsidRDefault="00AE6BF9">
      <w:pPr>
        <w:sectPr w:rsidR="00AE6BF9" w:rsidSect="006B5943">
          <w:headerReference w:type="even" r:id="rId14"/>
          <w:headerReference w:type="default" r:id="rId15"/>
          <w:footerReference w:type="even" r:id="rId16"/>
          <w:footerReference w:type="default" r:id="rId17"/>
          <w:headerReference w:type="first" r:id="rId18"/>
          <w:footerReference w:type="first" r:id="rId19"/>
          <w:pgSz w:w="11906" w:h="16838" w:code="9"/>
          <w:pgMar w:top="2552" w:right="1418" w:bottom="1134" w:left="1418" w:header="737" w:footer="737" w:gutter="0"/>
          <w:cols w:space="708"/>
          <w:titlePg/>
          <w:docGrid w:linePitch="360"/>
        </w:sectPr>
      </w:pPr>
    </w:p>
    <w:tbl>
      <w:tblPr>
        <w:tblW w:w="9070" w:type="dxa"/>
        <w:tblLayout w:type="fixed"/>
        <w:tblLook w:val="04A0" w:firstRow="1" w:lastRow="0" w:firstColumn="1" w:lastColumn="0" w:noHBand="0" w:noVBand="1"/>
      </w:tblPr>
      <w:tblGrid>
        <w:gridCol w:w="3684"/>
        <w:gridCol w:w="1702"/>
        <w:gridCol w:w="3684"/>
      </w:tblGrid>
      <w:tr w:rsidR="00A21A3E" w:rsidRPr="0023709A" w14:paraId="722A6EE2" w14:textId="77777777" w:rsidTr="00834409">
        <w:trPr>
          <w:trHeight w:val="300"/>
        </w:trPr>
        <w:tc>
          <w:tcPr>
            <w:tcW w:w="5000" w:type="pct"/>
            <w:gridSpan w:val="3"/>
          </w:tcPr>
          <w:p w14:paraId="04D65ABC" w14:textId="7A070234" w:rsidR="00F31639" w:rsidRPr="0044695E" w:rsidRDefault="00F31639" w:rsidP="008E0014">
            <w:pPr>
              <w:pStyle w:val="Heading9"/>
            </w:pPr>
            <w:r w:rsidRPr="0044695E">
              <w:lastRenderedPageBreak/>
              <w:t>Net overseas migration, year ending</w:t>
            </w:r>
            <w:r w:rsidR="0007586A">
              <w:t xml:space="preserve"> quarter</w:t>
            </w:r>
            <w:r w:rsidR="00632916">
              <w:t>ly</w:t>
            </w:r>
          </w:p>
          <w:p w14:paraId="5C9AFDC7" w14:textId="318CE430" w:rsidR="00255BEE" w:rsidRPr="0044695E" w:rsidRDefault="00255BEE" w:rsidP="00B35F1C">
            <w:pPr>
              <w:rPr>
                <w:noProof/>
              </w:rPr>
            </w:pPr>
            <w:r w:rsidRPr="0044695E">
              <w:rPr>
                <w:noProof/>
              </w:rPr>
              <w:drawing>
                <wp:inline distT="0" distB="0" distL="0" distR="0" wp14:anchorId="0778A4AF" wp14:editId="2F555240">
                  <wp:extent cx="5581650" cy="2409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1650" cy="2409825"/>
                          </a:xfrm>
                          <a:prstGeom prst="rect">
                            <a:avLst/>
                          </a:prstGeom>
                          <a:noFill/>
                          <a:ln>
                            <a:noFill/>
                          </a:ln>
                        </pic:spPr>
                      </pic:pic>
                    </a:graphicData>
                  </a:graphic>
                </wp:inline>
              </w:drawing>
            </w:r>
          </w:p>
          <w:p w14:paraId="0968C922" w14:textId="71CD2DB2" w:rsidR="00574D15" w:rsidRPr="0044695E" w:rsidRDefault="00574D15" w:rsidP="00574D15">
            <w:pPr>
              <w:rPr>
                <w:rFonts w:eastAsia="Calibri" w:cs="Calibri"/>
              </w:rPr>
            </w:pPr>
            <w:r w:rsidRPr="0044695E">
              <w:rPr>
                <w:rFonts w:eastAsia="Calibri" w:cs="Calibri"/>
                <w:b/>
              </w:rPr>
              <w:t>Natural increase</w:t>
            </w:r>
            <w:r w:rsidRPr="0044695E">
              <w:rPr>
                <w:rFonts w:eastAsia="Calibri" w:cs="Calibri"/>
                <w:bCs/>
              </w:rPr>
              <w:t xml:space="preserve"> over the year </w:t>
            </w:r>
            <w:r>
              <w:rPr>
                <w:rFonts w:eastAsia="Calibri" w:cs="Calibri"/>
                <w:bCs/>
              </w:rPr>
              <w:t>ending</w:t>
            </w:r>
            <w:r w:rsidRPr="0044695E">
              <w:rPr>
                <w:rFonts w:eastAsia="Calibri" w:cs="Calibri"/>
                <w:bCs/>
              </w:rPr>
              <w:t xml:space="preserve"> March 2021 was 131,</w:t>
            </w:r>
            <w:r w:rsidR="00817AE9">
              <w:rPr>
                <w:rFonts w:eastAsia="Calibri" w:cs="Calibri"/>
                <w:bCs/>
              </w:rPr>
              <w:t>0</w:t>
            </w:r>
            <w:r w:rsidRPr="0044695E">
              <w:rPr>
                <w:rFonts w:eastAsia="Calibri" w:cs="Calibri"/>
                <w:bCs/>
              </w:rPr>
              <w:t>00 people</w:t>
            </w:r>
            <w:r>
              <w:rPr>
                <w:rFonts w:eastAsia="Calibri" w:cs="Calibri"/>
                <w:bCs/>
              </w:rPr>
              <w:t>, comprising 293,500 births less 162,500 deaths</w:t>
            </w:r>
            <w:r w:rsidRPr="0044695E">
              <w:rPr>
                <w:rFonts w:eastAsia="Calibri" w:cs="Calibri"/>
                <w:bCs/>
              </w:rPr>
              <w:t xml:space="preserve">. </w:t>
            </w:r>
            <w:r w:rsidRPr="0044695E">
              <w:rPr>
                <w:rFonts w:eastAsia="Calibri" w:cs="Calibri"/>
              </w:rPr>
              <w:t>Annual births decreased slightly to 29</w:t>
            </w:r>
            <w:r>
              <w:rPr>
                <w:rFonts w:eastAsia="Calibri" w:cs="Calibri"/>
              </w:rPr>
              <w:t>3</w:t>
            </w:r>
            <w:r w:rsidRPr="0044695E">
              <w:rPr>
                <w:rFonts w:eastAsia="Calibri" w:cs="Calibri"/>
              </w:rPr>
              <w:t>,</w:t>
            </w:r>
            <w:r>
              <w:rPr>
                <w:rFonts w:eastAsia="Calibri" w:cs="Calibri"/>
              </w:rPr>
              <w:t>5</w:t>
            </w:r>
            <w:r w:rsidRPr="0044695E">
              <w:rPr>
                <w:rFonts w:eastAsia="Calibri" w:cs="Calibri"/>
              </w:rPr>
              <w:t xml:space="preserve">00, down 8,600 from the year </w:t>
            </w:r>
            <w:r>
              <w:rPr>
                <w:rFonts w:eastAsia="Calibri" w:cs="Calibri"/>
              </w:rPr>
              <w:t>ending</w:t>
            </w:r>
            <w:r w:rsidRPr="0044695E">
              <w:rPr>
                <w:rFonts w:eastAsia="Calibri" w:cs="Calibri"/>
              </w:rPr>
              <w:t xml:space="preserve"> March 2020</w:t>
            </w:r>
            <w:r>
              <w:rPr>
                <w:rFonts w:eastAsia="Calibri" w:cs="Calibri"/>
              </w:rPr>
              <w:t xml:space="preserve">, although births for the March 2021 quarter itself were higher than for the March 2020 quarter nationally (see Chart 3) and for </w:t>
            </w:r>
            <w:r w:rsidRPr="0044695E">
              <w:rPr>
                <w:rFonts w:eastAsia="Calibri" w:cs="Calibri"/>
              </w:rPr>
              <w:t>all states and territories except for Victoria.</w:t>
            </w:r>
            <w:r>
              <w:rPr>
                <w:rFonts w:eastAsia="Calibri" w:cs="Calibri"/>
              </w:rPr>
              <w:t xml:space="preserve"> </w:t>
            </w:r>
            <w:r w:rsidRPr="0044695E">
              <w:t xml:space="preserve">This is the first quarter </w:t>
            </w:r>
            <w:r>
              <w:t xml:space="preserve">where </w:t>
            </w:r>
            <w:r w:rsidR="002C778A">
              <w:t>all</w:t>
            </w:r>
            <w:r>
              <w:t xml:space="preserve"> the births are the result of conceptions that would have taken place following the outbreak of the COVID</w:t>
            </w:r>
            <w:r>
              <w:noBreakHyphen/>
              <w:t xml:space="preserve">19 pandemic in Australia. </w:t>
            </w:r>
          </w:p>
          <w:p w14:paraId="32817F69" w14:textId="1F2B0BC6" w:rsidR="00364843" w:rsidRPr="0044695E" w:rsidRDefault="00E85D42" w:rsidP="0044695E">
            <w:pPr>
              <w:pStyle w:val="Heading9"/>
              <w:pBdr>
                <w:top w:val="none" w:sz="0" w:space="0" w:color="auto"/>
              </w:pBdr>
            </w:pPr>
            <w:r w:rsidRPr="0044695E">
              <w:t>BIRTH NUMBERS, QUARTERLY</w:t>
            </w:r>
          </w:p>
          <w:p w14:paraId="454EC322" w14:textId="6D56CAAA" w:rsidR="00E85D42" w:rsidRPr="0044695E" w:rsidRDefault="00154C8D" w:rsidP="00F31639">
            <w:pPr>
              <w:rPr>
                <w:rFonts w:eastAsia="Calibri" w:cs="Calibri"/>
                <w:b/>
                <w:bCs/>
              </w:rPr>
            </w:pPr>
            <w:r>
              <w:rPr>
                <w:noProof/>
              </w:rPr>
              <w:drawing>
                <wp:inline distT="0" distB="0" distL="0" distR="0" wp14:anchorId="2374F748" wp14:editId="593F4884">
                  <wp:extent cx="5560060" cy="26155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60060" cy="2615565"/>
                          </a:xfrm>
                          <a:prstGeom prst="rect">
                            <a:avLst/>
                          </a:prstGeom>
                          <a:noFill/>
                        </pic:spPr>
                      </pic:pic>
                    </a:graphicData>
                  </a:graphic>
                </wp:inline>
              </w:drawing>
            </w:r>
          </w:p>
          <w:p w14:paraId="64A90131" w14:textId="49226E65" w:rsidR="008852F9" w:rsidRPr="0044695E" w:rsidRDefault="004E1632" w:rsidP="008852F9">
            <w:r w:rsidRPr="0044695E">
              <w:t>T</w:t>
            </w:r>
            <w:r w:rsidR="008852F9" w:rsidRPr="0044695E">
              <w:t xml:space="preserve">he number of deaths in Australia decreased slightly </w:t>
            </w:r>
            <w:r w:rsidR="00880B08" w:rsidRPr="0044695E">
              <w:t xml:space="preserve">to 162,500 </w:t>
            </w:r>
            <w:r w:rsidR="008852F9" w:rsidRPr="0044695E">
              <w:t xml:space="preserve">people in the year </w:t>
            </w:r>
            <w:r w:rsidR="000F6C7F">
              <w:t>ending</w:t>
            </w:r>
            <w:r w:rsidR="000F6C7F" w:rsidRPr="0044695E">
              <w:t xml:space="preserve"> </w:t>
            </w:r>
            <w:r w:rsidR="00756DA2" w:rsidRPr="0044695E">
              <w:t>March</w:t>
            </w:r>
            <w:r w:rsidR="008852F9" w:rsidRPr="0044695E">
              <w:t xml:space="preserve"> 202</w:t>
            </w:r>
            <w:r w:rsidR="00756DA2" w:rsidRPr="0044695E">
              <w:t>1</w:t>
            </w:r>
            <w:r w:rsidR="00405536" w:rsidRPr="0044695E">
              <w:t>,</w:t>
            </w:r>
            <w:r w:rsidR="00880B08" w:rsidRPr="0044695E">
              <w:t xml:space="preserve"> </w:t>
            </w:r>
            <w:r w:rsidR="00363FFF" w:rsidRPr="0044695E">
              <w:t xml:space="preserve">down 3,200 </w:t>
            </w:r>
            <w:r w:rsidR="00BF2075">
              <w:t xml:space="preserve">compared to </w:t>
            </w:r>
            <w:r w:rsidR="00363FFF" w:rsidRPr="0044695E">
              <w:t xml:space="preserve">the year </w:t>
            </w:r>
            <w:r w:rsidR="000F6C7F">
              <w:t xml:space="preserve">ending </w:t>
            </w:r>
            <w:r w:rsidR="00363FFF" w:rsidRPr="0044695E">
              <w:t>March 2020</w:t>
            </w:r>
            <w:r w:rsidR="008852F9" w:rsidRPr="0044695E">
              <w:t xml:space="preserve">. This decrease </w:t>
            </w:r>
            <w:r w:rsidR="00D97789" w:rsidRPr="0044695E">
              <w:t xml:space="preserve">could in part </w:t>
            </w:r>
            <w:r w:rsidR="00D025C8" w:rsidRPr="0044695E">
              <w:t>be a</w:t>
            </w:r>
            <w:r w:rsidR="008852F9" w:rsidRPr="0044695E">
              <w:t xml:space="preserve"> result of</w:t>
            </w:r>
            <w:r w:rsidR="00922FB5" w:rsidRPr="0044695E">
              <w:t xml:space="preserve"> </w:t>
            </w:r>
            <w:r w:rsidR="00D006FC" w:rsidRPr="0044695E">
              <w:t>pandemic-related</w:t>
            </w:r>
            <w:r w:rsidR="00922FB5" w:rsidRPr="0044695E">
              <w:t xml:space="preserve"> restrictions, social distancing, and better hygiene practices</w:t>
            </w:r>
            <w:r w:rsidR="00D97789" w:rsidRPr="0044695E">
              <w:t xml:space="preserve"> (also see </w:t>
            </w:r>
            <w:r w:rsidR="008852F9" w:rsidRPr="0044695E">
              <w:t xml:space="preserve">analysis of the Australian Bureau Statistics’, </w:t>
            </w:r>
            <w:hyperlink r:id="rId22" w:history="1">
              <w:r w:rsidR="008852F9" w:rsidRPr="0044695E">
                <w:rPr>
                  <w:rStyle w:val="Hyperlink"/>
                  <w:i/>
                  <w:iCs/>
                </w:rPr>
                <w:t>Provisional Mortality Statistics (January 2020 – December 2020)</w:t>
              </w:r>
            </w:hyperlink>
            <w:r w:rsidR="00D97789" w:rsidRPr="0044695E">
              <w:t>)</w:t>
            </w:r>
            <w:r w:rsidR="008852F9" w:rsidRPr="0044695E">
              <w:t>.</w:t>
            </w:r>
          </w:p>
          <w:p w14:paraId="4F9A428F" w14:textId="6EE782C4" w:rsidR="00F31639" w:rsidRPr="0044695E" w:rsidRDefault="003425FB" w:rsidP="00F31639">
            <w:pPr>
              <w:rPr>
                <w:rFonts w:eastAsia="Calibri" w:cs="Calibri"/>
              </w:rPr>
            </w:pPr>
            <w:r w:rsidRPr="000A1088">
              <w:rPr>
                <w:rFonts w:eastAsia="Calibri" w:cs="Calibri"/>
              </w:rPr>
              <w:t xml:space="preserve">The number of </w:t>
            </w:r>
            <w:proofErr w:type="gramStart"/>
            <w:r w:rsidRPr="000A1088">
              <w:rPr>
                <w:rFonts w:eastAsia="Calibri" w:cs="Calibri"/>
              </w:rPr>
              <w:t>interstate</w:t>
            </w:r>
            <w:proofErr w:type="gramEnd"/>
            <w:r w:rsidRPr="000A1088">
              <w:rPr>
                <w:rFonts w:eastAsia="Calibri" w:cs="Calibri"/>
              </w:rPr>
              <w:t xml:space="preserve"> moves </w:t>
            </w:r>
            <w:r w:rsidR="00EA3495" w:rsidRPr="000A1088">
              <w:rPr>
                <w:rFonts w:eastAsia="Calibri" w:cs="Calibri"/>
              </w:rPr>
              <w:t xml:space="preserve">in </w:t>
            </w:r>
            <w:r w:rsidRPr="000A1088">
              <w:rPr>
                <w:rFonts w:eastAsia="Calibri" w:cs="Calibri"/>
              </w:rPr>
              <w:t>March 2021 quarter remained stea</w:t>
            </w:r>
            <w:r w:rsidR="00244D92" w:rsidRPr="000A1088">
              <w:rPr>
                <w:rFonts w:eastAsia="Calibri" w:cs="Calibri"/>
              </w:rPr>
              <w:t>dy at 1</w:t>
            </w:r>
            <w:r w:rsidR="005D570D" w:rsidRPr="000A1088">
              <w:rPr>
                <w:rFonts w:eastAsia="Calibri" w:cs="Calibri"/>
              </w:rPr>
              <w:t>04</w:t>
            </w:r>
            <w:r w:rsidR="00244D92" w:rsidRPr="000A1088">
              <w:rPr>
                <w:rFonts w:eastAsia="Calibri" w:cs="Calibri"/>
              </w:rPr>
              <w:t xml:space="preserve">,100, decreasing by only 600 </w:t>
            </w:r>
            <w:r w:rsidR="00BF2075">
              <w:rPr>
                <w:rFonts w:eastAsia="Calibri" w:cs="Calibri"/>
              </w:rPr>
              <w:t xml:space="preserve">compared to </w:t>
            </w:r>
            <w:r w:rsidR="00244D92" w:rsidRPr="000A1088">
              <w:rPr>
                <w:rFonts w:eastAsia="Calibri" w:cs="Calibri"/>
              </w:rPr>
              <w:t>the previous quarter.</w:t>
            </w:r>
            <w:r w:rsidR="003A4DAF" w:rsidRPr="000A1088">
              <w:rPr>
                <w:rFonts w:eastAsia="Calibri" w:cs="Calibri"/>
              </w:rPr>
              <w:t xml:space="preserve"> This is the second quarter to experience growth in annual </w:t>
            </w:r>
            <w:r w:rsidR="00283988" w:rsidRPr="000A1088">
              <w:rPr>
                <w:rFonts w:eastAsia="Calibri" w:cs="Calibri"/>
                <w:b/>
                <w:color w:val="000000"/>
              </w:rPr>
              <w:t>net interstate</w:t>
            </w:r>
            <w:r w:rsidR="00283988" w:rsidRPr="0044695E">
              <w:rPr>
                <w:rFonts w:eastAsia="Calibri" w:cs="Calibri"/>
                <w:b/>
                <w:color w:val="000000"/>
              </w:rPr>
              <w:t xml:space="preserve"> migration</w:t>
            </w:r>
            <w:r w:rsidR="000D45C1" w:rsidRPr="0044695E">
              <w:rPr>
                <w:rFonts w:eastAsia="Calibri" w:cs="Calibri"/>
                <w:b/>
                <w:color w:val="000000"/>
              </w:rPr>
              <w:t xml:space="preserve"> (</w:t>
            </w:r>
            <w:r w:rsidR="00283988" w:rsidRPr="0044695E">
              <w:rPr>
                <w:rFonts w:eastAsia="Calibri" w:cs="Calibri"/>
                <w:b/>
                <w:color w:val="000000"/>
              </w:rPr>
              <w:t xml:space="preserve">NIM) </w:t>
            </w:r>
            <w:r w:rsidR="003A4DAF" w:rsidRPr="0044695E">
              <w:rPr>
                <w:rFonts w:eastAsia="Calibri" w:cs="Calibri"/>
              </w:rPr>
              <w:t>since the onset of the pandemic</w:t>
            </w:r>
            <w:r w:rsidR="000F6C7F">
              <w:rPr>
                <w:rFonts w:eastAsia="Calibri" w:cs="Calibri"/>
              </w:rPr>
              <w:t xml:space="preserve"> </w:t>
            </w:r>
            <w:r w:rsidR="003A4DAF" w:rsidRPr="0044695E">
              <w:rPr>
                <w:rFonts w:eastAsia="Calibri" w:cs="Calibri"/>
              </w:rPr>
              <w:t>(also see analysis of the Australian Bureau of Statistics’</w:t>
            </w:r>
            <w:hyperlink r:id="rId23" w:history="1">
              <w:r w:rsidR="002259F6">
                <w:t xml:space="preserve"> </w:t>
              </w:r>
              <w:r w:rsidR="002259F6" w:rsidRPr="002259F6">
                <w:rPr>
                  <w:rStyle w:val="Hyperlink"/>
                  <w:rFonts w:eastAsia="Calibri" w:cs="Calibri"/>
                  <w:i/>
                  <w:iCs/>
                </w:rPr>
                <w:t>Provisional Regional Internal Migration Estimates</w:t>
              </w:r>
              <w:r w:rsidR="003A4DAF" w:rsidRPr="0044695E">
                <w:rPr>
                  <w:rStyle w:val="Hyperlink"/>
                  <w:rFonts w:eastAsia="Calibri" w:cs="Calibri"/>
                  <w:i/>
                  <w:iCs/>
                </w:rPr>
                <w:t xml:space="preserve"> (M</w:t>
              </w:r>
              <w:r w:rsidR="003A4DAF" w:rsidRPr="0044695E">
                <w:rPr>
                  <w:rStyle w:val="Hyperlink"/>
                  <w:i/>
                  <w:iCs/>
                </w:rPr>
                <w:t>arch</w:t>
              </w:r>
              <w:r w:rsidR="003A4DAF" w:rsidRPr="0044695E">
                <w:rPr>
                  <w:rStyle w:val="Hyperlink"/>
                  <w:rFonts w:eastAsia="Calibri" w:cs="Calibri"/>
                  <w:i/>
                  <w:iCs/>
                </w:rPr>
                <w:t xml:space="preserve"> 2021)</w:t>
              </w:r>
            </w:hyperlink>
            <w:r w:rsidR="003A4DAF" w:rsidRPr="0044695E">
              <w:rPr>
                <w:rFonts w:eastAsia="Calibri" w:cs="Calibri"/>
              </w:rPr>
              <w:t>)</w:t>
            </w:r>
            <w:r w:rsidR="00ED7E98" w:rsidRPr="0044695E">
              <w:rPr>
                <w:rFonts w:eastAsia="Calibri" w:cs="Calibri"/>
              </w:rPr>
              <w:t>.</w:t>
            </w:r>
            <w:r w:rsidR="00402BBA" w:rsidRPr="0044695E">
              <w:rPr>
                <w:rFonts w:eastAsia="Calibri" w:cs="Calibri"/>
              </w:rPr>
              <w:t xml:space="preserve"> However,</w:t>
            </w:r>
            <w:r w:rsidR="00ED7E98" w:rsidRPr="0044695E">
              <w:rPr>
                <w:rFonts w:eastAsia="Calibri" w:cs="Calibri"/>
              </w:rPr>
              <w:t xml:space="preserve"> compared to year </w:t>
            </w:r>
            <w:r w:rsidR="006D11FA">
              <w:rPr>
                <w:rFonts w:eastAsia="Calibri" w:cs="Calibri"/>
              </w:rPr>
              <w:t>ending</w:t>
            </w:r>
            <w:r w:rsidR="00ED7E98" w:rsidRPr="0044695E">
              <w:rPr>
                <w:rFonts w:eastAsia="Calibri" w:cs="Calibri"/>
              </w:rPr>
              <w:t xml:space="preserve"> March 2020, </w:t>
            </w:r>
            <w:r w:rsidR="00283988" w:rsidRPr="0044695E">
              <w:rPr>
                <w:rFonts w:eastAsia="Calibri" w:cs="Calibri"/>
              </w:rPr>
              <w:t>NIM</w:t>
            </w:r>
            <w:r w:rsidR="00D05994" w:rsidRPr="0044695E">
              <w:rPr>
                <w:rFonts w:eastAsia="Calibri" w:cs="Calibri"/>
                <w:bCs/>
                <w:color w:val="000000"/>
              </w:rPr>
              <w:t xml:space="preserve"> </w:t>
            </w:r>
            <w:r w:rsidR="00ED7E98" w:rsidRPr="0044695E">
              <w:rPr>
                <w:rFonts w:eastAsia="Calibri" w:cs="Calibri"/>
                <w:bCs/>
                <w:color w:val="000000"/>
              </w:rPr>
              <w:t>decreased</w:t>
            </w:r>
            <w:r w:rsidR="00E838DA" w:rsidRPr="0044695E">
              <w:rPr>
                <w:rFonts w:eastAsia="Calibri" w:cs="Calibri"/>
                <w:b/>
                <w:color w:val="000000"/>
              </w:rPr>
              <w:t xml:space="preserve"> </w:t>
            </w:r>
            <w:r w:rsidR="00D05994" w:rsidRPr="0044695E">
              <w:rPr>
                <w:rFonts w:eastAsia="Calibri" w:cs="Calibri"/>
              </w:rPr>
              <w:t xml:space="preserve">by </w:t>
            </w:r>
            <w:r w:rsidR="00ED7E98" w:rsidRPr="0044695E">
              <w:rPr>
                <w:rFonts w:eastAsia="Calibri" w:cs="Calibri"/>
              </w:rPr>
              <w:t>3</w:t>
            </w:r>
            <w:r w:rsidR="00E838DA" w:rsidRPr="0044695E">
              <w:rPr>
                <w:rFonts w:eastAsia="Calibri" w:cs="Calibri"/>
              </w:rPr>
              <w:t>.</w:t>
            </w:r>
            <w:r w:rsidR="00ED7E98" w:rsidRPr="0044695E">
              <w:rPr>
                <w:rFonts w:eastAsia="Calibri" w:cs="Calibri"/>
              </w:rPr>
              <w:t>4</w:t>
            </w:r>
            <w:r w:rsidR="00E838DA" w:rsidRPr="0044695E">
              <w:rPr>
                <w:rFonts w:eastAsia="Calibri" w:cs="Calibri"/>
              </w:rPr>
              <w:t xml:space="preserve"> </w:t>
            </w:r>
            <w:r w:rsidR="00D05994" w:rsidRPr="0044695E">
              <w:rPr>
                <w:rFonts w:eastAsia="Calibri" w:cs="Calibri"/>
              </w:rPr>
              <w:t>per cent</w:t>
            </w:r>
            <w:r w:rsidR="00ED7E98" w:rsidRPr="0044695E">
              <w:rPr>
                <w:rFonts w:eastAsia="Calibri" w:cs="Calibri"/>
              </w:rPr>
              <w:t>.</w:t>
            </w:r>
            <w:r w:rsidR="00D05994" w:rsidRPr="0044695E">
              <w:rPr>
                <w:rFonts w:eastAsia="Calibri" w:cs="Calibri"/>
              </w:rPr>
              <w:t xml:space="preserve"> </w:t>
            </w:r>
          </w:p>
          <w:p w14:paraId="7599562B" w14:textId="3196C9F5" w:rsidR="00405AD5" w:rsidRPr="0044695E" w:rsidRDefault="00F31639" w:rsidP="00834409">
            <w:pPr>
              <w:pStyle w:val="Heading3"/>
              <w:rPr>
                <w:b w:val="0"/>
              </w:rPr>
            </w:pPr>
            <w:r w:rsidRPr="0044695E">
              <w:t>State and territory outcomes</w:t>
            </w:r>
            <w:r w:rsidR="00405AD5" w:rsidRPr="0044695E">
              <w:t xml:space="preserve"> </w:t>
            </w:r>
          </w:p>
          <w:p w14:paraId="150DAFDE" w14:textId="26D32773" w:rsidR="00F60F10" w:rsidRPr="0044695E" w:rsidRDefault="00574D15" w:rsidP="00F60F10">
            <w:pPr>
              <w:rPr>
                <w:rFonts w:eastAsia="Calibri"/>
              </w:rPr>
            </w:pPr>
            <w:proofErr w:type="gramStart"/>
            <w:r>
              <w:rPr>
                <w:rFonts w:eastAsia="Calibri" w:cs="Calibri"/>
              </w:rPr>
              <w:t>With the exception of</w:t>
            </w:r>
            <w:proofErr w:type="gramEnd"/>
            <w:r>
              <w:rPr>
                <w:rFonts w:eastAsia="Calibri" w:cs="Calibri"/>
              </w:rPr>
              <w:t xml:space="preserve"> Victoria, a</w:t>
            </w:r>
            <w:r w:rsidRPr="0044695E">
              <w:rPr>
                <w:rFonts w:eastAsia="Calibri" w:cs="Calibri"/>
              </w:rPr>
              <w:t xml:space="preserve">ll states and territories </w:t>
            </w:r>
            <w:r>
              <w:rPr>
                <w:rFonts w:eastAsia="Calibri" w:cs="Calibri"/>
              </w:rPr>
              <w:t xml:space="preserve">recorded low but </w:t>
            </w:r>
            <w:r w:rsidRPr="0044695E">
              <w:rPr>
                <w:rFonts w:eastAsia="Calibri" w:cs="Calibri"/>
              </w:rPr>
              <w:t>positive population growth over the year ending March 2021</w:t>
            </w:r>
            <w:r>
              <w:rPr>
                <w:rFonts w:eastAsia="Calibri" w:cs="Calibri"/>
              </w:rPr>
              <w:t xml:space="preserve"> </w:t>
            </w:r>
            <w:r w:rsidRPr="0044695E">
              <w:rPr>
                <w:rFonts w:eastAsia="Calibri" w:cs="Calibri"/>
              </w:rPr>
              <w:t xml:space="preserve">(Chart </w:t>
            </w:r>
            <w:r>
              <w:rPr>
                <w:rFonts w:eastAsia="Calibri" w:cs="Calibri"/>
              </w:rPr>
              <w:t>4</w:t>
            </w:r>
            <w:r w:rsidRPr="0044695E">
              <w:rPr>
                <w:rFonts w:eastAsia="Calibri" w:cs="Calibri"/>
              </w:rPr>
              <w:t xml:space="preserve">). Queensland had the highest </w:t>
            </w:r>
            <w:r>
              <w:rPr>
                <w:rFonts w:eastAsia="Calibri" w:cs="Calibri"/>
              </w:rPr>
              <w:t xml:space="preserve">annual </w:t>
            </w:r>
            <w:r w:rsidRPr="0044695E">
              <w:rPr>
                <w:rFonts w:eastAsia="Calibri" w:cs="Calibri"/>
              </w:rPr>
              <w:t>growth rate (0.9 per cent) and Victoria had the lowest (-0.6 per cent).</w:t>
            </w:r>
            <w:r>
              <w:rPr>
                <w:rFonts w:eastAsia="Calibri" w:cs="Calibri"/>
              </w:rPr>
              <w:t xml:space="preserve"> </w:t>
            </w:r>
            <w:r w:rsidRPr="0044695E">
              <w:t xml:space="preserve">Victoria </w:t>
            </w:r>
            <w:r>
              <w:t xml:space="preserve">recorded its third consecutive </w:t>
            </w:r>
            <w:r w:rsidRPr="0044695E">
              <w:t xml:space="preserve">quarterly decline in </w:t>
            </w:r>
            <w:r w:rsidRPr="0044695E">
              <w:lastRenderedPageBreak/>
              <w:t>population, with its population falling by 8,600 people over the quarter.</w:t>
            </w:r>
            <w:r>
              <w:t xml:space="preserve"> All the states recorded negative NOM </w:t>
            </w:r>
            <w:r w:rsidR="00BF2075">
              <w:t xml:space="preserve">for the </w:t>
            </w:r>
            <w:r>
              <w:t xml:space="preserve">year ending March 2021. </w:t>
            </w:r>
          </w:p>
          <w:p w14:paraId="71D5E6D9" w14:textId="1A927AA3" w:rsidR="00D569AF" w:rsidRPr="0044695E" w:rsidRDefault="00F31639" w:rsidP="00D569AF">
            <w:pPr>
              <w:pStyle w:val="Heading9"/>
            </w:pPr>
            <w:r w:rsidRPr="0044695E">
              <w:t>State and territory population growth (per cent), year ending</w:t>
            </w:r>
            <w:r w:rsidR="005A3BF2">
              <w:t xml:space="preserve"> quarterly</w:t>
            </w:r>
          </w:p>
          <w:p w14:paraId="77FD678C" w14:textId="03B523AD" w:rsidR="00D569AF" w:rsidRPr="0044695E" w:rsidRDefault="00F60F10" w:rsidP="00D569AF">
            <w:r w:rsidRPr="0044695E">
              <w:rPr>
                <w:noProof/>
              </w:rPr>
              <w:drawing>
                <wp:inline distT="0" distB="0" distL="0" distR="0" wp14:anchorId="0096831E" wp14:editId="1A8F4900">
                  <wp:extent cx="5700395" cy="2420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00395" cy="2420620"/>
                          </a:xfrm>
                          <a:prstGeom prst="rect">
                            <a:avLst/>
                          </a:prstGeom>
                          <a:noFill/>
                        </pic:spPr>
                      </pic:pic>
                    </a:graphicData>
                  </a:graphic>
                </wp:inline>
              </w:drawing>
            </w:r>
          </w:p>
          <w:p w14:paraId="19E47539" w14:textId="0D9D24F9" w:rsidR="00AA57B2" w:rsidRDefault="00AA57B2" w:rsidP="00574D15">
            <w:pPr>
              <w:rPr>
                <w:rFonts w:eastAsia="Calibri" w:cs="Calibri"/>
              </w:rPr>
            </w:pPr>
            <w:r w:rsidRPr="00AA57B2">
              <w:rPr>
                <w:rFonts w:eastAsia="Calibri" w:cs="Calibri"/>
              </w:rPr>
              <w:t xml:space="preserve">Following national trends, population growth for the quarter in all states and territories was mainly driven by natural increase. Compared to the March quarter in the previous year there were more births in all jurisdictions except for Victoria and more deaths over the same period in all states except in </w:t>
            </w:r>
            <w:r w:rsidR="004044BC">
              <w:rPr>
                <w:rFonts w:eastAsia="Calibri" w:cs="Calibri"/>
              </w:rPr>
              <w:t xml:space="preserve">Australian Capital Territory </w:t>
            </w:r>
            <w:r w:rsidRPr="00AA57B2">
              <w:rPr>
                <w:rFonts w:eastAsia="Calibri" w:cs="Calibri"/>
              </w:rPr>
              <w:t>and the Northern Territory (Chart 5).</w:t>
            </w:r>
          </w:p>
          <w:p w14:paraId="3F07A45E" w14:textId="321CCF0E" w:rsidR="00F31639" w:rsidRPr="0044695E" w:rsidRDefault="00F31639" w:rsidP="008E0014">
            <w:pPr>
              <w:pStyle w:val="Heading9"/>
            </w:pPr>
            <w:r w:rsidRPr="0044695E">
              <w:t xml:space="preserve">State and territory population growth (no. people), quarterly, </w:t>
            </w:r>
            <w:r w:rsidR="005A3BF2">
              <w:t>March 2021</w:t>
            </w:r>
          </w:p>
          <w:p w14:paraId="03911043" w14:textId="1640215B" w:rsidR="00DC62D9" w:rsidRPr="0044695E" w:rsidRDefault="00154C8D" w:rsidP="00DC62D9">
            <w:r>
              <w:rPr>
                <w:noProof/>
              </w:rPr>
              <w:drawing>
                <wp:inline distT="0" distB="0" distL="0" distR="0" wp14:anchorId="101DD80C" wp14:editId="63F6089E">
                  <wp:extent cx="5578475" cy="251777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78475" cy="2517775"/>
                          </a:xfrm>
                          <a:prstGeom prst="rect">
                            <a:avLst/>
                          </a:prstGeom>
                          <a:noFill/>
                        </pic:spPr>
                      </pic:pic>
                    </a:graphicData>
                  </a:graphic>
                </wp:inline>
              </w:drawing>
            </w:r>
          </w:p>
          <w:p w14:paraId="61D93D2E" w14:textId="2A4FA1D3" w:rsidR="00574D15" w:rsidRPr="0044695E" w:rsidRDefault="00300B76" w:rsidP="00574D15">
            <w:pPr>
              <w:pStyle w:val="Bullet"/>
              <w:spacing w:before="0" w:after="200"/>
            </w:pPr>
            <w:r w:rsidRPr="00300B76">
              <w:rPr>
                <w:b/>
              </w:rPr>
              <w:t xml:space="preserve">Victoria’s </w:t>
            </w:r>
            <w:r w:rsidRPr="00BF2075">
              <w:rPr>
                <w:bCs/>
              </w:rPr>
              <w:t xml:space="preserve">annual population growth of -0.6 per cent is the lowest on record </w:t>
            </w:r>
            <w:r w:rsidR="00BF2075">
              <w:rPr>
                <w:bCs/>
              </w:rPr>
              <w:t xml:space="preserve">for the state </w:t>
            </w:r>
            <w:r w:rsidRPr="00BF2075">
              <w:rPr>
                <w:bCs/>
              </w:rPr>
              <w:t>in over one hundred years</w:t>
            </w:r>
            <w:r w:rsidRPr="00300B76">
              <w:rPr>
                <w:b/>
              </w:rPr>
              <w:t>.</w:t>
            </w:r>
            <w:r>
              <w:rPr>
                <w:b/>
              </w:rPr>
              <w:t xml:space="preserve"> </w:t>
            </w:r>
            <w:r w:rsidR="00944613" w:rsidRPr="00944613">
              <w:rPr>
                <w:bCs/>
                <w:shd w:val="clear" w:color="auto" w:fill="FFFFFF" w:themeFill="background1"/>
              </w:rPr>
              <w:t>This has taken Victoria from the fastest growing state for the year ending March 2020 to the slowest for the latest year</w:t>
            </w:r>
            <w:r w:rsidR="00574D15" w:rsidRPr="00754C9A">
              <w:rPr>
                <w:bCs/>
                <w:shd w:val="clear" w:color="auto" w:fill="FFFFFF" w:themeFill="background1"/>
              </w:rPr>
              <w:t>.</w:t>
            </w:r>
            <w:r w:rsidR="00574D15" w:rsidRPr="00754C9A">
              <w:rPr>
                <w:bCs/>
              </w:rPr>
              <w:t xml:space="preserve"> The state’s historically low growth </w:t>
            </w:r>
            <w:r w:rsidR="00574D15" w:rsidRPr="000B0DBC">
              <w:rPr>
                <w:bCs/>
              </w:rPr>
              <w:t xml:space="preserve">was caused by large net outflows of </w:t>
            </w:r>
            <w:r w:rsidR="00BF2075">
              <w:rPr>
                <w:bCs/>
              </w:rPr>
              <w:t xml:space="preserve">both overseas </w:t>
            </w:r>
            <w:r w:rsidR="00574D15" w:rsidRPr="000B0DBC">
              <w:rPr>
                <w:bCs/>
              </w:rPr>
              <w:t xml:space="preserve">and interstate migrants, only partially offset by positive natural increase. </w:t>
            </w:r>
            <w:r w:rsidR="00574D15" w:rsidRPr="0044695E">
              <w:t>Most</w:t>
            </w:r>
            <w:r w:rsidR="00574D15" w:rsidRPr="000B0DBC">
              <w:rPr>
                <w:bCs/>
              </w:rPr>
              <w:t xml:space="preserve"> significantly, NOM to Victoria was -53,500 over the year </w:t>
            </w:r>
            <w:r w:rsidR="00574D15">
              <w:rPr>
                <w:bCs/>
              </w:rPr>
              <w:t>ending</w:t>
            </w:r>
            <w:r w:rsidR="00574D15" w:rsidRPr="000B0DBC">
              <w:rPr>
                <w:bCs/>
              </w:rPr>
              <w:t xml:space="preserve"> March 2021, a decrease of 129,400 from the year </w:t>
            </w:r>
            <w:r w:rsidR="00574D15">
              <w:rPr>
                <w:bCs/>
              </w:rPr>
              <w:t>ending</w:t>
            </w:r>
            <w:r w:rsidR="00574D15" w:rsidRPr="000B0DBC">
              <w:rPr>
                <w:bCs/>
              </w:rPr>
              <w:t xml:space="preserve"> March 2020.</w:t>
            </w:r>
          </w:p>
          <w:p w14:paraId="660CFE40" w14:textId="076077DB" w:rsidR="00574D15" w:rsidRPr="000B0DBC" w:rsidRDefault="00574D15" w:rsidP="00574D15">
            <w:pPr>
              <w:pStyle w:val="Bullet"/>
              <w:spacing w:before="0" w:after="200"/>
              <w:rPr>
                <w:bCs/>
              </w:rPr>
            </w:pPr>
            <w:r w:rsidRPr="000B0DBC">
              <w:rPr>
                <w:b/>
              </w:rPr>
              <w:t>New South Wales’</w:t>
            </w:r>
            <w:r w:rsidRPr="000848F9">
              <w:rPr>
                <w:bCs/>
              </w:rPr>
              <w:t xml:space="preserve"> annual population growth fell to 0.1 per cent in the year </w:t>
            </w:r>
            <w:r w:rsidRPr="000B0DBC">
              <w:rPr>
                <w:bCs/>
              </w:rPr>
              <w:t>ending March 2021 compared to 1.2 per cent in the year ending March 2020. This is the lowest</w:t>
            </w:r>
            <w:r w:rsidR="00BF2075">
              <w:rPr>
                <w:bCs/>
              </w:rPr>
              <w:t xml:space="preserve"> growth</w:t>
            </w:r>
            <w:r w:rsidRPr="000B0DBC">
              <w:rPr>
                <w:bCs/>
              </w:rPr>
              <w:t xml:space="preserve"> recorded </w:t>
            </w:r>
            <w:r w:rsidR="00001A0E">
              <w:rPr>
                <w:bCs/>
              </w:rPr>
              <w:t xml:space="preserve">for the state </w:t>
            </w:r>
            <w:r>
              <w:rPr>
                <w:bCs/>
              </w:rPr>
              <w:t xml:space="preserve">in over </w:t>
            </w:r>
            <w:r w:rsidR="00904BC5">
              <w:rPr>
                <w:bCs/>
              </w:rPr>
              <w:t>one hundred</w:t>
            </w:r>
            <w:r>
              <w:rPr>
                <w:bCs/>
              </w:rPr>
              <w:t xml:space="preserve"> years</w:t>
            </w:r>
            <w:r w:rsidRPr="000B0DBC">
              <w:rPr>
                <w:bCs/>
              </w:rPr>
              <w:t xml:space="preserve"> making it the next slowest growing after Victoria. The lower population growth </w:t>
            </w:r>
            <w:r w:rsidRPr="0044695E">
              <w:t>was driven by lower than usual NOM.</w:t>
            </w:r>
            <w:r>
              <w:t xml:space="preserve"> </w:t>
            </w:r>
            <w:r w:rsidRPr="000B0DBC">
              <w:rPr>
                <w:bCs/>
              </w:rPr>
              <w:t xml:space="preserve">NOM to NSW was -13,500 </w:t>
            </w:r>
            <w:r w:rsidR="00001A0E">
              <w:rPr>
                <w:bCs/>
              </w:rPr>
              <w:t xml:space="preserve">for </w:t>
            </w:r>
            <w:r w:rsidRPr="000B0DBC">
              <w:rPr>
                <w:bCs/>
              </w:rPr>
              <w:t xml:space="preserve">the year </w:t>
            </w:r>
            <w:r>
              <w:rPr>
                <w:bCs/>
              </w:rPr>
              <w:t>ending</w:t>
            </w:r>
            <w:r w:rsidRPr="000B0DBC">
              <w:rPr>
                <w:bCs/>
              </w:rPr>
              <w:t xml:space="preserve"> </w:t>
            </w:r>
            <w:proofErr w:type="gramStart"/>
            <w:r w:rsidRPr="000B0DBC">
              <w:rPr>
                <w:bCs/>
              </w:rPr>
              <w:t>March 2021</w:t>
            </w:r>
            <w:r w:rsidR="00001A0E">
              <w:rPr>
                <w:bCs/>
              </w:rPr>
              <w:t>, and</w:t>
            </w:r>
            <w:proofErr w:type="gramEnd"/>
            <w:r w:rsidR="00001A0E">
              <w:rPr>
                <w:bCs/>
              </w:rPr>
              <w:t xml:space="preserve"> is the </w:t>
            </w:r>
            <w:r w:rsidRPr="000B0DBC">
              <w:rPr>
                <w:bCs/>
              </w:rPr>
              <w:t>first time</w:t>
            </w:r>
            <w:r w:rsidR="00001A0E">
              <w:rPr>
                <w:bCs/>
              </w:rPr>
              <w:t xml:space="preserve"> the state has recorded annual negative NOM </w:t>
            </w:r>
            <w:r>
              <w:rPr>
                <w:bCs/>
              </w:rPr>
              <w:t xml:space="preserve">in the </w:t>
            </w:r>
            <w:r w:rsidR="00904BC5">
              <w:rPr>
                <w:bCs/>
              </w:rPr>
              <w:t xml:space="preserve">ERP </w:t>
            </w:r>
            <w:r>
              <w:rPr>
                <w:bCs/>
              </w:rPr>
              <w:t>series</w:t>
            </w:r>
            <w:r w:rsidRPr="000B0DBC">
              <w:rPr>
                <w:bCs/>
              </w:rPr>
              <w:t>.</w:t>
            </w:r>
          </w:p>
          <w:p w14:paraId="1B82D6B6" w14:textId="2F0E1AAF" w:rsidR="00574D15" w:rsidRPr="0044695E" w:rsidRDefault="00574D15" w:rsidP="00574D15">
            <w:pPr>
              <w:pStyle w:val="Bullet"/>
              <w:spacing w:before="0" w:after="200"/>
              <w:rPr>
                <w:bCs/>
              </w:rPr>
            </w:pPr>
            <w:r w:rsidRPr="0044695E">
              <w:rPr>
                <w:b/>
              </w:rPr>
              <w:lastRenderedPageBreak/>
              <w:t xml:space="preserve">Queensland’s </w:t>
            </w:r>
            <w:r w:rsidRPr="0044695E">
              <w:rPr>
                <w:bCs/>
              </w:rPr>
              <w:t>annual population growth slowed to 0.9 per cent compared to 1.7 per cent over</w:t>
            </w:r>
            <w:r>
              <w:rPr>
                <w:bCs/>
              </w:rPr>
              <w:t xml:space="preserve"> the year ending March</w:t>
            </w:r>
            <w:r w:rsidRPr="0044695E">
              <w:rPr>
                <w:bCs/>
              </w:rPr>
              <w:t xml:space="preserve"> 2020. </w:t>
            </w:r>
            <w:r>
              <w:rPr>
                <w:bCs/>
              </w:rPr>
              <w:t xml:space="preserve">This slowdown </w:t>
            </w:r>
            <w:r w:rsidR="00BB4A76">
              <w:rPr>
                <w:bCs/>
              </w:rPr>
              <w:t>wa</w:t>
            </w:r>
            <w:r>
              <w:rPr>
                <w:bCs/>
              </w:rPr>
              <w:t xml:space="preserve">s driven by </w:t>
            </w:r>
            <w:r w:rsidRPr="0044695E">
              <w:rPr>
                <w:bCs/>
              </w:rPr>
              <w:t xml:space="preserve">negative NOM for the year. While this is the lowest recorded rate of growth for the state since 1943, Queensland was the fastest growing jurisdiction over the year </w:t>
            </w:r>
            <w:r>
              <w:rPr>
                <w:bCs/>
              </w:rPr>
              <w:t>ending</w:t>
            </w:r>
            <w:r w:rsidRPr="0044695E">
              <w:rPr>
                <w:bCs/>
              </w:rPr>
              <w:t xml:space="preserve"> March 2021, mainly due to </w:t>
            </w:r>
            <w:r>
              <w:rPr>
                <w:bCs/>
              </w:rPr>
              <w:t xml:space="preserve">continuing net </w:t>
            </w:r>
            <w:r w:rsidRPr="0044695E">
              <w:rPr>
                <w:bCs/>
              </w:rPr>
              <w:t xml:space="preserve">inflows of interstate migrants. </w:t>
            </w:r>
          </w:p>
          <w:p w14:paraId="4A7F26E7" w14:textId="6E555574" w:rsidR="002B6973" w:rsidRPr="004A79B4" w:rsidRDefault="00574D15" w:rsidP="00CB10B7">
            <w:pPr>
              <w:pStyle w:val="Bullet"/>
              <w:spacing w:before="0" w:after="200"/>
              <w:rPr>
                <w:bCs/>
              </w:rPr>
            </w:pPr>
            <w:r w:rsidRPr="004A79B4">
              <w:rPr>
                <w:b/>
              </w:rPr>
              <w:t>South Australia’s</w:t>
            </w:r>
            <w:r w:rsidRPr="004A79B4">
              <w:rPr>
                <w:bCs/>
              </w:rPr>
              <w:t xml:space="preserve"> annual population growth dropped</w:t>
            </w:r>
            <w:r w:rsidR="00763624" w:rsidRPr="004A79B4">
              <w:rPr>
                <w:bCs/>
              </w:rPr>
              <w:t xml:space="preserve"> to</w:t>
            </w:r>
            <w:r w:rsidRPr="004A79B4">
              <w:rPr>
                <w:bCs/>
              </w:rPr>
              <w:t xml:space="preserve"> 0.2 per cent from 1.1 per cent over the year ending March 2020. This</w:t>
            </w:r>
            <w:r w:rsidRPr="004A79B4">
              <w:rPr>
                <w:bCs/>
                <w:shd w:val="clear" w:color="auto" w:fill="FFFFFF" w:themeFill="background1"/>
              </w:rPr>
              <w:t xml:space="preserve"> lower growth is attributable to negative NOM</w:t>
            </w:r>
            <w:r w:rsidR="004A79B4" w:rsidRPr="004A79B4">
              <w:rPr>
                <w:bCs/>
                <w:shd w:val="clear" w:color="auto" w:fill="FFFFFF" w:themeFill="background1"/>
              </w:rPr>
              <w:t>,</w:t>
            </w:r>
            <w:r w:rsidRPr="004A79B4">
              <w:rPr>
                <w:bCs/>
                <w:shd w:val="clear" w:color="auto" w:fill="FFFFFF" w:themeFill="background1"/>
              </w:rPr>
              <w:t xml:space="preserve"> as NIM and natural increase remained positive in South Australian in year ending March 2021. </w:t>
            </w:r>
            <w:r w:rsidR="002B6973" w:rsidRPr="004A79B4">
              <w:rPr>
                <w:shd w:val="clear" w:color="auto" w:fill="FFFFFF" w:themeFill="background1"/>
              </w:rPr>
              <w:t>The</w:t>
            </w:r>
            <w:r w:rsidR="00392053" w:rsidRPr="004A79B4">
              <w:rPr>
                <w:shd w:val="clear" w:color="auto" w:fill="FFFFFF" w:themeFill="background1"/>
              </w:rPr>
              <w:t xml:space="preserve"> positive</w:t>
            </w:r>
            <w:r w:rsidR="002B6973" w:rsidRPr="004A79B4">
              <w:rPr>
                <w:shd w:val="clear" w:color="auto" w:fill="FFFFFF" w:themeFill="background1"/>
              </w:rPr>
              <w:t xml:space="preserve"> NIM recorded in South Australia for the year </w:t>
            </w:r>
            <w:r w:rsidR="00392053" w:rsidRPr="004A79B4">
              <w:rPr>
                <w:shd w:val="clear" w:color="auto" w:fill="FFFFFF" w:themeFill="background1"/>
              </w:rPr>
              <w:t xml:space="preserve">was </w:t>
            </w:r>
            <w:r w:rsidR="002B6973" w:rsidRPr="004A79B4">
              <w:rPr>
                <w:shd w:val="clear" w:color="auto" w:fill="FFFFFF" w:themeFill="background1"/>
              </w:rPr>
              <w:t>likely due to some people who might normally move to Victoria remaining in South Australia.</w:t>
            </w:r>
          </w:p>
          <w:p w14:paraId="3C0A1225" w14:textId="29EC277A" w:rsidR="00400137" w:rsidRPr="004A79B4" w:rsidRDefault="00400137" w:rsidP="00574D15">
            <w:pPr>
              <w:pStyle w:val="Bullet"/>
              <w:spacing w:before="0" w:after="200"/>
              <w:rPr>
                <w:bCs/>
              </w:rPr>
            </w:pPr>
            <w:r w:rsidRPr="00400137">
              <w:rPr>
                <w:b/>
              </w:rPr>
              <w:t xml:space="preserve">Western Australia’s </w:t>
            </w:r>
            <w:r w:rsidRPr="004A79B4">
              <w:rPr>
                <w:bCs/>
              </w:rPr>
              <w:t>annual population growth decreased to 0.6 per cent compared to 1.7 per cent in the year ending March 2020.The state’s growth was primarily driven by natural increase and to</w:t>
            </w:r>
            <w:r>
              <w:rPr>
                <w:bCs/>
              </w:rPr>
              <w:t xml:space="preserve"> </w:t>
            </w:r>
            <w:r w:rsidRPr="004A79B4">
              <w:rPr>
                <w:bCs/>
              </w:rPr>
              <w:t xml:space="preserve">a lesser extent positive </w:t>
            </w:r>
            <w:r w:rsidR="004A79B4">
              <w:rPr>
                <w:bCs/>
              </w:rPr>
              <w:t xml:space="preserve">annual </w:t>
            </w:r>
            <w:r w:rsidRPr="004A79B4">
              <w:rPr>
                <w:bCs/>
              </w:rPr>
              <w:t xml:space="preserve">NIM for the first time since </w:t>
            </w:r>
            <w:r w:rsidR="008237EE">
              <w:rPr>
                <w:bCs/>
              </w:rPr>
              <w:t>the end of the 2013 calendar year</w:t>
            </w:r>
            <w:r w:rsidRPr="004A79B4">
              <w:rPr>
                <w:bCs/>
              </w:rPr>
              <w:t>.</w:t>
            </w:r>
          </w:p>
          <w:p w14:paraId="31390F31" w14:textId="4F5647B7" w:rsidR="00574D15" w:rsidRPr="0044695E" w:rsidRDefault="00574D15" w:rsidP="00574D15">
            <w:pPr>
              <w:pStyle w:val="Bullet"/>
              <w:spacing w:before="0" w:after="200"/>
              <w:rPr>
                <w:bCs/>
              </w:rPr>
            </w:pPr>
            <w:r w:rsidRPr="0044695E">
              <w:rPr>
                <w:b/>
              </w:rPr>
              <w:t>Tasmania’s</w:t>
            </w:r>
            <w:r w:rsidRPr="0044695E">
              <w:rPr>
                <w:bCs/>
              </w:rPr>
              <w:t xml:space="preserve"> annual population growth </w:t>
            </w:r>
            <w:r w:rsidRPr="0044695E">
              <w:t xml:space="preserve">dropped to 0.4 per cent </w:t>
            </w:r>
            <w:r>
              <w:t xml:space="preserve">compared to </w:t>
            </w:r>
            <w:r w:rsidRPr="0044695E">
              <w:t xml:space="preserve">1.2 per cent in the </w:t>
            </w:r>
            <w:r>
              <w:t xml:space="preserve">previous </w:t>
            </w:r>
            <w:r w:rsidRPr="0044695E">
              <w:t>year ending March 2020. Natural increase made the largest contribution to growth, followed closely by NIM.</w:t>
            </w:r>
          </w:p>
          <w:p w14:paraId="6A7E45AB" w14:textId="77777777" w:rsidR="00262F2B" w:rsidRPr="00B01C35" w:rsidRDefault="00262F2B" w:rsidP="00574D15">
            <w:pPr>
              <w:pStyle w:val="Bullet"/>
              <w:spacing w:before="0" w:after="200"/>
            </w:pPr>
            <w:r w:rsidRPr="00262F2B">
              <w:rPr>
                <w:bCs/>
              </w:rPr>
              <w:t xml:space="preserve">The </w:t>
            </w:r>
            <w:r w:rsidRPr="004A79B4">
              <w:rPr>
                <w:b/>
              </w:rPr>
              <w:t>Northern Territory</w:t>
            </w:r>
            <w:r w:rsidRPr="00262F2B">
              <w:rPr>
                <w:bCs/>
              </w:rPr>
              <w:t xml:space="preserve"> was the only jurisdiction to experience stronger population growth compared to a year ago. Annual population growth in the year ending March 2021 was 0.5 per cent, compared to 0.0 per cent in the year ending March 2020. Natural increase was the main driver of population growth for the Northern Territory, as well as relatively lower net interstate outflows.</w:t>
            </w:r>
          </w:p>
          <w:p w14:paraId="67815AAC" w14:textId="0509F811" w:rsidR="00574D15" w:rsidRPr="0044695E" w:rsidRDefault="00574D15" w:rsidP="00574D15">
            <w:pPr>
              <w:pStyle w:val="Bullet"/>
              <w:spacing w:before="0" w:after="200"/>
            </w:pPr>
            <w:r w:rsidRPr="0044695E">
              <w:t xml:space="preserve">The </w:t>
            </w:r>
            <w:r w:rsidRPr="0044695E">
              <w:rPr>
                <w:b/>
                <w:bCs/>
              </w:rPr>
              <w:t>Australian Capital Territory’s</w:t>
            </w:r>
            <w:r w:rsidRPr="0044695E">
              <w:t xml:space="preserve"> annual population growth slowed from 1.2 per cent in the year ending March 2020 to 0.4 per cent. The lower population growth was mainly due to negative NOM of 2,600 people for the year. </w:t>
            </w:r>
            <w:r>
              <w:t xml:space="preserve">NIM was positive </w:t>
            </w:r>
            <w:r w:rsidRPr="0044695E">
              <w:t xml:space="preserve">for the territory, offsetting some of NOM losses. </w:t>
            </w:r>
          </w:p>
          <w:p w14:paraId="2DF778E1" w14:textId="5BE91E15" w:rsidR="00F31639" w:rsidRPr="0044695E" w:rsidRDefault="00F31639" w:rsidP="00DC62D9">
            <w:pPr>
              <w:pStyle w:val="TableMainHeading"/>
              <w:spacing w:after="120"/>
              <w:ind w:left="992" w:hanging="992"/>
            </w:pPr>
            <w:r w:rsidRPr="0044695E">
              <w:t xml:space="preserve">Population </w:t>
            </w:r>
            <w:r w:rsidR="00DA5649" w:rsidRPr="0044695E">
              <w:t xml:space="preserve">and population </w:t>
            </w:r>
            <w:r w:rsidRPr="0044695E">
              <w:t>growth across Australia</w:t>
            </w:r>
          </w:p>
          <w:tbl>
            <w:tblPr>
              <w:tblW w:w="8969" w:type="dxa"/>
              <w:jc w:val="center"/>
              <w:tblBorders>
                <w:top w:val="single" w:sz="4" w:space="0" w:color="auto"/>
                <w:bottom w:val="single" w:sz="4" w:space="0" w:color="auto"/>
              </w:tblBorders>
              <w:tblLayout w:type="fixed"/>
              <w:tblLook w:val="04A0" w:firstRow="1" w:lastRow="0" w:firstColumn="1" w:lastColumn="0" w:noHBand="0" w:noVBand="1"/>
            </w:tblPr>
            <w:tblGrid>
              <w:gridCol w:w="969"/>
              <w:gridCol w:w="1333"/>
              <w:gridCol w:w="1333"/>
              <w:gridCol w:w="1334"/>
              <w:gridCol w:w="1333"/>
              <w:gridCol w:w="1333"/>
              <w:gridCol w:w="1334"/>
            </w:tblGrid>
            <w:tr w:rsidR="00555BE3" w:rsidRPr="0044695E" w14:paraId="1647E557" w14:textId="77777777" w:rsidTr="00555BE3">
              <w:trPr>
                <w:trHeight w:val="612"/>
                <w:jc w:val="center"/>
              </w:trPr>
              <w:tc>
                <w:tcPr>
                  <w:tcW w:w="969" w:type="dxa"/>
                  <w:tcBorders>
                    <w:top w:val="single" w:sz="4" w:space="0" w:color="002C47" w:themeColor="accent1"/>
                    <w:bottom w:val="single" w:sz="4" w:space="0" w:color="002C47" w:themeColor="accent1"/>
                  </w:tcBorders>
                  <w:shd w:val="clear" w:color="auto" w:fill="auto"/>
                  <w:noWrap/>
                  <w:tcMar>
                    <w:left w:w="28" w:type="dxa"/>
                    <w:right w:w="0" w:type="dxa"/>
                  </w:tcMar>
                  <w:hideMark/>
                </w:tcPr>
                <w:p w14:paraId="7B274507" w14:textId="77777777" w:rsidR="00555BE3" w:rsidRPr="0044695E" w:rsidRDefault="00555BE3" w:rsidP="00555BE3">
                  <w:pPr>
                    <w:spacing w:before="40" w:after="40" w:line="276" w:lineRule="auto"/>
                    <w:rPr>
                      <w:rFonts w:asciiTheme="minorHAnsi" w:eastAsia="Times New Roman" w:hAnsiTheme="minorHAnsi" w:cstheme="minorHAnsi"/>
                      <w:b/>
                      <w:bCs/>
                      <w:color w:val="002C47" w:themeColor="accent1"/>
                      <w:sz w:val="18"/>
                      <w:szCs w:val="18"/>
                      <w:lang w:eastAsia="en-AU"/>
                    </w:rPr>
                  </w:pPr>
                  <w:r w:rsidRPr="0044695E">
                    <w:rPr>
                      <w:rFonts w:asciiTheme="minorHAnsi" w:eastAsia="Times New Roman" w:hAnsiTheme="minorHAnsi" w:cstheme="minorHAnsi"/>
                      <w:b/>
                      <w:bCs/>
                      <w:color w:val="002C47" w:themeColor="accent1"/>
                      <w:sz w:val="18"/>
                      <w:szCs w:val="18"/>
                      <w:lang w:eastAsia="en-AU"/>
                    </w:rPr>
                    <w:t>State</w:t>
                  </w:r>
                </w:p>
              </w:tc>
              <w:tc>
                <w:tcPr>
                  <w:tcW w:w="1333" w:type="dxa"/>
                  <w:tcBorders>
                    <w:top w:val="single" w:sz="4" w:space="0" w:color="002C47" w:themeColor="accent1"/>
                    <w:bottom w:val="single" w:sz="4" w:space="0" w:color="002C47" w:themeColor="accent1"/>
                  </w:tcBorders>
                  <w:shd w:val="clear" w:color="auto" w:fill="auto"/>
                  <w:tcMar>
                    <w:left w:w="28" w:type="dxa"/>
                    <w:right w:w="0" w:type="dxa"/>
                  </w:tcMar>
                  <w:hideMark/>
                </w:tcPr>
                <w:p w14:paraId="2C90119C" w14:textId="77777777" w:rsidR="00555BE3" w:rsidRPr="0044695E" w:rsidRDefault="00555BE3" w:rsidP="00555BE3">
                  <w:pPr>
                    <w:spacing w:before="40" w:after="40" w:line="276" w:lineRule="auto"/>
                    <w:jc w:val="center"/>
                    <w:rPr>
                      <w:rFonts w:asciiTheme="minorHAnsi" w:eastAsia="Times New Roman" w:hAnsiTheme="minorHAnsi" w:cstheme="minorHAnsi"/>
                      <w:b/>
                      <w:bCs/>
                      <w:color w:val="002C47" w:themeColor="accent1"/>
                      <w:sz w:val="18"/>
                      <w:szCs w:val="18"/>
                      <w:lang w:eastAsia="en-AU"/>
                    </w:rPr>
                  </w:pPr>
                  <w:r w:rsidRPr="0044695E">
                    <w:rPr>
                      <w:rFonts w:asciiTheme="minorHAnsi" w:eastAsia="Times New Roman" w:hAnsiTheme="minorHAnsi" w:cstheme="minorHAnsi"/>
                      <w:b/>
                      <w:bCs/>
                      <w:color w:val="002C47" w:themeColor="accent1"/>
                      <w:sz w:val="18"/>
                      <w:szCs w:val="18"/>
                      <w:lang w:eastAsia="en-AU"/>
                    </w:rPr>
                    <w:t>ERP</w:t>
                  </w:r>
                </w:p>
                <w:p w14:paraId="2E004F16" w14:textId="77777777" w:rsidR="00555BE3" w:rsidRPr="0044695E" w:rsidRDefault="00555BE3" w:rsidP="00555BE3">
                  <w:pPr>
                    <w:spacing w:before="40" w:after="40" w:line="276" w:lineRule="auto"/>
                    <w:jc w:val="center"/>
                    <w:rPr>
                      <w:rFonts w:asciiTheme="minorHAnsi" w:eastAsia="Times New Roman" w:hAnsiTheme="minorHAnsi" w:cstheme="minorHAnsi"/>
                      <w:bCs/>
                      <w:color w:val="002C47" w:themeColor="accent1"/>
                      <w:sz w:val="18"/>
                      <w:szCs w:val="18"/>
                      <w:lang w:eastAsia="en-AU"/>
                    </w:rPr>
                  </w:pPr>
                  <w:r w:rsidRPr="0044695E">
                    <w:rPr>
                      <w:rFonts w:asciiTheme="minorHAnsi" w:eastAsia="Times New Roman" w:hAnsiTheme="minorHAnsi" w:cstheme="minorHAnsi"/>
                      <w:bCs/>
                      <w:color w:val="000000" w:themeColor="text1"/>
                      <w:sz w:val="18"/>
                      <w:szCs w:val="18"/>
                      <w:lang w:eastAsia="en-AU"/>
                    </w:rPr>
                    <w:t>30 March 2021</w:t>
                  </w:r>
                </w:p>
              </w:tc>
              <w:tc>
                <w:tcPr>
                  <w:tcW w:w="1333" w:type="dxa"/>
                  <w:tcBorders>
                    <w:top w:val="single" w:sz="4" w:space="0" w:color="002C47" w:themeColor="accent1"/>
                    <w:bottom w:val="single" w:sz="4" w:space="0" w:color="002C47" w:themeColor="accent1"/>
                  </w:tcBorders>
                  <w:shd w:val="clear" w:color="auto" w:fill="auto"/>
                  <w:tcMar>
                    <w:left w:w="28" w:type="dxa"/>
                    <w:right w:w="0" w:type="dxa"/>
                  </w:tcMar>
                  <w:hideMark/>
                </w:tcPr>
                <w:p w14:paraId="5CE6C86C" w14:textId="77777777" w:rsidR="00555BE3" w:rsidRPr="0044695E" w:rsidRDefault="00555BE3" w:rsidP="00555BE3">
                  <w:pPr>
                    <w:spacing w:before="40" w:after="40" w:line="276" w:lineRule="auto"/>
                    <w:jc w:val="center"/>
                    <w:rPr>
                      <w:rFonts w:asciiTheme="minorHAnsi" w:eastAsia="Times New Roman" w:hAnsiTheme="minorHAnsi" w:cstheme="minorHAnsi"/>
                      <w:b/>
                      <w:bCs/>
                      <w:color w:val="002C47" w:themeColor="accent1"/>
                      <w:sz w:val="18"/>
                      <w:szCs w:val="18"/>
                      <w:lang w:eastAsia="en-AU"/>
                    </w:rPr>
                  </w:pPr>
                  <w:r w:rsidRPr="0044695E">
                    <w:rPr>
                      <w:rFonts w:asciiTheme="minorHAnsi" w:eastAsia="Times New Roman" w:hAnsiTheme="minorHAnsi" w:cstheme="minorHAnsi"/>
                      <w:b/>
                      <w:bCs/>
                      <w:color w:val="002C47" w:themeColor="accent1"/>
                      <w:sz w:val="18"/>
                      <w:szCs w:val="18"/>
                      <w:lang w:eastAsia="en-AU"/>
                    </w:rPr>
                    <w:t>ERP Increase</w:t>
                  </w:r>
                </w:p>
                <w:p w14:paraId="1CA3B160" w14:textId="77777777" w:rsidR="00555BE3" w:rsidRPr="0044695E" w:rsidRDefault="00555BE3" w:rsidP="00555BE3">
                  <w:pPr>
                    <w:spacing w:before="40" w:after="40" w:line="276" w:lineRule="auto"/>
                    <w:jc w:val="center"/>
                    <w:rPr>
                      <w:rFonts w:asciiTheme="minorHAnsi" w:eastAsia="Times New Roman" w:hAnsiTheme="minorHAnsi" w:cstheme="minorHAnsi"/>
                      <w:bCs/>
                      <w:color w:val="002C47" w:themeColor="accent1"/>
                      <w:sz w:val="18"/>
                      <w:szCs w:val="18"/>
                      <w:lang w:eastAsia="en-AU"/>
                    </w:rPr>
                  </w:pPr>
                  <w:r w:rsidRPr="0044695E">
                    <w:rPr>
                      <w:rFonts w:asciiTheme="minorHAnsi" w:eastAsia="Times New Roman" w:hAnsiTheme="minorHAnsi" w:cstheme="minorHAnsi"/>
                      <w:bCs/>
                      <w:color w:val="000000" w:themeColor="text1"/>
                      <w:sz w:val="18"/>
                      <w:szCs w:val="18"/>
                      <w:lang w:eastAsia="en-AU"/>
                    </w:rPr>
                    <w:t>Since March 2020</w:t>
                  </w:r>
                </w:p>
              </w:tc>
              <w:tc>
                <w:tcPr>
                  <w:tcW w:w="1334" w:type="dxa"/>
                  <w:tcBorders>
                    <w:top w:val="single" w:sz="4" w:space="0" w:color="002C47" w:themeColor="accent1"/>
                    <w:bottom w:val="single" w:sz="4" w:space="0" w:color="002C47" w:themeColor="accent1"/>
                  </w:tcBorders>
                  <w:tcMar>
                    <w:left w:w="28" w:type="dxa"/>
                    <w:right w:w="0" w:type="dxa"/>
                  </w:tcMar>
                </w:tcPr>
                <w:p w14:paraId="4ED8770E" w14:textId="77777777" w:rsidR="00555BE3" w:rsidRPr="0044695E" w:rsidRDefault="00555BE3" w:rsidP="00555BE3">
                  <w:pPr>
                    <w:spacing w:before="40" w:after="40" w:line="276" w:lineRule="auto"/>
                    <w:jc w:val="center"/>
                    <w:rPr>
                      <w:rFonts w:asciiTheme="minorHAnsi" w:eastAsia="Times New Roman" w:hAnsiTheme="minorHAnsi" w:cstheme="minorHAnsi"/>
                      <w:b/>
                      <w:bCs/>
                      <w:color w:val="002C47" w:themeColor="accent1"/>
                      <w:sz w:val="18"/>
                      <w:szCs w:val="18"/>
                      <w:lang w:eastAsia="en-AU"/>
                    </w:rPr>
                  </w:pPr>
                  <w:r w:rsidRPr="0044695E">
                    <w:rPr>
                      <w:rFonts w:asciiTheme="minorHAnsi" w:eastAsia="Times New Roman" w:hAnsiTheme="minorHAnsi" w:cstheme="minorHAnsi"/>
                      <w:b/>
                      <w:bCs/>
                      <w:color w:val="002C47" w:themeColor="accent1"/>
                      <w:sz w:val="18"/>
                      <w:szCs w:val="18"/>
                      <w:lang w:eastAsia="en-AU"/>
                    </w:rPr>
                    <w:t>ERP Increase</w:t>
                  </w:r>
                </w:p>
                <w:p w14:paraId="615C435A" w14:textId="77777777" w:rsidR="00555BE3" w:rsidRPr="0044695E" w:rsidDel="00306224" w:rsidRDefault="00555BE3" w:rsidP="00555BE3">
                  <w:pPr>
                    <w:spacing w:before="40" w:after="40" w:line="276" w:lineRule="auto"/>
                    <w:jc w:val="center"/>
                    <w:rPr>
                      <w:rFonts w:asciiTheme="minorHAnsi" w:eastAsia="Times New Roman" w:hAnsiTheme="minorHAnsi" w:cstheme="minorHAnsi"/>
                      <w:bCs/>
                      <w:color w:val="002C47" w:themeColor="accent1"/>
                      <w:sz w:val="18"/>
                      <w:szCs w:val="18"/>
                      <w:lang w:eastAsia="en-AU"/>
                    </w:rPr>
                  </w:pPr>
                  <w:r w:rsidRPr="0044695E">
                    <w:rPr>
                      <w:rFonts w:asciiTheme="minorHAnsi" w:eastAsia="Times New Roman" w:hAnsiTheme="minorHAnsi" w:cstheme="minorHAnsi"/>
                      <w:bCs/>
                      <w:color w:val="000000" w:themeColor="text1"/>
                      <w:sz w:val="18"/>
                      <w:szCs w:val="18"/>
                      <w:lang w:eastAsia="en-AU"/>
                    </w:rPr>
                    <w:t>annual %</w:t>
                  </w:r>
                </w:p>
              </w:tc>
              <w:tc>
                <w:tcPr>
                  <w:tcW w:w="1333" w:type="dxa"/>
                  <w:tcBorders>
                    <w:top w:val="single" w:sz="4" w:space="0" w:color="002C47" w:themeColor="accent1"/>
                    <w:bottom w:val="single" w:sz="4" w:space="0" w:color="002C47" w:themeColor="accent1"/>
                  </w:tcBorders>
                  <w:shd w:val="clear" w:color="auto" w:fill="auto"/>
                  <w:tcMar>
                    <w:left w:w="28" w:type="dxa"/>
                    <w:right w:w="0" w:type="dxa"/>
                  </w:tcMar>
                  <w:hideMark/>
                </w:tcPr>
                <w:p w14:paraId="2B90C9C9" w14:textId="77777777" w:rsidR="00555BE3" w:rsidRPr="0044695E" w:rsidRDefault="00555BE3" w:rsidP="00555BE3">
                  <w:pPr>
                    <w:spacing w:before="40" w:after="40" w:line="276" w:lineRule="auto"/>
                    <w:jc w:val="center"/>
                    <w:rPr>
                      <w:rFonts w:asciiTheme="minorHAnsi" w:eastAsia="Times New Roman" w:hAnsiTheme="minorHAnsi" w:cstheme="minorHAnsi"/>
                      <w:b/>
                      <w:bCs/>
                      <w:color w:val="002C47" w:themeColor="accent1"/>
                      <w:sz w:val="18"/>
                      <w:szCs w:val="18"/>
                      <w:lang w:eastAsia="en-AU"/>
                    </w:rPr>
                  </w:pPr>
                  <w:r w:rsidRPr="0044695E">
                    <w:rPr>
                      <w:rFonts w:asciiTheme="minorHAnsi" w:eastAsia="Times New Roman" w:hAnsiTheme="minorHAnsi" w:cstheme="minorHAnsi"/>
                      <w:b/>
                      <w:bCs/>
                      <w:color w:val="002C47" w:themeColor="accent1"/>
                      <w:sz w:val="18"/>
                      <w:szCs w:val="18"/>
                      <w:lang w:eastAsia="en-AU"/>
                    </w:rPr>
                    <w:t>Natural Increase</w:t>
                  </w:r>
                </w:p>
                <w:p w14:paraId="6C99E1AF" w14:textId="77777777" w:rsidR="00555BE3" w:rsidRPr="0044695E" w:rsidRDefault="00555BE3" w:rsidP="00555BE3">
                  <w:pPr>
                    <w:spacing w:before="40" w:after="40" w:line="276" w:lineRule="auto"/>
                    <w:jc w:val="center"/>
                    <w:rPr>
                      <w:rFonts w:asciiTheme="minorHAnsi" w:eastAsia="Times New Roman" w:hAnsiTheme="minorHAnsi" w:cstheme="minorHAnsi"/>
                      <w:bCs/>
                      <w:color w:val="002C47" w:themeColor="accent1"/>
                      <w:sz w:val="18"/>
                      <w:szCs w:val="18"/>
                      <w:lang w:eastAsia="en-AU"/>
                    </w:rPr>
                  </w:pPr>
                  <w:r w:rsidRPr="0044695E">
                    <w:rPr>
                      <w:rFonts w:asciiTheme="minorHAnsi" w:eastAsia="Times New Roman" w:hAnsiTheme="minorHAnsi" w:cstheme="minorHAnsi"/>
                      <w:bCs/>
                      <w:color w:val="000000" w:themeColor="text1"/>
                      <w:sz w:val="18"/>
                      <w:szCs w:val="18"/>
                      <w:lang w:eastAsia="en-AU"/>
                    </w:rPr>
                    <w:t>annual contribution</w:t>
                  </w:r>
                </w:p>
              </w:tc>
              <w:tc>
                <w:tcPr>
                  <w:tcW w:w="1333" w:type="dxa"/>
                  <w:tcBorders>
                    <w:top w:val="single" w:sz="4" w:space="0" w:color="002C47" w:themeColor="accent1"/>
                    <w:bottom w:val="single" w:sz="4" w:space="0" w:color="002C47" w:themeColor="accent1"/>
                  </w:tcBorders>
                  <w:shd w:val="clear" w:color="auto" w:fill="auto"/>
                  <w:tcMar>
                    <w:left w:w="28" w:type="dxa"/>
                    <w:right w:w="0" w:type="dxa"/>
                  </w:tcMar>
                  <w:hideMark/>
                </w:tcPr>
                <w:p w14:paraId="6673E338" w14:textId="77777777" w:rsidR="00555BE3" w:rsidRPr="0044695E" w:rsidRDefault="00555BE3" w:rsidP="00555BE3">
                  <w:pPr>
                    <w:spacing w:before="40" w:after="40" w:line="276" w:lineRule="auto"/>
                    <w:jc w:val="center"/>
                    <w:rPr>
                      <w:rFonts w:asciiTheme="minorHAnsi" w:eastAsia="Times New Roman" w:hAnsiTheme="minorHAnsi" w:cstheme="minorHAnsi"/>
                      <w:b/>
                      <w:bCs/>
                      <w:color w:val="002C47" w:themeColor="accent1"/>
                      <w:sz w:val="18"/>
                      <w:szCs w:val="18"/>
                      <w:lang w:eastAsia="en-AU"/>
                    </w:rPr>
                  </w:pPr>
                  <w:r w:rsidRPr="0044695E">
                    <w:rPr>
                      <w:rFonts w:asciiTheme="minorHAnsi" w:eastAsia="Times New Roman" w:hAnsiTheme="minorHAnsi" w:cstheme="minorHAnsi"/>
                      <w:b/>
                      <w:bCs/>
                      <w:color w:val="002C47" w:themeColor="accent1"/>
                      <w:sz w:val="18"/>
                      <w:szCs w:val="18"/>
                      <w:lang w:eastAsia="en-AU"/>
                    </w:rPr>
                    <w:t>NIM</w:t>
                  </w:r>
                </w:p>
                <w:p w14:paraId="06E0C3DF" w14:textId="77777777" w:rsidR="00555BE3" w:rsidRPr="0044695E" w:rsidRDefault="00555BE3" w:rsidP="00555BE3">
                  <w:pPr>
                    <w:spacing w:before="40" w:after="40" w:line="276" w:lineRule="auto"/>
                    <w:jc w:val="center"/>
                    <w:rPr>
                      <w:rFonts w:asciiTheme="minorHAnsi" w:eastAsia="Times New Roman" w:hAnsiTheme="minorHAnsi" w:cstheme="minorHAnsi"/>
                      <w:bCs/>
                      <w:color w:val="002C47" w:themeColor="accent1"/>
                      <w:sz w:val="18"/>
                      <w:szCs w:val="18"/>
                      <w:lang w:eastAsia="en-AU"/>
                    </w:rPr>
                  </w:pPr>
                  <w:r w:rsidRPr="0044695E">
                    <w:rPr>
                      <w:rFonts w:asciiTheme="minorHAnsi" w:eastAsia="Times New Roman" w:hAnsiTheme="minorHAnsi" w:cstheme="minorHAnsi"/>
                      <w:bCs/>
                      <w:color w:val="000000" w:themeColor="text1"/>
                      <w:sz w:val="18"/>
                      <w:szCs w:val="18"/>
                      <w:lang w:eastAsia="en-AU"/>
                    </w:rPr>
                    <w:t>annual contribution</w:t>
                  </w:r>
                </w:p>
              </w:tc>
              <w:tc>
                <w:tcPr>
                  <w:tcW w:w="1334" w:type="dxa"/>
                  <w:tcBorders>
                    <w:top w:val="single" w:sz="4" w:space="0" w:color="002C47" w:themeColor="accent1"/>
                    <w:bottom w:val="single" w:sz="4" w:space="0" w:color="002C47" w:themeColor="accent1"/>
                  </w:tcBorders>
                  <w:shd w:val="clear" w:color="auto" w:fill="auto"/>
                  <w:tcMar>
                    <w:left w:w="28" w:type="dxa"/>
                    <w:right w:w="0" w:type="dxa"/>
                  </w:tcMar>
                  <w:hideMark/>
                </w:tcPr>
                <w:p w14:paraId="77C70465" w14:textId="77777777" w:rsidR="00555BE3" w:rsidRPr="0044695E" w:rsidRDefault="00555BE3" w:rsidP="00555BE3">
                  <w:pPr>
                    <w:spacing w:before="40" w:after="40" w:line="276" w:lineRule="auto"/>
                    <w:jc w:val="center"/>
                    <w:rPr>
                      <w:rFonts w:asciiTheme="minorHAnsi" w:eastAsia="Times New Roman" w:hAnsiTheme="minorHAnsi" w:cstheme="minorHAnsi"/>
                      <w:b/>
                      <w:bCs/>
                      <w:color w:val="002C47" w:themeColor="accent1"/>
                      <w:sz w:val="18"/>
                      <w:szCs w:val="18"/>
                      <w:lang w:eastAsia="en-AU"/>
                    </w:rPr>
                  </w:pPr>
                  <w:r w:rsidRPr="0044695E">
                    <w:rPr>
                      <w:rFonts w:asciiTheme="minorHAnsi" w:eastAsia="Times New Roman" w:hAnsiTheme="minorHAnsi" w:cstheme="minorHAnsi"/>
                      <w:b/>
                      <w:bCs/>
                      <w:color w:val="002C47" w:themeColor="accent1"/>
                      <w:sz w:val="18"/>
                      <w:szCs w:val="18"/>
                      <w:lang w:eastAsia="en-AU"/>
                    </w:rPr>
                    <w:t>NOM</w:t>
                  </w:r>
                </w:p>
                <w:p w14:paraId="29009459" w14:textId="77777777" w:rsidR="00555BE3" w:rsidRPr="0044695E" w:rsidRDefault="00555BE3" w:rsidP="00555BE3">
                  <w:pPr>
                    <w:spacing w:before="40" w:after="40" w:line="276" w:lineRule="auto"/>
                    <w:jc w:val="center"/>
                    <w:rPr>
                      <w:rFonts w:asciiTheme="minorHAnsi" w:eastAsia="Times New Roman" w:hAnsiTheme="minorHAnsi" w:cstheme="minorHAnsi"/>
                      <w:bCs/>
                      <w:color w:val="002C47" w:themeColor="accent1"/>
                      <w:sz w:val="18"/>
                      <w:szCs w:val="18"/>
                      <w:lang w:eastAsia="en-AU"/>
                    </w:rPr>
                  </w:pPr>
                  <w:r w:rsidRPr="0044695E">
                    <w:rPr>
                      <w:rFonts w:asciiTheme="minorHAnsi" w:eastAsia="Times New Roman" w:hAnsiTheme="minorHAnsi" w:cstheme="minorHAnsi"/>
                      <w:bCs/>
                      <w:color w:val="000000" w:themeColor="text1"/>
                      <w:sz w:val="18"/>
                      <w:szCs w:val="18"/>
                      <w:lang w:eastAsia="en-AU"/>
                    </w:rPr>
                    <w:t>annual contribution</w:t>
                  </w:r>
                </w:p>
              </w:tc>
            </w:tr>
            <w:tr w:rsidR="00555BE3" w:rsidRPr="0044695E" w14:paraId="06C59800" w14:textId="77777777" w:rsidTr="00555BE3">
              <w:trPr>
                <w:trHeight w:val="204"/>
                <w:jc w:val="center"/>
              </w:trPr>
              <w:tc>
                <w:tcPr>
                  <w:tcW w:w="969" w:type="dxa"/>
                  <w:tcBorders>
                    <w:top w:val="single" w:sz="4" w:space="0" w:color="002C47" w:themeColor="accent1"/>
                  </w:tcBorders>
                  <w:shd w:val="clear" w:color="auto" w:fill="auto"/>
                  <w:noWrap/>
                  <w:tcMar>
                    <w:left w:w="28" w:type="dxa"/>
                  </w:tcMar>
                  <w:vAlign w:val="bottom"/>
                  <w:hideMark/>
                </w:tcPr>
                <w:p w14:paraId="5F35E743" w14:textId="77777777" w:rsidR="00555BE3" w:rsidRPr="0044695E" w:rsidRDefault="00555BE3" w:rsidP="00555BE3">
                  <w:pPr>
                    <w:spacing w:before="40" w:after="40" w:line="276" w:lineRule="auto"/>
                    <w:rPr>
                      <w:rFonts w:asciiTheme="minorHAnsi" w:eastAsia="Times New Roman" w:hAnsiTheme="minorHAnsi" w:cstheme="minorHAnsi"/>
                      <w:b/>
                      <w:bCs/>
                      <w:color w:val="000000"/>
                      <w:sz w:val="18"/>
                      <w:szCs w:val="18"/>
                      <w:lang w:eastAsia="en-AU"/>
                    </w:rPr>
                  </w:pPr>
                  <w:r w:rsidRPr="0044695E">
                    <w:rPr>
                      <w:rFonts w:asciiTheme="minorHAnsi" w:eastAsia="Times New Roman" w:hAnsiTheme="minorHAnsi" w:cstheme="minorHAnsi"/>
                      <w:b/>
                      <w:bCs/>
                      <w:color w:val="000000"/>
                      <w:sz w:val="18"/>
                      <w:szCs w:val="18"/>
                      <w:lang w:eastAsia="en-AU"/>
                    </w:rPr>
                    <w:t>NSW</w:t>
                  </w:r>
                </w:p>
              </w:tc>
              <w:tc>
                <w:tcPr>
                  <w:tcW w:w="1333" w:type="dxa"/>
                  <w:tcBorders>
                    <w:top w:val="single" w:sz="4" w:space="0" w:color="002C47" w:themeColor="accent1"/>
                    <w:left w:val="nil"/>
                    <w:bottom w:val="nil"/>
                    <w:right w:val="nil"/>
                  </w:tcBorders>
                  <w:shd w:val="clear" w:color="auto" w:fill="auto"/>
                  <w:noWrap/>
                </w:tcPr>
                <w:p w14:paraId="31F5D912" w14:textId="77777777" w:rsidR="00555BE3" w:rsidRPr="0044695E" w:rsidRDefault="00555BE3" w:rsidP="00555BE3">
                  <w:pPr>
                    <w:spacing w:before="40" w:after="40" w:line="276" w:lineRule="auto"/>
                    <w:jc w:val="right"/>
                    <w:rPr>
                      <w:rFonts w:asciiTheme="minorHAnsi" w:eastAsia="Times New Roman" w:hAnsiTheme="minorHAnsi" w:cstheme="minorHAnsi"/>
                      <w:color w:val="000000"/>
                      <w:sz w:val="18"/>
                      <w:szCs w:val="18"/>
                      <w:lang w:eastAsia="en-AU"/>
                    </w:rPr>
                  </w:pPr>
                  <w:r w:rsidRPr="0044695E">
                    <w:t xml:space="preserve"> 8,176,368 </w:t>
                  </w:r>
                </w:p>
              </w:tc>
              <w:tc>
                <w:tcPr>
                  <w:tcW w:w="1333" w:type="dxa"/>
                  <w:tcBorders>
                    <w:top w:val="single" w:sz="4" w:space="0" w:color="002C47" w:themeColor="accent1"/>
                    <w:left w:val="nil"/>
                    <w:bottom w:val="nil"/>
                    <w:right w:val="nil"/>
                  </w:tcBorders>
                  <w:shd w:val="clear" w:color="auto" w:fill="auto"/>
                  <w:noWrap/>
                </w:tcPr>
                <w:p w14:paraId="3F955850" w14:textId="77777777" w:rsidR="00555BE3" w:rsidRPr="0044695E" w:rsidRDefault="00555BE3" w:rsidP="00555BE3">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44695E">
                    <w:t xml:space="preserve"> 11,729 </w:t>
                  </w:r>
                </w:p>
              </w:tc>
              <w:tc>
                <w:tcPr>
                  <w:tcW w:w="1334" w:type="dxa"/>
                  <w:tcBorders>
                    <w:top w:val="single" w:sz="4" w:space="0" w:color="002C47" w:themeColor="accent1"/>
                    <w:left w:val="nil"/>
                    <w:bottom w:val="nil"/>
                    <w:right w:val="nil"/>
                  </w:tcBorders>
                  <w:shd w:val="clear" w:color="auto" w:fill="auto"/>
                </w:tcPr>
                <w:p w14:paraId="5F69C78F" w14:textId="77777777" w:rsidR="00555BE3" w:rsidRPr="0044695E" w:rsidRDefault="00555BE3" w:rsidP="00555BE3">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44695E">
                    <w:t xml:space="preserve"> 0.1 </w:t>
                  </w:r>
                </w:p>
              </w:tc>
              <w:tc>
                <w:tcPr>
                  <w:tcW w:w="1333" w:type="dxa"/>
                  <w:tcBorders>
                    <w:top w:val="single" w:sz="4" w:space="0" w:color="002C47" w:themeColor="accent1"/>
                    <w:left w:val="nil"/>
                    <w:bottom w:val="nil"/>
                    <w:right w:val="nil"/>
                  </w:tcBorders>
                  <w:shd w:val="clear" w:color="auto" w:fill="auto"/>
                  <w:noWrap/>
                </w:tcPr>
                <w:p w14:paraId="78199243" w14:textId="77777777" w:rsidR="00555BE3" w:rsidRPr="0044695E" w:rsidRDefault="00555BE3" w:rsidP="00555BE3">
                  <w:pPr>
                    <w:tabs>
                      <w:tab w:val="decimal" w:pos="736"/>
                    </w:tabs>
                    <w:spacing w:before="40" w:after="40" w:line="276" w:lineRule="auto"/>
                    <w:jc w:val="right"/>
                    <w:rPr>
                      <w:rFonts w:asciiTheme="minorHAnsi" w:eastAsia="Times New Roman" w:hAnsiTheme="minorHAnsi" w:cstheme="minorHAnsi"/>
                      <w:color w:val="000000"/>
                      <w:sz w:val="18"/>
                      <w:szCs w:val="18"/>
                      <w:lang w:eastAsia="en-AU"/>
                    </w:rPr>
                  </w:pPr>
                  <w:r w:rsidRPr="0044695E">
                    <w:t xml:space="preserve"> 43,011 </w:t>
                  </w:r>
                </w:p>
              </w:tc>
              <w:tc>
                <w:tcPr>
                  <w:tcW w:w="1333" w:type="dxa"/>
                  <w:tcBorders>
                    <w:top w:val="single" w:sz="4" w:space="0" w:color="002C47" w:themeColor="accent1"/>
                    <w:left w:val="nil"/>
                    <w:bottom w:val="nil"/>
                    <w:right w:val="nil"/>
                  </w:tcBorders>
                  <w:shd w:val="clear" w:color="auto" w:fill="auto"/>
                  <w:noWrap/>
                </w:tcPr>
                <w:p w14:paraId="080D01F7" w14:textId="77777777" w:rsidR="00555BE3" w:rsidRPr="0044695E" w:rsidRDefault="00555BE3" w:rsidP="00555BE3">
                  <w:pPr>
                    <w:spacing w:before="40" w:after="40" w:line="276" w:lineRule="auto"/>
                    <w:jc w:val="right"/>
                    <w:rPr>
                      <w:rFonts w:asciiTheme="minorHAnsi" w:eastAsia="Times New Roman" w:hAnsiTheme="minorHAnsi" w:cstheme="minorHAnsi"/>
                      <w:color w:val="000000"/>
                      <w:sz w:val="18"/>
                      <w:szCs w:val="18"/>
                      <w:lang w:eastAsia="en-AU"/>
                    </w:rPr>
                  </w:pPr>
                  <w:r w:rsidRPr="0044695E">
                    <w:t xml:space="preserve">-17,796 </w:t>
                  </w:r>
                </w:p>
              </w:tc>
              <w:tc>
                <w:tcPr>
                  <w:tcW w:w="1334" w:type="dxa"/>
                  <w:tcBorders>
                    <w:top w:val="single" w:sz="4" w:space="0" w:color="002C47" w:themeColor="accent1"/>
                    <w:left w:val="nil"/>
                    <w:bottom w:val="nil"/>
                    <w:right w:val="nil"/>
                  </w:tcBorders>
                  <w:shd w:val="clear" w:color="auto" w:fill="auto"/>
                  <w:noWrap/>
                </w:tcPr>
                <w:p w14:paraId="76110A50" w14:textId="77777777" w:rsidR="00555BE3" w:rsidRPr="0044695E" w:rsidRDefault="00555BE3" w:rsidP="00555BE3">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44695E">
                    <w:t xml:space="preserve">-13,486 </w:t>
                  </w:r>
                </w:p>
              </w:tc>
            </w:tr>
            <w:tr w:rsidR="00555BE3" w:rsidRPr="0044695E" w14:paraId="6E32BD37" w14:textId="77777777" w:rsidTr="00555BE3">
              <w:trPr>
                <w:trHeight w:val="204"/>
                <w:jc w:val="center"/>
              </w:trPr>
              <w:tc>
                <w:tcPr>
                  <w:tcW w:w="969" w:type="dxa"/>
                  <w:shd w:val="clear" w:color="auto" w:fill="auto"/>
                  <w:noWrap/>
                  <w:tcMar>
                    <w:left w:w="28" w:type="dxa"/>
                  </w:tcMar>
                  <w:vAlign w:val="bottom"/>
                  <w:hideMark/>
                </w:tcPr>
                <w:p w14:paraId="6564F211" w14:textId="77777777" w:rsidR="00555BE3" w:rsidRPr="0044695E" w:rsidRDefault="00555BE3" w:rsidP="00555BE3">
                  <w:pPr>
                    <w:spacing w:before="40" w:after="40" w:line="276" w:lineRule="auto"/>
                    <w:rPr>
                      <w:rFonts w:asciiTheme="minorHAnsi" w:eastAsia="Times New Roman" w:hAnsiTheme="minorHAnsi" w:cstheme="minorHAnsi"/>
                      <w:b/>
                      <w:bCs/>
                      <w:color w:val="000000"/>
                      <w:sz w:val="18"/>
                      <w:szCs w:val="18"/>
                      <w:lang w:eastAsia="en-AU"/>
                    </w:rPr>
                  </w:pPr>
                  <w:r w:rsidRPr="0044695E">
                    <w:rPr>
                      <w:rFonts w:asciiTheme="minorHAnsi" w:eastAsia="Times New Roman" w:hAnsiTheme="minorHAnsi" w:cstheme="minorHAnsi"/>
                      <w:b/>
                      <w:bCs/>
                      <w:color w:val="000000"/>
                      <w:sz w:val="18"/>
                      <w:szCs w:val="18"/>
                      <w:lang w:eastAsia="en-AU"/>
                    </w:rPr>
                    <w:t>VIC</w:t>
                  </w:r>
                </w:p>
              </w:tc>
              <w:tc>
                <w:tcPr>
                  <w:tcW w:w="1333" w:type="dxa"/>
                  <w:tcBorders>
                    <w:top w:val="nil"/>
                    <w:left w:val="nil"/>
                    <w:bottom w:val="nil"/>
                    <w:right w:val="nil"/>
                  </w:tcBorders>
                  <w:shd w:val="clear" w:color="auto" w:fill="auto"/>
                  <w:noWrap/>
                </w:tcPr>
                <w:p w14:paraId="6CA76D9C" w14:textId="77777777" w:rsidR="00555BE3" w:rsidRPr="0044695E" w:rsidRDefault="00555BE3" w:rsidP="00555BE3">
                  <w:pPr>
                    <w:spacing w:before="40" w:after="40" w:line="276" w:lineRule="auto"/>
                    <w:jc w:val="right"/>
                    <w:rPr>
                      <w:rFonts w:asciiTheme="minorHAnsi" w:eastAsia="Times New Roman" w:hAnsiTheme="minorHAnsi" w:cstheme="minorHAnsi"/>
                      <w:color w:val="000000"/>
                      <w:sz w:val="18"/>
                      <w:szCs w:val="18"/>
                      <w:lang w:eastAsia="en-AU"/>
                    </w:rPr>
                  </w:pPr>
                  <w:r w:rsidRPr="0044695E">
                    <w:t xml:space="preserve"> 6,648,564 </w:t>
                  </w:r>
                </w:p>
              </w:tc>
              <w:tc>
                <w:tcPr>
                  <w:tcW w:w="1333" w:type="dxa"/>
                  <w:tcBorders>
                    <w:top w:val="nil"/>
                    <w:left w:val="nil"/>
                    <w:bottom w:val="nil"/>
                    <w:right w:val="nil"/>
                  </w:tcBorders>
                  <w:shd w:val="clear" w:color="auto" w:fill="auto"/>
                  <w:noWrap/>
                </w:tcPr>
                <w:p w14:paraId="6E24E80A" w14:textId="77777777" w:rsidR="00555BE3" w:rsidRPr="0044695E" w:rsidRDefault="00555BE3" w:rsidP="00555BE3">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44695E">
                    <w:t xml:space="preserve">-42,854 </w:t>
                  </w:r>
                </w:p>
              </w:tc>
              <w:tc>
                <w:tcPr>
                  <w:tcW w:w="1334" w:type="dxa"/>
                  <w:tcBorders>
                    <w:top w:val="nil"/>
                    <w:left w:val="nil"/>
                    <w:bottom w:val="nil"/>
                    <w:right w:val="nil"/>
                  </w:tcBorders>
                  <w:shd w:val="clear" w:color="auto" w:fill="auto"/>
                </w:tcPr>
                <w:p w14:paraId="18E6B6E7" w14:textId="77777777" w:rsidR="00555BE3" w:rsidRPr="0044695E" w:rsidRDefault="00555BE3" w:rsidP="00555BE3">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44695E">
                    <w:t xml:space="preserve">-0.6 </w:t>
                  </w:r>
                </w:p>
              </w:tc>
              <w:tc>
                <w:tcPr>
                  <w:tcW w:w="1333" w:type="dxa"/>
                  <w:tcBorders>
                    <w:top w:val="nil"/>
                    <w:left w:val="nil"/>
                    <w:bottom w:val="nil"/>
                    <w:right w:val="nil"/>
                  </w:tcBorders>
                  <w:shd w:val="clear" w:color="auto" w:fill="auto"/>
                  <w:noWrap/>
                </w:tcPr>
                <w:p w14:paraId="66038BB7" w14:textId="77777777" w:rsidR="00555BE3" w:rsidRPr="0044695E" w:rsidRDefault="00555BE3" w:rsidP="00555BE3">
                  <w:pPr>
                    <w:tabs>
                      <w:tab w:val="decimal" w:pos="736"/>
                    </w:tabs>
                    <w:spacing w:before="40" w:after="40" w:line="276" w:lineRule="auto"/>
                    <w:jc w:val="right"/>
                    <w:rPr>
                      <w:rFonts w:asciiTheme="minorHAnsi" w:eastAsia="Times New Roman" w:hAnsiTheme="minorHAnsi" w:cstheme="minorHAnsi"/>
                      <w:color w:val="000000"/>
                      <w:sz w:val="18"/>
                      <w:szCs w:val="18"/>
                      <w:lang w:eastAsia="en-AU"/>
                    </w:rPr>
                  </w:pPr>
                  <w:r w:rsidRPr="0044695E">
                    <w:t xml:space="preserve"> 28,821 </w:t>
                  </w:r>
                </w:p>
              </w:tc>
              <w:tc>
                <w:tcPr>
                  <w:tcW w:w="1333" w:type="dxa"/>
                  <w:tcBorders>
                    <w:top w:val="nil"/>
                    <w:left w:val="nil"/>
                    <w:bottom w:val="nil"/>
                    <w:right w:val="nil"/>
                  </w:tcBorders>
                  <w:shd w:val="clear" w:color="auto" w:fill="auto"/>
                  <w:noWrap/>
                </w:tcPr>
                <w:p w14:paraId="3113D67B" w14:textId="77777777" w:rsidR="00555BE3" w:rsidRPr="0044695E" w:rsidRDefault="00555BE3" w:rsidP="00555BE3">
                  <w:pPr>
                    <w:spacing w:before="40" w:after="40" w:line="276" w:lineRule="auto"/>
                    <w:jc w:val="right"/>
                    <w:rPr>
                      <w:rFonts w:asciiTheme="minorHAnsi" w:eastAsia="Times New Roman" w:hAnsiTheme="minorHAnsi" w:cstheme="minorHAnsi"/>
                      <w:color w:val="000000"/>
                      <w:sz w:val="18"/>
                      <w:szCs w:val="18"/>
                      <w:lang w:eastAsia="en-AU"/>
                    </w:rPr>
                  </w:pPr>
                  <w:r w:rsidRPr="0044695E">
                    <w:t xml:space="preserve">-18,191 </w:t>
                  </w:r>
                </w:p>
              </w:tc>
              <w:tc>
                <w:tcPr>
                  <w:tcW w:w="1334" w:type="dxa"/>
                  <w:tcBorders>
                    <w:top w:val="nil"/>
                    <w:left w:val="nil"/>
                    <w:bottom w:val="nil"/>
                    <w:right w:val="nil"/>
                  </w:tcBorders>
                  <w:shd w:val="clear" w:color="auto" w:fill="auto"/>
                  <w:noWrap/>
                </w:tcPr>
                <w:p w14:paraId="6117EED8" w14:textId="77777777" w:rsidR="00555BE3" w:rsidRPr="0044695E" w:rsidRDefault="00555BE3" w:rsidP="00555BE3">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44695E">
                    <w:t xml:space="preserve">-53,484 </w:t>
                  </w:r>
                </w:p>
              </w:tc>
            </w:tr>
            <w:tr w:rsidR="00555BE3" w:rsidRPr="0044695E" w14:paraId="14C24DE7" w14:textId="77777777" w:rsidTr="00555BE3">
              <w:trPr>
                <w:trHeight w:val="204"/>
                <w:jc w:val="center"/>
              </w:trPr>
              <w:tc>
                <w:tcPr>
                  <w:tcW w:w="969" w:type="dxa"/>
                  <w:shd w:val="clear" w:color="auto" w:fill="auto"/>
                  <w:noWrap/>
                  <w:tcMar>
                    <w:left w:w="28" w:type="dxa"/>
                  </w:tcMar>
                  <w:vAlign w:val="bottom"/>
                  <w:hideMark/>
                </w:tcPr>
                <w:p w14:paraId="2B91E4A3" w14:textId="77777777" w:rsidR="00555BE3" w:rsidRPr="0044695E" w:rsidRDefault="00555BE3" w:rsidP="00555BE3">
                  <w:pPr>
                    <w:spacing w:before="40" w:after="40" w:line="276" w:lineRule="auto"/>
                    <w:rPr>
                      <w:rFonts w:asciiTheme="minorHAnsi" w:eastAsia="Times New Roman" w:hAnsiTheme="minorHAnsi" w:cstheme="minorHAnsi"/>
                      <w:b/>
                      <w:bCs/>
                      <w:color w:val="000000"/>
                      <w:sz w:val="18"/>
                      <w:szCs w:val="18"/>
                      <w:lang w:eastAsia="en-AU"/>
                    </w:rPr>
                  </w:pPr>
                  <w:r w:rsidRPr="0044695E">
                    <w:rPr>
                      <w:rFonts w:asciiTheme="minorHAnsi" w:eastAsia="Times New Roman" w:hAnsiTheme="minorHAnsi" w:cstheme="minorHAnsi"/>
                      <w:b/>
                      <w:bCs/>
                      <w:color w:val="000000"/>
                      <w:sz w:val="18"/>
                      <w:szCs w:val="18"/>
                      <w:lang w:eastAsia="en-AU"/>
                    </w:rPr>
                    <w:t>QLD</w:t>
                  </w:r>
                </w:p>
              </w:tc>
              <w:tc>
                <w:tcPr>
                  <w:tcW w:w="1333" w:type="dxa"/>
                  <w:tcBorders>
                    <w:top w:val="nil"/>
                    <w:left w:val="nil"/>
                    <w:bottom w:val="nil"/>
                    <w:right w:val="nil"/>
                  </w:tcBorders>
                  <w:shd w:val="clear" w:color="auto" w:fill="auto"/>
                  <w:noWrap/>
                </w:tcPr>
                <w:p w14:paraId="16FD0C39" w14:textId="77777777" w:rsidR="00555BE3" w:rsidRPr="0044695E" w:rsidRDefault="00555BE3" w:rsidP="00555BE3">
                  <w:pPr>
                    <w:spacing w:before="40" w:after="40" w:line="276" w:lineRule="auto"/>
                    <w:jc w:val="right"/>
                    <w:rPr>
                      <w:rFonts w:asciiTheme="minorHAnsi" w:eastAsia="Times New Roman" w:hAnsiTheme="minorHAnsi" w:cstheme="minorHAnsi"/>
                      <w:color w:val="000000"/>
                      <w:sz w:val="18"/>
                      <w:szCs w:val="18"/>
                      <w:lang w:eastAsia="en-AU"/>
                    </w:rPr>
                  </w:pPr>
                  <w:r w:rsidRPr="0044695E">
                    <w:t xml:space="preserve"> 5,206,400 </w:t>
                  </w:r>
                </w:p>
              </w:tc>
              <w:tc>
                <w:tcPr>
                  <w:tcW w:w="1333" w:type="dxa"/>
                  <w:tcBorders>
                    <w:top w:val="nil"/>
                    <w:left w:val="nil"/>
                    <w:bottom w:val="nil"/>
                    <w:right w:val="nil"/>
                  </w:tcBorders>
                  <w:shd w:val="clear" w:color="auto" w:fill="auto"/>
                  <w:noWrap/>
                </w:tcPr>
                <w:p w14:paraId="04CA935E" w14:textId="77777777" w:rsidR="00555BE3" w:rsidRPr="0044695E" w:rsidRDefault="00555BE3" w:rsidP="00555BE3">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44695E">
                    <w:t xml:space="preserve"> 43,933 </w:t>
                  </w:r>
                </w:p>
              </w:tc>
              <w:tc>
                <w:tcPr>
                  <w:tcW w:w="1334" w:type="dxa"/>
                  <w:tcBorders>
                    <w:top w:val="nil"/>
                    <w:left w:val="nil"/>
                    <w:bottom w:val="nil"/>
                    <w:right w:val="nil"/>
                  </w:tcBorders>
                  <w:shd w:val="clear" w:color="auto" w:fill="auto"/>
                </w:tcPr>
                <w:p w14:paraId="6A843A83" w14:textId="77777777" w:rsidR="00555BE3" w:rsidRPr="0044695E" w:rsidRDefault="00555BE3" w:rsidP="00555BE3">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44695E">
                    <w:t xml:space="preserve"> 0.9 </w:t>
                  </w:r>
                </w:p>
              </w:tc>
              <w:tc>
                <w:tcPr>
                  <w:tcW w:w="1333" w:type="dxa"/>
                  <w:tcBorders>
                    <w:top w:val="nil"/>
                    <w:left w:val="nil"/>
                    <w:bottom w:val="nil"/>
                    <w:right w:val="nil"/>
                  </w:tcBorders>
                  <w:shd w:val="clear" w:color="auto" w:fill="auto"/>
                  <w:noWrap/>
                </w:tcPr>
                <w:p w14:paraId="6DC5AAB9" w14:textId="77777777" w:rsidR="00555BE3" w:rsidRPr="0044695E" w:rsidRDefault="00555BE3" w:rsidP="00555BE3">
                  <w:pPr>
                    <w:tabs>
                      <w:tab w:val="decimal" w:pos="736"/>
                    </w:tabs>
                    <w:spacing w:before="40" w:after="40" w:line="276" w:lineRule="auto"/>
                    <w:jc w:val="right"/>
                    <w:rPr>
                      <w:rFonts w:asciiTheme="minorHAnsi" w:eastAsia="Times New Roman" w:hAnsiTheme="minorHAnsi" w:cstheme="minorHAnsi"/>
                      <w:color w:val="000000"/>
                      <w:sz w:val="18"/>
                      <w:szCs w:val="18"/>
                      <w:lang w:eastAsia="en-AU"/>
                    </w:rPr>
                  </w:pPr>
                  <w:r w:rsidRPr="0044695E">
                    <w:t xml:space="preserve"> 29,147 </w:t>
                  </w:r>
                </w:p>
              </w:tc>
              <w:tc>
                <w:tcPr>
                  <w:tcW w:w="1333" w:type="dxa"/>
                  <w:tcBorders>
                    <w:top w:val="nil"/>
                    <w:left w:val="nil"/>
                    <w:bottom w:val="nil"/>
                    <w:right w:val="nil"/>
                  </w:tcBorders>
                  <w:shd w:val="clear" w:color="auto" w:fill="auto"/>
                  <w:noWrap/>
                </w:tcPr>
                <w:p w14:paraId="53337411" w14:textId="77777777" w:rsidR="00555BE3" w:rsidRPr="0044695E" w:rsidRDefault="00555BE3" w:rsidP="00555BE3">
                  <w:pPr>
                    <w:spacing w:before="40" w:after="40" w:line="276" w:lineRule="auto"/>
                    <w:jc w:val="right"/>
                    <w:rPr>
                      <w:rFonts w:asciiTheme="minorHAnsi" w:eastAsia="Times New Roman" w:hAnsiTheme="minorHAnsi" w:cstheme="minorHAnsi"/>
                      <w:color w:val="000000"/>
                      <w:sz w:val="18"/>
                      <w:szCs w:val="18"/>
                      <w:lang w:eastAsia="en-AU"/>
                    </w:rPr>
                  </w:pPr>
                  <w:r w:rsidRPr="0044695E">
                    <w:t xml:space="preserve"> 30,785 </w:t>
                  </w:r>
                </w:p>
              </w:tc>
              <w:tc>
                <w:tcPr>
                  <w:tcW w:w="1334" w:type="dxa"/>
                  <w:tcBorders>
                    <w:top w:val="nil"/>
                    <w:left w:val="nil"/>
                    <w:bottom w:val="nil"/>
                    <w:right w:val="nil"/>
                  </w:tcBorders>
                  <w:shd w:val="clear" w:color="auto" w:fill="auto"/>
                  <w:noWrap/>
                </w:tcPr>
                <w:p w14:paraId="77F88990" w14:textId="77777777" w:rsidR="00555BE3" w:rsidRPr="0044695E" w:rsidRDefault="00555BE3" w:rsidP="00555BE3">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44695E">
                    <w:t xml:space="preserve">-15,999 </w:t>
                  </w:r>
                </w:p>
              </w:tc>
            </w:tr>
            <w:tr w:rsidR="00555BE3" w:rsidRPr="0044695E" w14:paraId="633DD396" w14:textId="77777777" w:rsidTr="00555BE3">
              <w:trPr>
                <w:trHeight w:val="204"/>
                <w:jc w:val="center"/>
              </w:trPr>
              <w:tc>
                <w:tcPr>
                  <w:tcW w:w="969" w:type="dxa"/>
                  <w:shd w:val="clear" w:color="auto" w:fill="auto"/>
                  <w:noWrap/>
                  <w:tcMar>
                    <w:left w:w="28" w:type="dxa"/>
                  </w:tcMar>
                  <w:vAlign w:val="bottom"/>
                  <w:hideMark/>
                </w:tcPr>
                <w:p w14:paraId="7D3362AB" w14:textId="77777777" w:rsidR="00555BE3" w:rsidRPr="0044695E" w:rsidRDefault="00555BE3" w:rsidP="00555BE3">
                  <w:pPr>
                    <w:spacing w:before="40" w:after="40" w:line="276" w:lineRule="auto"/>
                    <w:rPr>
                      <w:rFonts w:asciiTheme="minorHAnsi" w:eastAsia="Times New Roman" w:hAnsiTheme="minorHAnsi" w:cstheme="minorHAnsi"/>
                      <w:b/>
                      <w:bCs/>
                      <w:color w:val="000000"/>
                      <w:sz w:val="18"/>
                      <w:szCs w:val="18"/>
                      <w:lang w:eastAsia="en-AU"/>
                    </w:rPr>
                  </w:pPr>
                  <w:r w:rsidRPr="0044695E">
                    <w:rPr>
                      <w:rFonts w:asciiTheme="minorHAnsi" w:eastAsia="Times New Roman" w:hAnsiTheme="minorHAnsi" w:cstheme="minorHAnsi"/>
                      <w:b/>
                      <w:bCs/>
                      <w:color w:val="000000"/>
                      <w:sz w:val="18"/>
                      <w:szCs w:val="18"/>
                      <w:lang w:eastAsia="en-AU"/>
                    </w:rPr>
                    <w:t>SA</w:t>
                  </w:r>
                </w:p>
              </w:tc>
              <w:tc>
                <w:tcPr>
                  <w:tcW w:w="1333" w:type="dxa"/>
                  <w:tcBorders>
                    <w:top w:val="nil"/>
                    <w:left w:val="nil"/>
                    <w:bottom w:val="nil"/>
                    <w:right w:val="nil"/>
                  </w:tcBorders>
                  <w:shd w:val="clear" w:color="auto" w:fill="auto"/>
                  <w:noWrap/>
                </w:tcPr>
                <w:p w14:paraId="375D2C76" w14:textId="77777777" w:rsidR="00555BE3" w:rsidRPr="0044695E" w:rsidRDefault="00555BE3" w:rsidP="00555BE3">
                  <w:pPr>
                    <w:spacing w:before="40" w:after="40" w:line="276" w:lineRule="auto"/>
                    <w:jc w:val="right"/>
                    <w:rPr>
                      <w:rFonts w:asciiTheme="minorHAnsi" w:eastAsia="Times New Roman" w:hAnsiTheme="minorHAnsi" w:cstheme="minorHAnsi"/>
                      <w:color w:val="000000"/>
                      <w:sz w:val="18"/>
                      <w:szCs w:val="18"/>
                      <w:lang w:eastAsia="en-AU"/>
                    </w:rPr>
                  </w:pPr>
                  <w:r w:rsidRPr="0044695E">
                    <w:t xml:space="preserve"> 1,771,703 </w:t>
                  </w:r>
                </w:p>
              </w:tc>
              <w:tc>
                <w:tcPr>
                  <w:tcW w:w="1333" w:type="dxa"/>
                  <w:tcBorders>
                    <w:top w:val="nil"/>
                    <w:left w:val="nil"/>
                    <w:bottom w:val="nil"/>
                    <w:right w:val="nil"/>
                  </w:tcBorders>
                  <w:shd w:val="clear" w:color="auto" w:fill="auto"/>
                  <w:noWrap/>
                </w:tcPr>
                <w:p w14:paraId="0C7F8BE7" w14:textId="77777777" w:rsidR="00555BE3" w:rsidRPr="0044695E" w:rsidRDefault="00555BE3" w:rsidP="00555BE3">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44695E">
                    <w:t xml:space="preserve"> 2,674 </w:t>
                  </w:r>
                </w:p>
              </w:tc>
              <w:tc>
                <w:tcPr>
                  <w:tcW w:w="1334" w:type="dxa"/>
                  <w:tcBorders>
                    <w:top w:val="nil"/>
                    <w:left w:val="nil"/>
                    <w:bottom w:val="nil"/>
                    <w:right w:val="nil"/>
                  </w:tcBorders>
                  <w:shd w:val="clear" w:color="auto" w:fill="auto"/>
                </w:tcPr>
                <w:p w14:paraId="1426D903" w14:textId="77777777" w:rsidR="00555BE3" w:rsidRPr="0044695E" w:rsidRDefault="00555BE3" w:rsidP="00555BE3">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44695E">
                    <w:t xml:space="preserve"> 0.2 </w:t>
                  </w:r>
                </w:p>
              </w:tc>
              <w:tc>
                <w:tcPr>
                  <w:tcW w:w="1333" w:type="dxa"/>
                  <w:tcBorders>
                    <w:top w:val="nil"/>
                    <w:left w:val="nil"/>
                    <w:bottom w:val="nil"/>
                    <w:right w:val="nil"/>
                  </w:tcBorders>
                  <w:shd w:val="clear" w:color="auto" w:fill="auto"/>
                  <w:noWrap/>
                </w:tcPr>
                <w:p w14:paraId="3160157E" w14:textId="77777777" w:rsidR="00555BE3" w:rsidRPr="0044695E" w:rsidRDefault="00555BE3" w:rsidP="00555BE3">
                  <w:pPr>
                    <w:tabs>
                      <w:tab w:val="decimal" w:pos="736"/>
                    </w:tabs>
                    <w:spacing w:before="40" w:after="40" w:line="276" w:lineRule="auto"/>
                    <w:jc w:val="right"/>
                    <w:rPr>
                      <w:rFonts w:asciiTheme="minorHAnsi" w:eastAsia="Times New Roman" w:hAnsiTheme="minorHAnsi" w:cstheme="minorHAnsi"/>
                      <w:color w:val="000000"/>
                      <w:sz w:val="18"/>
                      <w:szCs w:val="18"/>
                      <w:lang w:eastAsia="en-AU"/>
                    </w:rPr>
                  </w:pPr>
                  <w:r w:rsidRPr="0044695E">
                    <w:t xml:space="preserve"> 5,109 </w:t>
                  </w:r>
                </w:p>
              </w:tc>
              <w:tc>
                <w:tcPr>
                  <w:tcW w:w="1333" w:type="dxa"/>
                  <w:tcBorders>
                    <w:top w:val="nil"/>
                    <w:left w:val="nil"/>
                    <w:bottom w:val="nil"/>
                    <w:right w:val="nil"/>
                  </w:tcBorders>
                  <w:shd w:val="clear" w:color="auto" w:fill="auto"/>
                  <w:noWrap/>
                </w:tcPr>
                <w:p w14:paraId="4E254E9A" w14:textId="77777777" w:rsidR="00555BE3" w:rsidRPr="0044695E" w:rsidRDefault="00555BE3" w:rsidP="00555BE3">
                  <w:pPr>
                    <w:spacing w:before="40" w:after="40" w:line="276" w:lineRule="auto"/>
                    <w:jc w:val="right"/>
                    <w:rPr>
                      <w:rFonts w:asciiTheme="minorHAnsi" w:eastAsia="Times New Roman" w:hAnsiTheme="minorHAnsi" w:cstheme="minorHAnsi"/>
                      <w:color w:val="000000"/>
                      <w:sz w:val="18"/>
                      <w:szCs w:val="18"/>
                      <w:lang w:eastAsia="en-AU"/>
                    </w:rPr>
                  </w:pPr>
                  <w:r w:rsidRPr="0044695E">
                    <w:t xml:space="preserve"> 963 </w:t>
                  </w:r>
                </w:p>
              </w:tc>
              <w:tc>
                <w:tcPr>
                  <w:tcW w:w="1334" w:type="dxa"/>
                  <w:tcBorders>
                    <w:top w:val="nil"/>
                    <w:left w:val="nil"/>
                    <w:bottom w:val="nil"/>
                    <w:right w:val="nil"/>
                  </w:tcBorders>
                  <w:shd w:val="clear" w:color="auto" w:fill="auto"/>
                  <w:noWrap/>
                </w:tcPr>
                <w:p w14:paraId="08453CE5" w14:textId="77777777" w:rsidR="00555BE3" w:rsidRPr="0044695E" w:rsidRDefault="00555BE3" w:rsidP="00555BE3">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44695E">
                    <w:t xml:space="preserve">-3,398 </w:t>
                  </w:r>
                </w:p>
              </w:tc>
            </w:tr>
            <w:tr w:rsidR="00555BE3" w:rsidRPr="0044695E" w14:paraId="64DBB3F9" w14:textId="77777777" w:rsidTr="00555BE3">
              <w:trPr>
                <w:trHeight w:val="204"/>
                <w:jc w:val="center"/>
              </w:trPr>
              <w:tc>
                <w:tcPr>
                  <w:tcW w:w="969" w:type="dxa"/>
                  <w:shd w:val="clear" w:color="auto" w:fill="auto"/>
                  <w:noWrap/>
                  <w:tcMar>
                    <w:left w:w="28" w:type="dxa"/>
                  </w:tcMar>
                  <w:vAlign w:val="bottom"/>
                  <w:hideMark/>
                </w:tcPr>
                <w:p w14:paraId="55EB1CC0" w14:textId="77777777" w:rsidR="00555BE3" w:rsidRPr="0044695E" w:rsidRDefault="00555BE3" w:rsidP="00555BE3">
                  <w:pPr>
                    <w:spacing w:before="40" w:after="40" w:line="276" w:lineRule="auto"/>
                    <w:rPr>
                      <w:rFonts w:asciiTheme="minorHAnsi" w:eastAsia="Times New Roman" w:hAnsiTheme="minorHAnsi" w:cstheme="minorHAnsi"/>
                      <w:b/>
                      <w:bCs/>
                      <w:color w:val="000000"/>
                      <w:sz w:val="18"/>
                      <w:szCs w:val="18"/>
                      <w:lang w:eastAsia="en-AU"/>
                    </w:rPr>
                  </w:pPr>
                  <w:r w:rsidRPr="0044695E">
                    <w:rPr>
                      <w:rFonts w:asciiTheme="minorHAnsi" w:eastAsia="Times New Roman" w:hAnsiTheme="minorHAnsi" w:cstheme="minorHAnsi"/>
                      <w:b/>
                      <w:bCs/>
                      <w:color w:val="000000"/>
                      <w:sz w:val="18"/>
                      <w:szCs w:val="18"/>
                      <w:lang w:eastAsia="en-AU"/>
                    </w:rPr>
                    <w:t>WA</w:t>
                  </w:r>
                </w:p>
              </w:tc>
              <w:tc>
                <w:tcPr>
                  <w:tcW w:w="1333" w:type="dxa"/>
                  <w:tcBorders>
                    <w:top w:val="nil"/>
                    <w:left w:val="nil"/>
                    <w:bottom w:val="nil"/>
                    <w:right w:val="nil"/>
                  </w:tcBorders>
                  <w:shd w:val="clear" w:color="auto" w:fill="auto"/>
                  <w:noWrap/>
                </w:tcPr>
                <w:p w14:paraId="37BAC3DF" w14:textId="77777777" w:rsidR="00555BE3" w:rsidRPr="0044695E" w:rsidRDefault="00555BE3" w:rsidP="00555BE3">
                  <w:pPr>
                    <w:spacing w:before="40" w:after="40" w:line="276" w:lineRule="auto"/>
                    <w:jc w:val="right"/>
                    <w:rPr>
                      <w:rFonts w:asciiTheme="minorHAnsi" w:eastAsia="Times New Roman" w:hAnsiTheme="minorHAnsi" w:cstheme="minorHAnsi"/>
                      <w:color w:val="000000"/>
                      <w:sz w:val="18"/>
                      <w:szCs w:val="18"/>
                      <w:lang w:eastAsia="en-AU"/>
                    </w:rPr>
                  </w:pPr>
                  <w:r w:rsidRPr="0044695E">
                    <w:t xml:space="preserve"> 2,675,797 </w:t>
                  </w:r>
                </w:p>
              </w:tc>
              <w:tc>
                <w:tcPr>
                  <w:tcW w:w="1333" w:type="dxa"/>
                  <w:tcBorders>
                    <w:top w:val="nil"/>
                    <w:left w:val="nil"/>
                    <w:bottom w:val="nil"/>
                    <w:right w:val="nil"/>
                  </w:tcBorders>
                  <w:shd w:val="clear" w:color="auto" w:fill="auto"/>
                  <w:noWrap/>
                </w:tcPr>
                <w:p w14:paraId="12F91EDA" w14:textId="77777777" w:rsidR="00555BE3" w:rsidRPr="0044695E" w:rsidRDefault="00555BE3" w:rsidP="00555BE3">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44695E">
                    <w:t xml:space="preserve"> 15,245 </w:t>
                  </w:r>
                </w:p>
              </w:tc>
              <w:tc>
                <w:tcPr>
                  <w:tcW w:w="1334" w:type="dxa"/>
                  <w:tcBorders>
                    <w:top w:val="nil"/>
                    <w:left w:val="nil"/>
                    <w:bottom w:val="nil"/>
                    <w:right w:val="nil"/>
                  </w:tcBorders>
                  <w:shd w:val="clear" w:color="auto" w:fill="auto"/>
                </w:tcPr>
                <w:p w14:paraId="7A2146B1" w14:textId="77777777" w:rsidR="00555BE3" w:rsidRPr="0044695E" w:rsidRDefault="00555BE3" w:rsidP="00555BE3">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44695E">
                    <w:t xml:space="preserve"> 0.6 </w:t>
                  </w:r>
                </w:p>
              </w:tc>
              <w:tc>
                <w:tcPr>
                  <w:tcW w:w="1333" w:type="dxa"/>
                  <w:tcBorders>
                    <w:top w:val="nil"/>
                    <w:left w:val="nil"/>
                    <w:bottom w:val="nil"/>
                    <w:right w:val="nil"/>
                  </w:tcBorders>
                  <w:shd w:val="clear" w:color="auto" w:fill="auto"/>
                  <w:noWrap/>
                </w:tcPr>
                <w:p w14:paraId="69A1E8AA" w14:textId="77777777" w:rsidR="00555BE3" w:rsidRPr="0044695E" w:rsidRDefault="00555BE3" w:rsidP="00555BE3">
                  <w:pPr>
                    <w:tabs>
                      <w:tab w:val="decimal" w:pos="736"/>
                    </w:tabs>
                    <w:spacing w:before="40" w:after="40" w:line="276" w:lineRule="auto"/>
                    <w:jc w:val="right"/>
                    <w:rPr>
                      <w:rFonts w:asciiTheme="minorHAnsi" w:eastAsia="Times New Roman" w:hAnsiTheme="minorHAnsi" w:cstheme="minorHAnsi"/>
                      <w:color w:val="000000"/>
                      <w:sz w:val="18"/>
                      <w:szCs w:val="18"/>
                      <w:lang w:eastAsia="en-AU"/>
                    </w:rPr>
                  </w:pPr>
                  <w:r w:rsidRPr="0044695E">
                    <w:t xml:space="preserve"> 17,673 </w:t>
                  </w:r>
                </w:p>
              </w:tc>
              <w:tc>
                <w:tcPr>
                  <w:tcW w:w="1333" w:type="dxa"/>
                  <w:tcBorders>
                    <w:top w:val="nil"/>
                    <w:left w:val="nil"/>
                    <w:bottom w:val="nil"/>
                    <w:right w:val="nil"/>
                  </w:tcBorders>
                  <w:shd w:val="clear" w:color="auto" w:fill="auto"/>
                  <w:noWrap/>
                </w:tcPr>
                <w:p w14:paraId="03679F0C" w14:textId="77777777" w:rsidR="00555BE3" w:rsidRPr="0044695E" w:rsidRDefault="00555BE3" w:rsidP="00555BE3">
                  <w:pPr>
                    <w:spacing w:before="40" w:after="40" w:line="276" w:lineRule="auto"/>
                    <w:jc w:val="right"/>
                    <w:rPr>
                      <w:rFonts w:asciiTheme="minorHAnsi" w:eastAsia="Times New Roman" w:hAnsiTheme="minorHAnsi" w:cstheme="minorHAnsi"/>
                      <w:color w:val="000000"/>
                      <w:sz w:val="18"/>
                      <w:szCs w:val="18"/>
                      <w:lang w:eastAsia="en-AU"/>
                    </w:rPr>
                  </w:pPr>
                  <w:r w:rsidRPr="0044695E">
                    <w:t xml:space="preserve"> 3,248 </w:t>
                  </w:r>
                </w:p>
              </w:tc>
              <w:tc>
                <w:tcPr>
                  <w:tcW w:w="1334" w:type="dxa"/>
                  <w:tcBorders>
                    <w:top w:val="nil"/>
                    <w:left w:val="nil"/>
                    <w:bottom w:val="nil"/>
                    <w:right w:val="nil"/>
                  </w:tcBorders>
                  <w:shd w:val="clear" w:color="auto" w:fill="auto"/>
                  <w:noWrap/>
                </w:tcPr>
                <w:p w14:paraId="394D484E" w14:textId="77777777" w:rsidR="00555BE3" w:rsidRPr="0044695E" w:rsidRDefault="00555BE3" w:rsidP="00555BE3">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44695E">
                    <w:t xml:space="preserve">-5,676 </w:t>
                  </w:r>
                </w:p>
              </w:tc>
            </w:tr>
            <w:tr w:rsidR="00555BE3" w:rsidRPr="0044695E" w14:paraId="67E655DF" w14:textId="77777777" w:rsidTr="00555BE3">
              <w:trPr>
                <w:trHeight w:val="204"/>
                <w:jc w:val="center"/>
              </w:trPr>
              <w:tc>
                <w:tcPr>
                  <w:tcW w:w="969" w:type="dxa"/>
                  <w:shd w:val="clear" w:color="auto" w:fill="auto"/>
                  <w:noWrap/>
                  <w:tcMar>
                    <w:left w:w="28" w:type="dxa"/>
                  </w:tcMar>
                  <w:vAlign w:val="bottom"/>
                  <w:hideMark/>
                </w:tcPr>
                <w:p w14:paraId="5B9436EA" w14:textId="77777777" w:rsidR="00555BE3" w:rsidRPr="0044695E" w:rsidRDefault="00555BE3" w:rsidP="00555BE3">
                  <w:pPr>
                    <w:spacing w:before="40" w:after="40" w:line="276" w:lineRule="auto"/>
                    <w:rPr>
                      <w:rFonts w:asciiTheme="minorHAnsi" w:eastAsia="Times New Roman" w:hAnsiTheme="minorHAnsi" w:cstheme="minorHAnsi"/>
                      <w:b/>
                      <w:bCs/>
                      <w:color w:val="000000"/>
                      <w:sz w:val="18"/>
                      <w:szCs w:val="18"/>
                      <w:lang w:eastAsia="en-AU"/>
                    </w:rPr>
                  </w:pPr>
                  <w:r w:rsidRPr="0044695E">
                    <w:rPr>
                      <w:rFonts w:asciiTheme="minorHAnsi" w:eastAsia="Times New Roman" w:hAnsiTheme="minorHAnsi" w:cstheme="minorHAnsi"/>
                      <w:b/>
                      <w:bCs/>
                      <w:color w:val="000000"/>
                      <w:sz w:val="18"/>
                      <w:szCs w:val="18"/>
                      <w:lang w:eastAsia="en-AU"/>
                    </w:rPr>
                    <w:t>TAS</w:t>
                  </w:r>
                </w:p>
              </w:tc>
              <w:tc>
                <w:tcPr>
                  <w:tcW w:w="1333" w:type="dxa"/>
                  <w:tcBorders>
                    <w:top w:val="nil"/>
                    <w:left w:val="nil"/>
                    <w:bottom w:val="nil"/>
                    <w:right w:val="nil"/>
                  </w:tcBorders>
                  <w:shd w:val="clear" w:color="auto" w:fill="auto"/>
                  <w:noWrap/>
                </w:tcPr>
                <w:p w14:paraId="600B9895" w14:textId="77777777" w:rsidR="00555BE3" w:rsidRPr="0044695E" w:rsidRDefault="00555BE3" w:rsidP="00555BE3">
                  <w:pPr>
                    <w:spacing w:before="40" w:after="40" w:line="276" w:lineRule="auto"/>
                    <w:jc w:val="right"/>
                    <w:rPr>
                      <w:rFonts w:asciiTheme="minorHAnsi" w:eastAsia="Times New Roman" w:hAnsiTheme="minorHAnsi" w:cstheme="minorHAnsi"/>
                      <w:color w:val="000000"/>
                      <w:sz w:val="18"/>
                      <w:szCs w:val="18"/>
                      <w:lang w:eastAsia="en-AU"/>
                    </w:rPr>
                  </w:pPr>
                  <w:r w:rsidRPr="0044695E">
                    <w:t xml:space="preserve"> 541,965 </w:t>
                  </w:r>
                </w:p>
              </w:tc>
              <w:tc>
                <w:tcPr>
                  <w:tcW w:w="1333" w:type="dxa"/>
                  <w:tcBorders>
                    <w:top w:val="nil"/>
                    <w:left w:val="nil"/>
                    <w:bottom w:val="nil"/>
                    <w:right w:val="nil"/>
                  </w:tcBorders>
                  <w:shd w:val="clear" w:color="auto" w:fill="auto"/>
                  <w:noWrap/>
                </w:tcPr>
                <w:p w14:paraId="37E96359" w14:textId="77777777" w:rsidR="00555BE3" w:rsidRPr="0044695E" w:rsidRDefault="00555BE3" w:rsidP="00555BE3">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44695E">
                    <w:t xml:space="preserve"> 2,091 </w:t>
                  </w:r>
                </w:p>
              </w:tc>
              <w:tc>
                <w:tcPr>
                  <w:tcW w:w="1334" w:type="dxa"/>
                  <w:tcBorders>
                    <w:top w:val="nil"/>
                    <w:left w:val="nil"/>
                    <w:bottom w:val="nil"/>
                    <w:right w:val="nil"/>
                  </w:tcBorders>
                  <w:shd w:val="clear" w:color="auto" w:fill="auto"/>
                </w:tcPr>
                <w:p w14:paraId="0F95114C" w14:textId="77777777" w:rsidR="00555BE3" w:rsidRPr="0044695E" w:rsidRDefault="00555BE3" w:rsidP="00555BE3">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44695E">
                    <w:t xml:space="preserve"> 0.4 </w:t>
                  </w:r>
                </w:p>
              </w:tc>
              <w:tc>
                <w:tcPr>
                  <w:tcW w:w="1333" w:type="dxa"/>
                  <w:tcBorders>
                    <w:top w:val="nil"/>
                    <w:left w:val="nil"/>
                    <w:bottom w:val="nil"/>
                    <w:right w:val="nil"/>
                  </w:tcBorders>
                  <w:shd w:val="clear" w:color="auto" w:fill="auto"/>
                  <w:noWrap/>
                </w:tcPr>
                <w:p w14:paraId="64C53A6B" w14:textId="77777777" w:rsidR="00555BE3" w:rsidRPr="0044695E" w:rsidRDefault="00555BE3" w:rsidP="00555BE3">
                  <w:pPr>
                    <w:tabs>
                      <w:tab w:val="decimal" w:pos="736"/>
                    </w:tabs>
                    <w:spacing w:before="40" w:after="40" w:line="276" w:lineRule="auto"/>
                    <w:jc w:val="right"/>
                    <w:rPr>
                      <w:rFonts w:asciiTheme="minorHAnsi" w:eastAsia="Times New Roman" w:hAnsiTheme="minorHAnsi" w:cstheme="minorHAnsi"/>
                      <w:color w:val="000000"/>
                      <w:sz w:val="18"/>
                      <w:szCs w:val="18"/>
                      <w:lang w:eastAsia="en-AU"/>
                    </w:rPr>
                  </w:pPr>
                  <w:r w:rsidRPr="0044695E">
                    <w:t xml:space="preserve"> 1,286 </w:t>
                  </w:r>
                </w:p>
              </w:tc>
              <w:tc>
                <w:tcPr>
                  <w:tcW w:w="1333" w:type="dxa"/>
                  <w:tcBorders>
                    <w:top w:val="nil"/>
                    <w:left w:val="nil"/>
                    <w:bottom w:val="nil"/>
                    <w:right w:val="nil"/>
                  </w:tcBorders>
                  <w:shd w:val="clear" w:color="auto" w:fill="auto"/>
                  <w:noWrap/>
                </w:tcPr>
                <w:p w14:paraId="7D5F0258" w14:textId="77777777" w:rsidR="00555BE3" w:rsidRPr="0044695E" w:rsidRDefault="00555BE3" w:rsidP="00555BE3">
                  <w:pPr>
                    <w:spacing w:before="40" w:after="40" w:line="276" w:lineRule="auto"/>
                    <w:jc w:val="right"/>
                    <w:rPr>
                      <w:rFonts w:asciiTheme="minorHAnsi" w:eastAsia="Times New Roman" w:hAnsiTheme="minorHAnsi" w:cstheme="minorHAnsi"/>
                      <w:color w:val="000000"/>
                      <w:sz w:val="18"/>
                      <w:szCs w:val="18"/>
                      <w:lang w:eastAsia="en-AU"/>
                    </w:rPr>
                  </w:pPr>
                  <w:r w:rsidRPr="0044695E">
                    <w:t xml:space="preserve"> 1,143 </w:t>
                  </w:r>
                </w:p>
              </w:tc>
              <w:tc>
                <w:tcPr>
                  <w:tcW w:w="1334" w:type="dxa"/>
                  <w:tcBorders>
                    <w:top w:val="nil"/>
                    <w:left w:val="nil"/>
                    <w:bottom w:val="nil"/>
                    <w:right w:val="nil"/>
                  </w:tcBorders>
                  <w:shd w:val="clear" w:color="auto" w:fill="auto"/>
                  <w:noWrap/>
                </w:tcPr>
                <w:p w14:paraId="40E9E441" w14:textId="77777777" w:rsidR="00555BE3" w:rsidRPr="0044695E" w:rsidRDefault="00555BE3" w:rsidP="00555BE3">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44695E">
                    <w:t xml:space="preserve">-338 </w:t>
                  </w:r>
                </w:p>
              </w:tc>
            </w:tr>
            <w:tr w:rsidR="00555BE3" w:rsidRPr="0044695E" w14:paraId="2F6FB29B" w14:textId="77777777" w:rsidTr="00555BE3">
              <w:trPr>
                <w:trHeight w:val="204"/>
                <w:jc w:val="center"/>
              </w:trPr>
              <w:tc>
                <w:tcPr>
                  <w:tcW w:w="969" w:type="dxa"/>
                  <w:shd w:val="clear" w:color="auto" w:fill="auto"/>
                  <w:noWrap/>
                  <w:tcMar>
                    <w:left w:w="28" w:type="dxa"/>
                  </w:tcMar>
                  <w:vAlign w:val="bottom"/>
                  <w:hideMark/>
                </w:tcPr>
                <w:p w14:paraId="0A793810" w14:textId="77777777" w:rsidR="00555BE3" w:rsidRPr="0044695E" w:rsidRDefault="00555BE3" w:rsidP="00555BE3">
                  <w:pPr>
                    <w:spacing w:before="40" w:after="40" w:line="276" w:lineRule="auto"/>
                    <w:rPr>
                      <w:rFonts w:asciiTheme="minorHAnsi" w:eastAsia="Times New Roman" w:hAnsiTheme="minorHAnsi" w:cstheme="minorHAnsi"/>
                      <w:b/>
                      <w:bCs/>
                      <w:color w:val="000000"/>
                      <w:sz w:val="18"/>
                      <w:szCs w:val="18"/>
                      <w:lang w:eastAsia="en-AU"/>
                    </w:rPr>
                  </w:pPr>
                  <w:r w:rsidRPr="0044695E">
                    <w:rPr>
                      <w:rFonts w:asciiTheme="minorHAnsi" w:eastAsia="Times New Roman" w:hAnsiTheme="minorHAnsi" w:cstheme="minorHAnsi"/>
                      <w:b/>
                      <w:bCs/>
                      <w:color w:val="000000"/>
                      <w:sz w:val="18"/>
                      <w:szCs w:val="18"/>
                      <w:lang w:eastAsia="en-AU"/>
                    </w:rPr>
                    <w:t>NT</w:t>
                  </w:r>
                </w:p>
              </w:tc>
              <w:tc>
                <w:tcPr>
                  <w:tcW w:w="1333" w:type="dxa"/>
                  <w:tcBorders>
                    <w:top w:val="nil"/>
                    <w:left w:val="nil"/>
                    <w:bottom w:val="nil"/>
                    <w:right w:val="nil"/>
                  </w:tcBorders>
                  <w:shd w:val="clear" w:color="auto" w:fill="auto"/>
                  <w:noWrap/>
                </w:tcPr>
                <w:p w14:paraId="67686E70" w14:textId="77777777" w:rsidR="00555BE3" w:rsidRPr="0044695E" w:rsidRDefault="00555BE3" w:rsidP="00555BE3">
                  <w:pPr>
                    <w:spacing w:before="40" w:after="40" w:line="276" w:lineRule="auto"/>
                    <w:jc w:val="right"/>
                    <w:rPr>
                      <w:rFonts w:asciiTheme="minorHAnsi" w:eastAsia="Times New Roman" w:hAnsiTheme="minorHAnsi" w:cstheme="minorHAnsi"/>
                      <w:color w:val="000000"/>
                      <w:sz w:val="18"/>
                      <w:szCs w:val="18"/>
                      <w:lang w:eastAsia="en-AU"/>
                    </w:rPr>
                  </w:pPr>
                  <w:r w:rsidRPr="0044695E">
                    <w:t xml:space="preserve"> 247,023 </w:t>
                  </w:r>
                </w:p>
              </w:tc>
              <w:tc>
                <w:tcPr>
                  <w:tcW w:w="1333" w:type="dxa"/>
                  <w:tcBorders>
                    <w:top w:val="nil"/>
                    <w:left w:val="nil"/>
                    <w:bottom w:val="nil"/>
                    <w:right w:val="nil"/>
                  </w:tcBorders>
                  <w:shd w:val="clear" w:color="auto" w:fill="auto"/>
                  <w:noWrap/>
                </w:tcPr>
                <w:p w14:paraId="2C61BA78" w14:textId="77777777" w:rsidR="00555BE3" w:rsidRPr="0044695E" w:rsidRDefault="00555BE3" w:rsidP="00555BE3">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44695E">
                    <w:t xml:space="preserve"> 1,170 </w:t>
                  </w:r>
                </w:p>
              </w:tc>
              <w:tc>
                <w:tcPr>
                  <w:tcW w:w="1334" w:type="dxa"/>
                  <w:tcBorders>
                    <w:top w:val="nil"/>
                    <w:left w:val="nil"/>
                    <w:bottom w:val="nil"/>
                    <w:right w:val="nil"/>
                  </w:tcBorders>
                  <w:shd w:val="clear" w:color="auto" w:fill="auto"/>
                </w:tcPr>
                <w:p w14:paraId="3C3B6A21" w14:textId="77777777" w:rsidR="00555BE3" w:rsidRPr="0044695E" w:rsidRDefault="00555BE3" w:rsidP="00555BE3">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44695E">
                    <w:t xml:space="preserve"> 0.5 </w:t>
                  </w:r>
                </w:p>
              </w:tc>
              <w:tc>
                <w:tcPr>
                  <w:tcW w:w="1333" w:type="dxa"/>
                  <w:tcBorders>
                    <w:top w:val="nil"/>
                    <w:left w:val="nil"/>
                    <w:bottom w:val="nil"/>
                    <w:right w:val="nil"/>
                  </w:tcBorders>
                  <w:shd w:val="clear" w:color="auto" w:fill="auto"/>
                  <w:noWrap/>
                </w:tcPr>
                <w:p w14:paraId="4E635A57" w14:textId="77777777" w:rsidR="00555BE3" w:rsidRPr="0044695E" w:rsidRDefault="00555BE3" w:rsidP="00555BE3">
                  <w:pPr>
                    <w:tabs>
                      <w:tab w:val="decimal" w:pos="736"/>
                    </w:tabs>
                    <w:spacing w:before="40" w:after="40" w:line="276" w:lineRule="auto"/>
                    <w:jc w:val="right"/>
                    <w:rPr>
                      <w:rFonts w:asciiTheme="minorHAnsi" w:eastAsia="Times New Roman" w:hAnsiTheme="minorHAnsi" w:cstheme="minorHAnsi"/>
                      <w:color w:val="000000"/>
                      <w:sz w:val="18"/>
                      <w:szCs w:val="18"/>
                      <w:lang w:eastAsia="en-AU"/>
                    </w:rPr>
                  </w:pPr>
                  <w:r w:rsidRPr="0044695E">
                    <w:t xml:space="preserve"> 2,642 </w:t>
                  </w:r>
                </w:p>
              </w:tc>
              <w:tc>
                <w:tcPr>
                  <w:tcW w:w="1333" w:type="dxa"/>
                  <w:tcBorders>
                    <w:top w:val="nil"/>
                    <w:left w:val="nil"/>
                    <w:bottom w:val="nil"/>
                    <w:right w:val="nil"/>
                  </w:tcBorders>
                  <w:shd w:val="clear" w:color="auto" w:fill="auto"/>
                  <w:noWrap/>
                </w:tcPr>
                <w:p w14:paraId="548D9A17" w14:textId="77777777" w:rsidR="00555BE3" w:rsidRPr="0044695E" w:rsidRDefault="00555BE3" w:rsidP="00555BE3">
                  <w:pPr>
                    <w:spacing w:before="40" w:after="40" w:line="276" w:lineRule="auto"/>
                    <w:jc w:val="right"/>
                    <w:rPr>
                      <w:rFonts w:asciiTheme="minorHAnsi" w:eastAsia="Times New Roman" w:hAnsiTheme="minorHAnsi" w:cstheme="minorHAnsi"/>
                      <w:color w:val="000000"/>
                      <w:sz w:val="18"/>
                      <w:szCs w:val="18"/>
                      <w:lang w:eastAsia="en-AU"/>
                    </w:rPr>
                  </w:pPr>
                  <w:r w:rsidRPr="0044695E">
                    <w:t xml:space="preserve">-1,097 </w:t>
                  </w:r>
                </w:p>
              </w:tc>
              <w:tc>
                <w:tcPr>
                  <w:tcW w:w="1334" w:type="dxa"/>
                  <w:tcBorders>
                    <w:top w:val="nil"/>
                    <w:left w:val="nil"/>
                    <w:bottom w:val="nil"/>
                    <w:right w:val="nil"/>
                  </w:tcBorders>
                  <w:shd w:val="clear" w:color="auto" w:fill="auto"/>
                  <w:noWrap/>
                </w:tcPr>
                <w:p w14:paraId="575D4011" w14:textId="77777777" w:rsidR="00555BE3" w:rsidRPr="0044695E" w:rsidRDefault="00555BE3" w:rsidP="00555BE3">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44695E">
                    <w:t xml:space="preserve">-375 </w:t>
                  </w:r>
                </w:p>
              </w:tc>
            </w:tr>
            <w:tr w:rsidR="00555BE3" w:rsidRPr="0044695E" w14:paraId="70169DE1" w14:textId="77777777" w:rsidTr="00555BE3">
              <w:trPr>
                <w:trHeight w:val="204"/>
                <w:jc w:val="center"/>
              </w:trPr>
              <w:tc>
                <w:tcPr>
                  <w:tcW w:w="969" w:type="dxa"/>
                  <w:tcBorders>
                    <w:bottom w:val="nil"/>
                  </w:tcBorders>
                  <w:shd w:val="clear" w:color="auto" w:fill="auto"/>
                  <w:noWrap/>
                  <w:tcMar>
                    <w:left w:w="28" w:type="dxa"/>
                  </w:tcMar>
                  <w:vAlign w:val="bottom"/>
                  <w:hideMark/>
                </w:tcPr>
                <w:p w14:paraId="6B23A365" w14:textId="77777777" w:rsidR="00555BE3" w:rsidRPr="0044695E" w:rsidRDefault="00555BE3" w:rsidP="00555BE3">
                  <w:pPr>
                    <w:spacing w:before="40" w:after="40" w:line="276" w:lineRule="auto"/>
                    <w:rPr>
                      <w:rFonts w:asciiTheme="minorHAnsi" w:eastAsia="Times New Roman" w:hAnsiTheme="minorHAnsi" w:cstheme="minorHAnsi"/>
                      <w:b/>
                      <w:bCs/>
                      <w:color w:val="000000"/>
                      <w:sz w:val="18"/>
                      <w:szCs w:val="18"/>
                      <w:lang w:eastAsia="en-AU"/>
                    </w:rPr>
                  </w:pPr>
                  <w:r w:rsidRPr="0044695E">
                    <w:rPr>
                      <w:rFonts w:asciiTheme="minorHAnsi" w:eastAsia="Times New Roman" w:hAnsiTheme="minorHAnsi" w:cstheme="minorHAnsi"/>
                      <w:b/>
                      <w:bCs/>
                      <w:color w:val="000000"/>
                      <w:sz w:val="18"/>
                      <w:szCs w:val="18"/>
                      <w:lang w:eastAsia="en-AU"/>
                    </w:rPr>
                    <w:t>ACT</w:t>
                  </w:r>
                </w:p>
              </w:tc>
              <w:tc>
                <w:tcPr>
                  <w:tcW w:w="1333" w:type="dxa"/>
                  <w:tcBorders>
                    <w:top w:val="nil"/>
                    <w:left w:val="nil"/>
                    <w:bottom w:val="nil"/>
                    <w:right w:val="nil"/>
                  </w:tcBorders>
                  <w:shd w:val="clear" w:color="auto" w:fill="auto"/>
                  <w:noWrap/>
                </w:tcPr>
                <w:p w14:paraId="514057A5" w14:textId="77777777" w:rsidR="00555BE3" w:rsidRPr="0044695E" w:rsidRDefault="00555BE3" w:rsidP="00555BE3">
                  <w:pPr>
                    <w:spacing w:before="40" w:after="40" w:line="276" w:lineRule="auto"/>
                    <w:jc w:val="right"/>
                    <w:rPr>
                      <w:rFonts w:asciiTheme="minorHAnsi" w:eastAsia="Times New Roman" w:hAnsiTheme="minorHAnsi" w:cstheme="minorHAnsi"/>
                      <w:color w:val="000000"/>
                      <w:sz w:val="18"/>
                      <w:szCs w:val="18"/>
                      <w:lang w:eastAsia="en-AU"/>
                    </w:rPr>
                  </w:pPr>
                  <w:r w:rsidRPr="0044695E">
                    <w:t xml:space="preserve"> 431,826 </w:t>
                  </w:r>
                </w:p>
              </w:tc>
              <w:tc>
                <w:tcPr>
                  <w:tcW w:w="1333" w:type="dxa"/>
                  <w:tcBorders>
                    <w:top w:val="nil"/>
                    <w:left w:val="nil"/>
                    <w:bottom w:val="nil"/>
                    <w:right w:val="nil"/>
                  </w:tcBorders>
                  <w:shd w:val="clear" w:color="auto" w:fill="auto"/>
                  <w:noWrap/>
                </w:tcPr>
                <w:p w14:paraId="2C6F3BD2" w14:textId="77777777" w:rsidR="00555BE3" w:rsidRPr="0044695E" w:rsidRDefault="00555BE3" w:rsidP="00555BE3">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44695E">
                    <w:t xml:space="preserve"> 1,667 </w:t>
                  </w:r>
                </w:p>
              </w:tc>
              <w:tc>
                <w:tcPr>
                  <w:tcW w:w="1334" w:type="dxa"/>
                  <w:tcBorders>
                    <w:top w:val="nil"/>
                    <w:left w:val="nil"/>
                    <w:bottom w:val="nil"/>
                    <w:right w:val="nil"/>
                  </w:tcBorders>
                  <w:shd w:val="clear" w:color="auto" w:fill="auto"/>
                </w:tcPr>
                <w:p w14:paraId="4256A9D3" w14:textId="77777777" w:rsidR="00555BE3" w:rsidRPr="0044695E" w:rsidRDefault="00555BE3" w:rsidP="00555BE3">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44695E">
                    <w:t xml:space="preserve"> 0.4 </w:t>
                  </w:r>
                </w:p>
              </w:tc>
              <w:tc>
                <w:tcPr>
                  <w:tcW w:w="1333" w:type="dxa"/>
                  <w:tcBorders>
                    <w:top w:val="nil"/>
                    <w:left w:val="nil"/>
                    <w:bottom w:val="nil"/>
                    <w:right w:val="nil"/>
                  </w:tcBorders>
                  <w:shd w:val="clear" w:color="auto" w:fill="auto"/>
                  <w:noWrap/>
                </w:tcPr>
                <w:p w14:paraId="11BDE8E2" w14:textId="77777777" w:rsidR="00555BE3" w:rsidRPr="0044695E" w:rsidRDefault="00555BE3" w:rsidP="00555BE3">
                  <w:pPr>
                    <w:tabs>
                      <w:tab w:val="decimal" w:pos="736"/>
                    </w:tabs>
                    <w:spacing w:before="40" w:after="40" w:line="276" w:lineRule="auto"/>
                    <w:jc w:val="right"/>
                    <w:rPr>
                      <w:rFonts w:asciiTheme="minorHAnsi" w:eastAsia="Times New Roman" w:hAnsiTheme="minorHAnsi" w:cstheme="minorHAnsi"/>
                      <w:color w:val="000000"/>
                      <w:sz w:val="18"/>
                      <w:szCs w:val="18"/>
                      <w:lang w:eastAsia="en-AU"/>
                    </w:rPr>
                  </w:pPr>
                  <w:r w:rsidRPr="0044695E">
                    <w:t xml:space="preserve"> 3,325 </w:t>
                  </w:r>
                </w:p>
              </w:tc>
              <w:tc>
                <w:tcPr>
                  <w:tcW w:w="1333" w:type="dxa"/>
                  <w:tcBorders>
                    <w:top w:val="nil"/>
                    <w:left w:val="nil"/>
                    <w:bottom w:val="nil"/>
                    <w:right w:val="nil"/>
                  </w:tcBorders>
                  <w:shd w:val="clear" w:color="auto" w:fill="auto"/>
                  <w:noWrap/>
                </w:tcPr>
                <w:p w14:paraId="3D9BE8CA" w14:textId="77777777" w:rsidR="00555BE3" w:rsidRPr="0044695E" w:rsidRDefault="00555BE3" w:rsidP="00555BE3">
                  <w:pPr>
                    <w:spacing w:before="40" w:after="40" w:line="276" w:lineRule="auto"/>
                    <w:jc w:val="right"/>
                    <w:rPr>
                      <w:rFonts w:asciiTheme="minorHAnsi" w:eastAsia="Times New Roman" w:hAnsiTheme="minorHAnsi" w:cstheme="minorHAnsi"/>
                      <w:color w:val="000000"/>
                      <w:sz w:val="18"/>
                      <w:szCs w:val="18"/>
                      <w:lang w:eastAsia="en-AU"/>
                    </w:rPr>
                  </w:pPr>
                  <w:r w:rsidRPr="0044695E">
                    <w:t xml:space="preserve"> 945 </w:t>
                  </w:r>
                </w:p>
              </w:tc>
              <w:tc>
                <w:tcPr>
                  <w:tcW w:w="1334" w:type="dxa"/>
                  <w:tcBorders>
                    <w:top w:val="nil"/>
                    <w:left w:val="nil"/>
                    <w:bottom w:val="nil"/>
                    <w:right w:val="nil"/>
                  </w:tcBorders>
                  <w:shd w:val="clear" w:color="auto" w:fill="auto"/>
                  <w:noWrap/>
                </w:tcPr>
                <w:p w14:paraId="213E5A30" w14:textId="77777777" w:rsidR="00555BE3" w:rsidRPr="0044695E" w:rsidRDefault="00555BE3" w:rsidP="00555BE3">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44695E">
                    <w:t xml:space="preserve">-2,603 </w:t>
                  </w:r>
                </w:p>
              </w:tc>
            </w:tr>
            <w:tr w:rsidR="00555BE3" w:rsidRPr="0044695E" w14:paraId="1DC358F1" w14:textId="77777777" w:rsidTr="00555BE3">
              <w:trPr>
                <w:trHeight w:val="204"/>
                <w:jc w:val="center"/>
              </w:trPr>
              <w:tc>
                <w:tcPr>
                  <w:tcW w:w="969" w:type="dxa"/>
                  <w:tcBorders>
                    <w:top w:val="nil"/>
                    <w:bottom w:val="single" w:sz="4" w:space="0" w:color="002C47" w:themeColor="accent1"/>
                  </w:tcBorders>
                  <w:shd w:val="clear" w:color="auto" w:fill="D2EDFF" w:themeFill="accent1" w:themeFillTint="1A"/>
                  <w:noWrap/>
                  <w:tcMar>
                    <w:left w:w="28" w:type="dxa"/>
                  </w:tcMar>
                  <w:vAlign w:val="bottom"/>
                  <w:hideMark/>
                </w:tcPr>
                <w:p w14:paraId="2EB3B4A7" w14:textId="77777777" w:rsidR="00555BE3" w:rsidRPr="0044695E" w:rsidRDefault="00555BE3" w:rsidP="00555BE3">
                  <w:pPr>
                    <w:spacing w:before="40" w:after="40" w:line="276" w:lineRule="auto"/>
                    <w:rPr>
                      <w:rFonts w:asciiTheme="minorHAnsi" w:eastAsia="Times New Roman" w:hAnsiTheme="minorHAnsi" w:cstheme="minorHAnsi"/>
                      <w:b/>
                      <w:bCs/>
                      <w:color w:val="000000"/>
                      <w:sz w:val="18"/>
                      <w:szCs w:val="18"/>
                      <w:lang w:eastAsia="en-AU"/>
                    </w:rPr>
                  </w:pPr>
                  <w:r w:rsidRPr="0044695E">
                    <w:rPr>
                      <w:rFonts w:asciiTheme="minorHAnsi" w:eastAsia="Times New Roman" w:hAnsiTheme="minorHAnsi" w:cstheme="minorHAnsi"/>
                      <w:b/>
                      <w:bCs/>
                      <w:color w:val="000000"/>
                      <w:sz w:val="18"/>
                      <w:szCs w:val="18"/>
                      <w:lang w:eastAsia="en-AU"/>
                    </w:rPr>
                    <w:t>Australia*</w:t>
                  </w:r>
                </w:p>
              </w:tc>
              <w:tc>
                <w:tcPr>
                  <w:tcW w:w="1333" w:type="dxa"/>
                  <w:tcBorders>
                    <w:top w:val="nil"/>
                    <w:left w:val="nil"/>
                    <w:bottom w:val="single" w:sz="4" w:space="0" w:color="002C47" w:themeColor="accent1"/>
                    <w:right w:val="nil"/>
                  </w:tcBorders>
                  <w:shd w:val="clear" w:color="auto" w:fill="D2EDFF" w:themeFill="accent1" w:themeFillTint="1A"/>
                  <w:noWrap/>
                </w:tcPr>
                <w:p w14:paraId="3F264482" w14:textId="77777777" w:rsidR="00555BE3" w:rsidRPr="0044695E" w:rsidRDefault="00555BE3" w:rsidP="00555BE3">
                  <w:pPr>
                    <w:spacing w:before="40" w:after="40" w:line="276" w:lineRule="auto"/>
                    <w:jc w:val="right"/>
                    <w:rPr>
                      <w:rFonts w:asciiTheme="minorHAnsi" w:eastAsia="Times New Roman" w:hAnsiTheme="minorHAnsi" w:cstheme="minorHAnsi"/>
                      <w:color w:val="000000"/>
                      <w:sz w:val="18"/>
                      <w:szCs w:val="18"/>
                      <w:lang w:eastAsia="en-AU"/>
                    </w:rPr>
                  </w:pPr>
                  <w:r w:rsidRPr="0044695E">
                    <w:t xml:space="preserve"> 25,704,340 </w:t>
                  </w:r>
                </w:p>
              </w:tc>
              <w:tc>
                <w:tcPr>
                  <w:tcW w:w="1333" w:type="dxa"/>
                  <w:tcBorders>
                    <w:top w:val="nil"/>
                    <w:left w:val="nil"/>
                    <w:bottom w:val="single" w:sz="4" w:space="0" w:color="002C47" w:themeColor="accent1"/>
                    <w:right w:val="nil"/>
                  </w:tcBorders>
                  <w:shd w:val="clear" w:color="auto" w:fill="D2EDFF" w:themeFill="accent1" w:themeFillTint="1A"/>
                  <w:noWrap/>
                </w:tcPr>
                <w:p w14:paraId="3A1F00E6" w14:textId="77777777" w:rsidR="00555BE3" w:rsidRPr="0044695E" w:rsidRDefault="00555BE3" w:rsidP="00555BE3">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44695E">
                    <w:t xml:space="preserve"> 35,684 </w:t>
                  </w:r>
                </w:p>
              </w:tc>
              <w:tc>
                <w:tcPr>
                  <w:tcW w:w="1334" w:type="dxa"/>
                  <w:tcBorders>
                    <w:top w:val="nil"/>
                    <w:left w:val="nil"/>
                    <w:bottom w:val="single" w:sz="4" w:space="0" w:color="002C47" w:themeColor="accent1"/>
                    <w:right w:val="nil"/>
                  </w:tcBorders>
                  <w:shd w:val="clear" w:color="auto" w:fill="D2EDFF" w:themeFill="accent1" w:themeFillTint="1A"/>
                </w:tcPr>
                <w:p w14:paraId="527250F1" w14:textId="77777777" w:rsidR="00555BE3" w:rsidRPr="0044695E" w:rsidRDefault="00555BE3" w:rsidP="00555BE3">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44695E">
                    <w:t xml:space="preserve"> 0.1 </w:t>
                  </w:r>
                </w:p>
              </w:tc>
              <w:tc>
                <w:tcPr>
                  <w:tcW w:w="1333" w:type="dxa"/>
                  <w:tcBorders>
                    <w:top w:val="nil"/>
                    <w:left w:val="nil"/>
                    <w:bottom w:val="single" w:sz="4" w:space="0" w:color="002C47" w:themeColor="accent1"/>
                    <w:right w:val="nil"/>
                  </w:tcBorders>
                  <w:shd w:val="clear" w:color="auto" w:fill="D2EDFF" w:themeFill="accent1" w:themeFillTint="1A"/>
                  <w:noWrap/>
                </w:tcPr>
                <w:p w14:paraId="06982225" w14:textId="77777777" w:rsidR="00555BE3" w:rsidRPr="0044695E" w:rsidRDefault="00555BE3" w:rsidP="00555BE3">
                  <w:pPr>
                    <w:tabs>
                      <w:tab w:val="decimal" w:pos="736"/>
                    </w:tabs>
                    <w:spacing w:before="40" w:after="40" w:line="276" w:lineRule="auto"/>
                    <w:jc w:val="right"/>
                    <w:rPr>
                      <w:rFonts w:asciiTheme="minorHAnsi" w:eastAsia="Times New Roman" w:hAnsiTheme="minorHAnsi" w:cstheme="minorHAnsi"/>
                      <w:color w:val="000000"/>
                      <w:sz w:val="18"/>
                      <w:szCs w:val="18"/>
                      <w:lang w:eastAsia="en-AU"/>
                    </w:rPr>
                  </w:pPr>
                  <w:r w:rsidRPr="0044695E">
                    <w:t xml:space="preserve"> 131,018 </w:t>
                  </w:r>
                </w:p>
              </w:tc>
              <w:tc>
                <w:tcPr>
                  <w:tcW w:w="1333" w:type="dxa"/>
                  <w:tcBorders>
                    <w:top w:val="nil"/>
                    <w:left w:val="nil"/>
                    <w:bottom w:val="single" w:sz="4" w:space="0" w:color="002C47" w:themeColor="accent1"/>
                    <w:right w:val="nil"/>
                  </w:tcBorders>
                  <w:shd w:val="clear" w:color="auto" w:fill="D2EDFF" w:themeFill="accent1" w:themeFillTint="1A"/>
                  <w:noWrap/>
                </w:tcPr>
                <w:p w14:paraId="15628AD5" w14:textId="77777777" w:rsidR="00555BE3" w:rsidRPr="0044695E" w:rsidRDefault="00555BE3" w:rsidP="00555BE3">
                  <w:pPr>
                    <w:spacing w:before="40" w:after="40" w:line="276" w:lineRule="auto"/>
                    <w:jc w:val="right"/>
                    <w:rPr>
                      <w:rFonts w:asciiTheme="minorHAnsi" w:eastAsia="Times New Roman" w:hAnsiTheme="minorHAnsi" w:cstheme="minorHAnsi"/>
                      <w:color w:val="000000"/>
                      <w:sz w:val="18"/>
                      <w:szCs w:val="18"/>
                      <w:lang w:eastAsia="en-AU"/>
                    </w:rPr>
                  </w:pPr>
                  <w:r w:rsidRPr="0044695E">
                    <w:rPr>
                      <w:rFonts w:asciiTheme="minorHAnsi" w:eastAsia="Times New Roman" w:hAnsiTheme="minorHAnsi" w:cstheme="minorHAnsi"/>
                      <w:color w:val="000000"/>
                      <w:sz w:val="18"/>
                      <w:szCs w:val="18"/>
                      <w:lang w:eastAsia="en-AU"/>
                    </w:rPr>
                    <w:t>N/A</w:t>
                  </w:r>
                </w:p>
              </w:tc>
              <w:tc>
                <w:tcPr>
                  <w:tcW w:w="1334" w:type="dxa"/>
                  <w:tcBorders>
                    <w:top w:val="nil"/>
                    <w:left w:val="nil"/>
                    <w:bottom w:val="single" w:sz="4" w:space="0" w:color="002C47" w:themeColor="accent1"/>
                    <w:right w:val="nil"/>
                  </w:tcBorders>
                  <w:shd w:val="clear" w:color="auto" w:fill="D2EDFF" w:themeFill="accent1" w:themeFillTint="1A"/>
                  <w:noWrap/>
                </w:tcPr>
                <w:p w14:paraId="0074D95C" w14:textId="77777777" w:rsidR="00555BE3" w:rsidRPr="0044695E" w:rsidRDefault="00555BE3" w:rsidP="00555BE3">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44695E">
                    <w:t xml:space="preserve">-95,334 </w:t>
                  </w:r>
                </w:p>
              </w:tc>
            </w:tr>
          </w:tbl>
          <w:p w14:paraId="70E85AC8" w14:textId="2502A2FF" w:rsidR="00F31639" w:rsidRPr="0044695E" w:rsidRDefault="00F31639" w:rsidP="00E36B42">
            <w:pPr>
              <w:pStyle w:val="Bullet"/>
              <w:numPr>
                <w:ilvl w:val="0"/>
                <w:numId w:val="0"/>
              </w:numPr>
              <w:spacing w:before="40"/>
              <w:rPr>
                <w:sz w:val="16"/>
                <w:szCs w:val="16"/>
              </w:rPr>
            </w:pPr>
            <w:r w:rsidRPr="0044695E">
              <w:rPr>
                <w:sz w:val="16"/>
                <w:szCs w:val="16"/>
              </w:rPr>
              <w:t>* Includes other Territories comprising Jervis Bay Territory, Christmas Island, the Cocos (Keeling) Islands and Norfolk Island</w:t>
            </w:r>
          </w:p>
          <w:p w14:paraId="40479F3F" w14:textId="02CC0E96" w:rsidR="00DC62D9" w:rsidRPr="0044695E" w:rsidRDefault="00F31639" w:rsidP="00DC62D9">
            <w:pPr>
              <w:pStyle w:val="TableMainHeading"/>
              <w:spacing w:after="120"/>
              <w:ind w:left="992" w:hanging="992"/>
            </w:pPr>
            <w:r w:rsidRPr="0044695E">
              <w:t>Upcoming major population releases</w:t>
            </w:r>
          </w:p>
          <w:tbl>
            <w:tblPr>
              <w:tblW w:w="7748" w:type="dxa"/>
              <w:jc w:val="center"/>
              <w:tblBorders>
                <w:top w:val="single" w:sz="4" w:space="0" w:color="auto"/>
                <w:bottom w:val="single" w:sz="4" w:space="0" w:color="auto"/>
              </w:tblBorders>
              <w:tblLayout w:type="fixed"/>
              <w:tblLook w:val="04A0" w:firstRow="1" w:lastRow="0" w:firstColumn="1" w:lastColumn="0" w:noHBand="0" w:noVBand="1"/>
            </w:tblPr>
            <w:tblGrid>
              <w:gridCol w:w="4731"/>
              <w:gridCol w:w="1425"/>
              <w:gridCol w:w="1592"/>
            </w:tblGrid>
            <w:tr w:rsidR="00DC62D9" w:rsidRPr="0044695E" w14:paraId="1F60A23F" w14:textId="77777777" w:rsidTr="00834409">
              <w:trPr>
                <w:trHeight w:val="271"/>
                <w:jc w:val="center"/>
              </w:trPr>
              <w:tc>
                <w:tcPr>
                  <w:tcW w:w="4731" w:type="dxa"/>
                  <w:tcBorders>
                    <w:top w:val="single" w:sz="4" w:space="0" w:color="002C47" w:themeColor="accent1"/>
                    <w:bottom w:val="single" w:sz="4" w:space="0" w:color="002C47" w:themeColor="accent1"/>
                  </w:tcBorders>
                  <w:shd w:val="clear" w:color="auto" w:fill="auto"/>
                  <w:noWrap/>
                  <w:tcMar>
                    <w:left w:w="28" w:type="dxa"/>
                    <w:right w:w="0" w:type="dxa"/>
                  </w:tcMar>
                  <w:hideMark/>
                </w:tcPr>
                <w:p w14:paraId="05272BF2" w14:textId="66160A70" w:rsidR="00DC62D9" w:rsidRPr="0044695E" w:rsidRDefault="00DC62D9" w:rsidP="00DC62D9">
                  <w:pPr>
                    <w:spacing w:before="40" w:after="40" w:line="276" w:lineRule="auto"/>
                    <w:rPr>
                      <w:rFonts w:asciiTheme="minorHAnsi" w:eastAsia="Times New Roman" w:hAnsiTheme="minorHAnsi" w:cstheme="minorHAnsi"/>
                      <w:b/>
                      <w:bCs/>
                      <w:color w:val="002C47" w:themeColor="accent1"/>
                      <w:sz w:val="18"/>
                      <w:szCs w:val="18"/>
                      <w:lang w:eastAsia="en-AU"/>
                    </w:rPr>
                  </w:pPr>
                  <w:r w:rsidRPr="0044695E">
                    <w:rPr>
                      <w:rFonts w:asciiTheme="minorHAnsi" w:eastAsia="Times New Roman" w:hAnsiTheme="minorHAnsi" w:cstheme="minorHAnsi"/>
                      <w:b/>
                      <w:bCs/>
                      <w:color w:val="002C47" w:themeColor="accent1"/>
                      <w:sz w:val="18"/>
                      <w:szCs w:val="18"/>
                      <w:lang w:eastAsia="en-AU"/>
                    </w:rPr>
                    <w:t>Release</w:t>
                  </w:r>
                </w:p>
              </w:tc>
              <w:tc>
                <w:tcPr>
                  <w:tcW w:w="1425" w:type="dxa"/>
                  <w:tcBorders>
                    <w:top w:val="single" w:sz="4" w:space="0" w:color="002C47" w:themeColor="accent1"/>
                    <w:bottom w:val="single" w:sz="4" w:space="0" w:color="002C47" w:themeColor="accent1"/>
                  </w:tcBorders>
                  <w:shd w:val="clear" w:color="auto" w:fill="auto"/>
                  <w:tcMar>
                    <w:left w:w="28" w:type="dxa"/>
                    <w:right w:w="0" w:type="dxa"/>
                  </w:tcMar>
                  <w:hideMark/>
                </w:tcPr>
                <w:p w14:paraId="152293E2" w14:textId="4C0D2CF5" w:rsidR="00DC62D9" w:rsidRPr="0044695E" w:rsidRDefault="00DC62D9" w:rsidP="00DC62D9">
                  <w:pPr>
                    <w:spacing w:before="40" w:after="40" w:line="276" w:lineRule="auto"/>
                    <w:jc w:val="center"/>
                    <w:rPr>
                      <w:rFonts w:asciiTheme="minorHAnsi" w:eastAsia="Times New Roman" w:hAnsiTheme="minorHAnsi" w:cstheme="minorHAnsi"/>
                      <w:b/>
                      <w:bCs/>
                      <w:color w:val="002C47" w:themeColor="accent1"/>
                      <w:sz w:val="18"/>
                      <w:szCs w:val="18"/>
                      <w:lang w:eastAsia="en-AU"/>
                    </w:rPr>
                  </w:pPr>
                  <w:r w:rsidRPr="0044695E">
                    <w:rPr>
                      <w:rFonts w:asciiTheme="minorHAnsi" w:eastAsia="Times New Roman" w:hAnsiTheme="minorHAnsi" w:cstheme="minorHAnsi"/>
                      <w:b/>
                      <w:bCs/>
                      <w:color w:val="002C47" w:themeColor="accent1"/>
                      <w:sz w:val="18"/>
                      <w:szCs w:val="18"/>
                      <w:lang w:eastAsia="en-AU"/>
                    </w:rPr>
                    <w:t>Former catalogue</w:t>
                  </w:r>
                </w:p>
              </w:tc>
              <w:tc>
                <w:tcPr>
                  <w:tcW w:w="1592" w:type="dxa"/>
                  <w:tcBorders>
                    <w:top w:val="single" w:sz="4" w:space="0" w:color="002C47" w:themeColor="accent1"/>
                    <w:bottom w:val="single" w:sz="4" w:space="0" w:color="002C47" w:themeColor="accent1"/>
                  </w:tcBorders>
                  <w:shd w:val="clear" w:color="auto" w:fill="auto"/>
                  <w:tcMar>
                    <w:left w:w="28" w:type="dxa"/>
                    <w:right w:w="0" w:type="dxa"/>
                  </w:tcMar>
                  <w:hideMark/>
                </w:tcPr>
                <w:p w14:paraId="336AB2F8" w14:textId="7583602A" w:rsidR="00DC62D9" w:rsidRPr="0044695E" w:rsidRDefault="00DC62D9" w:rsidP="00DC62D9">
                  <w:pPr>
                    <w:spacing w:before="40" w:after="40" w:line="276" w:lineRule="auto"/>
                    <w:jc w:val="center"/>
                    <w:rPr>
                      <w:rFonts w:asciiTheme="minorHAnsi" w:eastAsia="Times New Roman" w:hAnsiTheme="minorHAnsi" w:cstheme="minorHAnsi"/>
                      <w:b/>
                      <w:bCs/>
                      <w:color w:val="002C47" w:themeColor="accent1"/>
                      <w:sz w:val="18"/>
                      <w:szCs w:val="18"/>
                      <w:lang w:eastAsia="en-AU"/>
                    </w:rPr>
                  </w:pPr>
                  <w:r w:rsidRPr="0044695E">
                    <w:rPr>
                      <w:rFonts w:asciiTheme="minorHAnsi" w:eastAsia="Times New Roman" w:hAnsiTheme="minorHAnsi" w:cstheme="minorHAnsi"/>
                      <w:b/>
                      <w:bCs/>
                      <w:color w:val="002C47" w:themeColor="accent1"/>
                      <w:sz w:val="18"/>
                      <w:szCs w:val="18"/>
                      <w:lang w:eastAsia="en-AU"/>
                    </w:rPr>
                    <w:t>Release date</w:t>
                  </w:r>
                </w:p>
              </w:tc>
            </w:tr>
            <w:tr w:rsidR="00886B43" w:rsidRPr="0044695E" w14:paraId="01D94D8C" w14:textId="77777777" w:rsidTr="0044695E">
              <w:trPr>
                <w:trHeight w:val="204"/>
                <w:jc w:val="center"/>
              </w:trPr>
              <w:tc>
                <w:tcPr>
                  <w:tcW w:w="4731" w:type="dxa"/>
                  <w:tcBorders>
                    <w:bottom w:val="nil"/>
                  </w:tcBorders>
                  <w:shd w:val="clear" w:color="auto" w:fill="auto"/>
                  <w:noWrap/>
                  <w:tcMar>
                    <w:left w:w="28" w:type="dxa"/>
                  </w:tcMar>
                  <w:vAlign w:val="bottom"/>
                </w:tcPr>
                <w:p w14:paraId="03E7B2F5" w14:textId="63B33003" w:rsidR="00886B43" w:rsidRPr="0044695E" w:rsidRDefault="00F71583" w:rsidP="00886B43">
                  <w:pPr>
                    <w:spacing w:before="40" w:after="40" w:line="276" w:lineRule="auto"/>
                    <w:rPr>
                      <w:rFonts w:asciiTheme="minorHAnsi" w:eastAsia="Times New Roman" w:hAnsiTheme="minorHAnsi" w:cstheme="minorHAnsi"/>
                      <w:b/>
                      <w:bCs/>
                      <w:color w:val="000000"/>
                      <w:sz w:val="18"/>
                      <w:szCs w:val="18"/>
                      <w:lang w:eastAsia="en-AU"/>
                    </w:rPr>
                  </w:pPr>
                  <w:r w:rsidRPr="00F71583">
                    <w:rPr>
                      <w:rFonts w:asciiTheme="minorHAnsi" w:eastAsia="Times New Roman" w:hAnsiTheme="minorHAnsi" w:cstheme="minorHAnsi"/>
                      <w:b/>
                      <w:bCs/>
                      <w:color w:val="000000"/>
                      <w:sz w:val="18"/>
                      <w:szCs w:val="18"/>
                      <w:lang w:eastAsia="en-AU"/>
                    </w:rPr>
                    <w:t>Provisional Regional Internal Migration Estimates</w:t>
                  </w:r>
                  <w:r w:rsidR="00392053">
                    <w:rPr>
                      <w:rFonts w:asciiTheme="minorHAnsi" w:eastAsia="Times New Roman" w:hAnsiTheme="minorHAnsi" w:cstheme="minorHAnsi"/>
                      <w:b/>
                      <w:bCs/>
                      <w:color w:val="000000"/>
                      <w:sz w:val="18"/>
                      <w:szCs w:val="18"/>
                      <w:lang w:eastAsia="en-AU"/>
                    </w:rPr>
                    <w:t>, June 2021</w:t>
                  </w:r>
                </w:p>
              </w:tc>
              <w:tc>
                <w:tcPr>
                  <w:tcW w:w="1425" w:type="dxa"/>
                  <w:tcBorders>
                    <w:top w:val="nil"/>
                    <w:left w:val="nil"/>
                    <w:bottom w:val="nil"/>
                    <w:right w:val="nil"/>
                  </w:tcBorders>
                  <w:shd w:val="clear" w:color="auto" w:fill="auto"/>
                  <w:noWrap/>
                  <w:vAlign w:val="bottom"/>
                </w:tcPr>
                <w:p w14:paraId="6AC913BA" w14:textId="5555A68E" w:rsidR="00886B43" w:rsidRPr="0044695E" w:rsidRDefault="00FA2E7E" w:rsidP="00886B43">
                  <w:pPr>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N/A</w:t>
                  </w:r>
                </w:p>
              </w:tc>
              <w:tc>
                <w:tcPr>
                  <w:tcW w:w="1592" w:type="dxa"/>
                  <w:tcBorders>
                    <w:top w:val="nil"/>
                    <w:left w:val="nil"/>
                    <w:bottom w:val="nil"/>
                    <w:right w:val="nil"/>
                  </w:tcBorders>
                  <w:shd w:val="clear" w:color="auto" w:fill="auto"/>
                  <w:noWrap/>
                  <w:vAlign w:val="bottom"/>
                </w:tcPr>
                <w:p w14:paraId="3F06C5A6" w14:textId="6451663F" w:rsidR="00886B43" w:rsidRPr="0044695E" w:rsidRDefault="00886B43" w:rsidP="00886B43">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28/10/2021</w:t>
                  </w:r>
                </w:p>
              </w:tc>
            </w:tr>
            <w:tr w:rsidR="00886B43" w:rsidRPr="009C2B09" w14:paraId="66E28E1D" w14:textId="77777777" w:rsidTr="0044695E">
              <w:trPr>
                <w:trHeight w:val="204"/>
                <w:jc w:val="center"/>
              </w:trPr>
              <w:tc>
                <w:tcPr>
                  <w:tcW w:w="4731" w:type="dxa"/>
                  <w:tcBorders>
                    <w:top w:val="nil"/>
                    <w:bottom w:val="single" w:sz="4" w:space="0" w:color="auto"/>
                  </w:tcBorders>
                  <w:shd w:val="clear" w:color="auto" w:fill="auto"/>
                  <w:noWrap/>
                  <w:tcMar>
                    <w:left w:w="28" w:type="dxa"/>
                  </w:tcMar>
                  <w:vAlign w:val="bottom"/>
                </w:tcPr>
                <w:p w14:paraId="3230B49E" w14:textId="6CC0E444" w:rsidR="00886B43" w:rsidRPr="0044695E" w:rsidRDefault="00886B43" w:rsidP="00886B43">
                  <w:pPr>
                    <w:spacing w:before="40" w:after="40" w:line="276" w:lineRule="auto"/>
                    <w:rPr>
                      <w:rFonts w:asciiTheme="minorHAnsi" w:eastAsia="Times New Roman" w:hAnsiTheme="minorHAnsi" w:cstheme="minorHAnsi"/>
                      <w:b/>
                      <w:bCs/>
                      <w:color w:val="000000"/>
                      <w:sz w:val="18"/>
                      <w:szCs w:val="18"/>
                      <w:lang w:eastAsia="en-AU"/>
                    </w:rPr>
                  </w:pPr>
                  <w:r w:rsidRPr="0044695E">
                    <w:rPr>
                      <w:rFonts w:asciiTheme="minorHAnsi" w:eastAsia="Times New Roman" w:hAnsiTheme="minorHAnsi" w:cstheme="minorHAnsi"/>
                      <w:b/>
                      <w:bCs/>
                      <w:color w:val="000000"/>
                      <w:sz w:val="18"/>
                      <w:szCs w:val="18"/>
                      <w:lang w:eastAsia="en-AU"/>
                    </w:rPr>
                    <w:t>National, state and territory population, June 2021</w:t>
                  </w:r>
                </w:p>
              </w:tc>
              <w:tc>
                <w:tcPr>
                  <w:tcW w:w="1425" w:type="dxa"/>
                  <w:tcBorders>
                    <w:top w:val="nil"/>
                    <w:left w:val="nil"/>
                    <w:bottom w:val="single" w:sz="4" w:space="0" w:color="auto"/>
                    <w:right w:val="nil"/>
                  </w:tcBorders>
                  <w:shd w:val="clear" w:color="auto" w:fill="auto"/>
                  <w:noWrap/>
                  <w:vAlign w:val="bottom"/>
                </w:tcPr>
                <w:p w14:paraId="4866131E" w14:textId="17B50F7B" w:rsidR="00886B43" w:rsidRPr="0044695E" w:rsidRDefault="00886B43" w:rsidP="00886B43">
                  <w:pPr>
                    <w:spacing w:before="40" w:after="40" w:line="276" w:lineRule="auto"/>
                    <w:jc w:val="right"/>
                    <w:rPr>
                      <w:rFonts w:asciiTheme="minorHAnsi" w:eastAsia="Times New Roman" w:hAnsiTheme="minorHAnsi" w:cstheme="minorHAnsi"/>
                      <w:color w:val="000000"/>
                      <w:sz w:val="18"/>
                      <w:szCs w:val="18"/>
                      <w:lang w:eastAsia="en-AU"/>
                    </w:rPr>
                  </w:pPr>
                  <w:r w:rsidRPr="0044695E">
                    <w:rPr>
                      <w:rFonts w:asciiTheme="minorHAnsi" w:eastAsia="Times New Roman" w:hAnsiTheme="minorHAnsi" w:cstheme="minorHAnsi"/>
                      <w:color w:val="000000"/>
                      <w:sz w:val="18"/>
                      <w:szCs w:val="18"/>
                      <w:lang w:eastAsia="en-AU"/>
                    </w:rPr>
                    <w:t>3101.0</w:t>
                  </w:r>
                </w:p>
              </w:tc>
              <w:tc>
                <w:tcPr>
                  <w:tcW w:w="1592" w:type="dxa"/>
                  <w:tcBorders>
                    <w:top w:val="nil"/>
                    <w:left w:val="nil"/>
                    <w:bottom w:val="single" w:sz="4" w:space="0" w:color="auto"/>
                    <w:right w:val="nil"/>
                  </w:tcBorders>
                  <w:shd w:val="clear" w:color="auto" w:fill="auto"/>
                  <w:noWrap/>
                  <w:vAlign w:val="bottom"/>
                </w:tcPr>
                <w:p w14:paraId="0EF84E5A" w14:textId="3F01F6F8" w:rsidR="00886B43" w:rsidRPr="00F836BF" w:rsidRDefault="00886B43" w:rsidP="00886B43">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44695E">
                    <w:rPr>
                      <w:rFonts w:asciiTheme="minorHAnsi" w:eastAsia="Times New Roman" w:hAnsiTheme="minorHAnsi" w:cstheme="minorHAnsi"/>
                      <w:color w:val="000000"/>
                      <w:sz w:val="18"/>
                      <w:szCs w:val="18"/>
                      <w:lang w:eastAsia="en-AU"/>
                    </w:rPr>
                    <w:t>16/12/2021</w:t>
                  </w:r>
                </w:p>
              </w:tc>
            </w:tr>
          </w:tbl>
          <w:p w14:paraId="770411C3" w14:textId="040F6F77" w:rsidR="00A21A3E" w:rsidRPr="00A21A3E" w:rsidRDefault="00A21A3E" w:rsidP="00A21A3E"/>
        </w:tc>
      </w:tr>
      <w:tr w:rsidR="008E0014" w:rsidRPr="0023709A" w14:paraId="225AE3FE" w14:textId="77777777" w:rsidTr="00834409">
        <w:trPr>
          <w:trHeight w:val="300"/>
        </w:trPr>
        <w:tc>
          <w:tcPr>
            <w:tcW w:w="5000" w:type="pct"/>
            <w:gridSpan w:val="3"/>
          </w:tcPr>
          <w:p w14:paraId="002B90B3" w14:textId="77777777" w:rsidR="008E0014" w:rsidRPr="00834409" w:rsidRDefault="008E0014" w:rsidP="008E0014"/>
        </w:tc>
      </w:tr>
      <w:tr w:rsidR="00D24DBE" w:rsidRPr="00D24DBE" w14:paraId="3E3C4608" w14:textId="77777777" w:rsidTr="00F21DC2">
        <w:trPr>
          <w:trHeight w:val="300"/>
        </w:trPr>
        <w:tc>
          <w:tcPr>
            <w:tcW w:w="5000" w:type="pct"/>
            <w:gridSpan w:val="3"/>
            <w:vAlign w:val="center"/>
          </w:tcPr>
          <w:p w14:paraId="39AA9A9E" w14:textId="53E7A0BA" w:rsidR="00D24DBE" w:rsidRPr="006579A0" w:rsidRDefault="00D24DBE" w:rsidP="00834409">
            <w:pPr>
              <w:pStyle w:val="Heading3"/>
            </w:pPr>
            <w:r>
              <w:lastRenderedPageBreak/>
              <w:t>NOTES</w:t>
            </w:r>
          </w:p>
          <w:p w14:paraId="555BFA99" w14:textId="49D95D4D" w:rsidR="009820F8" w:rsidRDefault="009820F8" w:rsidP="00862857">
            <w:r w:rsidRPr="009820F8">
              <w:t xml:space="preserve">To ensure the ongoing production of fit-for-purpose official population estimates through the COVID-19 pandemic, the ABS has been assessing the likely impact of changed traveller behaviour on preliminary overseas migration estimates, a component of ERP. The ABS has introduced more frequent revisions to overseas migration to ensure the suite of demographic statistics continue to be of high quality and reflect the </w:t>
            </w:r>
            <w:proofErr w:type="gramStart"/>
            <w:r w:rsidRPr="009820F8">
              <w:t>most timely</w:t>
            </w:r>
            <w:proofErr w:type="gramEnd"/>
            <w:r w:rsidRPr="009820F8">
              <w:t xml:space="preserve"> data available. Preliminary overseas migration estimates will be revised every quarter over four quarters, instead of once after four quarters, until it becomes final. These more frequent revisions will ensure the most timely and accurate data flows through to ERP.</w:t>
            </w:r>
          </w:p>
          <w:p w14:paraId="767D413A" w14:textId="438533F8" w:rsidR="00862857" w:rsidRPr="00D24DBE" w:rsidRDefault="00D24DBE" w:rsidP="00862857">
            <w:r>
              <w:t xml:space="preserve">Further detail is available from the Australian Bureau of Statistics </w:t>
            </w:r>
            <w:hyperlink r:id="rId26" w:history="1">
              <w:r w:rsidR="009820F8" w:rsidRPr="009820F8">
                <w:rPr>
                  <w:rStyle w:val="Hyperlink"/>
                </w:rPr>
                <w:t>here.</w:t>
              </w:r>
            </w:hyperlink>
          </w:p>
        </w:tc>
      </w:tr>
      <w:tr w:rsidR="00FF5AC5" w:rsidRPr="00D24DBE" w14:paraId="708A419B" w14:textId="77777777" w:rsidTr="00F21DC2">
        <w:trPr>
          <w:trHeight w:val="300"/>
        </w:trPr>
        <w:tc>
          <w:tcPr>
            <w:tcW w:w="2031" w:type="pct"/>
            <w:vAlign w:val="center"/>
          </w:tcPr>
          <w:p w14:paraId="09A1D6B2" w14:textId="13C14C72" w:rsidR="00FF5AC5" w:rsidRPr="00815D89" w:rsidRDefault="00FF5AC5" w:rsidP="00BF7CAE">
            <w:pPr>
              <w:rPr>
                <w:color w:val="002C47" w:themeColor="accent1"/>
              </w:rPr>
            </w:pPr>
          </w:p>
        </w:tc>
        <w:tc>
          <w:tcPr>
            <w:tcW w:w="938" w:type="pct"/>
            <w:vAlign w:val="center"/>
          </w:tcPr>
          <w:p w14:paraId="351CEFC4" w14:textId="1E970713" w:rsidR="00FF5AC5" w:rsidRPr="00815D89" w:rsidRDefault="00FF5AC5" w:rsidP="00BF7CAE">
            <w:pPr>
              <w:jc w:val="right"/>
              <w:rPr>
                <w:color w:val="002C47" w:themeColor="accent1"/>
              </w:rPr>
            </w:pPr>
          </w:p>
        </w:tc>
        <w:tc>
          <w:tcPr>
            <w:tcW w:w="2031" w:type="pct"/>
            <w:vAlign w:val="center"/>
          </w:tcPr>
          <w:p w14:paraId="7025ADD2" w14:textId="7CBDADCB" w:rsidR="00FF5AC5" w:rsidRPr="00815D89" w:rsidRDefault="00FF5AC5" w:rsidP="00BF7CAE">
            <w:pPr>
              <w:jc w:val="right"/>
              <w:rPr>
                <w:color w:val="002C47" w:themeColor="accent1"/>
              </w:rPr>
            </w:pPr>
          </w:p>
        </w:tc>
      </w:tr>
      <w:tr w:rsidR="0034464F" w:rsidRPr="00D24DBE" w14:paraId="60FB7D75" w14:textId="77777777" w:rsidTr="00F21DC2">
        <w:trPr>
          <w:trHeight w:val="300"/>
        </w:trPr>
        <w:tc>
          <w:tcPr>
            <w:tcW w:w="2031" w:type="pct"/>
            <w:vAlign w:val="center"/>
          </w:tcPr>
          <w:p w14:paraId="0966267F" w14:textId="77777777" w:rsidR="0034464F" w:rsidRPr="00707C5B" w:rsidRDefault="0034464F" w:rsidP="00BF7CAE">
            <w:pPr>
              <w:rPr>
                <w:b/>
                <w:bCs/>
                <w:color w:val="002C47" w:themeColor="accent1"/>
              </w:rPr>
            </w:pPr>
          </w:p>
        </w:tc>
        <w:tc>
          <w:tcPr>
            <w:tcW w:w="938" w:type="pct"/>
            <w:vAlign w:val="center"/>
          </w:tcPr>
          <w:p w14:paraId="2EDF924E" w14:textId="77777777" w:rsidR="0034464F" w:rsidRPr="00815D89" w:rsidRDefault="0034464F" w:rsidP="00BF7CAE">
            <w:pPr>
              <w:jc w:val="right"/>
              <w:rPr>
                <w:color w:val="002C47" w:themeColor="accent1"/>
              </w:rPr>
            </w:pPr>
          </w:p>
        </w:tc>
        <w:tc>
          <w:tcPr>
            <w:tcW w:w="2031" w:type="pct"/>
            <w:vAlign w:val="center"/>
          </w:tcPr>
          <w:p w14:paraId="51FC8EB4" w14:textId="799E6317" w:rsidR="0034464F" w:rsidRDefault="0034464F" w:rsidP="00F21DC2">
            <w:pPr>
              <w:rPr>
                <w:b/>
                <w:bCs/>
                <w:color w:val="002C47" w:themeColor="accent1"/>
              </w:rPr>
            </w:pPr>
          </w:p>
        </w:tc>
      </w:tr>
    </w:tbl>
    <w:p w14:paraId="5EDE9743" w14:textId="6A7398AA" w:rsidR="002B5824" w:rsidRDefault="002B5824" w:rsidP="00A43EFE">
      <w:pPr>
        <w:rPr>
          <w:color w:val="000000"/>
        </w:rPr>
      </w:pPr>
    </w:p>
    <w:sectPr w:rsidR="002B5824" w:rsidSect="00142FC9">
      <w:headerReference w:type="first" r:id="rId27"/>
      <w:pgSz w:w="11906" w:h="16838" w:code="9"/>
      <w:pgMar w:top="1418" w:right="1418" w:bottom="1134" w:left="1418"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76091" w14:textId="77777777" w:rsidR="00555BE3" w:rsidRDefault="00555BE3" w:rsidP="008F6A37">
      <w:r>
        <w:separator/>
      </w:r>
    </w:p>
  </w:endnote>
  <w:endnote w:type="continuationSeparator" w:id="0">
    <w:p w14:paraId="7DEB4247" w14:textId="77777777" w:rsidR="00555BE3" w:rsidRDefault="00555BE3" w:rsidP="008F6A37">
      <w:r>
        <w:continuationSeparator/>
      </w:r>
    </w:p>
  </w:endnote>
  <w:endnote w:type="continuationNotice" w:id="1">
    <w:p w14:paraId="3F975AF4" w14:textId="77777777" w:rsidR="00555BE3" w:rsidRDefault="00555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F2922" w14:textId="5094E8FC" w:rsidR="00555BE3" w:rsidRDefault="00555BE3" w:rsidP="004B5358">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Pr>
        <w:b/>
        <w:bCs/>
        <w:noProof/>
      </w:rPr>
      <w:t>4</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Pr>
        <w:b/>
        <w:bCs/>
        <w:noProof/>
      </w:rPr>
      <w:t>5</w:t>
    </w:r>
    <w:r w:rsidRPr="004B5358">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C9E99" w14:textId="1A5995E3" w:rsidR="00555BE3" w:rsidRDefault="00555BE3" w:rsidP="004B5358">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Pr>
        <w:b/>
        <w:bCs/>
        <w:noProof/>
      </w:rPr>
      <w:t>5</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Pr>
        <w:b/>
        <w:bCs/>
        <w:noProof/>
      </w:rPr>
      <w:t>5</w:t>
    </w:r>
    <w:r w:rsidRPr="004B5358">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86E9A" w14:textId="3429208B" w:rsidR="00555BE3" w:rsidRPr="004B5358" w:rsidRDefault="00555BE3" w:rsidP="004B5358">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Pr>
        <w:b/>
        <w:bCs/>
        <w:noProof/>
      </w:rPr>
      <w:t>2</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Pr>
        <w:b/>
        <w:bCs/>
        <w:noProof/>
      </w:rPr>
      <w:t>5</w:t>
    </w:r>
    <w:r w:rsidRPr="004B535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8CF40" w14:textId="77777777" w:rsidR="00555BE3" w:rsidRDefault="00555BE3" w:rsidP="008F6A37">
      <w:r>
        <w:separator/>
      </w:r>
    </w:p>
  </w:footnote>
  <w:footnote w:type="continuationSeparator" w:id="0">
    <w:p w14:paraId="3253209F" w14:textId="77777777" w:rsidR="00555BE3" w:rsidRDefault="00555BE3" w:rsidP="008F6A37">
      <w:r>
        <w:continuationSeparator/>
      </w:r>
    </w:p>
  </w:footnote>
  <w:footnote w:type="continuationNotice" w:id="1">
    <w:p w14:paraId="286DFC9F" w14:textId="77777777" w:rsidR="00555BE3" w:rsidRDefault="00555B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7A8E0" w14:textId="69680BA7" w:rsidR="00555BE3" w:rsidRPr="003A7FFE" w:rsidRDefault="00754C9A" w:rsidP="00E41441">
    <w:pPr>
      <w:pStyle w:val="HeaderOdd"/>
      <w:jc w:val="left"/>
      <w:rPr>
        <w:i/>
      </w:rPr>
    </w:pPr>
    <w:r w:rsidRPr="003E678D">
      <w:rPr>
        <w:b w:val="0"/>
        <w:bCs/>
      </w:rPr>
      <w:t xml:space="preserve">Centre for Population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3E419" w14:textId="5793F862" w:rsidR="00555BE3" w:rsidRPr="00E41441" w:rsidRDefault="00754C9A" w:rsidP="00E41441">
    <w:pPr>
      <w:pStyle w:val="HeaderEven"/>
      <w:jc w:val="right"/>
      <w:rPr>
        <w:i/>
      </w:rPr>
    </w:pPr>
    <w:r w:rsidRPr="00834409">
      <w:rPr>
        <w:b w:val="0"/>
        <w:bCs/>
        <w:iCs/>
      </w:rPr>
      <w:t xml:space="preserve">Analysis of </w:t>
    </w:r>
    <w:r>
      <w:rPr>
        <w:b w:val="0"/>
        <w:bCs/>
        <w:i/>
      </w:rPr>
      <w:t>National, state and territory population, March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FEC37" w14:textId="68A61C6A" w:rsidR="00555BE3" w:rsidRDefault="00555BE3">
    <w:pPr>
      <w:pStyle w:val="Header"/>
    </w:pPr>
    <w:r>
      <w:rPr>
        <w:noProof/>
        <w:lang w:eastAsia="en-AU"/>
      </w:rPr>
      <w:drawing>
        <wp:anchor distT="0" distB="0" distL="114300" distR="114300" simplePos="0" relativeHeight="251658240" behindDoc="0" locked="0" layoutInCell="1" allowOverlap="1" wp14:anchorId="730E3FB9" wp14:editId="73BAE1A0">
          <wp:simplePos x="0" y="0"/>
          <wp:positionH relativeFrom="page">
            <wp:posOffset>-159</wp:posOffset>
          </wp:positionH>
          <wp:positionV relativeFrom="paragraph">
            <wp:posOffset>-468240</wp:posOffset>
          </wp:positionV>
          <wp:extent cx="7559994" cy="1441305"/>
          <wp:effectExtent l="0" t="0" r="317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994" cy="144130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97CB3" w14:textId="6D0C76B4" w:rsidR="00555BE3" w:rsidRPr="00AB6652" w:rsidRDefault="00555BE3" w:rsidP="003A7FFE">
    <w:pPr>
      <w:pStyle w:val="HeaderOdd"/>
      <w:jc w:val="left"/>
    </w:pPr>
    <w:r w:rsidRPr="003E678D">
      <w:rPr>
        <w:b w:val="0"/>
        <w:bCs/>
      </w:rPr>
      <w:t xml:space="preserve">Centre for Population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2EDC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2E70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1674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E076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B4DC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943E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5849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64D7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041B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1600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D3FC7"/>
    <w:multiLevelType w:val="multilevel"/>
    <w:tmpl w:val="88BE7110"/>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DF7717"/>
    <w:multiLevelType w:val="multilevel"/>
    <w:tmpl w:val="5DAAA53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4A0461"/>
    <w:multiLevelType w:val="hybridMultilevel"/>
    <w:tmpl w:val="91260442"/>
    <w:lvl w:ilvl="0" w:tplc="B49A184C">
      <w:start w:val="1"/>
      <w:numFmt w:val="decimal"/>
      <w:lvlText w:val="Chart %1."/>
      <w:lvlJc w:val="left"/>
      <w:pPr>
        <w:ind w:left="5038" w:hanging="360"/>
      </w:pPr>
      <w:rPr>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6118" w:hanging="360"/>
      </w:pPr>
    </w:lvl>
    <w:lvl w:ilvl="2" w:tplc="0C09001B" w:tentative="1">
      <w:start w:val="1"/>
      <w:numFmt w:val="lowerRoman"/>
      <w:lvlText w:val="%3."/>
      <w:lvlJc w:val="right"/>
      <w:pPr>
        <w:ind w:left="6838" w:hanging="180"/>
      </w:pPr>
    </w:lvl>
    <w:lvl w:ilvl="3" w:tplc="0C09000F" w:tentative="1">
      <w:start w:val="1"/>
      <w:numFmt w:val="decimal"/>
      <w:lvlText w:val="%4."/>
      <w:lvlJc w:val="left"/>
      <w:pPr>
        <w:ind w:left="7558" w:hanging="360"/>
      </w:pPr>
    </w:lvl>
    <w:lvl w:ilvl="4" w:tplc="0C090019" w:tentative="1">
      <w:start w:val="1"/>
      <w:numFmt w:val="lowerLetter"/>
      <w:lvlText w:val="%5."/>
      <w:lvlJc w:val="left"/>
      <w:pPr>
        <w:ind w:left="8278" w:hanging="360"/>
      </w:pPr>
    </w:lvl>
    <w:lvl w:ilvl="5" w:tplc="0C09001B" w:tentative="1">
      <w:start w:val="1"/>
      <w:numFmt w:val="lowerRoman"/>
      <w:lvlText w:val="%6."/>
      <w:lvlJc w:val="right"/>
      <w:pPr>
        <w:ind w:left="8998" w:hanging="180"/>
      </w:pPr>
    </w:lvl>
    <w:lvl w:ilvl="6" w:tplc="0C09000F" w:tentative="1">
      <w:start w:val="1"/>
      <w:numFmt w:val="decimal"/>
      <w:lvlText w:val="%7."/>
      <w:lvlJc w:val="left"/>
      <w:pPr>
        <w:ind w:left="9718" w:hanging="360"/>
      </w:pPr>
    </w:lvl>
    <w:lvl w:ilvl="7" w:tplc="0C090019" w:tentative="1">
      <w:start w:val="1"/>
      <w:numFmt w:val="lowerLetter"/>
      <w:lvlText w:val="%8."/>
      <w:lvlJc w:val="left"/>
      <w:pPr>
        <w:ind w:left="10438" w:hanging="360"/>
      </w:pPr>
    </w:lvl>
    <w:lvl w:ilvl="8" w:tplc="0C09001B" w:tentative="1">
      <w:start w:val="1"/>
      <w:numFmt w:val="lowerRoman"/>
      <w:lvlText w:val="%9."/>
      <w:lvlJc w:val="right"/>
      <w:pPr>
        <w:ind w:left="11158" w:hanging="180"/>
      </w:pPr>
    </w:lvl>
  </w:abstractNum>
  <w:abstractNum w:abstractNumId="14" w15:restartNumberingAfterBreak="0">
    <w:nsid w:val="27826BF0"/>
    <w:multiLevelType w:val="multilevel"/>
    <w:tmpl w:val="863C3022"/>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B326A3C"/>
    <w:multiLevelType w:val="multilevel"/>
    <w:tmpl w:val="4EAEC0E8"/>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962" w:hanging="360"/>
      </w:pPr>
    </w:lvl>
    <w:lvl w:ilvl="4">
      <w:start w:val="1"/>
      <w:numFmt w:val="lowerLetter"/>
      <w:lvlText w:val="(%5)"/>
      <w:lvlJc w:val="left"/>
      <w:pPr>
        <w:ind w:left="2322" w:hanging="360"/>
      </w:pPr>
    </w:lvl>
    <w:lvl w:ilvl="5">
      <w:start w:val="1"/>
      <w:numFmt w:val="lowerRoman"/>
      <w:lvlText w:val="(%6)"/>
      <w:lvlJc w:val="left"/>
      <w:pPr>
        <w:ind w:left="2682" w:hanging="360"/>
      </w:pPr>
    </w:lvl>
    <w:lvl w:ilvl="6">
      <w:start w:val="1"/>
      <w:numFmt w:val="decimal"/>
      <w:lvlText w:val="%7."/>
      <w:lvlJc w:val="left"/>
      <w:pPr>
        <w:ind w:left="3042" w:hanging="360"/>
      </w:pPr>
    </w:lvl>
    <w:lvl w:ilvl="7">
      <w:start w:val="1"/>
      <w:numFmt w:val="lowerLetter"/>
      <w:lvlText w:val="%8."/>
      <w:lvlJc w:val="left"/>
      <w:pPr>
        <w:ind w:left="3402" w:hanging="360"/>
      </w:pPr>
    </w:lvl>
    <w:lvl w:ilvl="8">
      <w:start w:val="1"/>
      <w:numFmt w:val="lowerRoman"/>
      <w:lvlText w:val="%9."/>
      <w:lvlJc w:val="left"/>
      <w:pPr>
        <w:ind w:left="3762" w:hanging="360"/>
      </w:pPr>
    </w:lvl>
  </w:abstractNum>
  <w:abstractNum w:abstractNumId="16" w15:restartNumberingAfterBreak="0">
    <w:nsid w:val="308C2710"/>
    <w:multiLevelType w:val="multilevel"/>
    <w:tmpl w:val="5810D1F2"/>
    <w:styleLink w:val="BulletedList"/>
    <w:lvl w:ilvl="0">
      <w:start w:val="1"/>
      <w:numFmt w:val="bullet"/>
      <w:lvlRestart w:val="0"/>
      <w:pStyle w:val="Norm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Normaldash"/>
      <w:lvlText w:val="–"/>
      <w:lvlJc w:val="left"/>
      <w:pPr>
        <w:tabs>
          <w:tab w:val="num" w:pos="567"/>
        </w:tabs>
        <w:ind w:left="567" w:hanging="284"/>
      </w:pPr>
      <w:rPr>
        <w:rFonts w:ascii="Times New Roman" w:hAnsi="Times New Roman" w:cs="Times New Roman" w:hint="default"/>
        <w:b w:val="0"/>
        <w:i w:val="0"/>
      </w:rPr>
    </w:lvl>
    <w:lvl w:ilvl="2">
      <w:start w:val="1"/>
      <w:numFmt w:val="bullet"/>
      <w:pStyle w:val="Norm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7"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60C37C0"/>
    <w:multiLevelType w:val="hybridMultilevel"/>
    <w:tmpl w:val="7E4EFDA8"/>
    <w:lvl w:ilvl="0" w:tplc="BD6EB0BC">
      <w:start w:val="1"/>
      <w:numFmt w:val="decimal"/>
      <w:lvlText w:val="Chart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7F6AB3"/>
    <w:multiLevelType w:val="hybridMultilevel"/>
    <w:tmpl w:val="E8D02006"/>
    <w:lvl w:ilvl="0" w:tplc="56DE09CA">
      <w:start w:val="1"/>
      <w:numFmt w:val="decimal"/>
      <w:pStyle w:val="TableHeadingContinued"/>
      <w:lvlText w:val="Table %1."/>
      <w:lvlJc w:val="left"/>
      <w:pPr>
        <w:ind w:left="360" w:hanging="360"/>
      </w:pPr>
      <w:rPr>
        <w:rFonts w:ascii="Calibri" w:hAnsi="Calibri" w:hint="default"/>
        <w:b/>
        <w:bCs w:val="0"/>
        <w:i w:val="0"/>
        <w:iCs w:val="0"/>
        <w:caps w:val="0"/>
        <w:strike w:val="0"/>
        <w:dstrike w:val="0"/>
        <w:outline w:val="0"/>
        <w:shadow w:val="0"/>
        <w:emboss w:val="0"/>
        <w:imprint w:val="0"/>
        <w:vanish w:val="0"/>
        <w:color w:val="002C47" w:themeColor="accent1"/>
        <w:spacing w:val="0"/>
        <w:kern w:val="0"/>
        <w:position w:val="0"/>
        <w:sz w:val="28"/>
        <w:szCs w:val="28"/>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68013C"/>
    <w:multiLevelType w:val="hybridMultilevel"/>
    <w:tmpl w:val="3E24635E"/>
    <w:lvl w:ilvl="0" w:tplc="7C960E5A">
      <w:start w:val="1"/>
      <w:numFmt w:val="decimal"/>
      <w:pStyle w:val="Heading8"/>
      <w:lvlText w:val="Table %1."/>
      <w:lvlJc w:val="left"/>
      <w:pPr>
        <w:tabs>
          <w:tab w:val="num" w:pos="992"/>
        </w:tabs>
        <w:ind w:left="992" w:hanging="9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0B20637"/>
    <w:multiLevelType w:val="hybridMultilevel"/>
    <w:tmpl w:val="E57A028C"/>
    <w:lvl w:ilvl="0" w:tplc="345E5FF0">
      <w:start w:val="1"/>
      <w:numFmt w:val="decimal"/>
      <w:lvlText w:val="Table %1."/>
      <w:lvlJc w:val="left"/>
      <w:pPr>
        <w:ind w:left="720" w:hanging="360"/>
      </w:pPr>
      <w:rPr>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60F57A5"/>
    <w:multiLevelType w:val="hybridMultilevel"/>
    <w:tmpl w:val="2BBAD246"/>
    <w:lvl w:ilvl="0" w:tplc="5F86231A">
      <w:start w:val="1"/>
      <w:numFmt w:val="decimal"/>
      <w:pStyle w:val="TableMainHeading"/>
      <w:lvlText w:val="Table %1."/>
      <w:lvlJc w:val="left"/>
      <w:pPr>
        <w:ind w:left="720" w:hanging="360"/>
      </w:pPr>
      <w:rPr>
        <w:rFonts w:ascii="Calibri" w:hAnsi="Calibri" w:hint="default"/>
        <w:b/>
        <w:i w:val="0"/>
        <w:caps w:val="0"/>
        <w:strike w:val="0"/>
        <w:dstrike w:val="0"/>
        <w:vanish w:val="0"/>
        <w:color w:val="002C47" w:themeColor="accent1"/>
        <w:sz w:val="20"/>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7508C2"/>
    <w:multiLevelType w:val="hybridMultilevel"/>
    <w:tmpl w:val="76307676"/>
    <w:lvl w:ilvl="0" w:tplc="E162F2F0">
      <w:start w:val="1"/>
      <w:numFmt w:val="decimal"/>
      <w:lvlText w:val="Table %1."/>
      <w:lvlJc w:val="left"/>
      <w:pPr>
        <w:ind w:left="360" w:hanging="360"/>
      </w:pPr>
      <w:rPr>
        <w:rFonts w:ascii="Calibri" w:hAnsi="Calibri" w:hint="default"/>
        <w:b/>
        <w:bCs w:val="0"/>
        <w:i w:val="0"/>
        <w:iCs w:val="0"/>
        <w:caps w:val="0"/>
        <w:strike w:val="0"/>
        <w:dstrike w:val="0"/>
        <w:outline w:val="0"/>
        <w:shadow w:val="0"/>
        <w:emboss w:val="0"/>
        <w:imprint w:val="0"/>
        <w:vanish w:val="0"/>
        <w:color w:val="002C47" w:themeColor="accent1"/>
        <w:spacing w:val="0"/>
        <w:kern w:val="0"/>
        <w:position w:val="0"/>
        <w:sz w:val="28"/>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9966D76"/>
    <w:multiLevelType w:val="hybridMultilevel"/>
    <w:tmpl w:val="2F844B7A"/>
    <w:lvl w:ilvl="0" w:tplc="AC4EB56E">
      <w:start w:val="1"/>
      <w:numFmt w:val="decimal"/>
      <w:pStyle w:val="BoxHeading"/>
      <w:lvlText w:val="Box %1."/>
      <w:lvlJc w:val="left"/>
      <w:pPr>
        <w:ind w:left="720" w:hanging="360"/>
      </w:pPr>
      <w:rPr>
        <w:rFonts w:hint="default"/>
        <w:cap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75A02C0"/>
    <w:multiLevelType w:val="hybridMultilevel"/>
    <w:tmpl w:val="E1DEB99E"/>
    <w:lvl w:ilvl="0" w:tplc="860AB498">
      <w:start w:val="1"/>
      <w:numFmt w:val="decimal"/>
      <w:pStyle w:val="ChartMainHeading"/>
      <w:lvlText w:val="Chart %1."/>
      <w:lvlJc w:val="left"/>
      <w:pPr>
        <w:tabs>
          <w:tab w:val="num" w:pos="992"/>
        </w:tabs>
        <w:ind w:left="992" w:hanging="99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8C040BD"/>
    <w:multiLevelType w:val="hybridMultilevel"/>
    <w:tmpl w:val="0274866E"/>
    <w:lvl w:ilvl="0" w:tplc="7972652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5"/>
  </w:num>
  <w:num w:numId="4">
    <w:abstractNumId w:val="2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6"/>
  </w:num>
  <w:num w:numId="17">
    <w:abstractNumId w:val="24"/>
  </w:num>
  <w:num w:numId="18">
    <w:abstractNumId w:val="17"/>
  </w:num>
  <w:num w:numId="19">
    <w:abstractNumId w:val="12"/>
  </w:num>
  <w:num w:numId="20">
    <w:abstractNumId w:val="20"/>
  </w:num>
  <w:num w:numId="21">
    <w:abstractNumId w:val="13"/>
  </w:num>
  <w:num w:numId="22">
    <w:abstractNumId w:val="18"/>
  </w:num>
  <w:num w:numId="23">
    <w:abstractNumId w:val="11"/>
  </w:num>
  <w:num w:numId="24">
    <w:abstractNumId w:val="14"/>
  </w:num>
  <w:num w:numId="25">
    <w:abstractNumId w:val="22"/>
  </w:num>
  <w:num w:numId="26">
    <w:abstractNumId w:val="19"/>
  </w:num>
  <w:num w:numId="27">
    <w:abstractNumId w:val="23"/>
  </w:num>
  <w:num w:numId="28">
    <w:abstractNumId w:val="26"/>
  </w:num>
  <w:num w:numId="29">
    <w:abstractNumId w:val="25"/>
  </w:num>
  <w:num w:numId="30">
    <w:abstractNumId w:val="21"/>
  </w:num>
  <w:num w:numId="31">
    <w:abstractNumId w:val="26"/>
  </w:num>
  <w:num w:numId="32">
    <w:abstractNumId w:val="15"/>
  </w:num>
  <w:num w:numId="33">
    <w:abstractNumId w:val="15"/>
  </w:num>
  <w:num w:numId="34">
    <w:abstractNumId w:val="15"/>
  </w:num>
  <w:num w:numId="35">
    <w:abstractNumId w:val="26"/>
  </w:num>
  <w:num w:numId="36">
    <w:abstractNumId w:val="26"/>
  </w:num>
  <w:num w:numId="37">
    <w:abstractNumId w:val="26"/>
  </w:num>
  <w:num w:numId="38">
    <w:abstractNumId w:val="26"/>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0CF"/>
    <w:rsid w:val="00001A0E"/>
    <w:rsid w:val="000025C3"/>
    <w:rsid w:val="00005552"/>
    <w:rsid w:val="00005C33"/>
    <w:rsid w:val="00005FDD"/>
    <w:rsid w:val="000075D6"/>
    <w:rsid w:val="00011E58"/>
    <w:rsid w:val="0001357F"/>
    <w:rsid w:val="000135AD"/>
    <w:rsid w:val="000138FE"/>
    <w:rsid w:val="00014B3E"/>
    <w:rsid w:val="00017247"/>
    <w:rsid w:val="000212AE"/>
    <w:rsid w:val="000219AA"/>
    <w:rsid w:val="00022B42"/>
    <w:rsid w:val="00022C7A"/>
    <w:rsid w:val="00023CBA"/>
    <w:rsid w:val="00024A4C"/>
    <w:rsid w:val="00024D0B"/>
    <w:rsid w:val="00027731"/>
    <w:rsid w:val="00027A65"/>
    <w:rsid w:val="00027CE2"/>
    <w:rsid w:val="00031C99"/>
    <w:rsid w:val="000321E4"/>
    <w:rsid w:val="000330A2"/>
    <w:rsid w:val="00033EFA"/>
    <w:rsid w:val="00036886"/>
    <w:rsid w:val="0004038D"/>
    <w:rsid w:val="00040405"/>
    <w:rsid w:val="000405D3"/>
    <w:rsid w:val="000409F3"/>
    <w:rsid w:val="0004496F"/>
    <w:rsid w:val="00044A6C"/>
    <w:rsid w:val="00044BD0"/>
    <w:rsid w:val="00045876"/>
    <w:rsid w:val="00046DAC"/>
    <w:rsid w:val="0004718D"/>
    <w:rsid w:val="00047BA9"/>
    <w:rsid w:val="000507D3"/>
    <w:rsid w:val="00053DE3"/>
    <w:rsid w:val="00053FF1"/>
    <w:rsid w:val="0005424F"/>
    <w:rsid w:val="0005568F"/>
    <w:rsid w:val="00056E4C"/>
    <w:rsid w:val="00057D34"/>
    <w:rsid w:val="0006007C"/>
    <w:rsid w:val="00064D04"/>
    <w:rsid w:val="00065FAE"/>
    <w:rsid w:val="000702C0"/>
    <w:rsid w:val="00073631"/>
    <w:rsid w:val="000741B6"/>
    <w:rsid w:val="0007513C"/>
    <w:rsid w:val="0007586A"/>
    <w:rsid w:val="0008139F"/>
    <w:rsid w:val="00081BE4"/>
    <w:rsid w:val="000833DC"/>
    <w:rsid w:val="000848F9"/>
    <w:rsid w:val="00085F2A"/>
    <w:rsid w:val="00093E21"/>
    <w:rsid w:val="00094A06"/>
    <w:rsid w:val="00096136"/>
    <w:rsid w:val="000967BC"/>
    <w:rsid w:val="000A1088"/>
    <w:rsid w:val="000A130F"/>
    <w:rsid w:val="000A2E8D"/>
    <w:rsid w:val="000A709B"/>
    <w:rsid w:val="000A77D4"/>
    <w:rsid w:val="000B05DA"/>
    <w:rsid w:val="000B065B"/>
    <w:rsid w:val="000B0DBC"/>
    <w:rsid w:val="000B2BC3"/>
    <w:rsid w:val="000B43F7"/>
    <w:rsid w:val="000B4C4B"/>
    <w:rsid w:val="000B6715"/>
    <w:rsid w:val="000B7540"/>
    <w:rsid w:val="000C1DC4"/>
    <w:rsid w:val="000C2BBD"/>
    <w:rsid w:val="000C5C34"/>
    <w:rsid w:val="000D0233"/>
    <w:rsid w:val="000D1ADE"/>
    <w:rsid w:val="000D2084"/>
    <w:rsid w:val="000D45C1"/>
    <w:rsid w:val="000D4B22"/>
    <w:rsid w:val="000D63F6"/>
    <w:rsid w:val="000D7E77"/>
    <w:rsid w:val="000E1BCE"/>
    <w:rsid w:val="000E283D"/>
    <w:rsid w:val="000E3CD8"/>
    <w:rsid w:val="000E3E0C"/>
    <w:rsid w:val="000E68E6"/>
    <w:rsid w:val="000F0031"/>
    <w:rsid w:val="000F04C1"/>
    <w:rsid w:val="000F1A5D"/>
    <w:rsid w:val="000F1F16"/>
    <w:rsid w:val="000F60AE"/>
    <w:rsid w:val="000F60CF"/>
    <w:rsid w:val="000F6912"/>
    <w:rsid w:val="000F6C7F"/>
    <w:rsid w:val="000F7106"/>
    <w:rsid w:val="00100FEC"/>
    <w:rsid w:val="001039A8"/>
    <w:rsid w:val="00110495"/>
    <w:rsid w:val="00112845"/>
    <w:rsid w:val="001140DF"/>
    <w:rsid w:val="00116FB0"/>
    <w:rsid w:val="00120861"/>
    <w:rsid w:val="001211DA"/>
    <w:rsid w:val="00122466"/>
    <w:rsid w:val="00122485"/>
    <w:rsid w:val="00126350"/>
    <w:rsid w:val="00133E61"/>
    <w:rsid w:val="00135022"/>
    <w:rsid w:val="00137221"/>
    <w:rsid w:val="00140745"/>
    <w:rsid w:val="001418C5"/>
    <w:rsid w:val="00142FC9"/>
    <w:rsid w:val="0014336B"/>
    <w:rsid w:val="001452FF"/>
    <w:rsid w:val="0014580B"/>
    <w:rsid w:val="00150047"/>
    <w:rsid w:val="00150552"/>
    <w:rsid w:val="00153143"/>
    <w:rsid w:val="00153E9E"/>
    <w:rsid w:val="001540C3"/>
    <w:rsid w:val="00154658"/>
    <w:rsid w:val="001548EE"/>
    <w:rsid w:val="00154C8D"/>
    <w:rsid w:val="00157EB6"/>
    <w:rsid w:val="0016052C"/>
    <w:rsid w:val="00160A10"/>
    <w:rsid w:val="00164BB5"/>
    <w:rsid w:val="00166D3E"/>
    <w:rsid w:val="00167034"/>
    <w:rsid w:val="0016769B"/>
    <w:rsid w:val="00170425"/>
    <w:rsid w:val="00171B99"/>
    <w:rsid w:val="0017330F"/>
    <w:rsid w:val="001737E2"/>
    <w:rsid w:val="00174442"/>
    <w:rsid w:val="0017622D"/>
    <w:rsid w:val="0017717F"/>
    <w:rsid w:val="00180671"/>
    <w:rsid w:val="001831C2"/>
    <w:rsid w:val="00184350"/>
    <w:rsid w:val="001844D9"/>
    <w:rsid w:val="00186406"/>
    <w:rsid w:val="001869A8"/>
    <w:rsid w:val="00187C81"/>
    <w:rsid w:val="00187E5F"/>
    <w:rsid w:val="00187EAE"/>
    <w:rsid w:val="00190A0A"/>
    <w:rsid w:val="00192757"/>
    <w:rsid w:val="00194E8F"/>
    <w:rsid w:val="00197182"/>
    <w:rsid w:val="001A1254"/>
    <w:rsid w:val="001A24B0"/>
    <w:rsid w:val="001A27A7"/>
    <w:rsid w:val="001A48D9"/>
    <w:rsid w:val="001A4E82"/>
    <w:rsid w:val="001B0934"/>
    <w:rsid w:val="001B0EDA"/>
    <w:rsid w:val="001B0EE4"/>
    <w:rsid w:val="001B275D"/>
    <w:rsid w:val="001B2923"/>
    <w:rsid w:val="001B690A"/>
    <w:rsid w:val="001C0224"/>
    <w:rsid w:val="001C0C93"/>
    <w:rsid w:val="001C0F70"/>
    <w:rsid w:val="001C2DAA"/>
    <w:rsid w:val="001C38B5"/>
    <w:rsid w:val="001C6454"/>
    <w:rsid w:val="001C6A41"/>
    <w:rsid w:val="001C6E25"/>
    <w:rsid w:val="001D0043"/>
    <w:rsid w:val="001D259D"/>
    <w:rsid w:val="001D5A3A"/>
    <w:rsid w:val="001D76C7"/>
    <w:rsid w:val="001E17A9"/>
    <w:rsid w:val="001E20B9"/>
    <w:rsid w:val="001E2E52"/>
    <w:rsid w:val="001F5C62"/>
    <w:rsid w:val="001F62EA"/>
    <w:rsid w:val="001F67C7"/>
    <w:rsid w:val="001F6AFA"/>
    <w:rsid w:val="001F7C99"/>
    <w:rsid w:val="00201F7A"/>
    <w:rsid w:val="002046A2"/>
    <w:rsid w:val="002065FF"/>
    <w:rsid w:val="0021002C"/>
    <w:rsid w:val="00210BF7"/>
    <w:rsid w:val="0021212C"/>
    <w:rsid w:val="0021232B"/>
    <w:rsid w:val="002123E7"/>
    <w:rsid w:val="00215C3B"/>
    <w:rsid w:val="00220979"/>
    <w:rsid w:val="00221231"/>
    <w:rsid w:val="002237C5"/>
    <w:rsid w:val="00223EE9"/>
    <w:rsid w:val="002240CA"/>
    <w:rsid w:val="002259F6"/>
    <w:rsid w:val="00230525"/>
    <w:rsid w:val="00230721"/>
    <w:rsid w:val="00230EB4"/>
    <w:rsid w:val="0023398A"/>
    <w:rsid w:val="00233AC7"/>
    <w:rsid w:val="00233BBC"/>
    <w:rsid w:val="00235115"/>
    <w:rsid w:val="0023583C"/>
    <w:rsid w:val="00235CD5"/>
    <w:rsid w:val="00236C31"/>
    <w:rsid w:val="0023709A"/>
    <w:rsid w:val="00237879"/>
    <w:rsid w:val="0023795B"/>
    <w:rsid w:val="002406D2"/>
    <w:rsid w:val="0024076E"/>
    <w:rsid w:val="00242910"/>
    <w:rsid w:val="00244526"/>
    <w:rsid w:val="00244D92"/>
    <w:rsid w:val="00245B70"/>
    <w:rsid w:val="00245C98"/>
    <w:rsid w:val="0024662A"/>
    <w:rsid w:val="0024753F"/>
    <w:rsid w:val="00247742"/>
    <w:rsid w:val="0025079E"/>
    <w:rsid w:val="00250DCD"/>
    <w:rsid w:val="002526C9"/>
    <w:rsid w:val="00255BEE"/>
    <w:rsid w:val="00256CAD"/>
    <w:rsid w:val="00257970"/>
    <w:rsid w:val="00257D71"/>
    <w:rsid w:val="002622FF"/>
    <w:rsid w:val="00262F2B"/>
    <w:rsid w:val="002668C3"/>
    <w:rsid w:val="00275740"/>
    <w:rsid w:val="00275A41"/>
    <w:rsid w:val="00275C6D"/>
    <w:rsid w:val="00277157"/>
    <w:rsid w:val="00277832"/>
    <w:rsid w:val="00277DCD"/>
    <w:rsid w:val="002830CF"/>
    <w:rsid w:val="00283988"/>
    <w:rsid w:val="00283A37"/>
    <w:rsid w:val="00284FDF"/>
    <w:rsid w:val="0028692E"/>
    <w:rsid w:val="00287D12"/>
    <w:rsid w:val="002919A7"/>
    <w:rsid w:val="00291D2F"/>
    <w:rsid w:val="002929EF"/>
    <w:rsid w:val="00292EFE"/>
    <w:rsid w:val="00293C4B"/>
    <w:rsid w:val="002950F4"/>
    <w:rsid w:val="002A2AB7"/>
    <w:rsid w:val="002A4563"/>
    <w:rsid w:val="002A7BB1"/>
    <w:rsid w:val="002B09EB"/>
    <w:rsid w:val="002B0CAC"/>
    <w:rsid w:val="002B1DF1"/>
    <w:rsid w:val="002B40ED"/>
    <w:rsid w:val="002B5824"/>
    <w:rsid w:val="002B684F"/>
    <w:rsid w:val="002B6973"/>
    <w:rsid w:val="002B6A32"/>
    <w:rsid w:val="002C03D9"/>
    <w:rsid w:val="002C0D7D"/>
    <w:rsid w:val="002C1040"/>
    <w:rsid w:val="002C2D5A"/>
    <w:rsid w:val="002C778A"/>
    <w:rsid w:val="002D01D9"/>
    <w:rsid w:val="002D0D59"/>
    <w:rsid w:val="002D1DDD"/>
    <w:rsid w:val="002D4BDD"/>
    <w:rsid w:val="002D4EB4"/>
    <w:rsid w:val="002D5196"/>
    <w:rsid w:val="002D5D79"/>
    <w:rsid w:val="002E1020"/>
    <w:rsid w:val="002E1867"/>
    <w:rsid w:val="002E290A"/>
    <w:rsid w:val="002E2FAA"/>
    <w:rsid w:val="002E57F5"/>
    <w:rsid w:val="002E5932"/>
    <w:rsid w:val="002E6A6D"/>
    <w:rsid w:val="002E6DD2"/>
    <w:rsid w:val="002F0ECB"/>
    <w:rsid w:val="002F1DE2"/>
    <w:rsid w:val="002F323C"/>
    <w:rsid w:val="002F77A5"/>
    <w:rsid w:val="00300B76"/>
    <w:rsid w:val="0030289A"/>
    <w:rsid w:val="00302A94"/>
    <w:rsid w:val="0030553F"/>
    <w:rsid w:val="00317D6E"/>
    <w:rsid w:val="003207E9"/>
    <w:rsid w:val="00323571"/>
    <w:rsid w:val="00325741"/>
    <w:rsid w:val="003266FB"/>
    <w:rsid w:val="00330482"/>
    <w:rsid w:val="003348F5"/>
    <w:rsid w:val="003369A9"/>
    <w:rsid w:val="00336E85"/>
    <w:rsid w:val="003413C9"/>
    <w:rsid w:val="00341522"/>
    <w:rsid w:val="00341E00"/>
    <w:rsid w:val="003425FB"/>
    <w:rsid w:val="0034464F"/>
    <w:rsid w:val="00344B69"/>
    <w:rsid w:val="003478BF"/>
    <w:rsid w:val="00347F56"/>
    <w:rsid w:val="00351A5B"/>
    <w:rsid w:val="00354BA3"/>
    <w:rsid w:val="003558C3"/>
    <w:rsid w:val="0035639A"/>
    <w:rsid w:val="00357348"/>
    <w:rsid w:val="003600B6"/>
    <w:rsid w:val="00362537"/>
    <w:rsid w:val="00363FFF"/>
    <w:rsid w:val="00364843"/>
    <w:rsid w:val="00365126"/>
    <w:rsid w:val="00365E78"/>
    <w:rsid w:val="00366737"/>
    <w:rsid w:val="0037217C"/>
    <w:rsid w:val="003770CC"/>
    <w:rsid w:val="0038054F"/>
    <w:rsid w:val="00381B77"/>
    <w:rsid w:val="00381C48"/>
    <w:rsid w:val="003826CF"/>
    <w:rsid w:val="00387DA7"/>
    <w:rsid w:val="00392053"/>
    <w:rsid w:val="00393ABA"/>
    <w:rsid w:val="00394E0D"/>
    <w:rsid w:val="003A06BD"/>
    <w:rsid w:val="003A1707"/>
    <w:rsid w:val="003A3DD6"/>
    <w:rsid w:val="003A4DAF"/>
    <w:rsid w:val="003A5CFB"/>
    <w:rsid w:val="003A748B"/>
    <w:rsid w:val="003A7FFE"/>
    <w:rsid w:val="003B06DE"/>
    <w:rsid w:val="003B47F5"/>
    <w:rsid w:val="003B702A"/>
    <w:rsid w:val="003B752F"/>
    <w:rsid w:val="003C01A4"/>
    <w:rsid w:val="003C3E27"/>
    <w:rsid w:val="003C63DE"/>
    <w:rsid w:val="003C759F"/>
    <w:rsid w:val="003D0CAD"/>
    <w:rsid w:val="003D148A"/>
    <w:rsid w:val="003D3445"/>
    <w:rsid w:val="003D4110"/>
    <w:rsid w:val="003D4771"/>
    <w:rsid w:val="003D5324"/>
    <w:rsid w:val="003D7915"/>
    <w:rsid w:val="003E1B45"/>
    <w:rsid w:val="003E5E43"/>
    <w:rsid w:val="003F00FC"/>
    <w:rsid w:val="003F1886"/>
    <w:rsid w:val="003F2541"/>
    <w:rsid w:val="003F3B05"/>
    <w:rsid w:val="003F3F0B"/>
    <w:rsid w:val="003F4900"/>
    <w:rsid w:val="003F5859"/>
    <w:rsid w:val="003F5DC8"/>
    <w:rsid w:val="00400137"/>
    <w:rsid w:val="00400285"/>
    <w:rsid w:val="00400C70"/>
    <w:rsid w:val="00401FAD"/>
    <w:rsid w:val="00402BBA"/>
    <w:rsid w:val="004033FC"/>
    <w:rsid w:val="00403CA5"/>
    <w:rsid w:val="0040438A"/>
    <w:rsid w:val="004044BC"/>
    <w:rsid w:val="00404954"/>
    <w:rsid w:val="00405536"/>
    <w:rsid w:val="004056DC"/>
    <w:rsid w:val="00405AD5"/>
    <w:rsid w:val="00410B21"/>
    <w:rsid w:val="004175A1"/>
    <w:rsid w:val="00420363"/>
    <w:rsid w:val="00423191"/>
    <w:rsid w:val="0042650B"/>
    <w:rsid w:val="0042763C"/>
    <w:rsid w:val="00431FE2"/>
    <w:rsid w:val="00432A34"/>
    <w:rsid w:val="004331C1"/>
    <w:rsid w:val="00435CAE"/>
    <w:rsid w:val="0043774A"/>
    <w:rsid w:val="0044091A"/>
    <w:rsid w:val="00441AEB"/>
    <w:rsid w:val="004431B7"/>
    <w:rsid w:val="00445CD9"/>
    <w:rsid w:val="004464EF"/>
    <w:rsid w:val="0044695E"/>
    <w:rsid w:val="00447B0D"/>
    <w:rsid w:val="00447EDC"/>
    <w:rsid w:val="00450BCE"/>
    <w:rsid w:val="0045180A"/>
    <w:rsid w:val="00453087"/>
    <w:rsid w:val="004547F8"/>
    <w:rsid w:val="0045794D"/>
    <w:rsid w:val="00457FE3"/>
    <w:rsid w:val="0046058D"/>
    <w:rsid w:val="0046136D"/>
    <w:rsid w:val="00461D8E"/>
    <w:rsid w:val="0046456E"/>
    <w:rsid w:val="00465C90"/>
    <w:rsid w:val="004671F2"/>
    <w:rsid w:val="004711B6"/>
    <w:rsid w:val="0047532A"/>
    <w:rsid w:val="0047768D"/>
    <w:rsid w:val="004820B2"/>
    <w:rsid w:val="00482FE6"/>
    <w:rsid w:val="0048321B"/>
    <w:rsid w:val="00484CB6"/>
    <w:rsid w:val="0048560C"/>
    <w:rsid w:val="00487CB6"/>
    <w:rsid w:val="00490182"/>
    <w:rsid w:val="00491076"/>
    <w:rsid w:val="00491E2A"/>
    <w:rsid w:val="004927CF"/>
    <w:rsid w:val="00493780"/>
    <w:rsid w:val="004A1D45"/>
    <w:rsid w:val="004A6A96"/>
    <w:rsid w:val="004A6ECE"/>
    <w:rsid w:val="004A6FE6"/>
    <w:rsid w:val="004A7907"/>
    <w:rsid w:val="004A79B4"/>
    <w:rsid w:val="004B31F7"/>
    <w:rsid w:val="004B32ED"/>
    <w:rsid w:val="004B523D"/>
    <w:rsid w:val="004B5358"/>
    <w:rsid w:val="004B53AF"/>
    <w:rsid w:val="004C02D7"/>
    <w:rsid w:val="004C0A6E"/>
    <w:rsid w:val="004C38EA"/>
    <w:rsid w:val="004C6AEA"/>
    <w:rsid w:val="004D06C2"/>
    <w:rsid w:val="004D1E83"/>
    <w:rsid w:val="004D5E45"/>
    <w:rsid w:val="004E1632"/>
    <w:rsid w:val="004E1C71"/>
    <w:rsid w:val="004E2245"/>
    <w:rsid w:val="004E6D11"/>
    <w:rsid w:val="004F0C24"/>
    <w:rsid w:val="004F34F6"/>
    <w:rsid w:val="004F427D"/>
    <w:rsid w:val="004F4E43"/>
    <w:rsid w:val="004F4FDD"/>
    <w:rsid w:val="004F55F6"/>
    <w:rsid w:val="00500E7E"/>
    <w:rsid w:val="00504F21"/>
    <w:rsid w:val="005060E0"/>
    <w:rsid w:val="00507E46"/>
    <w:rsid w:val="00513619"/>
    <w:rsid w:val="0051477F"/>
    <w:rsid w:val="0051509F"/>
    <w:rsid w:val="005152E5"/>
    <w:rsid w:val="00515427"/>
    <w:rsid w:val="00516060"/>
    <w:rsid w:val="005163B4"/>
    <w:rsid w:val="00516F2E"/>
    <w:rsid w:val="00517F9D"/>
    <w:rsid w:val="005211B9"/>
    <w:rsid w:val="00523E0B"/>
    <w:rsid w:val="00525984"/>
    <w:rsid w:val="00527E02"/>
    <w:rsid w:val="00527FAF"/>
    <w:rsid w:val="0053040C"/>
    <w:rsid w:val="00532145"/>
    <w:rsid w:val="00532759"/>
    <w:rsid w:val="00532BEE"/>
    <w:rsid w:val="005330EA"/>
    <w:rsid w:val="0053664F"/>
    <w:rsid w:val="00540F12"/>
    <w:rsid w:val="005433F9"/>
    <w:rsid w:val="005461A1"/>
    <w:rsid w:val="00552451"/>
    <w:rsid w:val="00553293"/>
    <w:rsid w:val="0055406A"/>
    <w:rsid w:val="00555BE3"/>
    <w:rsid w:val="00555C4A"/>
    <w:rsid w:val="00556113"/>
    <w:rsid w:val="00556908"/>
    <w:rsid w:val="0056128B"/>
    <w:rsid w:val="0056171F"/>
    <w:rsid w:val="0056226B"/>
    <w:rsid w:val="00562946"/>
    <w:rsid w:val="00562A8F"/>
    <w:rsid w:val="005630EA"/>
    <w:rsid w:val="00563395"/>
    <w:rsid w:val="0057167F"/>
    <w:rsid w:val="00573CF1"/>
    <w:rsid w:val="00574D15"/>
    <w:rsid w:val="00581D1C"/>
    <w:rsid w:val="00583823"/>
    <w:rsid w:val="00583A6A"/>
    <w:rsid w:val="00583B2D"/>
    <w:rsid w:val="0058746B"/>
    <w:rsid w:val="00590175"/>
    <w:rsid w:val="00591A94"/>
    <w:rsid w:val="00592F47"/>
    <w:rsid w:val="0059471F"/>
    <w:rsid w:val="00595444"/>
    <w:rsid w:val="00596A22"/>
    <w:rsid w:val="005A17F3"/>
    <w:rsid w:val="005A272D"/>
    <w:rsid w:val="005A2937"/>
    <w:rsid w:val="005A2F15"/>
    <w:rsid w:val="005A3A4F"/>
    <w:rsid w:val="005A3BF2"/>
    <w:rsid w:val="005A5838"/>
    <w:rsid w:val="005A74B5"/>
    <w:rsid w:val="005B033F"/>
    <w:rsid w:val="005B1EB3"/>
    <w:rsid w:val="005B2A7E"/>
    <w:rsid w:val="005B347F"/>
    <w:rsid w:val="005B74A2"/>
    <w:rsid w:val="005C0D05"/>
    <w:rsid w:val="005C0DCD"/>
    <w:rsid w:val="005C15BD"/>
    <w:rsid w:val="005C2132"/>
    <w:rsid w:val="005C2327"/>
    <w:rsid w:val="005C4011"/>
    <w:rsid w:val="005C4800"/>
    <w:rsid w:val="005C606E"/>
    <w:rsid w:val="005C6849"/>
    <w:rsid w:val="005C6A65"/>
    <w:rsid w:val="005C6E7A"/>
    <w:rsid w:val="005C7473"/>
    <w:rsid w:val="005D04BB"/>
    <w:rsid w:val="005D06AA"/>
    <w:rsid w:val="005D570D"/>
    <w:rsid w:val="005D5CC8"/>
    <w:rsid w:val="005D6768"/>
    <w:rsid w:val="005D6939"/>
    <w:rsid w:val="005D75B6"/>
    <w:rsid w:val="005D798F"/>
    <w:rsid w:val="005D7E76"/>
    <w:rsid w:val="005E58EF"/>
    <w:rsid w:val="005E6F5E"/>
    <w:rsid w:val="005E7E57"/>
    <w:rsid w:val="005F1051"/>
    <w:rsid w:val="005F1701"/>
    <w:rsid w:val="005F55A2"/>
    <w:rsid w:val="005F5ABA"/>
    <w:rsid w:val="005F63FE"/>
    <w:rsid w:val="006001CF"/>
    <w:rsid w:val="00601733"/>
    <w:rsid w:val="00610743"/>
    <w:rsid w:val="006110E2"/>
    <w:rsid w:val="006129E0"/>
    <w:rsid w:val="00616494"/>
    <w:rsid w:val="00621790"/>
    <w:rsid w:val="00622667"/>
    <w:rsid w:val="0062490B"/>
    <w:rsid w:val="00624B5A"/>
    <w:rsid w:val="00626060"/>
    <w:rsid w:val="006263EE"/>
    <w:rsid w:val="006264E9"/>
    <w:rsid w:val="00630CC8"/>
    <w:rsid w:val="006317B5"/>
    <w:rsid w:val="00632916"/>
    <w:rsid w:val="00633548"/>
    <w:rsid w:val="006350F5"/>
    <w:rsid w:val="00635BCC"/>
    <w:rsid w:val="006403A5"/>
    <w:rsid w:val="00640B92"/>
    <w:rsid w:val="00641342"/>
    <w:rsid w:val="00641A0F"/>
    <w:rsid w:val="00643E14"/>
    <w:rsid w:val="00645F4A"/>
    <w:rsid w:val="006528FC"/>
    <w:rsid w:val="006579A0"/>
    <w:rsid w:val="00660B67"/>
    <w:rsid w:val="00663FE2"/>
    <w:rsid w:val="0066539C"/>
    <w:rsid w:val="006669AF"/>
    <w:rsid w:val="00671AC6"/>
    <w:rsid w:val="00671AFD"/>
    <w:rsid w:val="00675B6D"/>
    <w:rsid w:val="0067651B"/>
    <w:rsid w:val="00681091"/>
    <w:rsid w:val="006834DE"/>
    <w:rsid w:val="00685EE6"/>
    <w:rsid w:val="00690549"/>
    <w:rsid w:val="00690D8D"/>
    <w:rsid w:val="006910AB"/>
    <w:rsid w:val="006912A0"/>
    <w:rsid w:val="00691847"/>
    <w:rsid w:val="00692645"/>
    <w:rsid w:val="00692771"/>
    <w:rsid w:val="00692B90"/>
    <w:rsid w:val="006945A0"/>
    <w:rsid w:val="00694A0F"/>
    <w:rsid w:val="00694C37"/>
    <w:rsid w:val="00695CAD"/>
    <w:rsid w:val="006A1463"/>
    <w:rsid w:val="006A298B"/>
    <w:rsid w:val="006A3DBE"/>
    <w:rsid w:val="006A5224"/>
    <w:rsid w:val="006B1110"/>
    <w:rsid w:val="006B18ED"/>
    <w:rsid w:val="006B257F"/>
    <w:rsid w:val="006B5086"/>
    <w:rsid w:val="006B533A"/>
    <w:rsid w:val="006B5943"/>
    <w:rsid w:val="006B64B5"/>
    <w:rsid w:val="006C2FC2"/>
    <w:rsid w:val="006C4875"/>
    <w:rsid w:val="006C761C"/>
    <w:rsid w:val="006D11FA"/>
    <w:rsid w:val="006D19E6"/>
    <w:rsid w:val="006D4030"/>
    <w:rsid w:val="006D66A4"/>
    <w:rsid w:val="006D78FA"/>
    <w:rsid w:val="006E12FF"/>
    <w:rsid w:val="006E2A16"/>
    <w:rsid w:val="006E2D65"/>
    <w:rsid w:val="006E32B5"/>
    <w:rsid w:val="006F2478"/>
    <w:rsid w:val="006F3A88"/>
    <w:rsid w:val="006F3F34"/>
    <w:rsid w:val="0070296C"/>
    <w:rsid w:val="00703078"/>
    <w:rsid w:val="00703621"/>
    <w:rsid w:val="0070388B"/>
    <w:rsid w:val="00704125"/>
    <w:rsid w:val="00704F10"/>
    <w:rsid w:val="00706F04"/>
    <w:rsid w:val="00706FDC"/>
    <w:rsid w:val="00707C5B"/>
    <w:rsid w:val="00711D07"/>
    <w:rsid w:val="007137D3"/>
    <w:rsid w:val="00715652"/>
    <w:rsid w:val="007171AE"/>
    <w:rsid w:val="00721E28"/>
    <w:rsid w:val="007222AC"/>
    <w:rsid w:val="00722C5A"/>
    <w:rsid w:val="0072327E"/>
    <w:rsid w:val="00723DB1"/>
    <w:rsid w:val="00724625"/>
    <w:rsid w:val="00725EFC"/>
    <w:rsid w:val="00725F91"/>
    <w:rsid w:val="007261C9"/>
    <w:rsid w:val="007321EE"/>
    <w:rsid w:val="00732D37"/>
    <w:rsid w:val="00732E1E"/>
    <w:rsid w:val="007331FC"/>
    <w:rsid w:val="0073369B"/>
    <w:rsid w:val="00734CC6"/>
    <w:rsid w:val="0073520B"/>
    <w:rsid w:val="00735369"/>
    <w:rsid w:val="00737787"/>
    <w:rsid w:val="00742228"/>
    <w:rsid w:val="00742B87"/>
    <w:rsid w:val="00743156"/>
    <w:rsid w:val="00745F3D"/>
    <w:rsid w:val="007464C1"/>
    <w:rsid w:val="00747C31"/>
    <w:rsid w:val="00751B0F"/>
    <w:rsid w:val="0075220D"/>
    <w:rsid w:val="007522A2"/>
    <w:rsid w:val="00754C9A"/>
    <w:rsid w:val="0075511A"/>
    <w:rsid w:val="007553F0"/>
    <w:rsid w:val="00756761"/>
    <w:rsid w:val="00756DA2"/>
    <w:rsid w:val="00760EC7"/>
    <w:rsid w:val="00761231"/>
    <w:rsid w:val="00761B9D"/>
    <w:rsid w:val="0076249E"/>
    <w:rsid w:val="007634BF"/>
    <w:rsid w:val="00763624"/>
    <w:rsid w:val="00763CD0"/>
    <w:rsid w:val="0077119F"/>
    <w:rsid w:val="00775370"/>
    <w:rsid w:val="00775DE1"/>
    <w:rsid w:val="00781150"/>
    <w:rsid w:val="0078346F"/>
    <w:rsid w:val="007835B6"/>
    <w:rsid w:val="007847A7"/>
    <w:rsid w:val="00787BD7"/>
    <w:rsid w:val="00791A7A"/>
    <w:rsid w:val="00792B9D"/>
    <w:rsid w:val="00792C05"/>
    <w:rsid w:val="00793EB3"/>
    <w:rsid w:val="0079608C"/>
    <w:rsid w:val="007A1AB1"/>
    <w:rsid w:val="007B4252"/>
    <w:rsid w:val="007C116A"/>
    <w:rsid w:val="007C3E5F"/>
    <w:rsid w:val="007C4E46"/>
    <w:rsid w:val="007C5639"/>
    <w:rsid w:val="007D4C47"/>
    <w:rsid w:val="007E0422"/>
    <w:rsid w:val="007E0789"/>
    <w:rsid w:val="007E09D1"/>
    <w:rsid w:val="007E21C1"/>
    <w:rsid w:val="007E2D43"/>
    <w:rsid w:val="007E4C4E"/>
    <w:rsid w:val="007E50DE"/>
    <w:rsid w:val="007E74A1"/>
    <w:rsid w:val="007E765D"/>
    <w:rsid w:val="007F31EF"/>
    <w:rsid w:val="00800B84"/>
    <w:rsid w:val="00801461"/>
    <w:rsid w:val="00804227"/>
    <w:rsid w:val="00804C84"/>
    <w:rsid w:val="008125C8"/>
    <w:rsid w:val="00812992"/>
    <w:rsid w:val="008144E1"/>
    <w:rsid w:val="00815D89"/>
    <w:rsid w:val="00815FD8"/>
    <w:rsid w:val="00816A93"/>
    <w:rsid w:val="00817AE9"/>
    <w:rsid w:val="0082060D"/>
    <w:rsid w:val="008237EE"/>
    <w:rsid w:val="008253F3"/>
    <w:rsid w:val="00825A1C"/>
    <w:rsid w:val="008260E5"/>
    <w:rsid w:val="00826B87"/>
    <w:rsid w:val="0082762B"/>
    <w:rsid w:val="00831ED3"/>
    <w:rsid w:val="00834409"/>
    <w:rsid w:val="008348BA"/>
    <w:rsid w:val="00834CE6"/>
    <w:rsid w:val="00835B41"/>
    <w:rsid w:val="00846AD4"/>
    <w:rsid w:val="00850D87"/>
    <w:rsid w:val="00852284"/>
    <w:rsid w:val="008534E3"/>
    <w:rsid w:val="008537F6"/>
    <w:rsid w:val="00854DF4"/>
    <w:rsid w:val="00854FFD"/>
    <w:rsid w:val="00856E74"/>
    <w:rsid w:val="008579FA"/>
    <w:rsid w:val="0086127A"/>
    <w:rsid w:val="00862857"/>
    <w:rsid w:val="008657D5"/>
    <w:rsid w:val="00867744"/>
    <w:rsid w:val="00870C89"/>
    <w:rsid w:val="0087108A"/>
    <w:rsid w:val="0087207B"/>
    <w:rsid w:val="00876539"/>
    <w:rsid w:val="00880B08"/>
    <w:rsid w:val="0088375A"/>
    <w:rsid w:val="008852F9"/>
    <w:rsid w:val="00885AD0"/>
    <w:rsid w:val="00886B43"/>
    <w:rsid w:val="00886DCF"/>
    <w:rsid w:val="00887B7F"/>
    <w:rsid w:val="00887FC5"/>
    <w:rsid w:val="00894841"/>
    <w:rsid w:val="00894A5B"/>
    <w:rsid w:val="00896C7B"/>
    <w:rsid w:val="008A1109"/>
    <w:rsid w:val="008A12DF"/>
    <w:rsid w:val="008A1AED"/>
    <w:rsid w:val="008A21C0"/>
    <w:rsid w:val="008A3ADA"/>
    <w:rsid w:val="008A4660"/>
    <w:rsid w:val="008A5B6C"/>
    <w:rsid w:val="008A6100"/>
    <w:rsid w:val="008A7180"/>
    <w:rsid w:val="008B12A5"/>
    <w:rsid w:val="008B4A6F"/>
    <w:rsid w:val="008B5AF4"/>
    <w:rsid w:val="008B76FB"/>
    <w:rsid w:val="008B7BC6"/>
    <w:rsid w:val="008C0026"/>
    <w:rsid w:val="008C321C"/>
    <w:rsid w:val="008C3336"/>
    <w:rsid w:val="008C60D2"/>
    <w:rsid w:val="008C6B04"/>
    <w:rsid w:val="008C6C1B"/>
    <w:rsid w:val="008C7635"/>
    <w:rsid w:val="008C76FC"/>
    <w:rsid w:val="008C7FFA"/>
    <w:rsid w:val="008D0A87"/>
    <w:rsid w:val="008D36E2"/>
    <w:rsid w:val="008D3F5B"/>
    <w:rsid w:val="008D5237"/>
    <w:rsid w:val="008D5CD8"/>
    <w:rsid w:val="008D5F1B"/>
    <w:rsid w:val="008D7C09"/>
    <w:rsid w:val="008D7CA9"/>
    <w:rsid w:val="008E0014"/>
    <w:rsid w:val="008E1539"/>
    <w:rsid w:val="008E2FAB"/>
    <w:rsid w:val="008E41C6"/>
    <w:rsid w:val="008E4B5F"/>
    <w:rsid w:val="008E58A4"/>
    <w:rsid w:val="008E71A6"/>
    <w:rsid w:val="008F24C6"/>
    <w:rsid w:val="008F38FB"/>
    <w:rsid w:val="008F3E7F"/>
    <w:rsid w:val="008F3EEE"/>
    <w:rsid w:val="008F58C6"/>
    <w:rsid w:val="008F6A37"/>
    <w:rsid w:val="00900E15"/>
    <w:rsid w:val="00900E6C"/>
    <w:rsid w:val="00901055"/>
    <w:rsid w:val="00901CF0"/>
    <w:rsid w:val="00902539"/>
    <w:rsid w:val="009033F7"/>
    <w:rsid w:val="00904BC5"/>
    <w:rsid w:val="0090605A"/>
    <w:rsid w:val="009064B8"/>
    <w:rsid w:val="009064D6"/>
    <w:rsid w:val="00910EB7"/>
    <w:rsid w:val="00912B87"/>
    <w:rsid w:val="00913488"/>
    <w:rsid w:val="00913F02"/>
    <w:rsid w:val="00916CCF"/>
    <w:rsid w:val="009171FE"/>
    <w:rsid w:val="0092086C"/>
    <w:rsid w:val="009220D8"/>
    <w:rsid w:val="00922FB5"/>
    <w:rsid w:val="00924741"/>
    <w:rsid w:val="009255A7"/>
    <w:rsid w:val="00933C47"/>
    <w:rsid w:val="009351C8"/>
    <w:rsid w:val="00935940"/>
    <w:rsid w:val="0093776F"/>
    <w:rsid w:val="0094175A"/>
    <w:rsid w:val="009433EE"/>
    <w:rsid w:val="00943626"/>
    <w:rsid w:val="00944613"/>
    <w:rsid w:val="00945AA7"/>
    <w:rsid w:val="00945E30"/>
    <w:rsid w:val="00946672"/>
    <w:rsid w:val="009467B9"/>
    <w:rsid w:val="00947956"/>
    <w:rsid w:val="00950F36"/>
    <w:rsid w:val="00953A4F"/>
    <w:rsid w:val="00953BFB"/>
    <w:rsid w:val="00955B00"/>
    <w:rsid w:val="00956EC0"/>
    <w:rsid w:val="00957951"/>
    <w:rsid w:val="00966184"/>
    <w:rsid w:val="00966FC9"/>
    <w:rsid w:val="0096704E"/>
    <w:rsid w:val="00975BC4"/>
    <w:rsid w:val="0097778D"/>
    <w:rsid w:val="00977DC6"/>
    <w:rsid w:val="0098197A"/>
    <w:rsid w:val="009820F8"/>
    <w:rsid w:val="0098238E"/>
    <w:rsid w:val="00984A49"/>
    <w:rsid w:val="00987C1E"/>
    <w:rsid w:val="009947E7"/>
    <w:rsid w:val="00995774"/>
    <w:rsid w:val="00996E3C"/>
    <w:rsid w:val="00997D47"/>
    <w:rsid w:val="009A2AFF"/>
    <w:rsid w:val="009A6918"/>
    <w:rsid w:val="009A71C9"/>
    <w:rsid w:val="009B3992"/>
    <w:rsid w:val="009B6D04"/>
    <w:rsid w:val="009B777C"/>
    <w:rsid w:val="009C180E"/>
    <w:rsid w:val="009C2B09"/>
    <w:rsid w:val="009C3546"/>
    <w:rsid w:val="009C3C53"/>
    <w:rsid w:val="009C6C28"/>
    <w:rsid w:val="009D0275"/>
    <w:rsid w:val="009D0E08"/>
    <w:rsid w:val="009D3AF8"/>
    <w:rsid w:val="009D3B86"/>
    <w:rsid w:val="009D3FBE"/>
    <w:rsid w:val="009D46EF"/>
    <w:rsid w:val="009E166B"/>
    <w:rsid w:val="009E5E56"/>
    <w:rsid w:val="009E6430"/>
    <w:rsid w:val="009E70CE"/>
    <w:rsid w:val="009F05B9"/>
    <w:rsid w:val="009F2865"/>
    <w:rsid w:val="009F2887"/>
    <w:rsid w:val="009F2977"/>
    <w:rsid w:val="009F2BC9"/>
    <w:rsid w:val="009F3160"/>
    <w:rsid w:val="009F4B8B"/>
    <w:rsid w:val="009F6670"/>
    <w:rsid w:val="00A006AD"/>
    <w:rsid w:val="00A018DF"/>
    <w:rsid w:val="00A05AE0"/>
    <w:rsid w:val="00A05B9B"/>
    <w:rsid w:val="00A0663C"/>
    <w:rsid w:val="00A06FDC"/>
    <w:rsid w:val="00A07A65"/>
    <w:rsid w:val="00A11A2E"/>
    <w:rsid w:val="00A11D2A"/>
    <w:rsid w:val="00A14612"/>
    <w:rsid w:val="00A150C6"/>
    <w:rsid w:val="00A152DC"/>
    <w:rsid w:val="00A15F83"/>
    <w:rsid w:val="00A1708A"/>
    <w:rsid w:val="00A21A3E"/>
    <w:rsid w:val="00A235AE"/>
    <w:rsid w:val="00A26589"/>
    <w:rsid w:val="00A268EF"/>
    <w:rsid w:val="00A26B26"/>
    <w:rsid w:val="00A27E10"/>
    <w:rsid w:val="00A325A5"/>
    <w:rsid w:val="00A32BC3"/>
    <w:rsid w:val="00A34BB6"/>
    <w:rsid w:val="00A34F3B"/>
    <w:rsid w:val="00A36A25"/>
    <w:rsid w:val="00A37C09"/>
    <w:rsid w:val="00A40409"/>
    <w:rsid w:val="00A40FCB"/>
    <w:rsid w:val="00A439C7"/>
    <w:rsid w:val="00A43EFE"/>
    <w:rsid w:val="00A44BFB"/>
    <w:rsid w:val="00A45BD3"/>
    <w:rsid w:val="00A462B2"/>
    <w:rsid w:val="00A46483"/>
    <w:rsid w:val="00A468B5"/>
    <w:rsid w:val="00A46D50"/>
    <w:rsid w:val="00A47833"/>
    <w:rsid w:val="00A50BB2"/>
    <w:rsid w:val="00A50D2F"/>
    <w:rsid w:val="00A537A5"/>
    <w:rsid w:val="00A543AD"/>
    <w:rsid w:val="00A543E2"/>
    <w:rsid w:val="00A54E21"/>
    <w:rsid w:val="00A57D21"/>
    <w:rsid w:val="00A615B2"/>
    <w:rsid w:val="00A62B45"/>
    <w:rsid w:val="00A647E5"/>
    <w:rsid w:val="00A666D2"/>
    <w:rsid w:val="00A669D8"/>
    <w:rsid w:val="00A711D0"/>
    <w:rsid w:val="00A711E0"/>
    <w:rsid w:val="00A728CD"/>
    <w:rsid w:val="00A72969"/>
    <w:rsid w:val="00A72D40"/>
    <w:rsid w:val="00A76C65"/>
    <w:rsid w:val="00A82BB9"/>
    <w:rsid w:val="00A85A5B"/>
    <w:rsid w:val="00A90FA0"/>
    <w:rsid w:val="00A92B32"/>
    <w:rsid w:val="00A94C91"/>
    <w:rsid w:val="00A951DC"/>
    <w:rsid w:val="00A95B50"/>
    <w:rsid w:val="00A95F73"/>
    <w:rsid w:val="00A97ADB"/>
    <w:rsid w:val="00A97C3E"/>
    <w:rsid w:val="00A97CBF"/>
    <w:rsid w:val="00AA0DAF"/>
    <w:rsid w:val="00AA49BC"/>
    <w:rsid w:val="00AA57B2"/>
    <w:rsid w:val="00AA635F"/>
    <w:rsid w:val="00AA6C45"/>
    <w:rsid w:val="00AB2E11"/>
    <w:rsid w:val="00AB5474"/>
    <w:rsid w:val="00AB557E"/>
    <w:rsid w:val="00AB6652"/>
    <w:rsid w:val="00AB6AA9"/>
    <w:rsid w:val="00AB7A16"/>
    <w:rsid w:val="00AB7C17"/>
    <w:rsid w:val="00AC28E2"/>
    <w:rsid w:val="00AC2D06"/>
    <w:rsid w:val="00AC6243"/>
    <w:rsid w:val="00AD00CE"/>
    <w:rsid w:val="00AD343E"/>
    <w:rsid w:val="00AD39F4"/>
    <w:rsid w:val="00AD4AB7"/>
    <w:rsid w:val="00AE0060"/>
    <w:rsid w:val="00AE0ED1"/>
    <w:rsid w:val="00AE11D3"/>
    <w:rsid w:val="00AE18E7"/>
    <w:rsid w:val="00AE1BF4"/>
    <w:rsid w:val="00AE213D"/>
    <w:rsid w:val="00AE290E"/>
    <w:rsid w:val="00AE3249"/>
    <w:rsid w:val="00AE436C"/>
    <w:rsid w:val="00AE446A"/>
    <w:rsid w:val="00AE5C6D"/>
    <w:rsid w:val="00AE5E6A"/>
    <w:rsid w:val="00AE6BF9"/>
    <w:rsid w:val="00AF097C"/>
    <w:rsid w:val="00AF27D8"/>
    <w:rsid w:val="00AF3E5D"/>
    <w:rsid w:val="00AF6645"/>
    <w:rsid w:val="00B00596"/>
    <w:rsid w:val="00B01C35"/>
    <w:rsid w:val="00B02A26"/>
    <w:rsid w:val="00B05480"/>
    <w:rsid w:val="00B06485"/>
    <w:rsid w:val="00B068F8"/>
    <w:rsid w:val="00B14ECA"/>
    <w:rsid w:val="00B16EF4"/>
    <w:rsid w:val="00B17212"/>
    <w:rsid w:val="00B20CF5"/>
    <w:rsid w:val="00B2115F"/>
    <w:rsid w:val="00B21AA3"/>
    <w:rsid w:val="00B21D19"/>
    <w:rsid w:val="00B2322B"/>
    <w:rsid w:val="00B236FA"/>
    <w:rsid w:val="00B26556"/>
    <w:rsid w:val="00B34BBD"/>
    <w:rsid w:val="00B35F1C"/>
    <w:rsid w:val="00B3615E"/>
    <w:rsid w:val="00B40DD0"/>
    <w:rsid w:val="00B42261"/>
    <w:rsid w:val="00B4333E"/>
    <w:rsid w:val="00B44DF1"/>
    <w:rsid w:val="00B45D09"/>
    <w:rsid w:val="00B46962"/>
    <w:rsid w:val="00B47917"/>
    <w:rsid w:val="00B47C4B"/>
    <w:rsid w:val="00B51CC3"/>
    <w:rsid w:val="00B52C44"/>
    <w:rsid w:val="00B52D42"/>
    <w:rsid w:val="00B5343C"/>
    <w:rsid w:val="00B54E66"/>
    <w:rsid w:val="00B57359"/>
    <w:rsid w:val="00B6079A"/>
    <w:rsid w:val="00B627AC"/>
    <w:rsid w:val="00B63885"/>
    <w:rsid w:val="00B63FA7"/>
    <w:rsid w:val="00B64A02"/>
    <w:rsid w:val="00B671CF"/>
    <w:rsid w:val="00B67962"/>
    <w:rsid w:val="00B70CAC"/>
    <w:rsid w:val="00B70D16"/>
    <w:rsid w:val="00B77BDC"/>
    <w:rsid w:val="00B80B96"/>
    <w:rsid w:val="00B80EF2"/>
    <w:rsid w:val="00B830D8"/>
    <w:rsid w:val="00B8733E"/>
    <w:rsid w:val="00B87814"/>
    <w:rsid w:val="00B90504"/>
    <w:rsid w:val="00B907AC"/>
    <w:rsid w:val="00B91E74"/>
    <w:rsid w:val="00B938EC"/>
    <w:rsid w:val="00B96D10"/>
    <w:rsid w:val="00BA0D0C"/>
    <w:rsid w:val="00BA1883"/>
    <w:rsid w:val="00BA39C7"/>
    <w:rsid w:val="00BB308B"/>
    <w:rsid w:val="00BB473C"/>
    <w:rsid w:val="00BB473D"/>
    <w:rsid w:val="00BB4A76"/>
    <w:rsid w:val="00BB5ACD"/>
    <w:rsid w:val="00BB5D58"/>
    <w:rsid w:val="00BB5D8E"/>
    <w:rsid w:val="00BC14D8"/>
    <w:rsid w:val="00BC45ED"/>
    <w:rsid w:val="00BC48E2"/>
    <w:rsid w:val="00BC720A"/>
    <w:rsid w:val="00BD20D7"/>
    <w:rsid w:val="00BD21F3"/>
    <w:rsid w:val="00BD35A0"/>
    <w:rsid w:val="00BD4845"/>
    <w:rsid w:val="00BD6BBE"/>
    <w:rsid w:val="00BE1677"/>
    <w:rsid w:val="00BE54B7"/>
    <w:rsid w:val="00BE643A"/>
    <w:rsid w:val="00BF094C"/>
    <w:rsid w:val="00BF2075"/>
    <w:rsid w:val="00BF2E06"/>
    <w:rsid w:val="00BF3EAA"/>
    <w:rsid w:val="00BF7CAE"/>
    <w:rsid w:val="00C047F9"/>
    <w:rsid w:val="00C10BA2"/>
    <w:rsid w:val="00C1149E"/>
    <w:rsid w:val="00C127E6"/>
    <w:rsid w:val="00C131A4"/>
    <w:rsid w:val="00C1582D"/>
    <w:rsid w:val="00C226FF"/>
    <w:rsid w:val="00C2347B"/>
    <w:rsid w:val="00C2486B"/>
    <w:rsid w:val="00C24C23"/>
    <w:rsid w:val="00C25AB6"/>
    <w:rsid w:val="00C32CD0"/>
    <w:rsid w:val="00C3453B"/>
    <w:rsid w:val="00C34D4D"/>
    <w:rsid w:val="00C36A62"/>
    <w:rsid w:val="00C37489"/>
    <w:rsid w:val="00C40097"/>
    <w:rsid w:val="00C402FA"/>
    <w:rsid w:val="00C40A17"/>
    <w:rsid w:val="00C40C34"/>
    <w:rsid w:val="00C40EC1"/>
    <w:rsid w:val="00C4288D"/>
    <w:rsid w:val="00C441C0"/>
    <w:rsid w:val="00C4623A"/>
    <w:rsid w:val="00C46614"/>
    <w:rsid w:val="00C47491"/>
    <w:rsid w:val="00C531FE"/>
    <w:rsid w:val="00C533D6"/>
    <w:rsid w:val="00C56F5E"/>
    <w:rsid w:val="00C572F2"/>
    <w:rsid w:val="00C5750E"/>
    <w:rsid w:val="00C575C2"/>
    <w:rsid w:val="00C63AC7"/>
    <w:rsid w:val="00C657C5"/>
    <w:rsid w:val="00C661D7"/>
    <w:rsid w:val="00C67BC4"/>
    <w:rsid w:val="00C707DB"/>
    <w:rsid w:val="00C71259"/>
    <w:rsid w:val="00C717E8"/>
    <w:rsid w:val="00C73072"/>
    <w:rsid w:val="00C757B6"/>
    <w:rsid w:val="00C76C98"/>
    <w:rsid w:val="00C76D9B"/>
    <w:rsid w:val="00C77BFF"/>
    <w:rsid w:val="00C80F13"/>
    <w:rsid w:val="00C81856"/>
    <w:rsid w:val="00C844B6"/>
    <w:rsid w:val="00C84C42"/>
    <w:rsid w:val="00C84C4B"/>
    <w:rsid w:val="00C859DC"/>
    <w:rsid w:val="00C863A8"/>
    <w:rsid w:val="00C86822"/>
    <w:rsid w:val="00C878BA"/>
    <w:rsid w:val="00C87D89"/>
    <w:rsid w:val="00C9332E"/>
    <w:rsid w:val="00C942F3"/>
    <w:rsid w:val="00C95707"/>
    <w:rsid w:val="00C97DFC"/>
    <w:rsid w:val="00CA128B"/>
    <w:rsid w:val="00CA1F09"/>
    <w:rsid w:val="00CA2965"/>
    <w:rsid w:val="00CA3C73"/>
    <w:rsid w:val="00CA4A4C"/>
    <w:rsid w:val="00CA5A13"/>
    <w:rsid w:val="00CA6BAA"/>
    <w:rsid w:val="00CB0D90"/>
    <w:rsid w:val="00CB1136"/>
    <w:rsid w:val="00CB41AF"/>
    <w:rsid w:val="00CB4FAC"/>
    <w:rsid w:val="00CC2059"/>
    <w:rsid w:val="00CC384F"/>
    <w:rsid w:val="00CC3F37"/>
    <w:rsid w:val="00CC4995"/>
    <w:rsid w:val="00CC5E84"/>
    <w:rsid w:val="00CD0899"/>
    <w:rsid w:val="00CD4C9A"/>
    <w:rsid w:val="00CD70A7"/>
    <w:rsid w:val="00CE0946"/>
    <w:rsid w:val="00CE0C4B"/>
    <w:rsid w:val="00CE21AC"/>
    <w:rsid w:val="00CE4489"/>
    <w:rsid w:val="00CE7048"/>
    <w:rsid w:val="00CE7E13"/>
    <w:rsid w:val="00CF0D2F"/>
    <w:rsid w:val="00CF1000"/>
    <w:rsid w:val="00CF1E5E"/>
    <w:rsid w:val="00D00033"/>
    <w:rsid w:val="00D00095"/>
    <w:rsid w:val="00D006FC"/>
    <w:rsid w:val="00D025C8"/>
    <w:rsid w:val="00D04755"/>
    <w:rsid w:val="00D05994"/>
    <w:rsid w:val="00D07E1B"/>
    <w:rsid w:val="00D1182D"/>
    <w:rsid w:val="00D1406D"/>
    <w:rsid w:val="00D14E2C"/>
    <w:rsid w:val="00D164AE"/>
    <w:rsid w:val="00D2209B"/>
    <w:rsid w:val="00D22A12"/>
    <w:rsid w:val="00D231BE"/>
    <w:rsid w:val="00D23B7F"/>
    <w:rsid w:val="00D23F6A"/>
    <w:rsid w:val="00D24DBE"/>
    <w:rsid w:val="00D264B5"/>
    <w:rsid w:val="00D26B53"/>
    <w:rsid w:val="00D27A24"/>
    <w:rsid w:val="00D27C88"/>
    <w:rsid w:val="00D30817"/>
    <w:rsid w:val="00D32A7F"/>
    <w:rsid w:val="00D33CA5"/>
    <w:rsid w:val="00D33FF5"/>
    <w:rsid w:val="00D35C6B"/>
    <w:rsid w:val="00D36A32"/>
    <w:rsid w:val="00D36F10"/>
    <w:rsid w:val="00D40FBF"/>
    <w:rsid w:val="00D41C90"/>
    <w:rsid w:val="00D45BA9"/>
    <w:rsid w:val="00D539EF"/>
    <w:rsid w:val="00D53CC9"/>
    <w:rsid w:val="00D567A0"/>
    <w:rsid w:val="00D569AF"/>
    <w:rsid w:val="00D601FC"/>
    <w:rsid w:val="00D623C3"/>
    <w:rsid w:val="00D63032"/>
    <w:rsid w:val="00D63CAE"/>
    <w:rsid w:val="00D65302"/>
    <w:rsid w:val="00D65D4B"/>
    <w:rsid w:val="00D66535"/>
    <w:rsid w:val="00D67FCF"/>
    <w:rsid w:val="00D71FDA"/>
    <w:rsid w:val="00D723BE"/>
    <w:rsid w:val="00D735CC"/>
    <w:rsid w:val="00D73D5A"/>
    <w:rsid w:val="00D74D30"/>
    <w:rsid w:val="00D759FD"/>
    <w:rsid w:val="00D827F9"/>
    <w:rsid w:val="00D82DD9"/>
    <w:rsid w:val="00D84026"/>
    <w:rsid w:val="00D87101"/>
    <w:rsid w:val="00D9354F"/>
    <w:rsid w:val="00D94774"/>
    <w:rsid w:val="00D971C5"/>
    <w:rsid w:val="00D97356"/>
    <w:rsid w:val="00D97789"/>
    <w:rsid w:val="00D97D3A"/>
    <w:rsid w:val="00DA0706"/>
    <w:rsid w:val="00DA55BE"/>
    <w:rsid w:val="00DA5649"/>
    <w:rsid w:val="00DA5CB9"/>
    <w:rsid w:val="00DB124C"/>
    <w:rsid w:val="00DB2622"/>
    <w:rsid w:val="00DB2DE7"/>
    <w:rsid w:val="00DC5081"/>
    <w:rsid w:val="00DC62D9"/>
    <w:rsid w:val="00DD063F"/>
    <w:rsid w:val="00DD23B1"/>
    <w:rsid w:val="00DD3237"/>
    <w:rsid w:val="00DD57EE"/>
    <w:rsid w:val="00DD7BA5"/>
    <w:rsid w:val="00DE0AC2"/>
    <w:rsid w:val="00DE3394"/>
    <w:rsid w:val="00DE37D8"/>
    <w:rsid w:val="00DE3C40"/>
    <w:rsid w:val="00DE465F"/>
    <w:rsid w:val="00DE5C34"/>
    <w:rsid w:val="00DE5C82"/>
    <w:rsid w:val="00DE5E22"/>
    <w:rsid w:val="00DE6F79"/>
    <w:rsid w:val="00DE7648"/>
    <w:rsid w:val="00DF7589"/>
    <w:rsid w:val="00E011AF"/>
    <w:rsid w:val="00E02EF7"/>
    <w:rsid w:val="00E03D34"/>
    <w:rsid w:val="00E03DEA"/>
    <w:rsid w:val="00E04DF2"/>
    <w:rsid w:val="00E05AB9"/>
    <w:rsid w:val="00E06B2E"/>
    <w:rsid w:val="00E07196"/>
    <w:rsid w:val="00E073D6"/>
    <w:rsid w:val="00E07A10"/>
    <w:rsid w:val="00E108FF"/>
    <w:rsid w:val="00E17B4A"/>
    <w:rsid w:val="00E21E8D"/>
    <w:rsid w:val="00E24284"/>
    <w:rsid w:val="00E2787C"/>
    <w:rsid w:val="00E27EDC"/>
    <w:rsid w:val="00E27F67"/>
    <w:rsid w:val="00E30550"/>
    <w:rsid w:val="00E3055C"/>
    <w:rsid w:val="00E30C18"/>
    <w:rsid w:val="00E36B42"/>
    <w:rsid w:val="00E36C8E"/>
    <w:rsid w:val="00E40677"/>
    <w:rsid w:val="00E41441"/>
    <w:rsid w:val="00E43609"/>
    <w:rsid w:val="00E4504F"/>
    <w:rsid w:val="00E45E0D"/>
    <w:rsid w:val="00E466F4"/>
    <w:rsid w:val="00E467E8"/>
    <w:rsid w:val="00E50386"/>
    <w:rsid w:val="00E52C87"/>
    <w:rsid w:val="00E52CC2"/>
    <w:rsid w:val="00E53111"/>
    <w:rsid w:val="00E5688C"/>
    <w:rsid w:val="00E56972"/>
    <w:rsid w:val="00E56C41"/>
    <w:rsid w:val="00E63B9B"/>
    <w:rsid w:val="00E63BEA"/>
    <w:rsid w:val="00E641D6"/>
    <w:rsid w:val="00E679EC"/>
    <w:rsid w:val="00E7374B"/>
    <w:rsid w:val="00E73D5B"/>
    <w:rsid w:val="00E77193"/>
    <w:rsid w:val="00E81CCC"/>
    <w:rsid w:val="00E8218D"/>
    <w:rsid w:val="00E82DC3"/>
    <w:rsid w:val="00E838DA"/>
    <w:rsid w:val="00E85477"/>
    <w:rsid w:val="00E857CC"/>
    <w:rsid w:val="00E85D42"/>
    <w:rsid w:val="00E86659"/>
    <w:rsid w:val="00E86FE5"/>
    <w:rsid w:val="00E9016D"/>
    <w:rsid w:val="00E9144E"/>
    <w:rsid w:val="00E91460"/>
    <w:rsid w:val="00E91824"/>
    <w:rsid w:val="00E93E5D"/>
    <w:rsid w:val="00E979E3"/>
    <w:rsid w:val="00EA01E9"/>
    <w:rsid w:val="00EA0321"/>
    <w:rsid w:val="00EA1D52"/>
    <w:rsid w:val="00EA322E"/>
    <w:rsid w:val="00EA3302"/>
    <w:rsid w:val="00EA3495"/>
    <w:rsid w:val="00EA3499"/>
    <w:rsid w:val="00EA6DED"/>
    <w:rsid w:val="00EB40A1"/>
    <w:rsid w:val="00EB7027"/>
    <w:rsid w:val="00EC014E"/>
    <w:rsid w:val="00EC0A48"/>
    <w:rsid w:val="00EC100F"/>
    <w:rsid w:val="00EC3E6C"/>
    <w:rsid w:val="00EC5223"/>
    <w:rsid w:val="00EC646E"/>
    <w:rsid w:val="00ED1AF6"/>
    <w:rsid w:val="00ED45CE"/>
    <w:rsid w:val="00ED5877"/>
    <w:rsid w:val="00ED7E98"/>
    <w:rsid w:val="00EE1538"/>
    <w:rsid w:val="00EE28D3"/>
    <w:rsid w:val="00EE571E"/>
    <w:rsid w:val="00EE660F"/>
    <w:rsid w:val="00EE66AA"/>
    <w:rsid w:val="00EF0326"/>
    <w:rsid w:val="00EF04A4"/>
    <w:rsid w:val="00EF26AA"/>
    <w:rsid w:val="00EF3965"/>
    <w:rsid w:val="00EF4C0F"/>
    <w:rsid w:val="00EF66C1"/>
    <w:rsid w:val="00EF6CFF"/>
    <w:rsid w:val="00EF6EA4"/>
    <w:rsid w:val="00EF7DCC"/>
    <w:rsid w:val="00F01530"/>
    <w:rsid w:val="00F01CFC"/>
    <w:rsid w:val="00F0590E"/>
    <w:rsid w:val="00F0626A"/>
    <w:rsid w:val="00F11E82"/>
    <w:rsid w:val="00F12C2F"/>
    <w:rsid w:val="00F13BFE"/>
    <w:rsid w:val="00F155B0"/>
    <w:rsid w:val="00F164A2"/>
    <w:rsid w:val="00F21DC2"/>
    <w:rsid w:val="00F31639"/>
    <w:rsid w:val="00F31EDA"/>
    <w:rsid w:val="00F3311B"/>
    <w:rsid w:val="00F342FD"/>
    <w:rsid w:val="00F344E2"/>
    <w:rsid w:val="00F35C1D"/>
    <w:rsid w:val="00F36D22"/>
    <w:rsid w:val="00F377EC"/>
    <w:rsid w:val="00F37DC6"/>
    <w:rsid w:val="00F404CA"/>
    <w:rsid w:val="00F40638"/>
    <w:rsid w:val="00F40CF7"/>
    <w:rsid w:val="00F40D86"/>
    <w:rsid w:val="00F4211B"/>
    <w:rsid w:val="00F421BD"/>
    <w:rsid w:val="00F43292"/>
    <w:rsid w:val="00F43BD4"/>
    <w:rsid w:val="00F464FC"/>
    <w:rsid w:val="00F4674B"/>
    <w:rsid w:val="00F50EFD"/>
    <w:rsid w:val="00F51FD7"/>
    <w:rsid w:val="00F55052"/>
    <w:rsid w:val="00F5608A"/>
    <w:rsid w:val="00F563B6"/>
    <w:rsid w:val="00F565FB"/>
    <w:rsid w:val="00F608E1"/>
    <w:rsid w:val="00F60F10"/>
    <w:rsid w:val="00F63D8F"/>
    <w:rsid w:val="00F644EA"/>
    <w:rsid w:val="00F64A52"/>
    <w:rsid w:val="00F64D0B"/>
    <w:rsid w:val="00F65D1B"/>
    <w:rsid w:val="00F71583"/>
    <w:rsid w:val="00F718C9"/>
    <w:rsid w:val="00F73591"/>
    <w:rsid w:val="00F75275"/>
    <w:rsid w:val="00F75DA9"/>
    <w:rsid w:val="00F76C50"/>
    <w:rsid w:val="00F812D7"/>
    <w:rsid w:val="00F8353E"/>
    <w:rsid w:val="00F836BF"/>
    <w:rsid w:val="00F842D1"/>
    <w:rsid w:val="00F8475C"/>
    <w:rsid w:val="00F84A12"/>
    <w:rsid w:val="00F854A1"/>
    <w:rsid w:val="00F873F5"/>
    <w:rsid w:val="00F91541"/>
    <w:rsid w:val="00F91C3E"/>
    <w:rsid w:val="00F92416"/>
    <w:rsid w:val="00F92649"/>
    <w:rsid w:val="00F92929"/>
    <w:rsid w:val="00F92F61"/>
    <w:rsid w:val="00F9368C"/>
    <w:rsid w:val="00F94C79"/>
    <w:rsid w:val="00F9551B"/>
    <w:rsid w:val="00F95D43"/>
    <w:rsid w:val="00F961E8"/>
    <w:rsid w:val="00FA1810"/>
    <w:rsid w:val="00FA2E7E"/>
    <w:rsid w:val="00FA3347"/>
    <w:rsid w:val="00FA3ADA"/>
    <w:rsid w:val="00FA67B9"/>
    <w:rsid w:val="00FB46F8"/>
    <w:rsid w:val="00FB74A3"/>
    <w:rsid w:val="00FC15F6"/>
    <w:rsid w:val="00FC29A7"/>
    <w:rsid w:val="00FC45D4"/>
    <w:rsid w:val="00FC5735"/>
    <w:rsid w:val="00FC7B44"/>
    <w:rsid w:val="00FD19C7"/>
    <w:rsid w:val="00FD19E5"/>
    <w:rsid w:val="00FD45DF"/>
    <w:rsid w:val="00FD4915"/>
    <w:rsid w:val="00FD4B42"/>
    <w:rsid w:val="00FD7E05"/>
    <w:rsid w:val="00FE106B"/>
    <w:rsid w:val="00FE3E28"/>
    <w:rsid w:val="00FE4092"/>
    <w:rsid w:val="00FE4DF8"/>
    <w:rsid w:val="00FE57CB"/>
    <w:rsid w:val="00FE627E"/>
    <w:rsid w:val="00FE63E5"/>
    <w:rsid w:val="00FF29AA"/>
    <w:rsid w:val="00FF3F89"/>
    <w:rsid w:val="00FF4428"/>
    <w:rsid w:val="00FF4CC4"/>
    <w:rsid w:val="00FF5AC5"/>
    <w:rsid w:val="00FF5AC6"/>
    <w:rsid w:val="00FF5E41"/>
    <w:rsid w:val="00FF71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0E03A18A"/>
  <w15:docId w15:val="{E12C9B5E-4157-41B4-BB61-E128615A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A3E"/>
    <w:pPr>
      <w:spacing w:before="120" w:after="120" w:line="240" w:lineRule="auto"/>
    </w:pPr>
    <w:rPr>
      <w:rFonts w:ascii="Calibri" w:eastAsiaTheme="minorEastAsia" w:hAnsi="Calibri"/>
      <w:sz w:val="20"/>
      <w:szCs w:val="20"/>
    </w:rPr>
  </w:style>
  <w:style w:type="paragraph" w:styleId="Heading1">
    <w:name w:val="heading 1"/>
    <w:basedOn w:val="Normal"/>
    <w:next w:val="Normal"/>
    <w:link w:val="Heading1Char"/>
    <w:qFormat/>
    <w:rsid w:val="00975BC4"/>
    <w:pPr>
      <w:keepNext/>
      <w:spacing w:after="240"/>
      <w:outlineLvl w:val="0"/>
    </w:pPr>
    <w:rPr>
      <w:b/>
      <w:color w:val="002C47"/>
      <w:sz w:val="36"/>
      <w:szCs w:val="22"/>
    </w:rPr>
  </w:style>
  <w:style w:type="paragraph" w:styleId="Heading2">
    <w:name w:val="heading 2"/>
    <w:basedOn w:val="Normal"/>
    <w:next w:val="Normal"/>
    <w:link w:val="Heading2Char"/>
    <w:unhideWhenUsed/>
    <w:qFormat/>
    <w:rsid w:val="003A7FFE"/>
    <w:pPr>
      <w:keepNext/>
      <w:spacing w:before="240"/>
      <w:outlineLvl w:val="1"/>
    </w:pPr>
    <w:rPr>
      <w:b/>
      <w:i/>
      <w:color w:val="002C47"/>
      <w:sz w:val="28"/>
    </w:rPr>
  </w:style>
  <w:style w:type="paragraph" w:styleId="Heading3">
    <w:name w:val="heading 3"/>
    <w:basedOn w:val="Normal"/>
    <w:next w:val="Normal"/>
    <w:link w:val="Heading3Char"/>
    <w:unhideWhenUsed/>
    <w:qFormat/>
    <w:rsid w:val="004C38EA"/>
    <w:pPr>
      <w:keepNext/>
      <w:outlineLvl w:val="2"/>
    </w:pPr>
    <w:rPr>
      <w:rFonts w:eastAsia="Calibri"/>
      <w:b/>
      <w:i/>
      <w:iCs/>
      <w:color w:val="002C47" w:themeColor="accent1"/>
      <w:sz w:val="24"/>
    </w:rPr>
  </w:style>
  <w:style w:type="paragraph" w:styleId="Heading4">
    <w:name w:val="heading 4"/>
    <w:basedOn w:val="Normal"/>
    <w:next w:val="Normal"/>
    <w:link w:val="Heading4Char"/>
    <w:unhideWhenUsed/>
    <w:qFormat/>
    <w:rsid w:val="00A468B5"/>
    <w:pPr>
      <w:pBdr>
        <w:top w:val="dotted" w:sz="6" w:space="1" w:color="002C47" w:themeColor="accent1"/>
      </w:pBdr>
      <w:spacing w:before="200" w:after="0"/>
      <w:outlineLvl w:val="3"/>
    </w:pPr>
    <w:rPr>
      <w:b/>
      <w:smallCaps/>
      <w:color w:val="002C47" w:themeColor="accent1"/>
      <w:spacing w:val="10"/>
    </w:rPr>
  </w:style>
  <w:style w:type="paragraph" w:styleId="Heading5">
    <w:name w:val="heading 5"/>
    <w:basedOn w:val="Normal"/>
    <w:next w:val="Normal"/>
    <w:link w:val="Heading5Char"/>
    <w:unhideWhenUsed/>
    <w:qFormat/>
    <w:rsid w:val="00A468B5"/>
    <w:pPr>
      <w:keepNext/>
      <w:pBdr>
        <w:bottom w:val="single" w:sz="6" w:space="1" w:color="002C47" w:themeColor="accent1"/>
      </w:pBdr>
      <w:spacing w:before="200" w:after="0"/>
      <w:outlineLvl w:val="4"/>
    </w:pPr>
    <w:rPr>
      <w:i/>
      <w:smallCaps/>
      <w:color w:val="002C47" w:themeColor="accent1"/>
      <w:spacing w:val="10"/>
    </w:rPr>
  </w:style>
  <w:style w:type="paragraph" w:styleId="Heading6">
    <w:name w:val="heading 6"/>
    <w:basedOn w:val="Normal"/>
    <w:next w:val="Normal"/>
    <w:link w:val="Heading6Char"/>
    <w:unhideWhenUsed/>
    <w:qFormat/>
    <w:rsid w:val="00A468B5"/>
    <w:pPr>
      <w:pBdr>
        <w:bottom w:val="dotted" w:sz="6" w:space="1" w:color="002C47" w:themeColor="accent1"/>
      </w:pBdr>
      <w:spacing w:before="200" w:after="0"/>
      <w:outlineLvl w:val="5"/>
    </w:pPr>
    <w:rPr>
      <w:i/>
      <w:smallCaps/>
      <w:color w:val="002C47" w:themeColor="accent1"/>
      <w:spacing w:val="10"/>
    </w:rPr>
  </w:style>
  <w:style w:type="paragraph" w:styleId="Heading7">
    <w:name w:val="heading 7"/>
    <w:basedOn w:val="Normal"/>
    <w:next w:val="Normal"/>
    <w:link w:val="Heading7Char"/>
    <w:uiPriority w:val="9"/>
    <w:unhideWhenUsed/>
    <w:qFormat/>
    <w:rsid w:val="00A468B5"/>
    <w:pPr>
      <w:spacing w:after="0"/>
      <w:outlineLvl w:val="6"/>
    </w:pPr>
    <w:rPr>
      <w:b/>
      <w:i/>
      <w:color w:val="002C47" w:themeColor="accent1"/>
    </w:rPr>
  </w:style>
  <w:style w:type="paragraph" w:styleId="Heading8">
    <w:name w:val="heading 8"/>
    <w:basedOn w:val="Heading9"/>
    <w:next w:val="Normal"/>
    <w:link w:val="Heading8Char"/>
    <w:uiPriority w:val="9"/>
    <w:unhideWhenUsed/>
    <w:qFormat/>
    <w:rsid w:val="0028692E"/>
    <w:pPr>
      <w:numPr>
        <w:numId w:val="30"/>
      </w:numPr>
      <w:outlineLvl w:val="7"/>
    </w:pPr>
  </w:style>
  <w:style w:type="paragraph" w:styleId="Heading9">
    <w:name w:val="heading 9"/>
    <w:basedOn w:val="ChartMainHeading"/>
    <w:next w:val="Normal"/>
    <w:link w:val="Heading9Char"/>
    <w:uiPriority w:val="9"/>
    <w:unhideWhenUsed/>
    <w:qFormat/>
    <w:rsid w:val="008E0014"/>
    <w:pPr>
      <w:pBdr>
        <w:top w:val="dashed" w:sz="4" w:space="1" w:color="002C47" w:themeColor="accent1"/>
      </w:pBdr>
      <w:spacing w:before="120"/>
    </w:pPr>
    <w:rPr>
      <w:rFonts w:eastAsia="Calibri"/>
      <w:bCs/>
      <w:smallCaps/>
      <w:color w:val="002C47"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8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8B5"/>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A468B5"/>
    <w:rPr>
      <w:sz w:val="16"/>
      <w:szCs w:val="16"/>
    </w:rPr>
  </w:style>
  <w:style w:type="paragraph" w:styleId="CommentText">
    <w:name w:val="annotation text"/>
    <w:basedOn w:val="Normal"/>
    <w:link w:val="CommentTextChar"/>
    <w:uiPriority w:val="99"/>
    <w:unhideWhenUsed/>
    <w:rsid w:val="00A468B5"/>
  </w:style>
  <w:style w:type="character" w:customStyle="1" w:styleId="CommentTextChar">
    <w:name w:val="Comment Text Char"/>
    <w:basedOn w:val="DefaultParagraphFont"/>
    <w:link w:val="CommentText"/>
    <w:uiPriority w:val="99"/>
    <w:rsid w:val="00A468B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468B5"/>
    <w:rPr>
      <w:b/>
      <w:bCs/>
    </w:rPr>
  </w:style>
  <w:style w:type="character" w:customStyle="1" w:styleId="CommentSubjectChar">
    <w:name w:val="Comment Subject Char"/>
    <w:basedOn w:val="CommentTextChar"/>
    <w:link w:val="CommentSubject"/>
    <w:uiPriority w:val="99"/>
    <w:semiHidden/>
    <w:rsid w:val="00A468B5"/>
    <w:rPr>
      <w:rFonts w:eastAsiaTheme="minorEastAsia"/>
      <w:b/>
      <w:bCs/>
      <w:sz w:val="20"/>
      <w:szCs w:val="20"/>
    </w:rPr>
  </w:style>
  <w:style w:type="paragraph" w:customStyle="1" w:styleId="Bullet">
    <w:name w:val="Bullet"/>
    <w:basedOn w:val="Normal"/>
    <w:link w:val="BulletChar"/>
    <w:rsid w:val="009F6670"/>
    <w:pPr>
      <w:numPr>
        <w:numId w:val="1"/>
      </w:numPr>
    </w:pPr>
  </w:style>
  <w:style w:type="character" w:customStyle="1" w:styleId="BulletChar">
    <w:name w:val="Bullet Char"/>
    <w:basedOn w:val="DefaultParagraphFont"/>
    <w:link w:val="Bullet"/>
    <w:rsid w:val="009F6670"/>
    <w:rPr>
      <w:rFonts w:ascii="Calibri" w:hAnsi="Calibri" w:cs="Times New Roman"/>
    </w:rPr>
  </w:style>
  <w:style w:type="paragraph" w:customStyle="1" w:styleId="Dash">
    <w:name w:val="Dash"/>
    <w:basedOn w:val="Normal"/>
    <w:link w:val="DashChar"/>
    <w:rsid w:val="009F6670"/>
    <w:pPr>
      <w:numPr>
        <w:ilvl w:val="1"/>
        <w:numId w:val="1"/>
      </w:numPr>
    </w:pPr>
  </w:style>
  <w:style w:type="character" w:customStyle="1" w:styleId="DashChar">
    <w:name w:val="Dash Char"/>
    <w:basedOn w:val="DefaultParagraphFont"/>
    <w:link w:val="Dash"/>
    <w:rsid w:val="009F6670"/>
    <w:rPr>
      <w:rFonts w:ascii="Calibri" w:hAnsi="Calibri" w:cs="Times New Roman"/>
    </w:rPr>
  </w:style>
  <w:style w:type="paragraph" w:customStyle="1" w:styleId="DoubleDot">
    <w:name w:val="Double Dot"/>
    <w:basedOn w:val="Normal"/>
    <w:link w:val="DoubleDotChar"/>
    <w:rsid w:val="009F6670"/>
    <w:pPr>
      <w:numPr>
        <w:ilvl w:val="2"/>
        <w:numId w:val="1"/>
      </w:numPr>
    </w:pPr>
  </w:style>
  <w:style w:type="character" w:customStyle="1" w:styleId="DoubleDotChar">
    <w:name w:val="Double Dot Char"/>
    <w:basedOn w:val="DefaultParagraphFont"/>
    <w:link w:val="DoubleDot"/>
    <w:rsid w:val="009F6670"/>
    <w:rPr>
      <w:rFonts w:ascii="Calibri" w:hAnsi="Calibri" w:cs="Times New Roman"/>
    </w:rPr>
  </w:style>
  <w:style w:type="paragraph" w:customStyle="1" w:styleId="Default">
    <w:name w:val="Default"/>
    <w:rsid w:val="00A468B5"/>
    <w:pPr>
      <w:autoSpaceDE w:val="0"/>
      <w:autoSpaceDN w:val="0"/>
      <w:adjustRightInd w:val="0"/>
      <w:spacing w:before="100" w:after="0" w:line="240" w:lineRule="auto"/>
    </w:pPr>
    <w:rPr>
      <w:rFonts w:ascii="Palatino" w:eastAsia="Times New Roman" w:hAnsi="Palatino" w:cs="Palatino"/>
      <w:color w:val="000000"/>
      <w:sz w:val="24"/>
      <w:szCs w:val="24"/>
      <w:lang w:val="en-US"/>
    </w:rPr>
  </w:style>
  <w:style w:type="table" w:styleId="TableGrid">
    <w:name w:val="Table Grid"/>
    <w:basedOn w:val="TableNormal"/>
    <w:uiPriority w:val="59"/>
    <w:rsid w:val="00A468B5"/>
    <w:pPr>
      <w:spacing w:before="100" w:after="240" w:line="260" w:lineRule="exact"/>
      <w:jc w:val="both"/>
    </w:pPr>
    <w:rPr>
      <w:rFonts w:eastAsia="Times New Roman" w:cs="Times New Roman"/>
      <w:sz w:val="20"/>
      <w:szCs w:val="20"/>
      <w:lang w:eastAsia="en-AU"/>
    </w:rPr>
    <w:tblPr/>
    <w:tcPr>
      <w:shd w:val="clear" w:color="auto" w:fill="E6E6E6"/>
    </w:tcPr>
  </w:style>
  <w:style w:type="paragraph" w:styleId="Revision">
    <w:name w:val="Revision"/>
    <w:hidden/>
    <w:uiPriority w:val="99"/>
    <w:semiHidden/>
    <w:rsid w:val="001B275D"/>
    <w:pPr>
      <w:spacing w:after="0" w:line="240" w:lineRule="auto"/>
    </w:pPr>
    <w:rPr>
      <w:rFonts w:ascii="Calibri" w:hAnsi="Calibri" w:cs="Times New Roman"/>
    </w:rPr>
  </w:style>
  <w:style w:type="table" w:customStyle="1" w:styleId="TableGrid1">
    <w:name w:val="Table Grid1"/>
    <w:basedOn w:val="TableNormal"/>
    <w:next w:val="TableGrid"/>
    <w:uiPriority w:val="39"/>
    <w:rsid w:val="006E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8B5"/>
    <w:pPr>
      <w:keepNext/>
      <w:spacing w:before="0" w:after="0"/>
      <w:jc w:val="right"/>
    </w:pPr>
    <w:rPr>
      <w:color w:val="004A7F"/>
    </w:rPr>
  </w:style>
  <w:style w:type="character" w:customStyle="1" w:styleId="HeaderChar">
    <w:name w:val="Header Char"/>
    <w:basedOn w:val="DefaultParagraphFont"/>
    <w:link w:val="Header"/>
    <w:uiPriority w:val="99"/>
    <w:rsid w:val="00A468B5"/>
    <w:rPr>
      <w:rFonts w:eastAsiaTheme="minorEastAsia"/>
      <w:color w:val="004A7F"/>
      <w:sz w:val="20"/>
      <w:szCs w:val="20"/>
    </w:rPr>
  </w:style>
  <w:style w:type="paragraph" w:styleId="Footer">
    <w:name w:val="footer"/>
    <w:basedOn w:val="Normal"/>
    <w:link w:val="FooterChar"/>
    <w:unhideWhenUsed/>
    <w:rsid w:val="004B5358"/>
    <w:pPr>
      <w:tabs>
        <w:tab w:val="center" w:pos="4513"/>
        <w:tab w:val="right" w:pos="9026"/>
      </w:tabs>
      <w:spacing w:before="0" w:after="0"/>
      <w:jc w:val="center"/>
    </w:pPr>
    <w:rPr>
      <w:color w:val="002C47"/>
      <w:sz w:val="18"/>
    </w:rPr>
  </w:style>
  <w:style w:type="character" w:customStyle="1" w:styleId="FooterChar">
    <w:name w:val="Footer Char"/>
    <w:basedOn w:val="DefaultParagraphFont"/>
    <w:link w:val="Footer"/>
    <w:rsid w:val="004B5358"/>
    <w:rPr>
      <w:rFonts w:ascii="Calibri" w:eastAsiaTheme="minorEastAsia" w:hAnsi="Calibri"/>
      <w:color w:val="002C47"/>
      <w:sz w:val="18"/>
      <w:szCs w:val="20"/>
    </w:rPr>
  </w:style>
  <w:style w:type="character" w:styleId="Hyperlink">
    <w:name w:val="Hyperlink"/>
    <w:basedOn w:val="DefaultParagraphFont"/>
    <w:uiPriority w:val="99"/>
    <w:rsid w:val="0048560C"/>
    <w:rPr>
      <w:color w:val="4470A7"/>
      <w:u w:val="none"/>
    </w:rPr>
  </w:style>
  <w:style w:type="paragraph" w:styleId="ListParagraph">
    <w:name w:val="List Paragraph"/>
    <w:basedOn w:val="Normal"/>
    <w:uiPriority w:val="34"/>
    <w:rsid w:val="00A468B5"/>
    <w:pPr>
      <w:ind w:left="720"/>
      <w:contextualSpacing/>
    </w:pPr>
  </w:style>
  <w:style w:type="paragraph" w:styleId="FootnoteText">
    <w:name w:val="footnote text"/>
    <w:basedOn w:val="CommentText"/>
    <w:link w:val="FootnoteTextChar"/>
    <w:uiPriority w:val="99"/>
    <w:rsid w:val="00BF7CAE"/>
    <w:pPr>
      <w:tabs>
        <w:tab w:val="left" w:pos="284"/>
      </w:tabs>
      <w:ind w:left="284" w:hanging="284"/>
    </w:pPr>
    <w:rPr>
      <w:sz w:val="16"/>
    </w:rPr>
  </w:style>
  <w:style w:type="character" w:customStyle="1" w:styleId="FootnoteTextChar">
    <w:name w:val="Footnote Text Char"/>
    <w:basedOn w:val="DefaultParagraphFont"/>
    <w:link w:val="FootnoteText"/>
    <w:uiPriority w:val="99"/>
    <w:rsid w:val="00BF7CAE"/>
    <w:rPr>
      <w:rFonts w:ascii="Calibri" w:eastAsiaTheme="minorEastAsia" w:hAnsi="Calibri"/>
      <w:sz w:val="16"/>
      <w:szCs w:val="20"/>
    </w:rPr>
  </w:style>
  <w:style w:type="character" w:styleId="FootnoteReference">
    <w:name w:val="footnote reference"/>
    <w:basedOn w:val="DefaultParagraphFont"/>
    <w:uiPriority w:val="99"/>
    <w:rsid w:val="00A468B5"/>
    <w:rPr>
      <w:rFonts w:ascii="Calibri" w:hAnsi="Calibri"/>
      <w:sz w:val="20"/>
      <w:vertAlign w:val="superscript"/>
    </w:rPr>
  </w:style>
  <w:style w:type="character" w:customStyle="1" w:styleId="Heading1Char">
    <w:name w:val="Heading 1 Char"/>
    <w:basedOn w:val="DefaultParagraphFont"/>
    <w:link w:val="Heading1"/>
    <w:rsid w:val="00975BC4"/>
    <w:rPr>
      <w:rFonts w:ascii="Calibri" w:eastAsiaTheme="minorEastAsia" w:hAnsi="Calibri"/>
      <w:b/>
      <w:color w:val="002C47"/>
      <w:sz w:val="36"/>
    </w:rPr>
  </w:style>
  <w:style w:type="character" w:customStyle="1" w:styleId="Heading2Char">
    <w:name w:val="Heading 2 Char"/>
    <w:basedOn w:val="DefaultParagraphFont"/>
    <w:link w:val="Heading2"/>
    <w:rsid w:val="003A7FFE"/>
    <w:rPr>
      <w:rFonts w:ascii="Calibri" w:eastAsiaTheme="minorEastAsia" w:hAnsi="Calibri"/>
      <w:b/>
      <w:i/>
      <w:color w:val="002C47"/>
      <w:sz w:val="28"/>
      <w:szCs w:val="20"/>
    </w:rPr>
  </w:style>
  <w:style w:type="character" w:customStyle="1" w:styleId="Heading3Char">
    <w:name w:val="Heading 3 Char"/>
    <w:basedOn w:val="DefaultParagraphFont"/>
    <w:link w:val="Heading3"/>
    <w:rsid w:val="004C38EA"/>
    <w:rPr>
      <w:rFonts w:ascii="Calibri" w:eastAsia="Calibri" w:hAnsi="Calibri"/>
      <w:b/>
      <w:i/>
      <w:iCs/>
      <w:color w:val="002C47" w:themeColor="accent1"/>
      <w:sz w:val="24"/>
      <w:szCs w:val="20"/>
    </w:rPr>
  </w:style>
  <w:style w:type="character" w:customStyle="1" w:styleId="Heading4Char">
    <w:name w:val="Heading 4 Char"/>
    <w:basedOn w:val="DefaultParagraphFont"/>
    <w:link w:val="Heading4"/>
    <w:rsid w:val="00A468B5"/>
    <w:rPr>
      <w:rFonts w:eastAsiaTheme="minorEastAsia"/>
      <w:b/>
      <w:smallCaps/>
      <w:color w:val="002C47" w:themeColor="accent1"/>
      <w:spacing w:val="10"/>
      <w:sz w:val="20"/>
      <w:szCs w:val="20"/>
    </w:rPr>
  </w:style>
  <w:style w:type="character" w:customStyle="1" w:styleId="Heading5Char">
    <w:name w:val="Heading 5 Char"/>
    <w:basedOn w:val="DefaultParagraphFont"/>
    <w:link w:val="Heading5"/>
    <w:rsid w:val="00A468B5"/>
    <w:rPr>
      <w:rFonts w:eastAsiaTheme="minorEastAsia"/>
      <w:i/>
      <w:smallCaps/>
      <w:color w:val="002C47" w:themeColor="accent1"/>
      <w:spacing w:val="10"/>
      <w:sz w:val="20"/>
      <w:szCs w:val="20"/>
    </w:rPr>
  </w:style>
  <w:style w:type="character" w:customStyle="1" w:styleId="Heading6Char">
    <w:name w:val="Heading 6 Char"/>
    <w:basedOn w:val="DefaultParagraphFont"/>
    <w:link w:val="Heading6"/>
    <w:rsid w:val="00A468B5"/>
    <w:rPr>
      <w:rFonts w:eastAsiaTheme="minorEastAsia"/>
      <w:i/>
      <w:smallCaps/>
      <w:color w:val="002C47" w:themeColor="accent1"/>
      <w:spacing w:val="10"/>
      <w:sz w:val="20"/>
      <w:szCs w:val="20"/>
    </w:rPr>
  </w:style>
  <w:style w:type="character" w:customStyle="1" w:styleId="Heading7Char">
    <w:name w:val="Heading 7 Char"/>
    <w:basedOn w:val="DefaultParagraphFont"/>
    <w:link w:val="Heading7"/>
    <w:uiPriority w:val="9"/>
    <w:rsid w:val="00A468B5"/>
    <w:rPr>
      <w:rFonts w:eastAsiaTheme="minorEastAsia"/>
      <w:b/>
      <w:i/>
      <w:color w:val="002C47" w:themeColor="accent1"/>
      <w:sz w:val="20"/>
      <w:szCs w:val="20"/>
    </w:rPr>
  </w:style>
  <w:style w:type="character" w:customStyle="1" w:styleId="Heading8Char">
    <w:name w:val="Heading 8 Char"/>
    <w:basedOn w:val="DefaultParagraphFont"/>
    <w:link w:val="Heading8"/>
    <w:uiPriority w:val="9"/>
    <w:rsid w:val="0028692E"/>
    <w:rPr>
      <w:rFonts w:ascii="Calibri" w:eastAsiaTheme="minorEastAsia" w:hAnsi="Calibri"/>
      <w:b/>
      <w:color w:val="002C47" w:themeColor="accent1"/>
      <w:szCs w:val="20"/>
    </w:rPr>
  </w:style>
  <w:style w:type="character" w:customStyle="1" w:styleId="Heading9Char">
    <w:name w:val="Heading 9 Char"/>
    <w:basedOn w:val="DefaultParagraphFont"/>
    <w:link w:val="Heading9"/>
    <w:uiPriority w:val="9"/>
    <w:rsid w:val="008E0014"/>
    <w:rPr>
      <w:rFonts w:ascii="Calibri" w:eastAsia="Calibri" w:hAnsi="Calibri"/>
      <w:b/>
      <w:bCs/>
      <w:smallCaps/>
      <w:color w:val="002C47" w:themeColor="accent1"/>
      <w:sz w:val="20"/>
      <w:szCs w:val="20"/>
    </w:rPr>
  </w:style>
  <w:style w:type="paragraph" w:customStyle="1" w:styleId="ChartGraphic">
    <w:name w:val="Chart Graphic"/>
    <w:basedOn w:val="Normal"/>
    <w:next w:val="Normal"/>
    <w:rsid w:val="00142FC9"/>
    <w:pPr>
      <w:keepNext/>
      <w:spacing w:before="0" w:after="240"/>
    </w:pPr>
    <w:rPr>
      <w:color w:val="004A7F"/>
    </w:rPr>
  </w:style>
  <w:style w:type="paragraph" w:customStyle="1" w:styleId="AlphaParagraph">
    <w:name w:val="Alpha Paragraph"/>
    <w:basedOn w:val="Normal"/>
    <w:rsid w:val="00A468B5"/>
    <w:pPr>
      <w:numPr>
        <w:ilvl w:val="1"/>
        <w:numId w:val="24"/>
      </w:numPr>
      <w:spacing w:before="0"/>
    </w:pPr>
  </w:style>
  <w:style w:type="paragraph" w:customStyle="1" w:styleId="BoxBullet">
    <w:name w:val="Box Bullet"/>
    <w:basedOn w:val="Normal"/>
    <w:link w:val="BoxBulletChar"/>
    <w:rsid w:val="00A468B5"/>
    <w:pPr>
      <w:numPr>
        <w:numId w:val="15"/>
      </w:numPr>
      <w:spacing w:before="40" w:after="40"/>
      <w:jc w:val="both"/>
    </w:pPr>
    <w:rPr>
      <w:rFonts w:cs="Times New Roman"/>
      <w:bdr w:val="none" w:sz="0" w:space="0" w:color="auto" w:frame="1"/>
      <w:lang w:eastAsia="en-AU"/>
    </w:rPr>
  </w:style>
  <w:style w:type="paragraph" w:customStyle="1" w:styleId="BoxDash">
    <w:name w:val="Box Dash"/>
    <w:basedOn w:val="Normal"/>
    <w:link w:val="BoxDashChar"/>
    <w:rsid w:val="00A468B5"/>
    <w:pPr>
      <w:numPr>
        <w:ilvl w:val="1"/>
        <w:numId w:val="15"/>
      </w:numPr>
      <w:spacing w:before="40" w:after="40"/>
      <w:jc w:val="both"/>
    </w:pPr>
    <w:rPr>
      <w:rFonts w:cs="Times New Roman"/>
      <w:bdr w:val="none" w:sz="0" w:space="0" w:color="auto" w:frame="1"/>
      <w:lang w:eastAsia="en-AU"/>
    </w:rPr>
  </w:style>
  <w:style w:type="paragraph" w:customStyle="1" w:styleId="BoxDoubleDot">
    <w:name w:val="Box Double Dot"/>
    <w:basedOn w:val="Normal"/>
    <w:rsid w:val="00A468B5"/>
    <w:pPr>
      <w:numPr>
        <w:ilvl w:val="2"/>
        <w:numId w:val="15"/>
      </w:numPr>
      <w:spacing w:before="0"/>
    </w:pPr>
  </w:style>
  <w:style w:type="paragraph" w:customStyle="1" w:styleId="BoxHeading">
    <w:name w:val="Box Heading"/>
    <w:basedOn w:val="Heading3"/>
    <w:next w:val="BoxText"/>
    <w:qFormat/>
    <w:rsid w:val="00A468B5"/>
    <w:pPr>
      <w:numPr>
        <w:numId w:val="29"/>
      </w:numPr>
      <w:tabs>
        <w:tab w:val="left" w:pos="1134"/>
      </w:tabs>
      <w:spacing w:before="240"/>
      <w:ind w:left="0" w:firstLine="0"/>
      <w:jc w:val="both"/>
    </w:pPr>
    <w:rPr>
      <w:rFonts w:asciiTheme="majorHAnsi" w:hAnsiTheme="majorHAnsi" w:cstheme="majorHAnsi"/>
      <w:sz w:val="26"/>
      <w:szCs w:val="26"/>
      <w:lang w:eastAsia="en-AU"/>
    </w:rPr>
  </w:style>
  <w:style w:type="paragraph" w:customStyle="1" w:styleId="BoxText">
    <w:name w:val="Box Text"/>
    <w:basedOn w:val="Normal"/>
    <w:rsid w:val="00A21A3E"/>
    <w:pPr>
      <w:ind w:left="57" w:right="57"/>
      <w:jc w:val="both"/>
    </w:pPr>
    <w:rPr>
      <w:rFonts w:cstheme="minorHAnsi"/>
      <w:sz w:val="19"/>
      <w:lang w:eastAsia="en-AU"/>
    </w:rPr>
  </w:style>
  <w:style w:type="paragraph" w:customStyle="1" w:styleId="Normalbullet">
    <w:name w:val="Normal bullet"/>
    <w:basedOn w:val="Normal"/>
    <w:link w:val="NormalbulletChar"/>
    <w:qFormat/>
    <w:rsid w:val="00A468B5"/>
    <w:pPr>
      <w:numPr>
        <w:numId w:val="16"/>
      </w:numPr>
      <w:spacing w:before="0"/>
    </w:pPr>
  </w:style>
  <w:style w:type="paragraph" w:customStyle="1" w:styleId="ChartandTableFootnoteAlpha">
    <w:name w:val="Chart and Table Footnote Alpha"/>
    <w:rsid w:val="00A468B5"/>
    <w:pPr>
      <w:numPr>
        <w:numId w:val="18"/>
      </w:numPr>
      <w:spacing w:before="100"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Normal"/>
    <w:next w:val="ChartGraphic"/>
    <w:rsid w:val="005C6849"/>
    <w:pPr>
      <w:keepNext/>
      <w:numPr>
        <w:numId w:val="28"/>
      </w:numPr>
      <w:spacing w:before="240"/>
      <w:outlineLvl w:val="8"/>
    </w:pPr>
    <w:rPr>
      <w:b/>
      <w:color w:val="1E75BA" w:themeColor="accent2"/>
      <w:sz w:val="22"/>
    </w:rPr>
  </w:style>
  <w:style w:type="paragraph" w:customStyle="1" w:styleId="ChartorTableNote">
    <w:name w:val="Chart or Table Note"/>
    <w:next w:val="Normal"/>
    <w:rsid w:val="00A711E0"/>
    <w:pPr>
      <w:tabs>
        <w:tab w:val="left" w:pos="454"/>
      </w:tabs>
      <w:spacing w:after="360" w:line="240" w:lineRule="auto"/>
      <w:ind w:left="454" w:hanging="454"/>
      <w:jc w:val="both"/>
    </w:pPr>
    <w:rPr>
      <w:rFonts w:ascii="Calibri" w:eastAsia="Times New Roman" w:hAnsi="Calibri" w:cs="Times New Roman"/>
      <w:bCs/>
      <w:color w:val="4470A7"/>
      <w:sz w:val="17"/>
      <w:szCs w:val="20"/>
      <w:lang w:eastAsia="en-AU"/>
    </w:rPr>
  </w:style>
  <w:style w:type="paragraph" w:customStyle="1" w:styleId="ChartSecondHeading">
    <w:name w:val="Chart Second Heading"/>
    <w:basedOn w:val="TableSecondHeading"/>
    <w:next w:val="ChartGraphic"/>
    <w:rsid w:val="00A468B5"/>
    <w:rPr>
      <w:color w:val="277F98" w:themeColor="accent6"/>
    </w:rPr>
  </w:style>
  <w:style w:type="paragraph" w:customStyle="1" w:styleId="ReportDate">
    <w:name w:val="Report Date"/>
    <w:basedOn w:val="Normal"/>
    <w:link w:val="ReportDateChar"/>
    <w:rsid w:val="00A468B5"/>
    <w:pPr>
      <w:keepNext/>
      <w:spacing w:before="0" w:after="360"/>
    </w:pPr>
    <w:rPr>
      <w:color w:val="FFFFFF" w:themeColor="background1"/>
      <w:sz w:val="44"/>
    </w:rPr>
  </w:style>
  <w:style w:type="paragraph" w:customStyle="1" w:styleId="Normaldash">
    <w:name w:val="Normal dash"/>
    <w:basedOn w:val="Normal"/>
    <w:link w:val="NormaldashChar"/>
    <w:qFormat/>
    <w:rsid w:val="00A468B5"/>
    <w:pPr>
      <w:numPr>
        <w:ilvl w:val="1"/>
        <w:numId w:val="16"/>
      </w:numPr>
      <w:spacing w:before="0"/>
    </w:pPr>
  </w:style>
  <w:style w:type="paragraph" w:customStyle="1" w:styleId="Normaldoubledot">
    <w:name w:val="Normal double dot"/>
    <w:basedOn w:val="Normal"/>
    <w:qFormat/>
    <w:rsid w:val="00A468B5"/>
    <w:pPr>
      <w:numPr>
        <w:ilvl w:val="2"/>
        <w:numId w:val="16"/>
      </w:numPr>
      <w:spacing w:before="0"/>
    </w:pPr>
  </w:style>
  <w:style w:type="paragraph" w:customStyle="1" w:styleId="TableMainHeading">
    <w:name w:val="Table Main Heading"/>
    <w:basedOn w:val="Normal"/>
    <w:next w:val="Normal"/>
    <w:rsid w:val="00A468B5"/>
    <w:pPr>
      <w:keepNext/>
      <w:numPr>
        <w:numId w:val="27"/>
      </w:numPr>
      <w:pBdr>
        <w:top w:val="dashed" w:sz="4" w:space="1" w:color="002C47" w:themeColor="accent1"/>
      </w:pBdr>
      <w:tabs>
        <w:tab w:val="left" w:pos="993"/>
      </w:tabs>
      <w:spacing w:after="0"/>
      <w:ind w:left="993" w:hanging="993"/>
      <w:outlineLvl w:val="7"/>
    </w:pPr>
    <w:rPr>
      <w:b/>
      <w:smallCaps/>
      <w:color w:val="002C47" w:themeColor="accent1"/>
      <w:spacing w:val="15"/>
    </w:rPr>
  </w:style>
  <w:style w:type="paragraph" w:customStyle="1" w:styleId="FooterEven">
    <w:name w:val="Footer Even"/>
    <w:basedOn w:val="Footer"/>
    <w:rsid w:val="00A468B5"/>
    <w:pPr>
      <w:keepNext/>
      <w:tabs>
        <w:tab w:val="clear" w:pos="4513"/>
        <w:tab w:val="clear" w:pos="9026"/>
      </w:tabs>
      <w:jc w:val="left"/>
    </w:pPr>
    <w:rPr>
      <w:noProof/>
      <w:color w:val="002C47" w:themeColor="accent1"/>
    </w:rPr>
  </w:style>
  <w:style w:type="paragraph" w:customStyle="1" w:styleId="FooterOdd">
    <w:name w:val="Footer Odd"/>
    <w:basedOn w:val="Footer"/>
    <w:rsid w:val="00A468B5"/>
    <w:pPr>
      <w:keepNext/>
      <w:tabs>
        <w:tab w:val="clear" w:pos="4513"/>
        <w:tab w:val="clear" w:pos="9026"/>
      </w:tabs>
      <w:jc w:val="right"/>
    </w:pPr>
    <w:rPr>
      <w:color w:val="002C47" w:themeColor="accent1"/>
    </w:rPr>
  </w:style>
  <w:style w:type="paragraph" w:customStyle="1" w:styleId="OutlineNumbered1">
    <w:name w:val="Outline Numbered 1"/>
    <w:basedOn w:val="Normal"/>
    <w:rsid w:val="00A468B5"/>
    <w:pPr>
      <w:numPr>
        <w:numId w:val="23"/>
      </w:numPr>
      <w:spacing w:before="0"/>
    </w:pPr>
  </w:style>
  <w:style w:type="paragraph" w:customStyle="1" w:styleId="OneLevelNumberedParagraph">
    <w:name w:val="One Level Numbered Paragraph"/>
    <w:basedOn w:val="Normal"/>
    <w:rsid w:val="00A468B5"/>
    <w:pPr>
      <w:numPr>
        <w:numId w:val="22"/>
      </w:numPr>
      <w:spacing w:before="0"/>
    </w:pPr>
  </w:style>
  <w:style w:type="paragraph" w:customStyle="1" w:styleId="OutlineNumbered2">
    <w:name w:val="Outline Numbered 2"/>
    <w:basedOn w:val="Normal"/>
    <w:rsid w:val="00A468B5"/>
    <w:pPr>
      <w:numPr>
        <w:ilvl w:val="1"/>
        <w:numId w:val="23"/>
      </w:numPr>
      <w:spacing w:before="0"/>
    </w:pPr>
  </w:style>
  <w:style w:type="paragraph" w:customStyle="1" w:styleId="OutlineNumbered3">
    <w:name w:val="Outline Numbered 3"/>
    <w:basedOn w:val="Normal"/>
    <w:rsid w:val="00A468B5"/>
    <w:pPr>
      <w:numPr>
        <w:ilvl w:val="2"/>
        <w:numId w:val="23"/>
      </w:numPr>
      <w:spacing w:before="0"/>
    </w:pPr>
  </w:style>
  <w:style w:type="paragraph" w:customStyle="1" w:styleId="Romannumeral">
    <w:name w:val="Roman numeral"/>
    <w:basedOn w:val="Normal"/>
    <w:rsid w:val="00A468B5"/>
    <w:pPr>
      <w:numPr>
        <w:numId w:val="24"/>
      </w:numPr>
      <w:tabs>
        <w:tab w:val="clear" w:pos="720"/>
        <w:tab w:val="num" w:pos="851"/>
      </w:tabs>
      <w:spacing w:before="0"/>
    </w:pPr>
  </w:style>
  <w:style w:type="paragraph" w:customStyle="1" w:styleId="SingleParagraph">
    <w:name w:val="Single Paragraph"/>
    <w:basedOn w:val="Normal"/>
    <w:link w:val="SingleParagraphChar"/>
    <w:rsid w:val="00A468B5"/>
    <w:pPr>
      <w:spacing w:before="0" w:after="0"/>
    </w:pPr>
  </w:style>
  <w:style w:type="paragraph" w:customStyle="1" w:styleId="TableSecondHeading">
    <w:name w:val="Table Second Heading"/>
    <w:basedOn w:val="Normal"/>
    <w:next w:val="Normal"/>
    <w:qFormat/>
    <w:rsid w:val="00A468B5"/>
    <w:pPr>
      <w:keepNext/>
      <w:spacing w:before="0" w:after="20"/>
      <w:jc w:val="center"/>
    </w:pPr>
    <w:rPr>
      <w:rFonts w:cs="Times New Roman"/>
      <w:b/>
      <w:smallCaps/>
      <w:color w:val="002C47" w:themeColor="accent1"/>
      <w:bdr w:val="none" w:sz="0" w:space="0" w:color="auto" w:frame="1"/>
      <w:lang w:eastAsia="en-AU"/>
    </w:rPr>
  </w:style>
  <w:style w:type="paragraph" w:customStyle="1" w:styleId="TableColumnHeadingCentred">
    <w:name w:val="Table Column Heading Centred"/>
    <w:basedOn w:val="TableTextLeft"/>
    <w:rsid w:val="00A468B5"/>
    <w:pPr>
      <w:jc w:val="center"/>
    </w:pPr>
    <w:rPr>
      <w:b/>
      <w:color w:val="004A7F"/>
    </w:rPr>
  </w:style>
  <w:style w:type="paragraph" w:customStyle="1" w:styleId="TableColumnHeadingLeft">
    <w:name w:val="Table Column Heading Left"/>
    <w:basedOn w:val="TableTextLeft"/>
    <w:rsid w:val="00A468B5"/>
    <w:rPr>
      <w:b/>
      <w:color w:val="004A7F"/>
    </w:rPr>
  </w:style>
  <w:style w:type="paragraph" w:customStyle="1" w:styleId="TableColumnHeadingRight">
    <w:name w:val="Table Column Heading Right"/>
    <w:basedOn w:val="TableTextLeft"/>
    <w:rsid w:val="00A468B5"/>
    <w:pPr>
      <w:jc w:val="right"/>
    </w:pPr>
    <w:rPr>
      <w:b/>
      <w:color w:val="004A7F"/>
    </w:rPr>
  </w:style>
  <w:style w:type="paragraph" w:customStyle="1" w:styleId="TableTextCentered">
    <w:name w:val="Table Text Centered"/>
    <w:basedOn w:val="TableTextRight"/>
    <w:rsid w:val="00A468B5"/>
    <w:pPr>
      <w:jc w:val="center"/>
    </w:pPr>
  </w:style>
  <w:style w:type="paragraph" w:customStyle="1" w:styleId="TableTextLeft">
    <w:name w:val="Table Text Left"/>
    <w:basedOn w:val="TableTextRight"/>
    <w:rsid w:val="00A468B5"/>
    <w:pPr>
      <w:jc w:val="left"/>
    </w:pPr>
    <w:rPr>
      <w:rFonts w:cs="Times New Roman"/>
      <w:bdr w:val="none" w:sz="0" w:space="0" w:color="auto" w:frame="1"/>
      <w:lang w:eastAsia="en-AU"/>
    </w:rPr>
  </w:style>
  <w:style w:type="paragraph" w:customStyle="1" w:styleId="TableTextRight">
    <w:name w:val="Table Text Right"/>
    <w:basedOn w:val="Normal"/>
    <w:rsid w:val="00A468B5"/>
    <w:pPr>
      <w:spacing w:before="40" w:after="40"/>
      <w:jc w:val="right"/>
    </w:pPr>
    <w:rPr>
      <w:color w:val="000000"/>
    </w:rPr>
  </w:style>
  <w:style w:type="paragraph" w:styleId="TOC1">
    <w:name w:val="toc 1"/>
    <w:basedOn w:val="Normal"/>
    <w:next w:val="Normal"/>
    <w:uiPriority w:val="39"/>
    <w:rsid w:val="00A468B5"/>
    <w:pPr>
      <w:keepNext/>
      <w:tabs>
        <w:tab w:val="right" w:leader="dot" w:pos="9072"/>
      </w:tabs>
      <w:spacing w:before="180" w:after="0"/>
      <w:ind w:right="-2"/>
    </w:pPr>
    <w:rPr>
      <w:b/>
      <w:noProof/>
      <w:color w:val="000000" w:themeColor="text1"/>
      <w:szCs w:val="22"/>
    </w:rPr>
  </w:style>
  <w:style w:type="paragraph" w:styleId="TOC2">
    <w:name w:val="toc 2"/>
    <w:basedOn w:val="Normal"/>
    <w:next w:val="Normal"/>
    <w:uiPriority w:val="39"/>
    <w:rsid w:val="00A468B5"/>
    <w:pPr>
      <w:keepNext/>
      <w:tabs>
        <w:tab w:val="right" w:leader="dot" w:pos="9072"/>
      </w:tabs>
      <w:spacing w:before="40" w:after="20"/>
      <w:ind w:left="142" w:right="-2"/>
    </w:pPr>
    <w:rPr>
      <w:noProof/>
      <w:color w:val="000000" w:themeColor="text1"/>
    </w:rPr>
  </w:style>
  <w:style w:type="paragraph" w:styleId="TOC3">
    <w:name w:val="toc 3"/>
    <w:basedOn w:val="Normal"/>
    <w:next w:val="Normal"/>
    <w:uiPriority w:val="39"/>
    <w:rsid w:val="00A468B5"/>
    <w:pPr>
      <w:tabs>
        <w:tab w:val="right" w:leader="dot" w:pos="9072"/>
      </w:tabs>
      <w:spacing w:before="20" w:after="0"/>
      <w:ind w:left="284" w:right="-2"/>
    </w:pPr>
    <w:rPr>
      <w:rFonts w:cs="Calibri"/>
      <w:noProof/>
      <w:color w:val="000000" w:themeColor="text1"/>
    </w:rPr>
  </w:style>
  <w:style w:type="numbering" w:customStyle="1" w:styleId="OutlineList">
    <w:name w:val="OutlineList"/>
    <w:uiPriority w:val="99"/>
    <w:rsid w:val="00A468B5"/>
    <w:pPr>
      <w:numPr>
        <w:numId w:val="23"/>
      </w:numPr>
    </w:pPr>
  </w:style>
  <w:style w:type="numbering" w:customStyle="1" w:styleId="BulletedList">
    <w:name w:val="Bulleted List"/>
    <w:uiPriority w:val="99"/>
    <w:rsid w:val="00A468B5"/>
    <w:pPr>
      <w:numPr>
        <w:numId w:val="16"/>
      </w:numPr>
    </w:pPr>
  </w:style>
  <w:style w:type="numbering" w:customStyle="1" w:styleId="BoxBulletedList">
    <w:name w:val="Box Bulleted List"/>
    <w:uiPriority w:val="99"/>
    <w:rsid w:val="00A468B5"/>
    <w:pPr>
      <w:numPr>
        <w:numId w:val="15"/>
      </w:numPr>
    </w:pPr>
  </w:style>
  <w:style w:type="numbering" w:customStyle="1" w:styleId="OneLevelList">
    <w:name w:val="OneLevelList"/>
    <w:uiPriority w:val="99"/>
    <w:rsid w:val="00A468B5"/>
    <w:pPr>
      <w:numPr>
        <w:numId w:val="22"/>
      </w:numPr>
    </w:pPr>
  </w:style>
  <w:style w:type="numbering" w:customStyle="1" w:styleId="ChartandTableFootnoteAlphaList">
    <w:name w:val="ChartandTableFootnoteAlphaList"/>
    <w:uiPriority w:val="99"/>
    <w:rsid w:val="00A468B5"/>
    <w:pPr>
      <w:numPr>
        <w:numId w:val="18"/>
      </w:numPr>
    </w:pPr>
  </w:style>
  <w:style w:type="paragraph" w:customStyle="1" w:styleId="Crest">
    <w:name w:val="Crest"/>
    <w:basedOn w:val="Header"/>
    <w:rsid w:val="00A468B5"/>
    <w:pPr>
      <w:spacing w:after="480"/>
      <w:jc w:val="center"/>
    </w:pPr>
    <w:rPr>
      <w:color w:val="000000" w:themeColor="text1"/>
    </w:rPr>
  </w:style>
  <w:style w:type="paragraph" w:customStyle="1" w:styleId="Heading1Numbered">
    <w:name w:val="Heading 1 Numbered"/>
    <w:basedOn w:val="Heading1"/>
    <w:next w:val="Normal"/>
    <w:rsid w:val="00A468B5"/>
    <w:pPr>
      <w:numPr>
        <w:numId w:val="19"/>
      </w:numPr>
    </w:pPr>
  </w:style>
  <w:style w:type="character" w:customStyle="1" w:styleId="SingleParagraphChar">
    <w:name w:val="Single Paragraph Char"/>
    <w:basedOn w:val="DefaultParagraphFont"/>
    <w:link w:val="SingleParagraph"/>
    <w:rsid w:val="00A468B5"/>
    <w:rPr>
      <w:rFonts w:eastAsiaTheme="minorEastAsia"/>
      <w:sz w:val="20"/>
      <w:szCs w:val="20"/>
    </w:rPr>
  </w:style>
  <w:style w:type="paragraph" w:customStyle="1" w:styleId="Heading2Numbered">
    <w:name w:val="Heading 2 Numbered"/>
    <w:basedOn w:val="Heading2"/>
    <w:next w:val="Normal"/>
    <w:rsid w:val="00A468B5"/>
    <w:pPr>
      <w:numPr>
        <w:ilvl w:val="1"/>
        <w:numId w:val="19"/>
      </w:numPr>
    </w:pPr>
  </w:style>
  <w:style w:type="paragraph" w:customStyle="1" w:styleId="Heading3Numbered">
    <w:name w:val="Heading 3 Numbered"/>
    <w:basedOn w:val="Heading3"/>
    <w:qFormat/>
    <w:rsid w:val="00A468B5"/>
    <w:pPr>
      <w:numPr>
        <w:ilvl w:val="2"/>
        <w:numId w:val="19"/>
      </w:numPr>
    </w:pPr>
  </w:style>
  <w:style w:type="paragraph" w:styleId="Title">
    <w:name w:val="Title"/>
    <w:basedOn w:val="Normal"/>
    <w:next w:val="Normal"/>
    <w:link w:val="TitleChar"/>
    <w:uiPriority w:val="10"/>
    <w:qFormat/>
    <w:rsid w:val="00A468B5"/>
    <w:pPr>
      <w:spacing w:before="0" w:after="0"/>
    </w:pPr>
    <w:rPr>
      <w:rFonts w:asciiTheme="majorHAnsi" w:eastAsiaTheme="majorEastAsia" w:hAnsiTheme="majorHAnsi" w:cstheme="majorBidi"/>
      <w:b/>
      <w:caps/>
      <w:color w:val="FFFFFF" w:themeColor="background1"/>
      <w:spacing w:val="10"/>
      <w:sz w:val="44"/>
      <w:szCs w:val="52"/>
    </w:rPr>
  </w:style>
  <w:style w:type="character" w:customStyle="1" w:styleId="TitleChar">
    <w:name w:val="Title Char"/>
    <w:basedOn w:val="DefaultParagraphFont"/>
    <w:link w:val="Title"/>
    <w:uiPriority w:val="10"/>
    <w:rsid w:val="00A468B5"/>
    <w:rPr>
      <w:rFonts w:asciiTheme="majorHAnsi" w:eastAsiaTheme="majorEastAsia" w:hAnsiTheme="majorHAnsi" w:cstheme="majorBidi"/>
      <w:b/>
      <w:caps/>
      <w:color w:val="FFFFFF" w:themeColor="background1"/>
      <w:spacing w:val="10"/>
      <w:sz w:val="44"/>
      <w:szCs w:val="52"/>
    </w:rPr>
  </w:style>
  <w:style w:type="paragraph" w:styleId="Subtitle">
    <w:name w:val="Subtitle"/>
    <w:basedOn w:val="Normal"/>
    <w:next w:val="Normal"/>
    <w:link w:val="SubtitleChar"/>
    <w:uiPriority w:val="11"/>
    <w:rsid w:val="00A468B5"/>
    <w:pPr>
      <w:spacing w:before="0" w:after="500"/>
    </w:pPr>
    <w:rPr>
      <w:caps/>
      <w:color w:val="FFFFFF" w:themeColor="background1"/>
      <w:spacing w:val="10"/>
      <w:sz w:val="21"/>
      <w:szCs w:val="21"/>
    </w:rPr>
  </w:style>
  <w:style w:type="character" w:customStyle="1" w:styleId="SubtitleChar">
    <w:name w:val="Subtitle Char"/>
    <w:basedOn w:val="DefaultParagraphFont"/>
    <w:link w:val="Subtitle"/>
    <w:uiPriority w:val="11"/>
    <w:rsid w:val="00A468B5"/>
    <w:rPr>
      <w:rFonts w:eastAsiaTheme="minorEastAsia"/>
      <w:caps/>
      <w:color w:val="FFFFFF" w:themeColor="background1"/>
      <w:spacing w:val="10"/>
      <w:sz w:val="21"/>
      <w:szCs w:val="21"/>
    </w:rPr>
  </w:style>
  <w:style w:type="character" w:styleId="SubtleEmphasis">
    <w:name w:val="Subtle Emphasis"/>
    <w:uiPriority w:val="19"/>
    <w:rsid w:val="00A468B5"/>
    <w:rPr>
      <w:i/>
      <w:iCs/>
      <w:color w:val="001523" w:themeColor="accent1" w:themeShade="7F"/>
    </w:rPr>
  </w:style>
  <w:style w:type="character" w:styleId="PlaceholderText">
    <w:name w:val="Placeholder Text"/>
    <w:basedOn w:val="DefaultParagraphFont"/>
    <w:uiPriority w:val="99"/>
    <w:semiHidden/>
    <w:rsid w:val="00A468B5"/>
    <w:rPr>
      <w:color w:val="808080"/>
    </w:rPr>
  </w:style>
  <w:style w:type="paragraph" w:customStyle="1" w:styleId="AppendixHeading">
    <w:name w:val="Appendix Heading"/>
    <w:basedOn w:val="Normal"/>
    <w:next w:val="Normal"/>
    <w:rsid w:val="00A468B5"/>
    <w:pPr>
      <w:keepNext/>
      <w:spacing w:before="720" w:after="360"/>
    </w:pPr>
    <w:rPr>
      <w:rFonts w:ascii="Arial Bold" w:hAnsi="Arial Bold"/>
      <w:b/>
      <w:smallCaps/>
      <w:color w:val="004A7F"/>
      <w:sz w:val="36"/>
      <w:szCs w:val="36"/>
    </w:rPr>
  </w:style>
  <w:style w:type="paragraph" w:customStyle="1" w:styleId="HeadingBase">
    <w:name w:val="Heading Base"/>
    <w:rsid w:val="00A468B5"/>
    <w:pPr>
      <w:keepNext/>
      <w:spacing w:before="100" w:after="120" w:line="240" w:lineRule="auto"/>
    </w:pPr>
    <w:rPr>
      <w:rFonts w:ascii="Calibri" w:eastAsia="Times New Roman" w:hAnsi="Calibri" w:cs="Arial"/>
      <w:bCs/>
      <w:color w:val="002C47" w:themeColor="accent1"/>
      <w:kern w:val="32"/>
      <w:sz w:val="48"/>
      <w:szCs w:val="36"/>
      <w:lang w:eastAsia="en-AU"/>
    </w:rPr>
  </w:style>
  <w:style w:type="character" w:customStyle="1" w:styleId="ReportDateChar">
    <w:name w:val="Report Date Char"/>
    <w:basedOn w:val="DefaultParagraphFont"/>
    <w:link w:val="ReportDate"/>
    <w:rsid w:val="00A468B5"/>
    <w:rPr>
      <w:rFonts w:eastAsiaTheme="minorEastAsia"/>
      <w:color w:val="FFFFFF" w:themeColor="background1"/>
      <w:sz w:val="44"/>
      <w:szCs w:val="20"/>
    </w:rPr>
  </w:style>
  <w:style w:type="paragraph" w:customStyle="1" w:styleId="Disclaimer">
    <w:name w:val="Disclaimer"/>
    <w:basedOn w:val="ReportDate"/>
    <w:rsid w:val="00A468B5"/>
    <w:pPr>
      <w:spacing w:after="1800"/>
      <w:ind w:right="142"/>
    </w:pPr>
    <w:rPr>
      <w:rFonts w:ascii="Century Gothic" w:hAnsi="Century Gothic"/>
      <w:b/>
      <w:bCs/>
      <w:color w:val="38AFCF" w:themeColor="text2"/>
      <w:sz w:val="22"/>
    </w:rPr>
  </w:style>
  <w:style w:type="paragraph" w:customStyle="1" w:styleId="NotesHeading">
    <w:name w:val="Notes Heading"/>
    <w:basedOn w:val="Normal"/>
    <w:rsid w:val="00A468B5"/>
    <w:pPr>
      <w:keepNext/>
      <w:spacing w:before="240" w:after="360"/>
      <w:jc w:val="center"/>
    </w:pPr>
    <w:rPr>
      <w:rFonts w:ascii="Century Gothic" w:hAnsi="Century Gothic"/>
      <w:smallCaps/>
      <w:color w:val="38AFCF" w:themeColor="text2"/>
      <w:sz w:val="36"/>
      <w:szCs w:val="36"/>
    </w:rPr>
  </w:style>
  <w:style w:type="paragraph" w:customStyle="1" w:styleId="Divider">
    <w:name w:val="Divider"/>
    <w:basedOn w:val="ReportDate"/>
    <w:rsid w:val="00A468B5"/>
    <w:pPr>
      <w:spacing w:after="1800"/>
    </w:pPr>
    <w:rPr>
      <w:rFonts w:ascii="Rockwell" w:hAnsi="Rockwell"/>
      <w:sz w:val="24"/>
    </w:rPr>
  </w:style>
  <w:style w:type="character" w:customStyle="1" w:styleId="FramedFooter">
    <w:name w:val="Framed Footer"/>
    <w:rsid w:val="00A468B5"/>
    <w:rPr>
      <w:rFonts w:ascii="Arial" w:hAnsi="Arial"/>
      <w:color w:val="002C47"/>
      <w:sz w:val="18"/>
    </w:rPr>
  </w:style>
  <w:style w:type="character" w:customStyle="1" w:styleId="FramedHeader">
    <w:name w:val="Framed Header"/>
    <w:basedOn w:val="DefaultParagraphFont"/>
    <w:rsid w:val="00A468B5"/>
    <w:rPr>
      <w:rFonts w:ascii="Arial" w:hAnsi="Arial"/>
      <w:dstrike w:val="0"/>
      <w:color w:val="auto"/>
      <w:sz w:val="18"/>
      <w:vertAlign w:val="baseline"/>
    </w:rPr>
  </w:style>
  <w:style w:type="paragraph" w:customStyle="1" w:styleId="TableTextIndented">
    <w:name w:val="Table Text Indented"/>
    <w:basedOn w:val="TableTextLeft"/>
    <w:rsid w:val="00A468B5"/>
    <w:pPr>
      <w:ind w:left="284"/>
    </w:pPr>
  </w:style>
  <w:style w:type="paragraph" w:customStyle="1" w:styleId="TableHeadingContinued">
    <w:name w:val="Table Heading Continued"/>
    <w:basedOn w:val="TableMainHeading"/>
    <w:next w:val="TableGraphic"/>
    <w:qFormat/>
    <w:rsid w:val="00A468B5"/>
    <w:pPr>
      <w:numPr>
        <w:numId w:val="20"/>
      </w:numPr>
    </w:pPr>
  </w:style>
  <w:style w:type="paragraph" w:customStyle="1" w:styleId="TableGraphic">
    <w:name w:val="Table Graphic"/>
    <w:basedOn w:val="HeadingBase"/>
    <w:next w:val="Normal"/>
    <w:rsid w:val="00A468B5"/>
    <w:pPr>
      <w:spacing w:after="0"/>
    </w:pPr>
    <w:rPr>
      <w:color w:val="auto"/>
      <w:sz w:val="22"/>
    </w:rPr>
  </w:style>
  <w:style w:type="paragraph" w:customStyle="1" w:styleId="HeaderEven">
    <w:name w:val="Header Even"/>
    <w:basedOn w:val="HeaderOdd"/>
    <w:rsid w:val="00975BC4"/>
    <w:pPr>
      <w:jc w:val="left"/>
    </w:pPr>
  </w:style>
  <w:style w:type="paragraph" w:customStyle="1" w:styleId="HeaderOdd">
    <w:name w:val="Header Odd"/>
    <w:basedOn w:val="Header"/>
    <w:rsid w:val="00975BC4"/>
    <w:rPr>
      <w:b/>
      <w:color w:val="002C47" w:themeColor="accent1"/>
      <w:sz w:val="18"/>
    </w:rPr>
  </w:style>
  <w:style w:type="paragraph" w:styleId="NoSpacing">
    <w:name w:val="No Spacing"/>
    <w:link w:val="NoSpacingChar"/>
    <w:uiPriority w:val="1"/>
    <w:rsid w:val="00A468B5"/>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A468B5"/>
    <w:rPr>
      <w:rFonts w:eastAsiaTheme="minorEastAsia"/>
      <w:sz w:val="20"/>
      <w:szCs w:val="20"/>
    </w:rPr>
  </w:style>
  <w:style w:type="paragraph" w:customStyle="1" w:styleId="PreparedBy">
    <w:name w:val="PreparedBy"/>
    <w:basedOn w:val="Subtitle"/>
    <w:qFormat/>
    <w:rsid w:val="00A468B5"/>
  </w:style>
  <w:style w:type="character" w:styleId="BookTitle">
    <w:name w:val="Book Title"/>
    <w:uiPriority w:val="33"/>
    <w:rsid w:val="00A468B5"/>
    <w:rPr>
      <w:b/>
      <w:bCs/>
      <w:i/>
      <w:iCs/>
      <w:spacing w:val="0"/>
    </w:rPr>
  </w:style>
  <w:style w:type="character" w:customStyle="1" w:styleId="NormalbulletChar">
    <w:name w:val="Normal bullet Char"/>
    <w:basedOn w:val="DefaultParagraphFont"/>
    <w:link w:val="Normalbullet"/>
    <w:locked/>
    <w:rsid w:val="00A468B5"/>
    <w:rPr>
      <w:rFonts w:eastAsiaTheme="minorEastAsia"/>
      <w:sz w:val="20"/>
      <w:szCs w:val="20"/>
    </w:rPr>
  </w:style>
  <w:style w:type="paragraph" w:styleId="Caption">
    <w:name w:val="caption"/>
    <w:basedOn w:val="Normal"/>
    <w:next w:val="Normal"/>
    <w:uiPriority w:val="35"/>
    <w:semiHidden/>
    <w:unhideWhenUsed/>
    <w:qFormat/>
    <w:rsid w:val="00A468B5"/>
    <w:rPr>
      <w:b/>
      <w:bCs/>
      <w:color w:val="002035" w:themeColor="accent1" w:themeShade="BF"/>
      <w:sz w:val="16"/>
      <w:szCs w:val="16"/>
    </w:rPr>
  </w:style>
  <w:style w:type="character" w:customStyle="1" w:styleId="NormaldashChar">
    <w:name w:val="Normal dash Char"/>
    <w:basedOn w:val="DefaultParagraphFont"/>
    <w:link w:val="Normaldash"/>
    <w:locked/>
    <w:rsid w:val="00A468B5"/>
    <w:rPr>
      <w:rFonts w:eastAsiaTheme="minorEastAsia"/>
      <w:sz w:val="20"/>
      <w:szCs w:val="20"/>
    </w:rPr>
  </w:style>
  <w:style w:type="character" w:styleId="Emphasis">
    <w:name w:val="Emphasis"/>
    <w:uiPriority w:val="20"/>
    <w:rsid w:val="00A468B5"/>
    <w:rPr>
      <w:caps/>
      <w:color w:val="001523" w:themeColor="accent1" w:themeShade="7F"/>
      <w:spacing w:val="5"/>
    </w:rPr>
  </w:style>
  <w:style w:type="character" w:styleId="IntenseEmphasis">
    <w:name w:val="Intense Emphasis"/>
    <w:uiPriority w:val="21"/>
    <w:rsid w:val="00A468B5"/>
    <w:rPr>
      <w:b/>
      <w:bCs/>
      <w:caps/>
      <w:color w:val="001523" w:themeColor="accent1" w:themeShade="7F"/>
      <w:spacing w:val="10"/>
    </w:rPr>
  </w:style>
  <w:style w:type="paragraph" w:styleId="IntenseQuote">
    <w:name w:val="Intense Quote"/>
    <w:basedOn w:val="Normal"/>
    <w:next w:val="Normal"/>
    <w:link w:val="IntenseQuoteChar"/>
    <w:uiPriority w:val="30"/>
    <w:rsid w:val="00A468B5"/>
    <w:pPr>
      <w:spacing w:before="240" w:after="240"/>
      <w:ind w:left="1080" w:right="1080"/>
      <w:jc w:val="center"/>
    </w:pPr>
    <w:rPr>
      <w:color w:val="002C47" w:themeColor="accent1"/>
      <w:sz w:val="24"/>
      <w:szCs w:val="24"/>
    </w:rPr>
  </w:style>
  <w:style w:type="character" w:customStyle="1" w:styleId="IntenseQuoteChar">
    <w:name w:val="Intense Quote Char"/>
    <w:basedOn w:val="DefaultParagraphFont"/>
    <w:link w:val="IntenseQuote"/>
    <w:uiPriority w:val="30"/>
    <w:rsid w:val="00A468B5"/>
    <w:rPr>
      <w:rFonts w:eastAsiaTheme="minorEastAsia"/>
      <w:color w:val="002C47" w:themeColor="accent1"/>
      <w:sz w:val="24"/>
      <w:szCs w:val="24"/>
    </w:rPr>
  </w:style>
  <w:style w:type="character" w:styleId="IntenseReference">
    <w:name w:val="Intense Reference"/>
    <w:uiPriority w:val="32"/>
    <w:rsid w:val="00A468B5"/>
    <w:rPr>
      <w:b/>
      <w:bCs/>
      <w:i/>
      <w:iCs/>
      <w:caps/>
      <w:color w:val="002C47" w:themeColor="accent1"/>
    </w:rPr>
  </w:style>
  <w:style w:type="paragraph" w:styleId="NormalWeb">
    <w:name w:val="Normal (Web)"/>
    <w:basedOn w:val="Normal"/>
    <w:uiPriority w:val="99"/>
    <w:unhideWhenUsed/>
    <w:rsid w:val="00A468B5"/>
    <w:pPr>
      <w:spacing w:beforeAutospacing="1" w:after="100" w:afterAutospacing="1"/>
    </w:pPr>
    <w:rPr>
      <w:rFonts w:ascii="Times New Roman" w:hAnsi="Times New Roman"/>
      <w:sz w:val="24"/>
      <w:szCs w:val="24"/>
    </w:rPr>
  </w:style>
  <w:style w:type="paragraph" w:styleId="Quote">
    <w:name w:val="Quote"/>
    <w:basedOn w:val="Normal"/>
    <w:next w:val="Normal"/>
    <w:link w:val="QuoteChar"/>
    <w:uiPriority w:val="29"/>
    <w:rsid w:val="00A468B5"/>
    <w:rPr>
      <w:i/>
      <w:iCs/>
      <w:sz w:val="24"/>
      <w:szCs w:val="24"/>
    </w:rPr>
  </w:style>
  <w:style w:type="character" w:customStyle="1" w:styleId="QuoteChar">
    <w:name w:val="Quote Char"/>
    <w:basedOn w:val="DefaultParagraphFont"/>
    <w:link w:val="Quote"/>
    <w:uiPriority w:val="29"/>
    <w:rsid w:val="00A468B5"/>
    <w:rPr>
      <w:rFonts w:eastAsiaTheme="minorEastAsia"/>
      <w:i/>
      <w:iCs/>
      <w:sz w:val="24"/>
      <w:szCs w:val="24"/>
    </w:rPr>
  </w:style>
  <w:style w:type="character" w:styleId="Strong">
    <w:name w:val="Strong"/>
    <w:uiPriority w:val="22"/>
    <w:rsid w:val="00A468B5"/>
    <w:rPr>
      <w:b/>
      <w:bCs/>
    </w:rPr>
  </w:style>
  <w:style w:type="character" w:styleId="SubtleReference">
    <w:name w:val="Subtle Reference"/>
    <w:uiPriority w:val="31"/>
    <w:rsid w:val="00A468B5"/>
    <w:rPr>
      <w:b/>
      <w:bCs/>
      <w:color w:val="002C47" w:themeColor="accent1"/>
    </w:rPr>
  </w:style>
  <w:style w:type="paragraph" w:styleId="TOCHeading">
    <w:name w:val="TOC Heading"/>
    <w:basedOn w:val="Heading1"/>
    <w:next w:val="Normal"/>
    <w:uiPriority w:val="39"/>
    <w:semiHidden/>
    <w:unhideWhenUsed/>
    <w:qFormat/>
    <w:rsid w:val="00A468B5"/>
    <w:pPr>
      <w:outlineLvl w:val="9"/>
    </w:pPr>
  </w:style>
  <w:style w:type="character" w:customStyle="1" w:styleId="value">
    <w:name w:val="value"/>
    <w:basedOn w:val="DefaultParagraphFont"/>
    <w:rsid w:val="00A468B5"/>
  </w:style>
  <w:style w:type="paragraph" w:styleId="BodyText">
    <w:name w:val="Body Text"/>
    <w:basedOn w:val="Normal"/>
    <w:link w:val="BodyTextChar"/>
    <w:uiPriority w:val="99"/>
    <w:semiHidden/>
    <w:unhideWhenUsed/>
    <w:rsid w:val="00A468B5"/>
  </w:style>
  <w:style w:type="character" w:customStyle="1" w:styleId="BodyTextChar">
    <w:name w:val="Body Text Char"/>
    <w:basedOn w:val="DefaultParagraphFont"/>
    <w:link w:val="BodyText"/>
    <w:uiPriority w:val="99"/>
    <w:semiHidden/>
    <w:rsid w:val="00A468B5"/>
    <w:rPr>
      <w:rFonts w:eastAsiaTheme="minorEastAsia"/>
      <w:sz w:val="20"/>
      <w:szCs w:val="20"/>
    </w:rPr>
  </w:style>
  <w:style w:type="character" w:customStyle="1" w:styleId="BoxBulletChar">
    <w:name w:val="Box Bullet Char"/>
    <w:basedOn w:val="DefaultParagraphFont"/>
    <w:link w:val="BoxBullet"/>
    <w:rsid w:val="00A468B5"/>
    <w:rPr>
      <w:rFonts w:eastAsiaTheme="minorEastAsia" w:cs="Times New Roman"/>
      <w:sz w:val="20"/>
      <w:szCs w:val="20"/>
      <w:bdr w:val="none" w:sz="0" w:space="0" w:color="auto" w:frame="1"/>
      <w:lang w:eastAsia="en-AU"/>
    </w:rPr>
  </w:style>
  <w:style w:type="character" w:customStyle="1" w:styleId="BoxDashChar">
    <w:name w:val="Box Dash Char"/>
    <w:basedOn w:val="DefaultParagraphFont"/>
    <w:link w:val="BoxDash"/>
    <w:rsid w:val="00A468B5"/>
    <w:rPr>
      <w:rFonts w:eastAsiaTheme="minorEastAsia" w:cs="Times New Roman"/>
      <w:sz w:val="20"/>
      <w:szCs w:val="20"/>
      <w:bdr w:val="none" w:sz="0" w:space="0" w:color="auto" w:frame="1"/>
      <w:lang w:eastAsia="en-AU"/>
    </w:rPr>
  </w:style>
  <w:style w:type="paragraph" w:customStyle="1" w:styleId="Source">
    <w:name w:val="Source"/>
    <w:basedOn w:val="Normaldash"/>
    <w:link w:val="SourceChar"/>
    <w:qFormat/>
    <w:rsid w:val="00815D89"/>
    <w:pPr>
      <w:numPr>
        <w:ilvl w:val="0"/>
        <w:numId w:val="0"/>
      </w:numPr>
      <w:pBdr>
        <w:bottom w:val="dashed" w:sz="4" w:space="1" w:color="002C47" w:themeColor="accent1"/>
      </w:pBdr>
      <w:tabs>
        <w:tab w:val="left" w:pos="596"/>
      </w:tabs>
      <w:ind w:left="596" w:hanging="567"/>
    </w:pPr>
    <w:rPr>
      <w:bdr w:val="none" w:sz="0" w:space="0" w:color="auto" w:frame="1"/>
    </w:rPr>
  </w:style>
  <w:style w:type="character" w:customStyle="1" w:styleId="SourceChar">
    <w:name w:val="Source Char"/>
    <w:basedOn w:val="NormaldashChar"/>
    <w:link w:val="Source"/>
    <w:rsid w:val="00815D89"/>
    <w:rPr>
      <w:rFonts w:ascii="Calibri" w:eastAsiaTheme="minorEastAsia" w:hAnsi="Calibri"/>
      <w:sz w:val="20"/>
      <w:szCs w:val="20"/>
      <w:bdr w:val="none" w:sz="0" w:space="0" w:color="auto" w:frame="1"/>
    </w:rPr>
  </w:style>
  <w:style w:type="paragraph" w:customStyle="1" w:styleId="Tabledash">
    <w:name w:val="Table dash"/>
    <w:basedOn w:val="BoxDash"/>
    <w:link w:val="TabledashChar"/>
    <w:qFormat/>
    <w:rsid w:val="00A468B5"/>
    <w:pPr>
      <w:tabs>
        <w:tab w:val="clear" w:pos="567"/>
        <w:tab w:val="num" w:pos="283"/>
      </w:tabs>
      <w:ind w:left="568" w:hanging="283"/>
    </w:pPr>
  </w:style>
  <w:style w:type="character" w:customStyle="1" w:styleId="TabledashChar">
    <w:name w:val="Table dash Char"/>
    <w:basedOn w:val="BoxDashChar"/>
    <w:link w:val="Tabledash"/>
    <w:rsid w:val="00A468B5"/>
    <w:rPr>
      <w:rFonts w:eastAsiaTheme="minorEastAsia" w:cs="Times New Roman"/>
      <w:sz w:val="20"/>
      <w:szCs w:val="20"/>
      <w:bdr w:val="none" w:sz="0" w:space="0" w:color="auto" w:frame="1"/>
      <w:lang w:eastAsia="en-AU"/>
    </w:rPr>
  </w:style>
  <w:style w:type="paragraph" w:customStyle="1" w:styleId="Tabledot">
    <w:name w:val="Table dot"/>
    <w:basedOn w:val="BoxBullet"/>
    <w:link w:val="TabledotChar"/>
    <w:qFormat/>
    <w:rsid w:val="00A468B5"/>
    <w:pPr>
      <w:numPr>
        <w:numId w:val="0"/>
      </w:numPr>
    </w:pPr>
  </w:style>
  <w:style w:type="character" w:customStyle="1" w:styleId="TabledotChar">
    <w:name w:val="Table dot Char"/>
    <w:basedOn w:val="BoxBulletChar"/>
    <w:link w:val="Tabledot"/>
    <w:rsid w:val="00A468B5"/>
    <w:rPr>
      <w:rFonts w:eastAsiaTheme="minorEastAsia" w:cs="Times New Roman"/>
      <w:sz w:val="20"/>
      <w:szCs w:val="20"/>
      <w:bdr w:val="none" w:sz="0" w:space="0" w:color="auto" w:frame="1"/>
      <w:lang w:eastAsia="en-AU"/>
    </w:rPr>
  </w:style>
  <w:style w:type="character" w:styleId="UnresolvedMention">
    <w:name w:val="Unresolved Mention"/>
    <w:basedOn w:val="DefaultParagraphFont"/>
    <w:uiPriority w:val="99"/>
    <w:semiHidden/>
    <w:unhideWhenUsed/>
    <w:rsid w:val="00D97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53236">
      <w:bodyDiv w:val="1"/>
      <w:marLeft w:val="0"/>
      <w:marRight w:val="0"/>
      <w:marTop w:val="0"/>
      <w:marBottom w:val="0"/>
      <w:divBdr>
        <w:top w:val="none" w:sz="0" w:space="0" w:color="auto"/>
        <w:left w:val="none" w:sz="0" w:space="0" w:color="auto"/>
        <w:bottom w:val="none" w:sz="0" w:space="0" w:color="auto"/>
        <w:right w:val="none" w:sz="0" w:space="0" w:color="auto"/>
      </w:divBdr>
    </w:div>
    <w:div w:id="229080329">
      <w:bodyDiv w:val="1"/>
      <w:marLeft w:val="0"/>
      <w:marRight w:val="0"/>
      <w:marTop w:val="0"/>
      <w:marBottom w:val="0"/>
      <w:divBdr>
        <w:top w:val="none" w:sz="0" w:space="0" w:color="auto"/>
        <w:left w:val="none" w:sz="0" w:space="0" w:color="auto"/>
        <w:bottom w:val="none" w:sz="0" w:space="0" w:color="auto"/>
        <w:right w:val="none" w:sz="0" w:space="0" w:color="auto"/>
      </w:divBdr>
    </w:div>
    <w:div w:id="272515186">
      <w:bodyDiv w:val="1"/>
      <w:marLeft w:val="0"/>
      <w:marRight w:val="0"/>
      <w:marTop w:val="0"/>
      <w:marBottom w:val="0"/>
      <w:divBdr>
        <w:top w:val="none" w:sz="0" w:space="0" w:color="auto"/>
        <w:left w:val="none" w:sz="0" w:space="0" w:color="auto"/>
        <w:bottom w:val="none" w:sz="0" w:space="0" w:color="auto"/>
        <w:right w:val="none" w:sz="0" w:space="0" w:color="auto"/>
      </w:divBdr>
    </w:div>
    <w:div w:id="562177477">
      <w:bodyDiv w:val="1"/>
      <w:marLeft w:val="0"/>
      <w:marRight w:val="0"/>
      <w:marTop w:val="0"/>
      <w:marBottom w:val="0"/>
      <w:divBdr>
        <w:top w:val="none" w:sz="0" w:space="0" w:color="auto"/>
        <w:left w:val="none" w:sz="0" w:space="0" w:color="auto"/>
        <w:bottom w:val="none" w:sz="0" w:space="0" w:color="auto"/>
        <w:right w:val="none" w:sz="0" w:space="0" w:color="auto"/>
      </w:divBdr>
    </w:div>
    <w:div w:id="585769590">
      <w:bodyDiv w:val="1"/>
      <w:marLeft w:val="0"/>
      <w:marRight w:val="0"/>
      <w:marTop w:val="0"/>
      <w:marBottom w:val="0"/>
      <w:divBdr>
        <w:top w:val="none" w:sz="0" w:space="0" w:color="auto"/>
        <w:left w:val="none" w:sz="0" w:space="0" w:color="auto"/>
        <w:bottom w:val="none" w:sz="0" w:space="0" w:color="auto"/>
        <w:right w:val="none" w:sz="0" w:space="0" w:color="auto"/>
      </w:divBdr>
    </w:div>
    <w:div w:id="668824284">
      <w:bodyDiv w:val="1"/>
      <w:marLeft w:val="0"/>
      <w:marRight w:val="0"/>
      <w:marTop w:val="0"/>
      <w:marBottom w:val="0"/>
      <w:divBdr>
        <w:top w:val="none" w:sz="0" w:space="0" w:color="auto"/>
        <w:left w:val="none" w:sz="0" w:space="0" w:color="auto"/>
        <w:bottom w:val="none" w:sz="0" w:space="0" w:color="auto"/>
        <w:right w:val="none" w:sz="0" w:space="0" w:color="auto"/>
      </w:divBdr>
    </w:div>
    <w:div w:id="768426986">
      <w:bodyDiv w:val="1"/>
      <w:marLeft w:val="0"/>
      <w:marRight w:val="0"/>
      <w:marTop w:val="0"/>
      <w:marBottom w:val="0"/>
      <w:divBdr>
        <w:top w:val="none" w:sz="0" w:space="0" w:color="auto"/>
        <w:left w:val="none" w:sz="0" w:space="0" w:color="auto"/>
        <w:bottom w:val="none" w:sz="0" w:space="0" w:color="auto"/>
        <w:right w:val="none" w:sz="0" w:space="0" w:color="auto"/>
      </w:divBdr>
    </w:div>
    <w:div w:id="777406539">
      <w:bodyDiv w:val="1"/>
      <w:marLeft w:val="0"/>
      <w:marRight w:val="0"/>
      <w:marTop w:val="0"/>
      <w:marBottom w:val="0"/>
      <w:divBdr>
        <w:top w:val="none" w:sz="0" w:space="0" w:color="auto"/>
        <w:left w:val="none" w:sz="0" w:space="0" w:color="auto"/>
        <w:bottom w:val="none" w:sz="0" w:space="0" w:color="auto"/>
        <w:right w:val="none" w:sz="0" w:space="0" w:color="auto"/>
      </w:divBdr>
    </w:div>
    <w:div w:id="919605794">
      <w:bodyDiv w:val="1"/>
      <w:marLeft w:val="0"/>
      <w:marRight w:val="0"/>
      <w:marTop w:val="0"/>
      <w:marBottom w:val="0"/>
      <w:divBdr>
        <w:top w:val="none" w:sz="0" w:space="0" w:color="auto"/>
        <w:left w:val="none" w:sz="0" w:space="0" w:color="auto"/>
        <w:bottom w:val="none" w:sz="0" w:space="0" w:color="auto"/>
        <w:right w:val="none" w:sz="0" w:space="0" w:color="auto"/>
      </w:divBdr>
    </w:div>
    <w:div w:id="1118987896">
      <w:bodyDiv w:val="1"/>
      <w:marLeft w:val="0"/>
      <w:marRight w:val="0"/>
      <w:marTop w:val="0"/>
      <w:marBottom w:val="0"/>
      <w:divBdr>
        <w:top w:val="none" w:sz="0" w:space="0" w:color="auto"/>
        <w:left w:val="none" w:sz="0" w:space="0" w:color="auto"/>
        <w:bottom w:val="none" w:sz="0" w:space="0" w:color="auto"/>
        <w:right w:val="none" w:sz="0" w:space="0" w:color="auto"/>
      </w:divBdr>
    </w:div>
    <w:div w:id="1235161167">
      <w:bodyDiv w:val="1"/>
      <w:marLeft w:val="0"/>
      <w:marRight w:val="0"/>
      <w:marTop w:val="0"/>
      <w:marBottom w:val="0"/>
      <w:divBdr>
        <w:top w:val="none" w:sz="0" w:space="0" w:color="auto"/>
        <w:left w:val="none" w:sz="0" w:space="0" w:color="auto"/>
        <w:bottom w:val="none" w:sz="0" w:space="0" w:color="auto"/>
        <w:right w:val="none" w:sz="0" w:space="0" w:color="auto"/>
      </w:divBdr>
    </w:div>
    <w:div w:id="1342321349">
      <w:bodyDiv w:val="1"/>
      <w:marLeft w:val="0"/>
      <w:marRight w:val="0"/>
      <w:marTop w:val="0"/>
      <w:marBottom w:val="0"/>
      <w:divBdr>
        <w:top w:val="none" w:sz="0" w:space="0" w:color="auto"/>
        <w:left w:val="none" w:sz="0" w:space="0" w:color="auto"/>
        <w:bottom w:val="none" w:sz="0" w:space="0" w:color="auto"/>
        <w:right w:val="none" w:sz="0" w:space="0" w:color="auto"/>
      </w:divBdr>
    </w:div>
    <w:div w:id="1362169744">
      <w:bodyDiv w:val="1"/>
      <w:marLeft w:val="0"/>
      <w:marRight w:val="0"/>
      <w:marTop w:val="0"/>
      <w:marBottom w:val="0"/>
      <w:divBdr>
        <w:top w:val="none" w:sz="0" w:space="0" w:color="auto"/>
        <w:left w:val="none" w:sz="0" w:space="0" w:color="auto"/>
        <w:bottom w:val="none" w:sz="0" w:space="0" w:color="auto"/>
        <w:right w:val="none" w:sz="0" w:space="0" w:color="auto"/>
      </w:divBdr>
    </w:div>
    <w:div w:id="1425764062">
      <w:bodyDiv w:val="1"/>
      <w:marLeft w:val="0"/>
      <w:marRight w:val="0"/>
      <w:marTop w:val="0"/>
      <w:marBottom w:val="0"/>
      <w:divBdr>
        <w:top w:val="none" w:sz="0" w:space="0" w:color="auto"/>
        <w:left w:val="none" w:sz="0" w:space="0" w:color="auto"/>
        <w:bottom w:val="none" w:sz="0" w:space="0" w:color="auto"/>
        <w:right w:val="none" w:sz="0" w:space="0" w:color="auto"/>
      </w:divBdr>
    </w:div>
    <w:div w:id="1563910358">
      <w:bodyDiv w:val="1"/>
      <w:marLeft w:val="0"/>
      <w:marRight w:val="0"/>
      <w:marTop w:val="0"/>
      <w:marBottom w:val="0"/>
      <w:divBdr>
        <w:top w:val="none" w:sz="0" w:space="0" w:color="auto"/>
        <w:left w:val="none" w:sz="0" w:space="0" w:color="auto"/>
        <w:bottom w:val="none" w:sz="0" w:space="0" w:color="auto"/>
        <w:right w:val="none" w:sz="0" w:space="0" w:color="auto"/>
      </w:divBdr>
    </w:div>
    <w:div w:id="1598102195">
      <w:bodyDiv w:val="1"/>
      <w:marLeft w:val="0"/>
      <w:marRight w:val="0"/>
      <w:marTop w:val="0"/>
      <w:marBottom w:val="0"/>
      <w:divBdr>
        <w:top w:val="none" w:sz="0" w:space="0" w:color="auto"/>
        <w:left w:val="none" w:sz="0" w:space="0" w:color="auto"/>
        <w:bottom w:val="none" w:sz="0" w:space="0" w:color="auto"/>
        <w:right w:val="none" w:sz="0" w:space="0" w:color="auto"/>
      </w:divBdr>
    </w:div>
    <w:div w:id="1927611883">
      <w:bodyDiv w:val="1"/>
      <w:marLeft w:val="0"/>
      <w:marRight w:val="0"/>
      <w:marTop w:val="0"/>
      <w:marBottom w:val="0"/>
      <w:divBdr>
        <w:top w:val="none" w:sz="0" w:space="0" w:color="auto"/>
        <w:left w:val="none" w:sz="0" w:space="0" w:color="auto"/>
        <w:bottom w:val="none" w:sz="0" w:space="0" w:color="auto"/>
        <w:right w:val="none" w:sz="0" w:space="0" w:color="auto"/>
      </w:divBdr>
    </w:div>
    <w:div w:id="2013146446">
      <w:bodyDiv w:val="1"/>
      <w:marLeft w:val="0"/>
      <w:marRight w:val="0"/>
      <w:marTop w:val="0"/>
      <w:marBottom w:val="0"/>
      <w:divBdr>
        <w:top w:val="none" w:sz="0" w:space="0" w:color="auto"/>
        <w:left w:val="none" w:sz="0" w:space="0" w:color="auto"/>
        <w:bottom w:val="none" w:sz="0" w:space="0" w:color="auto"/>
        <w:right w:val="none" w:sz="0" w:space="0" w:color="auto"/>
      </w:divBdr>
    </w:div>
    <w:div w:id="210187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hyperlink" Target="https://www.abs.gov.au/statistics/people/population/national-state-and-territory-population/latest-release"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population.gov.au/data-and-forecasts/data-and-forecasts-data-release-prime-release-december-2020.html"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population.gov.au/data-and-forecasts/data-and-forecasts-data-release-provisional-mortality-statistics-january-december-2020.html" TargetMode="External"/><Relationship Id="rId27"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Resource\Workgroup%20Template%202020\Centre%20for%20Population\Centre%20for%20Population%20Internal.dotx" TargetMode="External"/></Relationships>
</file>

<file path=word/theme/theme1.xml><?xml version="1.0" encoding="utf-8"?>
<a:theme xmlns:a="http://schemas.openxmlformats.org/drawingml/2006/main" name="Office Theme">
  <a:themeElements>
    <a:clrScheme name="CPOP accessible">
      <a:dk1>
        <a:sysClr val="windowText" lastClr="000000"/>
      </a:dk1>
      <a:lt1>
        <a:sysClr val="window" lastClr="FFFFFF"/>
      </a:lt1>
      <a:dk2>
        <a:srgbClr val="38AFCF"/>
      </a:dk2>
      <a:lt2>
        <a:srgbClr val="4DBC8D"/>
      </a:lt2>
      <a:accent1>
        <a:srgbClr val="002C47"/>
      </a:accent1>
      <a:accent2>
        <a:srgbClr val="1E75BA"/>
      </a:accent2>
      <a:accent3>
        <a:srgbClr val="CF542F"/>
      </a:accent3>
      <a:accent4>
        <a:srgbClr val="2F8361"/>
      </a:accent4>
      <a:accent5>
        <a:srgbClr val="9E928F"/>
      </a:accent5>
      <a:accent6>
        <a:srgbClr val="277F98"/>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77b7a547-5880-464f-83f8-cefe583c3af4" ContentTypeId="0x01010079842B7BE5DD8E409B7EECD6B050253D"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403</Value>
      <Value>1480</Value>
      <Value>298</Value>
      <Value>1468</Value>
      <Value>309</Value>
      <Value>1361</Value>
    </TaxCatchAll>
    <_dlc_DocId xmlns="0f563589-9cf9-4143-b1eb-fb0534803d38">2021JWJ6HQSX-1422168352-2261</_dlc_DocId>
    <_dlc_DocIdUrl xmlns="0f563589-9cf9-4143-b1eb-fb0534803d38">
      <Url>http://tweb/sites/pop/cfp/_layouts/15/DocIdRedir.aspx?ID=2021JWJ6HQSX-1422168352-2261</Url>
      <Description>2021JWJ6HQSX-1422168352-2261</Description>
    </_dlc_DocIdUrl>
    <cpopDue_x0020_Date xmlns="d496f99b-b1db-4f49-ba6b-7f936f7bb1fd" xsi:nil="true"/>
    <b01cfe90be52474b8e18e3381839b0e5 xmlns="0f563589-9cf9-4143-b1eb-fb0534803d38">
      <Terms xmlns="http://schemas.microsoft.com/office/infopath/2007/PartnerControls">
        <TermInfo xmlns="http://schemas.microsoft.com/office/infopath/2007/PartnerControls">
          <TermName xmlns="http://schemas.microsoft.com/office/infopath/2007/PartnerControls">Economic note</TermName>
          <TermId xmlns="http://schemas.microsoft.com/office/infopath/2007/PartnerControls">9da9dffc-b8ed-4512-88c8-d09b5325e551</TermId>
        </TermInfo>
      </Terms>
    </b01cfe90be52474b8e18e3381839b0e5>
    <o46f31d2a77f450686730c449e7761c5 xmlns="d496f99b-b1db-4f49-ba6b-7f936f7bb1fd">
      <Terms xmlns="http://schemas.microsoft.com/office/infopath/2007/PartnerControls"/>
    </o46f31d2a77f450686730c449e7761c5>
    <bd15a34e52e3468a87b49920a3b7dd6b xmlns="0f563589-9cf9-4143-b1eb-fb0534803d38">
      <Terms xmlns="http://schemas.microsoft.com/office/infopath/2007/PartnerControls">
        <TermInfo xmlns="http://schemas.microsoft.com/office/infopath/2007/PartnerControls">
          <TermName xmlns="http://schemas.microsoft.com/office/infopath/2007/PartnerControls">Natural increase - mortality</TermName>
          <TermId xmlns="http://schemas.microsoft.com/office/infopath/2007/PartnerControls">5318a4f3-c83c-4903-9171-a49e65bd6c24</TermId>
        </TermInfo>
      </Terms>
    </bd15a34e52e3468a87b49920a3b7dd6b>
    <f3486d5f7e7540d7aac4d0eb58bc535f xmlns="d496f99b-b1db-4f49-ba6b-7f936f7bb1fd">
      <Terms xmlns="http://schemas.microsoft.com/office/infopath/2007/PartnerControls"/>
    </f3486d5f7e7540d7aac4d0eb58bc535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reasury Enterprise Document" ma:contentTypeID="0x01010079842B7BE5DD8E409B7EECD6B050253D009384E8F4D1D5034693D13589CA0F0E07" ma:contentTypeVersion="15260" ma:contentTypeDescription="" ma:contentTypeScope="" ma:versionID="6f98f3c03657e35e077e8bdf70fb5021">
  <xsd:schema xmlns:xsd="http://www.w3.org/2001/XMLSchema" xmlns:xs="http://www.w3.org/2001/XMLSchema" xmlns:p="http://schemas.microsoft.com/office/2006/metadata/properties" xmlns:ns2="0f563589-9cf9-4143-b1eb-fb0534803d38" xmlns:ns3="d496f99b-b1db-4f49-ba6b-7f936f7bb1fd" targetNamespace="http://schemas.microsoft.com/office/2006/metadata/properties" ma:root="true" ma:fieldsID="53ef67aba17455ca350aeeced00c6604" ns2:_="" ns3:_="">
    <xsd:import namespace="0f563589-9cf9-4143-b1eb-fb0534803d38"/>
    <xsd:import namespace="d496f99b-b1db-4f49-ba6b-7f936f7bb1f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01cfe90be52474b8e18e3381839b0e5" minOccurs="0"/>
                <xsd:element ref="ns2:bd15a34e52e3468a87b49920a3b7dd6b" minOccurs="0"/>
                <xsd:element ref="ns3:f3486d5f7e7540d7aac4d0eb58bc535f" minOccurs="0"/>
                <xsd:element ref="ns3:o46f31d2a77f450686730c449e7761c5" minOccurs="0"/>
                <xsd:element ref="ns3:cpop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2f8a8e69-a481-4a32-8574-a60cf19e510f}" ma:internalName="TaxCatchAll" ma:showField="CatchAllData" ma:web="d496f99b-b1db-4f49-ba6b-7f936f7bb1f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f8a8e69-a481-4a32-8574-a60cf19e510f}" ma:internalName="TaxCatchAllLabel" ma:readOnly="true" ma:showField="CatchAllDataLabel" ma:web="d496f99b-b1db-4f49-ba6b-7f936f7bb1fd">
      <xsd:complexType>
        <xsd:complexContent>
          <xsd:extension base="dms:MultiChoiceLookup">
            <xsd:sequence>
              <xsd:element name="Value" type="dms:Lookup" maxOccurs="unbounded" minOccurs="0" nillable="true"/>
            </xsd:sequence>
          </xsd:extension>
        </xsd:complexContent>
      </xsd:complexType>
    </xsd:element>
    <xsd:element name="b01cfe90be52474b8e18e3381839b0e5" ma:index="13" ma:taxonomy="true" ma:internalName="b01cfe90be52474b8e18e3381839b0e5" ma:taxonomyFieldName="eTheme_x002F_Activity_x002F_Document_x0020_Type" ma:displayName="Theme/Activity/Document Type" ma:readOnly="false" ma:default="" ma:fieldId="{b01cfe90-be52-474b-8e18-e3381839b0e5}" ma:sspId="77b7a547-5880-464f-83f8-cefe583c3af4" ma:termSetId="3c0d1693-3b42-49b7-bddf-28e823765e04" ma:anchorId="6dccd8e5-96e6-4ded-89e4-8f53d9e55129" ma:open="false" ma:isKeyword="false">
      <xsd:complexType>
        <xsd:sequence>
          <xsd:element ref="pc:Terms" minOccurs="0" maxOccurs="1"/>
        </xsd:sequence>
      </xsd:complexType>
    </xsd:element>
    <xsd:element name="bd15a34e52e3468a87b49920a3b7dd6b" ma:index="15" ma:taxonomy="true" ma:internalName="bd15a34e52e3468a87b49920a3b7dd6b" ma:taxonomyFieldName="eTheme_x002F_Topic" ma:displayName="Theme/Topic" ma:readOnly="false" ma:default="" ma:fieldId="{bd15a34e-52e3-468a-87b4-9920a3b7dd6b}" ma:taxonomyMulti="true" ma:sspId="77b7a547-5880-464f-83f8-cefe583c3af4" ma:termSetId="fe275d3b-acbf-4477-98d4-b06bbe13079d" ma:anchorId="768f1f5f-dad2-496f-809e-500fb57d7429"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96f99b-b1db-4f49-ba6b-7f936f7bb1fd" elementFormDefault="qualified">
    <xsd:import namespace="http://schemas.microsoft.com/office/2006/documentManagement/types"/>
    <xsd:import namespace="http://schemas.microsoft.com/office/infopath/2007/PartnerControls"/>
    <xsd:element name="f3486d5f7e7540d7aac4d0eb58bc535f" ma:index="17" nillable="true" ma:taxonomy="true" ma:internalName="f3486d5f7e7540d7aac4d0eb58bc535f" ma:taxonomyFieldName="Project" ma:displayName="Project" ma:default="" ma:fieldId="{f3486d5f-7e75-40d7-aac4-d0eb58bc535f}" ma:taxonomyMulti="true" ma:sspId="77b7a547-5880-464f-83f8-cefe583c3af4" ma:termSetId="6b4b8051-62e7-47ed-a8bb-37ac7ed2047d" ma:anchorId="00000000-0000-0000-0000-000000000000" ma:open="true" ma:isKeyword="false">
      <xsd:complexType>
        <xsd:sequence>
          <xsd:element ref="pc:Terms" minOccurs="0" maxOccurs="1"/>
        </xsd:sequence>
      </xsd:complexType>
    </xsd:element>
    <xsd:element name="o46f31d2a77f450686730c449e7761c5" ma:index="19" nillable="true" ma:taxonomy="true" ma:internalName="o46f31d2a77f450686730c449e7761c5" ma:taxonomyFieldName="Client" ma:displayName="Client" ma:readOnly="false" ma:default="" ma:fieldId="{846f31d2-a77f-4506-8673-0c449e7761c5}" ma:taxonomyMulti="true" ma:sspId="77b7a547-5880-464f-83f8-cefe583c3af4" ma:termSetId="eac17a8e-5ff2-4694-bfcd-02f97bea9008" ma:anchorId="00000000-0000-0000-0000-000000000000" ma:open="false" ma:isKeyword="false">
      <xsd:complexType>
        <xsd:sequence>
          <xsd:element ref="pc:Terms" minOccurs="0" maxOccurs="1"/>
        </xsd:sequence>
      </xsd:complexType>
    </xsd:element>
    <xsd:element name="cpopDue_x0020_Date" ma:index="21" nillable="true" ma:displayName="cpopDue Date" ma:format="DateOnly" ma:internalName="cpopD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2FD8CF0-0848-436B-8E42-2B49FBC2E9EF}">
  <ds:schemaRefs>
    <ds:schemaRef ds:uri="http://schemas.openxmlformats.org/officeDocument/2006/bibliography"/>
  </ds:schemaRefs>
</ds:datastoreItem>
</file>

<file path=customXml/itemProps2.xml><?xml version="1.0" encoding="utf-8"?>
<ds:datastoreItem xmlns:ds="http://schemas.openxmlformats.org/officeDocument/2006/customXml" ds:itemID="{89FF8C04-32F3-4BC3-BA15-708541BB13FE}">
  <ds:schemaRefs>
    <ds:schemaRef ds:uri="Microsoft.SharePoint.Taxonomy.ContentTypeSync"/>
  </ds:schemaRefs>
</ds:datastoreItem>
</file>

<file path=customXml/itemProps3.xml><?xml version="1.0" encoding="utf-8"?>
<ds:datastoreItem xmlns:ds="http://schemas.openxmlformats.org/officeDocument/2006/customXml" ds:itemID="{8EBF7C61-34C1-4EF2-9128-B9B8458ED656}">
  <ds:schemaRefs>
    <ds:schemaRef ds:uri="http://purl.org/dc/terms/"/>
    <ds:schemaRef ds:uri="d496f99b-b1db-4f49-ba6b-7f936f7bb1fd"/>
    <ds:schemaRef ds:uri="http://schemas.microsoft.com/office/2006/documentManagement/types"/>
    <ds:schemaRef ds:uri="http://schemas.openxmlformats.org/package/2006/metadata/core-properties"/>
    <ds:schemaRef ds:uri="0f563589-9cf9-4143-b1eb-fb0534803d3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229F43C-3A89-4C23-8D39-92D8839E10CA}">
  <ds:schemaRefs>
    <ds:schemaRef ds:uri="http://schemas.microsoft.com/sharepoint/v3/contenttype/forms"/>
  </ds:schemaRefs>
</ds:datastoreItem>
</file>

<file path=customXml/itemProps5.xml><?xml version="1.0" encoding="utf-8"?>
<ds:datastoreItem xmlns:ds="http://schemas.openxmlformats.org/officeDocument/2006/customXml" ds:itemID="{D7C130B9-5708-4162-A2C0-53FD65537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d496f99b-b1db-4f49-ba6b-7f936f7bb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EE93E8D-AB01-4862-A841-FD59545D2F2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Centre for Population Internal.dotx</Template>
  <TotalTime>1</TotalTime>
  <Pages>5</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2021-06-18T06:33:00Z</cp:lastPrinted>
  <dcterms:created xsi:type="dcterms:W3CDTF">2021-09-16T01:38:00Z</dcterms:created>
  <dcterms:modified xsi:type="dcterms:W3CDTF">2021-09-16T01:39:00Z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0x01010079842B7BE5DD8E409B7EECD6B050253D009384E8F4D1D5034693D13589CA0F0E07</vt:lpwstr>
  </property>
  <property fmtid="{D5CDD505-2E9C-101B-9397-08002B2CF9AE}" pid="4" name="Client">
    <vt:lpwstr/>
  </property>
  <property fmtid="{D5CDD505-2E9C-101B-9397-08002B2CF9AE}" pid="5" name="Project">
    <vt:lpwstr/>
  </property>
  <property fmtid="{D5CDD505-2E9C-101B-9397-08002B2CF9AE}" pid="6" name="TaxKeyword">
    <vt:lpwstr/>
  </property>
  <property fmtid="{D5CDD505-2E9C-101B-9397-08002B2CF9AE}" pid="7" name="cpopDocument Type">
    <vt:lpwstr>104;#Economic note|6e616825-84b5-4d2a-9459-a9ccfa0e8dca</vt:lpwstr>
  </property>
  <property fmtid="{D5CDD505-2E9C-101B-9397-08002B2CF9AE}" pid="8" name="cpopProcess/Activity">
    <vt:lpwstr>48;#Analysis|4d6350c2-cb79-4ad5-a73e-09ced580562a</vt:lpwstr>
  </property>
  <property fmtid="{D5CDD505-2E9C-101B-9397-08002B2CF9AE}" pid="9" name="CpopTopic">
    <vt:lpwstr>21;#Population - general|e78774f9-7fe8-4c9c-991f-a3ff79dac6ff</vt:lpwstr>
  </property>
  <property fmtid="{D5CDD505-2E9C-101B-9397-08002B2CF9AE}" pid="10" name="cpopTheme">
    <vt:lpwstr>2;#Population|48b7fe81-37e0-414b-a384-8c1c3228e96f</vt:lpwstr>
  </property>
  <property fmtid="{D5CDD505-2E9C-101B-9397-08002B2CF9AE}" pid="11" name="_dlc_DocIdItemGuid">
    <vt:lpwstr>3693b1f6-fc40-45a2-ab70-1e89298cfac0</vt:lpwstr>
  </property>
  <property fmtid="{D5CDD505-2E9C-101B-9397-08002B2CF9AE}" pid="12" name="ceb8c4f4647046198a38a633d14483c1">
    <vt:lpwstr>Population|dfc189bb-46ec-4771-b471-77807c301c0c</vt:lpwstr>
  </property>
  <property fmtid="{D5CDD505-2E9C-101B-9397-08002B2CF9AE}" pid="13" name="aec7340661804c61a5c6d3d18e9a3b44">
    <vt:lpwstr>Natural increase - mortality|b4bced38-4a57-4efc-9a39-507510b67dc8</vt:lpwstr>
  </property>
  <property fmtid="{D5CDD505-2E9C-101B-9397-08002B2CF9AE}" pid="14" name="n5b5f1cefb2e4f15823921d1c3115a95">
    <vt:lpwstr>Analysis|1c05f84f-a96d-4b64-970a-14a4c22445cc</vt:lpwstr>
  </property>
  <property fmtid="{D5CDD505-2E9C-101B-9397-08002B2CF9AE}" pid="15" name="eActivity">
    <vt:lpwstr>309;#Analysis|1c05f84f-a96d-4b64-970a-14a4c22445cc</vt:lpwstr>
  </property>
  <property fmtid="{D5CDD505-2E9C-101B-9397-08002B2CF9AE}" pid="16" name="eDocument Type">
    <vt:lpwstr>403;#Economic note|e1f04c8c-4290-4b29-8ab8-31a9d0ce335c</vt:lpwstr>
  </property>
  <property fmtid="{D5CDD505-2E9C-101B-9397-08002B2CF9AE}" pid="17" name="eDocument_x0020_Type">
    <vt:lpwstr>403;#Economic note|e1f04c8c-4290-4b29-8ab8-31a9d0ce335c</vt:lpwstr>
  </property>
  <property fmtid="{D5CDD505-2E9C-101B-9397-08002B2CF9AE}" pid="18" name="eTheme/Activity/Document Type">
    <vt:lpwstr>1468;#Economic note|9da9dffc-b8ed-4512-88c8-d09b5325e551</vt:lpwstr>
  </property>
  <property fmtid="{D5CDD505-2E9C-101B-9397-08002B2CF9AE}" pid="19" name="eTheme">
    <vt:lpwstr>298;#Population|dfc189bb-46ec-4771-b471-77807c301c0c</vt:lpwstr>
  </property>
  <property fmtid="{D5CDD505-2E9C-101B-9397-08002B2CF9AE}" pid="20" name="eTheme/Topic">
    <vt:lpwstr>1480;#Natural increase - mortality|5318a4f3-c83c-4903-9171-a49e65bd6c24</vt:lpwstr>
  </property>
  <property fmtid="{D5CDD505-2E9C-101B-9397-08002B2CF9AE}" pid="21" name="n0adeebb38644e3a8c7de3f8fea0418e">
    <vt:lpwstr>Economic note|e1f04c8c-4290-4b29-8ab8-31a9d0ce335c</vt:lpwstr>
  </property>
  <property fmtid="{D5CDD505-2E9C-101B-9397-08002B2CF9AE}" pid="22" name="eTopic">
    <vt:lpwstr>1361;#Natural increase - mortality|b4bced38-4a57-4efc-9a39-507510b67dc8</vt:lpwstr>
  </property>
</Properties>
</file>