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4598"/>
      </w:tblGrid>
      <w:tr w:rsidR="0034167D" w14:paraId="1977B128" w14:textId="77777777" w:rsidTr="00B63E09">
        <w:tc>
          <w:tcPr>
            <w:tcW w:w="10490" w:type="dxa"/>
            <w:gridSpan w:val="2"/>
            <w:tcMar>
              <w:left w:w="0" w:type="dxa"/>
              <w:right w:w="0" w:type="dxa"/>
            </w:tcMar>
          </w:tcPr>
          <w:p w14:paraId="7D9D5FF8" w14:textId="26E6A418" w:rsidR="0034167D" w:rsidRDefault="00D755DA" w:rsidP="00013302">
            <w:pPr>
              <w:spacing w:after="0"/>
            </w:pPr>
            <w:r>
              <w:rPr>
                <w:noProof/>
                <w:lang w:eastAsia="en-AU"/>
              </w:rPr>
              <w:drawing>
                <wp:inline distT="0" distB="0" distL="0" distR="0" wp14:anchorId="720DF15D" wp14:editId="2F79E46C">
                  <wp:extent cx="6661150" cy="1292225"/>
                  <wp:effectExtent l="0" t="0" r="635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4_header_Econot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661150" cy="1292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67D" w14:paraId="49CEBF5D" w14:textId="77777777" w:rsidTr="00B63E09">
        <w:tc>
          <w:tcPr>
            <w:tcW w:w="5747" w:type="dxa"/>
            <w:tcMar>
              <w:left w:w="0" w:type="dxa"/>
              <w:right w:w="0" w:type="dxa"/>
            </w:tcMar>
          </w:tcPr>
          <w:p w14:paraId="1FD417BC" w14:textId="3D12ABC6" w:rsidR="0034167D" w:rsidRPr="00013302" w:rsidRDefault="0034167D" w:rsidP="00F242C9">
            <w:pPr>
              <w:spacing w:after="0"/>
              <w:rPr>
                <w:rStyle w:val="SubtleEmphasis"/>
              </w:rPr>
            </w:pPr>
            <w:r w:rsidRPr="00013302">
              <w:rPr>
                <w:rStyle w:val="SubtleEmphasis"/>
              </w:rPr>
              <w:t xml:space="preserve">Reference period: </w:t>
            </w:r>
            <w:r w:rsidR="00F242C9">
              <w:rPr>
                <w:rStyle w:val="SubtleEmphasis"/>
              </w:rPr>
              <w:t>December</w:t>
            </w:r>
            <w:r w:rsidRPr="00013302">
              <w:rPr>
                <w:rStyle w:val="SubtleEmphasis"/>
              </w:rPr>
              <w:t xml:space="preserve"> 2020</w:t>
            </w:r>
          </w:p>
        </w:tc>
        <w:tc>
          <w:tcPr>
            <w:tcW w:w="4743" w:type="dxa"/>
            <w:tcMar>
              <w:left w:w="0" w:type="dxa"/>
              <w:right w:w="0" w:type="dxa"/>
            </w:tcMar>
          </w:tcPr>
          <w:p w14:paraId="269F56B9" w14:textId="332ADE0B" w:rsidR="0034167D" w:rsidRDefault="00F242C9" w:rsidP="00F242C9">
            <w:pPr>
              <w:spacing w:after="0"/>
              <w:jc w:val="right"/>
            </w:pPr>
            <w:r>
              <w:rPr>
                <w:rFonts w:eastAsia="Calibri" w:cs="Calibri"/>
                <w:b/>
                <w:bCs/>
                <w:color w:val="002C47"/>
                <w:sz w:val="20"/>
                <w:szCs w:val="20"/>
              </w:rPr>
              <w:t>4</w:t>
            </w:r>
            <w:r w:rsidR="0034167D" w:rsidRPr="00013302">
              <w:rPr>
                <w:rFonts w:eastAsia="Calibri" w:cs="Calibri"/>
                <w:b/>
                <w:bCs/>
                <w:color w:val="002C47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2C47"/>
                <w:sz w:val="20"/>
                <w:szCs w:val="20"/>
              </w:rPr>
              <w:t>May</w:t>
            </w:r>
            <w:r w:rsidR="0034167D" w:rsidRPr="00013302">
              <w:rPr>
                <w:rFonts w:eastAsia="Calibri" w:cs="Calibri"/>
                <w:b/>
                <w:bCs/>
                <w:color w:val="002C47"/>
                <w:sz w:val="20"/>
                <w:szCs w:val="20"/>
              </w:rPr>
              <w:t xml:space="preserve"> 2021</w:t>
            </w:r>
          </w:p>
        </w:tc>
      </w:tr>
      <w:tr w:rsidR="0034167D" w14:paraId="0496ED1A" w14:textId="77777777" w:rsidTr="00B63E09">
        <w:tc>
          <w:tcPr>
            <w:tcW w:w="1049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90298E" w14:textId="7FC7FB84" w:rsidR="0034167D" w:rsidRPr="00013302" w:rsidRDefault="0034167D" w:rsidP="00013302">
            <w:pPr>
              <w:pStyle w:val="Title"/>
            </w:pPr>
            <w:r w:rsidRPr="00013302">
              <w:t>Regional Internal Migration Estimates</w:t>
            </w:r>
            <w:r w:rsidR="00C875EE">
              <w:t>,</w:t>
            </w:r>
            <w:r w:rsidRPr="00013302">
              <w:t xml:space="preserve"> </w:t>
            </w:r>
            <w:r w:rsidR="00C875EE" w:rsidRPr="00013302">
              <w:t xml:space="preserve">Provisional </w:t>
            </w:r>
            <w:r w:rsidRPr="00013302">
              <w:t>(PRIME)</w:t>
            </w:r>
          </w:p>
        </w:tc>
      </w:tr>
      <w:tr w:rsidR="0034167D" w14:paraId="1EFA0DF8" w14:textId="77777777" w:rsidTr="00B63E09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</w:tcPr>
          <w:p w14:paraId="5F20F304" w14:textId="1B9E5AF1" w:rsidR="00F77835" w:rsidRPr="00D01905" w:rsidRDefault="00F77835" w:rsidP="00F77835">
            <w:pPr>
              <w:pStyle w:val="Subtitle"/>
            </w:pPr>
            <w:r>
              <w:t xml:space="preserve">In the calendar year 2020, </w:t>
            </w:r>
            <w:r w:rsidR="00DA3392">
              <w:t xml:space="preserve">around </w:t>
            </w:r>
            <w:r>
              <w:t xml:space="preserve">354,000 </w:t>
            </w:r>
            <w:r w:rsidR="00DA3392">
              <w:t>residents</w:t>
            </w:r>
            <w:r>
              <w:t xml:space="preserve"> moved interstate, down </w:t>
            </w:r>
            <w:r w:rsidR="00DA3392">
              <w:t xml:space="preserve">by </w:t>
            </w:r>
            <w:r>
              <w:t xml:space="preserve">10.6 per cent compared to 2019. The drop in the annual number of people moving interstate has had a major impact on regional areas, with areas outside of the capital cities experiencing their </w:t>
            </w:r>
            <w:r w:rsidRPr="00D01905">
              <w:t>highest net internal migration gain on record</w:t>
            </w:r>
            <w:r w:rsidR="00914B7D" w:rsidRPr="00D01905">
              <w:t>. This was driven by less people leaving the regions for the capital cities, rather than a pickup in people moving from capitals to the regions.</w:t>
            </w:r>
          </w:p>
          <w:p w14:paraId="1F552EC6" w14:textId="64F2AF44" w:rsidR="0024125B" w:rsidRPr="00D01905" w:rsidRDefault="00625D5D" w:rsidP="0024125B">
            <w:pPr>
              <w:pStyle w:val="Subtitle"/>
            </w:pPr>
            <w:r w:rsidRPr="00D01905">
              <w:t>Melbourne h</w:t>
            </w:r>
            <w:r w:rsidR="008402F6" w:rsidRPr="00D01905">
              <w:t xml:space="preserve">ad a steep decline </w:t>
            </w:r>
            <w:r w:rsidRPr="00D01905">
              <w:t>in net internal migration due to the prolonged lockdown to curb a COVID-19 outbreak</w:t>
            </w:r>
            <w:r w:rsidR="008402F6" w:rsidRPr="00D01905">
              <w:t xml:space="preserve">, which only lifted </w:t>
            </w:r>
            <w:r w:rsidR="00DA3392">
              <w:t>in late November</w:t>
            </w:r>
            <w:r w:rsidRPr="00D01905">
              <w:t xml:space="preserve">. Melbourne had a net loss of </w:t>
            </w:r>
            <w:r w:rsidR="008402F6" w:rsidRPr="00D01905">
              <w:t>26,100</w:t>
            </w:r>
            <w:r w:rsidRPr="00D01905">
              <w:t xml:space="preserve"> residents in 2020, compared to a net loss of </w:t>
            </w:r>
            <w:r w:rsidR="0024125B" w:rsidRPr="00D01905">
              <w:t>around 500</w:t>
            </w:r>
            <w:r w:rsidRPr="00D01905">
              <w:t xml:space="preserve"> residents in 2019. This was driven by a large redu</w:t>
            </w:r>
            <w:r w:rsidR="0024125B" w:rsidRPr="00D01905">
              <w:t>ction in arrivals to Melbourne.</w:t>
            </w:r>
          </w:p>
          <w:p w14:paraId="773A9F31" w14:textId="75A77D4F" w:rsidR="0034167D" w:rsidRDefault="00625D5D" w:rsidP="00E10DE8">
            <w:r w:rsidRPr="00D01905">
              <w:t>COVID-19 restriction</w:t>
            </w:r>
            <w:r w:rsidR="00DA3392">
              <w:t>s and the Melbourne lockdown have seen</w:t>
            </w:r>
            <w:r w:rsidRPr="00D01905">
              <w:t xml:space="preserve"> </w:t>
            </w:r>
            <w:r w:rsidR="00DA3392">
              <w:t xml:space="preserve">the rate of </w:t>
            </w:r>
            <w:r w:rsidRPr="00D01905">
              <w:t>internal migration</w:t>
            </w:r>
            <w:r w:rsidR="00DA3392">
              <w:t xml:space="preserve"> fall across Australia.</w:t>
            </w:r>
            <w:r w:rsidR="00F7518E" w:rsidRPr="00D01905">
              <w:t xml:space="preserve"> </w:t>
            </w:r>
            <w:r w:rsidR="00DA3392">
              <w:t>S</w:t>
            </w:r>
            <w:r w:rsidR="00F7518E" w:rsidRPr="00D01905">
              <w:t xml:space="preserve">tates which traditionally record </w:t>
            </w:r>
            <w:r w:rsidR="00DA3392">
              <w:t>departures</w:t>
            </w:r>
            <w:r w:rsidR="00F7518E" w:rsidRPr="00D01905">
              <w:t xml:space="preserve"> of people to Melbourne </w:t>
            </w:r>
            <w:r w:rsidR="00DA3392">
              <w:t xml:space="preserve">have seen departures drop (particularly </w:t>
            </w:r>
            <w:r w:rsidR="00E7716A">
              <w:t xml:space="preserve">SA and </w:t>
            </w:r>
            <w:r w:rsidR="00DA3392">
              <w:t>WA)</w:t>
            </w:r>
            <w:r w:rsidR="00F7518E" w:rsidRPr="00D01905">
              <w:t xml:space="preserve">. </w:t>
            </w:r>
            <w:r w:rsidR="00743F57">
              <w:t xml:space="preserve">In many states and territories, the pattern of increasing NIM driven by declining departures is present both in their capital cities and in their regional areas (for example WA, SA). </w:t>
            </w:r>
            <w:r w:rsidR="00902080">
              <w:t>However, in NSW the distribution between the capital city and the regional areas was more mixed.</w:t>
            </w:r>
          </w:p>
        </w:tc>
      </w:tr>
      <w:tr w:rsidR="008D6B69" w14:paraId="28EC8C33" w14:textId="77777777" w:rsidTr="00B63E09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468FD" w14:textId="77777777" w:rsidR="008D6B69" w:rsidRPr="00013302" w:rsidRDefault="008D6B69" w:rsidP="008D6B69">
            <w:pPr>
              <w:pStyle w:val="Subtitle"/>
              <w:spacing w:before="0" w:after="0"/>
            </w:pPr>
          </w:p>
        </w:tc>
      </w:tr>
      <w:tr w:rsidR="0034167D" w14:paraId="72617332" w14:textId="77777777" w:rsidTr="00B63E09">
        <w:trPr>
          <w:trHeight w:val="709"/>
        </w:trPr>
        <w:tc>
          <w:tcPr>
            <w:tcW w:w="10490" w:type="dxa"/>
            <w:gridSpan w:val="2"/>
            <w:tcMar>
              <w:left w:w="0" w:type="dxa"/>
              <w:right w:w="0" w:type="dxa"/>
            </w:tcMar>
          </w:tcPr>
          <w:p w14:paraId="79F69D9C" w14:textId="3AF33FA2" w:rsidR="0034167D" w:rsidRPr="00D01905" w:rsidRDefault="00C94C7D" w:rsidP="008D6B69">
            <w:pPr>
              <w:pStyle w:val="Heading1"/>
              <w:spacing w:before="120"/>
              <w:outlineLvl w:val="0"/>
            </w:pPr>
            <w:r w:rsidRPr="00D01905">
              <w:t xml:space="preserve">As COVID-19 restrictions started to ease, </w:t>
            </w:r>
            <w:r w:rsidR="0048300A" w:rsidRPr="00D01905">
              <w:t>net internal migration (</w:t>
            </w:r>
            <w:r w:rsidRPr="00D01905">
              <w:t>NIM</w:t>
            </w:r>
            <w:r w:rsidR="0048300A" w:rsidRPr="00D01905">
              <w:t>)</w:t>
            </w:r>
            <w:r w:rsidRPr="00D01905">
              <w:t xml:space="preserve"> started to recover, although remains down across the year</w:t>
            </w:r>
            <w:r w:rsidR="0048300A" w:rsidRPr="00D01905">
              <w:t>.</w:t>
            </w:r>
          </w:p>
          <w:p w14:paraId="64CB5150" w14:textId="5333590F" w:rsidR="00C94C7D" w:rsidRPr="00D01905" w:rsidRDefault="0034167D" w:rsidP="0034167D">
            <w:r w:rsidRPr="00D01905">
              <w:t xml:space="preserve">In the </w:t>
            </w:r>
            <w:r w:rsidR="00C94C7D" w:rsidRPr="00D01905">
              <w:t>three months</w:t>
            </w:r>
            <w:r w:rsidRPr="00D01905">
              <w:t xml:space="preserve"> to </w:t>
            </w:r>
            <w:r w:rsidR="006133FE" w:rsidRPr="00D01905">
              <w:t>December</w:t>
            </w:r>
            <w:r w:rsidRPr="00D01905">
              <w:t xml:space="preserve"> 2020, </w:t>
            </w:r>
            <w:r w:rsidR="008853D8">
              <w:t>105,0</w:t>
            </w:r>
            <w:r w:rsidR="00C94C7D" w:rsidRPr="00D01905">
              <w:t xml:space="preserve">00 people moved </w:t>
            </w:r>
            <w:r w:rsidR="00E856E3" w:rsidRPr="00D01905">
              <w:t>interstate in</w:t>
            </w:r>
            <w:r w:rsidR="00C94C7D" w:rsidRPr="00D01905">
              <w:t xml:space="preserve"> Australia, an increase of 28,500 from the three months to September 2020. Despite this </w:t>
            </w:r>
            <w:r w:rsidR="00E856E3" w:rsidRPr="00D01905">
              <w:t>increase</w:t>
            </w:r>
            <w:r w:rsidR="00C94C7D" w:rsidRPr="00D01905">
              <w:t xml:space="preserve">, </w:t>
            </w:r>
            <w:r w:rsidR="00E856E3" w:rsidRPr="00D01905">
              <w:t>interstate migrati</w:t>
            </w:r>
            <w:r w:rsidR="00C046B6" w:rsidRPr="00D01905">
              <w:t>on over the past 12 months is 10.6</w:t>
            </w:r>
            <w:r w:rsidR="00E7716A">
              <w:t> </w:t>
            </w:r>
            <w:r w:rsidR="00E856E3" w:rsidRPr="00D01905">
              <w:t>per</w:t>
            </w:r>
            <w:r w:rsidR="00E7716A">
              <w:t> </w:t>
            </w:r>
            <w:r w:rsidR="00E856E3" w:rsidRPr="00D01905">
              <w:t>cent lower than a year earlier</w:t>
            </w:r>
            <w:r w:rsidR="00C94C7D" w:rsidRPr="00D01905">
              <w:t>.</w:t>
            </w:r>
            <w:r w:rsidR="00E7716A">
              <w:t xml:space="preserve"> The recent peak of NIM was 404,000 in the year to June 2019.</w:t>
            </w:r>
          </w:p>
          <w:p w14:paraId="5463713A" w14:textId="28DF240C" w:rsidR="0034167D" w:rsidRPr="00D01905" w:rsidRDefault="0034167D" w:rsidP="0081502D">
            <w:pPr>
              <w:pStyle w:val="Heading3"/>
              <w:spacing w:before="240"/>
              <w:outlineLvl w:val="2"/>
            </w:pPr>
            <w:r w:rsidRPr="00D01905">
              <w:t>Chart 1. Level of interstate migration, year ending, 2002 to 2020</w:t>
            </w:r>
          </w:p>
          <w:p w14:paraId="05FBAF84" w14:textId="43F34147" w:rsidR="0034167D" w:rsidRPr="00D01905" w:rsidRDefault="00E856E3" w:rsidP="0034167D">
            <w:r w:rsidRPr="00D01905">
              <w:rPr>
                <w:noProof/>
                <w:lang w:eastAsia="en-AU"/>
              </w:rPr>
              <w:drawing>
                <wp:inline distT="0" distB="0" distL="0" distR="0" wp14:anchorId="4C871196" wp14:editId="0750DB21">
                  <wp:extent cx="6410325" cy="27336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18F5D" w14:textId="77777777" w:rsidR="00424233" w:rsidRDefault="00424233" w:rsidP="000061E9">
            <w:pPr>
              <w:spacing w:before="360" w:after="80"/>
              <w:rPr>
                <w:rFonts w:eastAsia="Calibri" w:cs="Calibri"/>
                <w:b/>
                <w:i/>
                <w:color w:val="000000"/>
                <w:sz w:val="24"/>
                <w:szCs w:val="24"/>
              </w:rPr>
            </w:pPr>
          </w:p>
          <w:p w14:paraId="7BFA80E9" w14:textId="52B60D1A" w:rsidR="000061E9" w:rsidRPr="00D01905" w:rsidRDefault="00C94C7D" w:rsidP="000061E9">
            <w:pPr>
              <w:spacing w:before="360" w:after="80"/>
              <w:rPr>
                <w:rFonts w:eastAsia="Calibri" w:cs="Calibri"/>
                <w:b/>
                <w:i/>
                <w:color w:val="000000"/>
                <w:sz w:val="24"/>
                <w:szCs w:val="24"/>
              </w:rPr>
            </w:pPr>
            <w:r w:rsidRPr="00D01905">
              <w:rPr>
                <w:rFonts w:eastAsia="Calibri" w:cs="Calibri"/>
                <w:b/>
                <w:i/>
                <w:color w:val="000000"/>
                <w:sz w:val="24"/>
                <w:szCs w:val="24"/>
              </w:rPr>
              <w:lastRenderedPageBreak/>
              <w:t xml:space="preserve">Lower NIM </w:t>
            </w:r>
            <w:r w:rsidR="00E7716A">
              <w:rPr>
                <w:rFonts w:eastAsia="Calibri" w:cs="Calibri"/>
                <w:b/>
                <w:i/>
                <w:color w:val="000000"/>
                <w:sz w:val="24"/>
                <w:szCs w:val="24"/>
              </w:rPr>
              <w:t>is driven by fewer people leaving the regions for cities.</w:t>
            </w:r>
          </w:p>
          <w:p w14:paraId="54306B12" w14:textId="43310A2B" w:rsidR="000061E9" w:rsidRPr="00D01905" w:rsidRDefault="001C6D25" w:rsidP="007C3860">
            <w:r>
              <w:t>A</w:t>
            </w:r>
            <w:r w:rsidR="000061E9" w:rsidRPr="00D01905">
              <w:t xml:space="preserve">reas outside of capital cities have continued to experience </w:t>
            </w:r>
            <w:r>
              <w:t>increased</w:t>
            </w:r>
            <w:r w:rsidR="000061E9" w:rsidRPr="00D01905">
              <w:t xml:space="preserve"> </w:t>
            </w:r>
            <w:r>
              <w:t>NIM</w:t>
            </w:r>
            <w:r w:rsidR="00DF7013" w:rsidRPr="00D01905">
              <w:t>, gaining</w:t>
            </w:r>
            <w:r w:rsidR="000061E9" w:rsidRPr="00D01905">
              <w:t xml:space="preserve"> </w:t>
            </w:r>
            <w:r w:rsidR="00DF7013" w:rsidRPr="00D01905">
              <w:t>43,000</w:t>
            </w:r>
            <w:r w:rsidR="000061E9" w:rsidRPr="00D01905">
              <w:t xml:space="preserve"> people</w:t>
            </w:r>
            <w:r w:rsidR="00672771" w:rsidRPr="00D01905">
              <w:t xml:space="preserve"> in the year to December 2020. This is the highest net gain on record, improving on the previous record, set in th</w:t>
            </w:r>
            <w:r w:rsidR="008853D8">
              <w:t>e year to September 2020, by 6,8</w:t>
            </w:r>
            <w:r w:rsidR="00672771" w:rsidRPr="00D01905">
              <w:t>00 people.</w:t>
            </w:r>
          </w:p>
          <w:p w14:paraId="60887844" w14:textId="4C9EAA06" w:rsidR="000061E9" w:rsidRPr="00D01905" w:rsidRDefault="00E856E3" w:rsidP="007C3860">
            <w:r w:rsidRPr="00D01905">
              <w:t>T</w:t>
            </w:r>
            <w:r w:rsidR="00997364" w:rsidRPr="00D01905">
              <w:t xml:space="preserve">he net gain for areas outside capital cities was driven by a drop in </w:t>
            </w:r>
            <w:r w:rsidRPr="00D01905">
              <w:t xml:space="preserve">the number of </w:t>
            </w:r>
            <w:r w:rsidR="00997364" w:rsidRPr="00D01905">
              <w:t>people leaving regional areas for capital cities</w:t>
            </w:r>
            <w:r w:rsidR="000061E9" w:rsidRPr="00D01905">
              <w:t>.</w:t>
            </w:r>
            <w:r w:rsidR="00C64D41" w:rsidRPr="00D01905">
              <w:t xml:space="preserve"> Around </w:t>
            </w:r>
            <w:r w:rsidR="00997364" w:rsidRPr="00D01905">
              <w:t>190,</w:t>
            </w:r>
            <w:r w:rsidR="008853D8">
              <w:t>0</w:t>
            </w:r>
            <w:r w:rsidR="00997364" w:rsidRPr="00D01905">
              <w:t>00</w:t>
            </w:r>
            <w:r w:rsidR="00C64D41" w:rsidRPr="00D01905">
              <w:t xml:space="preserve"> residents moved from regions to capital cities in the</w:t>
            </w:r>
            <w:r w:rsidR="008A0BB5" w:rsidRPr="00D01905">
              <w:t xml:space="preserve"> year to </w:t>
            </w:r>
            <w:r w:rsidR="001F240C" w:rsidRPr="00D01905">
              <w:t>December</w:t>
            </w:r>
            <w:r w:rsidR="008A0BB5" w:rsidRPr="00D01905">
              <w:t xml:space="preserve"> 2020, </w:t>
            </w:r>
            <w:r w:rsidR="00997364" w:rsidRPr="00D01905">
              <w:t xml:space="preserve">24,700 </w:t>
            </w:r>
            <w:r w:rsidR="00C64D41" w:rsidRPr="00D01905">
              <w:t xml:space="preserve">fewer than the </w:t>
            </w:r>
            <w:r w:rsidR="008853D8">
              <w:t>215,0</w:t>
            </w:r>
            <w:r w:rsidR="00376DF2" w:rsidRPr="00D01905">
              <w:t xml:space="preserve">00 </w:t>
            </w:r>
            <w:r w:rsidR="00C64D41" w:rsidRPr="00D01905">
              <w:t xml:space="preserve">that moved in the year to </w:t>
            </w:r>
            <w:r w:rsidR="00BB7756" w:rsidRPr="00D01905">
              <w:t>December</w:t>
            </w:r>
            <w:r w:rsidR="00C64D41" w:rsidRPr="00D01905">
              <w:t xml:space="preserve"> 2019</w:t>
            </w:r>
            <w:r w:rsidR="001C6D25">
              <w:t xml:space="preserve"> (Chart 2)</w:t>
            </w:r>
            <w:r w:rsidR="00C64D41" w:rsidRPr="00D01905">
              <w:t>.</w:t>
            </w:r>
            <w:r w:rsidR="000061E9" w:rsidRPr="00D01905">
              <w:t xml:space="preserve"> </w:t>
            </w:r>
          </w:p>
          <w:p w14:paraId="6E7AA3AA" w14:textId="03A9E093" w:rsidR="000061E9" w:rsidRPr="00D01905" w:rsidRDefault="000061E9" w:rsidP="0081502D">
            <w:pPr>
              <w:pStyle w:val="Heading3"/>
              <w:spacing w:before="240"/>
              <w:outlineLvl w:val="2"/>
            </w:pPr>
            <w:r w:rsidRPr="00D01905">
              <w:t xml:space="preserve">Chart </w:t>
            </w:r>
            <w:r w:rsidR="005463BD" w:rsidRPr="00D01905">
              <w:t>2</w:t>
            </w:r>
            <w:r w:rsidRPr="00D01905">
              <w:t xml:space="preserve">. Intrastate and interstate migration, regions outside capital cities, year ending, 2002 to </w:t>
            </w:r>
            <w:r w:rsidR="001C6D25">
              <w:t>2020</w:t>
            </w:r>
          </w:p>
          <w:p w14:paraId="71E59E3A" w14:textId="56812E6C" w:rsidR="000061E9" w:rsidRPr="00D01905" w:rsidRDefault="00E875AE" w:rsidP="000061E9">
            <w:r w:rsidRPr="00D01905">
              <w:rPr>
                <w:noProof/>
                <w:lang w:eastAsia="en-AU"/>
              </w:rPr>
              <w:drawing>
                <wp:inline distT="0" distB="0" distL="0" distR="0" wp14:anchorId="5A8ED2FC" wp14:editId="262437E6">
                  <wp:extent cx="6410325" cy="27432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B6EB06" w14:textId="0C14D2DB" w:rsidR="0034167D" w:rsidRPr="00D01905" w:rsidRDefault="00E875AE" w:rsidP="0081502D">
            <w:pPr>
              <w:pStyle w:val="Heading2"/>
              <w:spacing w:before="360"/>
              <w:outlineLvl w:val="1"/>
            </w:pPr>
            <w:r w:rsidRPr="00D01905">
              <w:t xml:space="preserve">Melbourne’s </w:t>
            </w:r>
            <w:r w:rsidR="0048300A" w:rsidRPr="00D01905">
              <w:t xml:space="preserve">COVID-19 </w:t>
            </w:r>
            <w:r w:rsidRPr="00D01905">
              <w:t>lockdown</w:t>
            </w:r>
            <w:r w:rsidR="00294233">
              <w:t xml:space="preserve"> has</w:t>
            </w:r>
            <w:r w:rsidR="0048300A" w:rsidRPr="00D01905">
              <w:t xml:space="preserve"> </w:t>
            </w:r>
            <w:r w:rsidR="00294233">
              <w:t>seen a large net outflow from Melbourne</w:t>
            </w:r>
            <w:r w:rsidR="0048300A" w:rsidRPr="00D01905">
              <w:t xml:space="preserve"> </w:t>
            </w:r>
            <w:r w:rsidR="002D7AE3" w:rsidRPr="00D01905">
              <w:t>…</w:t>
            </w:r>
          </w:p>
          <w:p w14:paraId="2E631428" w14:textId="6CAA1D9C" w:rsidR="0034167D" w:rsidRPr="00D01905" w:rsidRDefault="002F7290" w:rsidP="0034167D">
            <w:r w:rsidRPr="00D01905">
              <w:t>This</w:t>
            </w:r>
            <w:r w:rsidR="0034167D" w:rsidRPr="00D01905">
              <w:t xml:space="preserve"> release also shows the </w:t>
            </w:r>
            <w:r w:rsidR="00BB7756" w:rsidRPr="00D01905">
              <w:t xml:space="preserve">full </w:t>
            </w:r>
            <w:r w:rsidR="0034167D" w:rsidRPr="00D01905">
              <w:t xml:space="preserve">impact of the </w:t>
            </w:r>
            <w:r w:rsidR="00751EEF" w:rsidRPr="00D01905">
              <w:t>second</w:t>
            </w:r>
            <w:r w:rsidR="00E16C7A" w:rsidRPr="00D01905">
              <w:t xml:space="preserve"> Victorian</w:t>
            </w:r>
            <w:r w:rsidR="00751EEF" w:rsidRPr="00D01905">
              <w:t xml:space="preserve"> lockdown</w:t>
            </w:r>
            <w:r w:rsidR="0034167D" w:rsidRPr="00D01905">
              <w:t xml:space="preserve"> following the outbreak that started in Melbourne in</w:t>
            </w:r>
            <w:r w:rsidR="00751EEF" w:rsidRPr="00D01905">
              <w:t xml:space="preserve"> late June</w:t>
            </w:r>
            <w:r w:rsidR="00395B79" w:rsidRPr="00D01905">
              <w:t>.</w:t>
            </w:r>
            <w:r w:rsidR="009042BD" w:rsidRPr="00D01905">
              <w:t xml:space="preserve"> Melbourne went into</w:t>
            </w:r>
            <w:r w:rsidR="0034167D" w:rsidRPr="00D01905">
              <w:t xml:space="preserve"> stage 4 </w:t>
            </w:r>
            <w:r w:rsidR="0085211D" w:rsidRPr="00D01905">
              <w:t>restrictions</w:t>
            </w:r>
            <w:r w:rsidR="0034167D" w:rsidRPr="00D01905">
              <w:t xml:space="preserve"> in early August, with the lockdown lifting in late November.  These restrictions </w:t>
            </w:r>
            <w:r w:rsidR="00B63E09" w:rsidRPr="00D01905">
              <w:t xml:space="preserve">exacerbated </w:t>
            </w:r>
            <w:r w:rsidR="002C3FC2">
              <w:t xml:space="preserve">the </w:t>
            </w:r>
            <w:r w:rsidR="0034167D" w:rsidRPr="00D01905">
              <w:t xml:space="preserve">steep fall in internal migration to </w:t>
            </w:r>
            <w:r w:rsidR="001C6D25">
              <w:t>Melbourne</w:t>
            </w:r>
            <w:r w:rsidR="00B63E09" w:rsidRPr="00D01905">
              <w:t xml:space="preserve"> recorded in the year to September 2020</w:t>
            </w:r>
            <w:r w:rsidR="0034167D" w:rsidRPr="00D01905">
              <w:t xml:space="preserve">, with a net outflow of </w:t>
            </w:r>
            <w:r w:rsidR="001C6D25">
              <w:t>26,100</w:t>
            </w:r>
            <w:r w:rsidR="0034167D" w:rsidRPr="00D01905">
              <w:t xml:space="preserve"> people in the year to </w:t>
            </w:r>
            <w:r w:rsidR="00B63E09" w:rsidRPr="00D01905">
              <w:t>December</w:t>
            </w:r>
            <w:r w:rsidR="0034167D" w:rsidRPr="00D01905">
              <w:t xml:space="preserve"> 2020.</w:t>
            </w:r>
            <w:r w:rsidR="00BB7756" w:rsidRPr="00D01905">
              <w:t xml:space="preserve"> </w:t>
            </w:r>
          </w:p>
          <w:p w14:paraId="2A09073E" w14:textId="43F4DDFB" w:rsidR="0034167D" w:rsidRPr="00D01905" w:rsidRDefault="00543BE2" w:rsidP="0081502D">
            <w:pPr>
              <w:pStyle w:val="Heading3"/>
              <w:spacing w:before="240"/>
              <w:outlineLvl w:val="2"/>
            </w:pPr>
            <w:r w:rsidRPr="00D01905">
              <w:t>Chart 3</w:t>
            </w:r>
            <w:r w:rsidR="0034167D" w:rsidRPr="00D01905">
              <w:t xml:space="preserve">. </w:t>
            </w:r>
            <w:r w:rsidR="00024E07" w:rsidRPr="00D01905">
              <w:t>Net internal migration</w:t>
            </w:r>
            <w:r w:rsidR="0034167D" w:rsidRPr="00D01905">
              <w:t>, Victoria, 2002 to 2020</w:t>
            </w:r>
          </w:p>
          <w:p w14:paraId="1D3E514D" w14:textId="5E0BB0A8" w:rsidR="0034167D" w:rsidRPr="00D01905" w:rsidRDefault="00E875AE" w:rsidP="0085211D">
            <w:r w:rsidRPr="00D01905">
              <w:rPr>
                <w:noProof/>
                <w:lang w:eastAsia="en-AU"/>
              </w:rPr>
              <w:drawing>
                <wp:inline distT="0" distB="0" distL="0" distR="0" wp14:anchorId="3A137062" wp14:editId="07F85CC5">
                  <wp:extent cx="6410325" cy="2590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032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1A846" w14:textId="6C6E3F44" w:rsidR="0034167D" w:rsidRPr="00D01905" w:rsidRDefault="00F36918" w:rsidP="00F36918">
            <w:r w:rsidRPr="00D01905">
              <w:t xml:space="preserve">A drop in arrivals to </w:t>
            </w:r>
            <w:r w:rsidR="00B63E09" w:rsidRPr="00D01905">
              <w:t xml:space="preserve">Melbourne was the main driver of this decline. </w:t>
            </w:r>
            <w:r w:rsidRPr="00D01905">
              <w:t xml:space="preserve">While in the year to December 2020, Melbourne also had 4,400 additional departures when compared to a year earlier, it had 21,100 fewer arrivals. </w:t>
            </w:r>
          </w:p>
        </w:tc>
      </w:tr>
      <w:tr w:rsidR="0034167D" w14:paraId="21FAB841" w14:textId="77777777" w:rsidTr="00B63E09">
        <w:tc>
          <w:tcPr>
            <w:tcW w:w="10490" w:type="dxa"/>
            <w:gridSpan w:val="2"/>
            <w:tcMar>
              <w:left w:w="0" w:type="dxa"/>
              <w:right w:w="0" w:type="dxa"/>
            </w:tcMar>
          </w:tcPr>
          <w:p w14:paraId="28A9799E" w14:textId="78129849" w:rsidR="0058213E" w:rsidRPr="0058213E" w:rsidRDefault="00F36918" w:rsidP="0058213E">
            <w:pPr>
              <w:pStyle w:val="Heading2"/>
              <w:spacing w:before="80"/>
              <w:outlineLvl w:val="1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lastRenderedPageBreak/>
              <w:t xml:space="preserve">Given </w:t>
            </w:r>
            <w:r w:rsidR="0058213E" w:rsidRPr="0058213E">
              <w:rPr>
                <w:b w:val="0"/>
                <w:i w:val="0"/>
                <w:sz w:val="22"/>
              </w:rPr>
              <w:t xml:space="preserve">Melbourne has recently been a strong net gainer of internal migrants, drawing </w:t>
            </w:r>
            <w:r>
              <w:rPr>
                <w:b w:val="0"/>
                <w:i w:val="0"/>
                <w:sz w:val="22"/>
              </w:rPr>
              <w:t xml:space="preserve">people from all over Australia, </w:t>
            </w:r>
            <w:proofErr w:type="gramStart"/>
            <w:r>
              <w:rPr>
                <w:b w:val="0"/>
                <w:i w:val="0"/>
                <w:sz w:val="22"/>
              </w:rPr>
              <w:t>this</w:t>
            </w:r>
            <w:proofErr w:type="gramEnd"/>
            <w:r w:rsidR="0058213E" w:rsidRPr="0058213E">
              <w:rPr>
                <w:b w:val="0"/>
                <w:i w:val="0"/>
                <w:sz w:val="22"/>
              </w:rPr>
              <w:t xml:space="preserve"> </w:t>
            </w:r>
            <w:r w:rsidR="00577589">
              <w:rPr>
                <w:b w:val="0"/>
                <w:i w:val="0"/>
                <w:sz w:val="22"/>
              </w:rPr>
              <w:t>changing pattern of</w:t>
            </w:r>
            <w:r w:rsidR="0058213E" w:rsidRPr="0058213E">
              <w:rPr>
                <w:b w:val="0"/>
                <w:i w:val="0"/>
                <w:sz w:val="22"/>
              </w:rPr>
              <w:t xml:space="preserve"> </w:t>
            </w:r>
            <w:r>
              <w:rPr>
                <w:b w:val="0"/>
                <w:i w:val="0"/>
                <w:sz w:val="22"/>
              </w:rPr>
              <w:t>arrivals to</w:t>
            </w:r>
            <w:r w:rsidR="0058213E" w:rsidRPr="0058213E">
              <w:rPr>
                <w:b w:val="0"/>
                <w:i w:val="0"/>
                <w:sz w:val="22"/>
              </w:rPr>
              <w:t xml:space="preserve"> Melbourne has had a flow-on effect to all other state and territories.</w:t>
            </w:r>
          </w:p>
          <w:p w14:paraId="3997F9AC" w14:textId="0FAB84AD" w:rsidR="000457B6" w:rsidRPr="00ED4A9D" w:rsidRDefault="000457B6" w:rsidP="0081502D">
            <w:pPr>
              <w:pStyle w:val="Heading2"/>
              <w:spacing w:before="360"/>
              <w:outlineLvl w:val="1"/>
            </w:pPr>
            <w:r w:rsidRPr="00ED4A9D">
              <w:t xml:space="preserve">… </w:t>
            </w:r>
            <w:proofErr w:type="gramStart"/>
            <w:r w:rsidR="00E21F4D">
              <w:t>and</w:t>
            </w:r>
            <w:proofErr w:type="gramEnd"/>
            <w:r w:rsidR="00E21F4D">
              <w:t xml:space="preserve"> this is having an effect on internal migration patterns across Australia</w:t>
            </w:r>
            <w:r w:rsidR="00126644">
              <w:t>.</w:t>
            </w:r>
          </w:p>
          <w:p w14:paraId="1A3C9A7E" w14:textId="62738833" w:rsidR="00B9659D" w:rsidRDefault="00DA3392" w:rsidP="00B9659D">
            <w:r>
              <w:t>There have been</w:t>
            </w:r>
            <w:r w:rsidR="00B9659D">
              <w:t xml:space="preserve"> falls in the rate of migration across Australia (Chart 4). </w:t>
            </w:r>
            <w:r w:rsidR="00AC7C89">
              <w:t>Some other states</w:t>
            </w:r>
            <w:r w:rsidR="0027725C">
              <w:t xml:space="preserve"> and territories</w:t>
            </w:r>
            <w:r w:rsidR="00AC7C89">
              <w:t xml:space="preserve"> have seen </w:t>
            </w:r>
            <w:r w:rsidR="0027725C">
              <w:t xml:space="preserve">both </w:t>
            </w:r>
            <w:r w:rsidR="00AC7C89">
              <w:t xml:space="preserve">arrivals and departures fall </w:t>
            </w:r>
            <w:r w:rsidR="0027725C">
              <w:t>at similar rates</w:t>
            </w:r>
            <w:r w:rsidR="00AC7C89">
              <w:t xml:space="preserve"> (e.g. </w:t>
            </w:r>
            <w:r w:rsidR="005D18F5">
              <w:t xml:space="preserve">the </w:t>
            </w:r>
            <w:r w:rsidR="00AC7C89">
              <w:t>A</w:t>
            </w:r>
            <w:r w:rsidR="005D18F5">
              <w:t xml:space="preserve">ustralian </w:t>
            </w:r>
            <w:r w:rsidR="00AC7C89">
              <w:t>C</w:t>
            </w:r>
            <w:r w:rsidR="005D18F5">
              <w:t xml:space="preserve">apital </w:t>
            </w:r>
            <w:r w:rsidR="00AC7C89">
              <w:t>T</w:t>
            </w:r>
            <w:r w:rsidR="005D18F5">
              <w:t>erritory (ACT)</w:t>
            </w:r>
            <w:r w:rsidR="00AC7C89">
              <w:t xml:space="preserve">, </w:t>
            </w:r>
            <w:r w:rsidR="005D18F5">
              <w:t>Tasmania (</w:t>
            </w:r>
            <w:r w:rsidR="00AC7C89">
              <w:t>TAS</w:t>
            </w:r>
            <w:r w:rsidR="005D18F5">
              <w:t>)</w:t>
            </w:r>
            <w:r w:rsidR="00AC7C89">
              <w:t xml:space="preserve">, </w:t>
            </w:r>
            <w:r w:rsidR="005D18F5">
              <w:t>New South Wales (</w:t>
            </w:r>
            <w:r w:rsidR="00AC7C89">
              <w:t>NSW)</w:t>
            </w:r>
            <w:r w:rsidR="005D18F5">
              <w:t>)</w:t>
            </w:r>
            <w:r w:rsidR="00AC7C89">
              <w:t>, while t</w:t>
            </w:r>
            <w:r w:rsidR="00B9659D">
              <w:t>he effect of a large decline in net internal migration to Melbourne has likely affected regions that normally have a large outflow of people to Melbourne (</w:t>
            </w:r>
            <w:r w:rsidR="00AC7C89">
              <w:t>especially S</w:t>
            </w:r>
            <w:r w:rsidR="005D18F5">
              <w:t xml:space="preserve">outh </w:t>
            </w:r>
            <w:r w:rsidR="00AC7C89">
              <w:t>A</w:t>
            </w:r>
            <w:r w:rsidR="005D18F5">
              <w:t>ustralia (SA)</w:t>
            </w:r>
            <w:r w:rsidR="0027725C">
              <w:t xml:space="preserve"> and</w:t>
            </w:r>
            <w:r w:rsidR="00AC7C89">
              <w:t xml:space="preserve"> </w:t>
            </w:r>
            <w:r w:rsidR="005D18F5">
              <w:t>Western Australia (</w:t>
            </w:r>
            <w:r w:rsidR="00AC7C89">
              <w:t>WA</w:t>
            </w:r>
            <w:r w:rsidR="00B9659D">
              <w:t>)</w:t>
            </w:r>
            <w:r w:rsidR="005D18F5">
              <w:t>)</w:t>
            </w:r>
            <w:r w:rsidR="00B9659D">
              <w:t xml:space="preserve">. </w:t>
            </w:r>
            <w:r w:rsidR="009B115A">
              <w:t xml:space="preserve">These states have seen a sharp drop in departures. </w:t>
            </w:r>
            <w:r w:rsidR="00B9659D">
              <w:t>Queensland has</w:t>
            </w:r>
            <w:r w:rsidR="00AC7C89">
              <w:t xml:space="preserve"> also</w:t>
            </w:r>
            <w:r w:rsidR="00B9659D">
              <w:t xml:space="preserve"> seen departures fall</w:t>
            </w:r>
            <w:r w:rsidR="009B115A">
              <w:t>, but</w:t>
            </w:r>
            <w:r w:rsidR="00B9659D">
              <w:t xml:space="preserve"> arrivals </w:t>
            </w:r>
            <w:r w:rsidR="009B115A">
              <w:t>have largely he</w:t>
            </w:r>
            <w:r w:rsidR="00B9659D">
              <w:t>ld up</w:t>
            </w:r>
            <w:r w:rsidR="009B115A">
              <w:t>,</w:t>
            </w:r>
            <w:r w:rsidR="00B9659D">
              <w:t xml:space="preserve"> leading to high NIM</w:t>
            </w:r>
            <w:r w:rsidR="0027725C">
              <w:t xml:space="preserve"> to Queensland</w:t>
            </w:r>
            <w:r w:rsidR="005D18F5">
              <w:t xml:space="preserve"> (QLD)</w:t>
            </w:r>
            <w:r w:rsidR="00B9659D">
              <w:t>.</w:t>
            </w:r>
          </w:p>
          <w:p w14:paraId="1B4BE14D" w14:textId="6CD21A93" w:rsidR="00501570" w:rsidRPr="00F709C4" w:rsidRDefault="00F709C4" w:rsidP="000457B6">
            <w:pPr>
              <w:rPr>
                <w:b/>
              </w:rPr>
            </w:pPr>
            <w:r>
              <w:rPr>
                <w:b/>
              </w:rPr>
              <w:t>Chart 4: Arrivals and Departures by state</w:t>
            </w:r>
            <w:r w:rsidR="00BF4A62">
              <w:rPr>
                <w:b/>
              </w:rPr>
              <w:t xml:space="preserve"> and </w:t>
            </w:r>
            <w:r>
              <w:rPr>
                <w:b/>
              </w:rPr>
              <w:t xml:space="preserve">territory, </w:t>
            </w:r>
            <w:r w:rsidR="007F06C4">
              <w:rPr>
                <w:b/>
              </w:rPr>
              <w:t xml:space="preserve">year ending, </w:t>
            </w:r>
            <w:r>
              <w:rPr>
                <w:b/>
              </w:rPr>
              <w:t>2010-2020</w:t>
            </w:r>
          </w:p>
          <w:p w14:paraId="00B74CBB" w14:textId="5968D24E" w:rsidR="005065A8" w:rsidRDefault="00CD2A88" w:rsidP="000457B6">
            <w:r w:rsidRPr="00CD2A88">
              <w:rPr>
                <w:noProof/>
                <w:lang w:eastAsia="en-AU"/>
              </w:rPr>
              <w:drawing>
                <wp:inline distT="0" distB="0" distL="0" distR="0" wp14:anchorId="0B5D3DCA" wp14:editId="6CB3D34D">
                  <wp:extent cx="6657975" cy="2809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26" b="7251"/>
                          <a:stretch/>
                        </pic:blipFill>
                        <pic:spPr bwMode="auto">
                          <a:xfrm>
                            <a:off x="0" y="0"/>
                            <a:ext cx="66579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139160" w14:textId="038C3415" w:rsidR="00B9659D" w:rsidRPr="00D01905" w:rsidRDefault="005D18F5" w:rsidP="000457B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Aggregate state and territory movements mask different patterns</w:t>
            </w:r>
            <w:r w:rsidR="001E7CA4" w:rsidRPr="00D01905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between cities and regions</w:t>
            </w:r>
            <w:r w:rsidR="001E7CA4" w:rsidRPr="00D01905">
              <w:rPr>
                <w:b/>
                <w:i/>
                <w:sz w:val="24"/>
              </w:rPr>
              <w:t>.</w:t>
            </w:r>
          </w:p>
          <w:p w14:paraId="60FA45DE" w14:textId="67753CE8" w:rsidR="0073211A" w:rsidRDefault="0073211A" w:rsidP="000457B6">
            <w:r>
              <w:t xml:space="preserve">In many states and territories, the </w:t>
            </w:r>
            <w:r w:rsidR="00E90005">
              <w:t xml:space="preserve">pattern of </w:t>
            </w:r>
            <w:r w:rsidR="005D18F5">
              <w:t>increasing</w:t>
            </w:r>
            <w:r>
              <w:t xml:space="preserve"> NIM driven by declining departures is present both in their capital cities and in their regional areas</w:t>
            </w:r>
            <w:r w:rsidR="005D18F5">
              <w:t xml:space="preserve"> (</w:t>
            </w:r>
            <w:r w:rsidR="00222ADA">
              <w:t xml:space="preserve">for example </w:t>
            </w:r>
            <w:r w:rsidR="00E10DE8">
              <w:t>WA, SA</w:t>
            </w:r>
            <w:bookmarkStart w:id="0" w:name="_GoBack"/>
            <w:bookmarkEnd w:id="0"/>
            <w:r w:rsidR="005D18F5">
              <w:t>)</w:t>
            </w:r>
            <w:r>
              <w:t xml:space="preserve">. However, </w:t>
            </w:r>
            <w:r w:rsidR="00902080">
              <w:t>in NSW</w:t>
            </w:r>
            <w:r>
              <w:t xml:space="preserve"> the distribution between the capital city and the regional areas was more mixed</w:t>
            </w:r>
            <w:r w:rsidR="005D18F5">
              <w:t xml:space="preserve"> (</w:t>
            </w:r>
            <w:r>
              <w:t>Chart 5</w:t>
            </w:r>
            <w:r w:rsidR="005D18F5">
              <w:t>)</w:t>
            </w:r>
            <w:r>
              <w:t>.</w:t>
            </w:r>
          </w:p>
          <w:p w14:paraId="73EDDB8D" w14:textId="2A29F63A" w:rsidR="005C7C78" w:rsidRPr="00D01905" w:rsidRDefault="005C7C78" w:rsidP="000457B6">
            <w:r>
              <w:t xml:space="preserve">For example, </w:t>
            </w:r>
            <w:r w:rsidRPr="00D716F7">
              <w:rPr>
                <w:b/>
              </w:rPr>
              <w:t>Western Australia</w:t>
            </w:r>
            <w:r>
              <w:t xml:space="preserve"> recorded a net </w:t>
            </w:r>
            <w:r w:rsidRPr="00D01905">
              <w:t>inflow</w:t>
            </w:r>
            <w:r w:rsidR="005A73CA" w:rsidRPr="00D01905">
              <w:t xml:space="preserve"> </w:t>
            </w:r>
            <w:r w:rsidRPr="00D01905">
              <w:t xml:space="preserve">of </w:t>
            </w:r>
            <w:r w:rsidR="005A73CA" w:rsidRPr="00D01905">
              <w:t xml:space="preserve">1,400 </w:t>
            </w:r>
            <w:r w:rsidRPr="00D01905">
              <w:t>people in the</w:t>
            </w:r>
            <w:r w:rsidR="005A73CA" w:rsidRPr="00D01905">
              <w:t xml:space="preserve"> year to</w:t>
            </w:r>
            <w:r w:rsidRPr="00D01905">
              <w:t xml:space="preserve"> December</w:t>
            </w:r>
            <w:r w:rsidR="005A73CA" w:rsidRPr="00D01905">
              <w:t xml:space="preserve"> 2020, the first time the state recorded a net inflow since </w:t>
            </w:r>
            <w:r w:rsidR="00F97B75" w:rsidRPr="00D01905">
              <w:t>2013</w:t>
            </w:r>
            <w:r w:rsidRPr="00D01905">
              <w:t xml:space="preserve">. </w:t>
            </w:r>
            <w:r w:rsidR="005D18F5">
              <w:t xml:space="preserve">This was driven by the same pattern in both Perth and regional WA of lower departures, </w:t>
            </w:r>
            <w:r w:rsidR="00F97B75" w:rsidRPr="00D01905">
              <w:t>with 8,100 fewer people leaving Perth in December 2020 com</w:t>
            </w:r>
            <w:r w:rsidR="00433B94">
              <w:t>pared to a year earlier, and 5,1</w:t>
            </w:r>
            <w:r w:rsidR="00F97B75" w:rsidRPr="00D01905">
              <w:t xml:space="preserve">00 fewer people leaving regional </w:t>
            </w:r>
            <w:r w:rsidR="005D18F5">
              <w:t>WA</w:t>
            </w:r>
            <w:r w:rsidR="00F97B75" w:rsidRPr="00D01905">
              <w:t xml:space="preserve">. </w:t>
            </w:r>
          </w:p>
          <w:p w14:paraId="61F14269" w14:textId="7B4930E3" w:rsidR="00C046B6" w:rsidRPr="00D01905" w:rsidRDefault="00F97B75" w:rsidP="000457B6">
            <w:r w:rsidRPr="00D01905">
              <w:t>Similarly,</w:t>
            </w:r>
            <w:r w:rsidRPr="00D01905">
              <w:rPr>
                <w:b/>
              </w:rPr>
              <w:t xml:space="preserve"> </w:t>
            </w:r>
            <w:r w:rsidR="000457B6" w:rsidRPr="00D01905">
              <w:rPr>
                <w:b/>
              </w:rPr>
              <w:t xml:space="preserve">South Australia </w:t>
            </w:r>
            <w:r w:rsidR="001C287E" w:rsidRPr="00D01905">
              <w:t xml:space="preserve">had a </w:t>
            </w:r>
            <w:r w:rsidR="004F5DD4" w:rsidRPr="00D01905">
              <w:t>third</w:t>
            </w:r>
            <w:r w:rsidR="001C287E" w:rsidRPr="00D01905">
              <w:t xml:space="preserve"> quarter of positive net </w:t>
            </w:r>
            <w:r w:rsidR="00F66DE6" w:rsidRPr="00D01905">
              <w:t>interstate</w:t>
            </w:r>
            <w:r w:rsidR="001C287E" w:rsidRPr="00D01905">
              <w:t xml:space="preserve"> migration in the </w:t>
            </w:r>
            <w:r w:rsidR="004F5DD4" w:rsidRPr="00D01905">
              <w:t>December</w:t>
            </w:r>
            <w:r w:rsidR="006C104D" w:rsidRPr="00D01905">
              <w:t xml:space="preserve"> quarter, seeing the state record a</w:t>
            </w:r>
            <w:r w:rsidR="00902080">
              <w:t>n</w:t>
            </w:r>
            <w:r w:rsidR="00742EF4" w:rsidRPr="00D01905">
              <w:t xml:space="preserve"> annual</w:t>
            </w:r>
            <w:r w:rsidR="006C104D" w:rsidRPr="00D01905">
              <w:t xml:space="preserve"> net inflow of people in 2020</w:t>
            </w:r>
            <w:r w:rsidR="00F10031">
              <w:t>,</w:t>
            </w:r>
            <w:r w:rsidR="00742EF4" w:rsidRPr="00D01905">
              <w:t xml:space="preserve"> </w:t>
            </w:r>
            <w:r w:rsidR="00F10031">
              <w:t>t</w:t>
            </w:r>
            <w:r w:rsidR="00742EF4" w:rsidRPr="00D01905">
              <w:t xml:space="preserve">he first time </w:t>
            </w:r>
            <w:r w:rsidR="00B62244">
              <w:t>SA</w:t>
            </w:r>
            <w:r w:rsidR="00742EF4" w:rsidRPr="00D01905">
              <w:t xml:space="preserve"> has recorded a positive annual interstate migration figure</w:t>
            </w:r>
            <w:r w:rsidR="000146D4" w:rsidRPr="00D01905">
              <w:t xml:space="preserve"> </w:t>
            </w:r>
            <w:r w:rsidR="006C104D" w:rsidRPr="00D01905">
              <w:t>since 1992</w:t>
            </w:r>
            <w:r w:rsidR="001C287E" w:rsidRPr="00D01905">
              <w:t xml:space="preserve">. </w:t>
            </w:r>
            <w:r w:rsidR="006C104D" w:rsidRPr="00D01905">
              <w:t>Departures again drove this improvement, with departure</w:t>
            </w:r>
            <w:r w:rsidR="00433B94">
              <w:t>s from Adelaide declining by 4,1</w:t>
            </w:r>
            <w:r w:rsidR="006C104D" w:rsidRPr="00D01905">
              <w:t xml:space="preserve">00 from a year earlier, and departures from regional </w:t>
            </w:r>
            <w:r w:rsidR="00B62244">
              <w:t>SA</w:t>
            </w:r>
            <w:r w:rsidR="006C104D" w:rsidRPr="00D01905">
              <w:t xml:space="preserve"> declining by 2,100.</w:t>
            </w:r>
          </w:p>
          <w:p w14:paraId="699BF708" w14:textId="7BE15EE8" w:rsidR="005305E9" w:rsidRDefault="00E21F4D">
            <w:r w:rsidRPr="00D01905">
              <w:rPr>
                <w:b/>
              </w:rPr>
              <w:t>Queensland</w:t>
            </w:r>
            <w:r w:rsidRPr="00D01905">
              <w:t xml:space="preserve"> continued to have the largest net gain of people compared to all other states and territories. However, this was </w:t>
            </w:r>
            <w:r w:rsidR="00B03A76" w:rsidRPr="00D01905">
              <w:t xml:space="preserve">also largely </w:t>
            </w:r>
            <w:r w:rsidRPr="00D01905">
              <w:t xml:space="preserve">due to </w:t>
            </w:r>
            <w:r w:rsidR="00B03A76" w:rsidRPr="00D01905">
              <w:t>drop in departures, particularly in regional Queensland. Departures from Brisbane also decreased by 5,500, but the departures from regional Queensland decreased</w:t>
            </w:r>
            <w:r w:rsidRPr="00D01905">
              <w:t xml:space="preserve"> by </w:t>
            </w:r>
            <w:r w:rsidR="00B03A76" w:rsidRPr="00D01905">
              <w:t>11,600</w:t>
            </w:r>
            <w:r w:rsidRPr="00D01905">
              <w:t xml:space="preserve"> between December 2019 and</w:t>
            </w:r>
            <w:r>
              <w:t xml:space="preserve"> December 2020. </w:t>
            </w:r>
            <w:r w:rsidR="005305E9">
              <w:t xml:space="preserve"> </w:t>
            </w:r>
          </w:p>
          <w:p w14:paraId="2B25E75A" w14:textId="480A3E8D" w:rsidR="006D1218" w:rsidRPr="00D01905" w:rsidRDefault="0073211A">
            <w:r>
              <w:t>By contrast, in</w:t>
            </w:r>
            <w:r w:rsidR="006D1218">
              <w:t xml:space="preserve"> </w:t>
            </w:r>
            <w:r w:rsidR="003D3FB1" w:rsidRPr="006D1218">
              <w:rPr>
                <w:b/>
              </w:rPr>
              <w:t xml:space="preserve">New South </w:t>
            </w:r>
            <w:r w:rsidR="00C046B6" w:rsidRPr="006D1218">
              <w:rPr>
                <w:b/>
              </w:rPr>
              <w:t>Wales</w:t>
            </w:r>
            <w:r w:rsidR="00C046B6">
              <w:t xml:space="preserve">, </w:t>
            </w:r>
            <w:r>
              <w:t xml:space="preserve">a state which also </w:t>
            </w:r>
            <w:r w:rsidR="009F168F">
              <w:t>increased its</w:t>
            </w:r>
            <w:r>
              <w:t xml:space="preserve"> NIM</w:t>
            </w:r>
            <w:r w:rsidR="00C046B6">
              <w:t xml:space="preserve"> </w:t>
            </w:r>
            <w:r>
              <w:t>(</w:t>
            </w:r>
            <w:r w:rsidR="005065A8" w:rsidRPr="00D01905">
              <w:t>losing 3,600 fewer people than the year to December 2019</w:t>
            </w:r>
            <w:r w:rsidRPr="00D01905">
              <w:t xml:space="preserve">), </w:t>
            </w:r>
            <w:r w:rsidR="009F168F">
              <w:t>there are</w:t>
            </w:r>
            <w:r w:rsidRPr="00D01905">
              <w:t xml:space="preserve"> diverging patterns b</w:t>
            </w:r>
            <w:r w:rsidR="00934919">
              <w:t xml:space="preserve">etween Sydney and regional </w:t>
            </w:r>
            <w:r w:rsidR="00391065">
              <w:t>NSW</w:t>
            </w:r>
            <w:r w:rsidRPr="00D01905">
              <w:t>.</w:t>
            </w:r>
            <w:r w:rsidR="005065A8" w:rsidRPr="00D01905">
              <w:t xml:space="preserve"> </w:t>
            </w:r>
          </w:p>
          <w:p w14:paraId="352D669D" w14:textId="5DA64450" w:rsidR="00A91A2E" w:rsidRPr="005305E9" w:rsidRDefault="005065A8">
            <w:r w:rsidRPr="00D01905">
              <w:t xml:space="preserve">In regional New South Wales, </w:t>
            </w:r>
            <w:r w:rsidR="0073211A" w:rsidRPr="00D01905">
              <w:t xml:space="preserve">the NIM improvement </w:t>
            </w:r>
            <w:r w:rsidRPr="00D01905">
              <w:t xml:space="preserve">was driven by a large decrease in the number of </w:t>
            </w:r>
            <w:r w:rsidR="006D1218" w:rsidRPr="00D01905">
              <w:t xml:space="preserve">departures from a year earlier, where 6,700 fewer people moved out of regional </w:t>
            </w:r>
            <w:r w:rsidR="00391065">
              <w:t>NSW</w:t>
            </w:r>
            <w:r w:rsidR="006D1218" w:rsidRPr="00D01905">
              <w:t xml:space="preserve"> compared to the year before. However, in </w:t>
            </w:r>
            <w:r w:rsidR="006D1218" w:rsidRPr="00D01905">
              <w:lastRenderedPageBreak/>
              <w:t>Sydney, whil</w:t>
            </w:r>
            <w:r w:rsidR="00501570" w:rsidRPr="00D01905">
              <w:t xml:space="preserve">e there were still </w:t>
            </w:r>
            <w:r w:rsidR="00F709C4" w:rsidRPr="00D01905">
              <w:t>4,200</w:t>
            </w:r>
            <w:r w:rsidR="00501570" w:rsidRPr="00D01905">
              <w:t xml:space="preserve"> fewer people leaving Sydney than in the previous</w:t>
            </w:r>
            <w:r w:rsidR="00F709C4" w:rsidRPr="00D01905">
              <w:t xml:space="preserve"> year</w:t>
            </w:r>
            <w:r w:rsidR="006D1218" w:rsidRPr="00D01905">
              <w:t>, there was a</w:t>
            </w:r>
            <w:r w:rsidR="00501570" w:rsidRPr="00D01905">
              <w:t>n even</w:t>
            </w:r>
            <w:r w:rsidR="006D1218" w:rsidRPr="00D01905">
              <w:t xml:space="preserve"> larger drop in arrivals (</w:t>
            </w:r>
            <w:r w:rsidR="00F709C4" w:rsidRPr="00D01905">
              <w:t>7,300</w:t>
            </w:r>
            <w:r w:rsidR="006D1218" w:rsidRPr="00D01905">
              <w:t>)</w:t>
            </w:r>
            <w:r w:rsidR="00501570" w:rsidRPr="00D01905">
              <w:t>, offsetting the gains in NIM</w:t>
            </w:r>
            <w:r w:rsidR="00501570">
              <w:t xml:space="preserve"> that New South Wales otherwise would have experienced</w:t>
            </w:r>
            <w:r w:rsidR="006D1218">
              <w:t>.</w:t>
            </w:r>
          </w:p>
          <w:p w14:paraId="19E68E86" w14:textId="5530DE18" w:rsidR="00013302" w:rsidRDefault="00EF769F" w:rsidP="0081502D">
            <w:pPr>
              <w:pStyle w:val="Heading3"/>
              <w:spacing w:before="240"/>
              <w:outlineLvl w:val="2"/>
            </w:pPr>
            <w:r>
              <w:t xml:space="preserve">Chart </w:t>
            </w:r>
            <w:r w:rsidR="007F06C4">
              <w:t>5</w:t>
            </w:r>
            <w:r w:rsidR="000D3696">
              <w:t xml:space="preserve">. Net interstate migration, </w:t>
            </w:r>
            <w:r w:rsidR="007F06C4">
              <w:t>capital cities and rest of state areas</w:t>
            </w:r>
            <w:r w:rsidR="000D3696">
              <w:t>, year ending, 2010 to 2020</w:t>
            </w:r>
            <w:r w:rsidR="004F5DD4">
              <w:t xml:space="preserve"> </w:t>
            </w:r>
          </w:p>
          <w:p w14:paraId="3CF6637A" w14:textId="09A44B41" w:rsidR="00FA5B4D" w:rsidRPr="00FA5B4D" w:rsidRDefault="00E07BAD" w:rsidP="00FA5B4D">
            <w:r w:rsidRPr="00E07BAD">
              <w:rPr>
                <w:noProof/>
                <w:lang w:eastAsia="en-AU"/>
              </w:rPr>
              <w:drawing>
                <wp:inline distT="0" distB="0" distL="0" distR="0" wp14:anchorId="58F87AB7" wp14:editId="6D91B39C">
                  <wp:extent cx="6343650" cy="29337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C0532" w14:textId="5B61EE04" w:rsidR="00013302" w:rsidRPr="00674AA9" w:rsidRDefault="002E272C" w:rsidP="00013302">
            <w:pPr>
              <w:pStyle w:val="Heading1"/>
              <w:outlineLvl w:val="0"/>
            </w:pPr>
            <w:r>
              <w:t>Timeliness of this</w:t>
            </w:r>
            <w:r w:rsidR="00013302">
              <w:t xml:space="preserve"> data</w:t>
            </w:r>
          </w:p>
          <w:p w14:paraId="2E90142D" w14:textId="05B5EAAA" w:rsidR="00013302" w:rsidRDefault="00013302" w:rsidP="00013302">
            <w:pPr>
              <w:rPr>
                <w:rFonts w:eastAsia="Calibri" w:cs="Calibri"/>
                <w:color w:val="000000"/>
              </w:rPr>
            </w:pPr>
            <w:r w:rsidRPr="005C4D9F">
              <w:rPr>
                <w:rFonts w:eastAsia="Calibri" w:cs="Calibri"/>
                <w:color w:val="000000"/>
              </w:rPr>
              <w:t xml:space="preserve">Interstate migration estimates are based on Medicare change of address data. When calculating migration estimates </w:t>
            </w:r>
            <w:r>
              <w:rPr>
                <w:rFonts w:eastAsia="Calibri" w:cs="Calibri"/>
                <w:color w:val="000000"/>
              </w:rPr>
              <w:t xml:space="preserve">based on Medicare data, </w:t>
            </w:r>
            <w:r w:rsidRPr="005C4D9F">
              <w:rPr>
                <w:rFonts w:eastAsia="Calibri" w:cs="Calibri"/>
                <w:color w:val="000000"/>
              </w:rPr>
              <w:t>the ABS assume</w:t>
            </w:r>
            <w:r>
              <w:rPr>
                <w:rFonts w:eastAsia="Calibri" w:cs="Calibri"/>
                <w:color w:val="000000"/>
              </w:rPr>
              <w:t>s</w:t>
            </w:r>
            <w:r w:rsidRPr="005C4D9F">
              <w:rPr>
                <w:rFonts w:eastAsia="Calibri" w:cs="Calibri"/>
                <w:color w:val="000000"/>
              </w:rPr>
              <w:t xml:space="preserve"> a three month lag between the actual change of address and the update </w:t>
            </w:r>
            <w:r>
              <w:rPr>
                <w:rFonts w:eastAsia="Calibri" w:cs="Calibri"/>
                <w:color w:val="000000"/>
              </w:rPr>
              <w:t xml:space="preserve">of the Medicare address. </w:t>
            </w:r>
            <w:r w:rsidR="00C13D60">
              <w:rPr>
                <w:rFonts w:eastAsia="Calibri" w:cs="Calibri"/>
                <w:color w:val="000000"/>
              </w:rPr>
              <w:t xml:space="preserve">In reality, there may be variations in the timeliness with which internal migrants update their Medicare address. </w:t>
            </w:r>
            <w:r w:rsidR="002E272C">
              <w:rPr>
                <w:rFonts w:eastAsia="Calibri" w:cs="Calibri"/>
                <w:color w:val="000000"/>
              </w:rPr>
              <w:t>As such, movements which occurred during the March 2021 quarter may appear in the December 2020 release.</w:t>
            </w:r>
          </w:p>
          <w:p w14:paraId="6862C0FC" w14:textId="77777777" w:rsidR="00013302" w:rsidRPr="00674AA9" w:rsidRDefault="00013302" w:rsidP="00013302">
            <w:pPr>
              <w:pStyle w:val="Heading1"/>
              <w:outlineLvl w:val="0"/>
            </w:pPr>
            <w:r w:rsidRPr="00674AA9">
              <w:t>New detailed data, commissioned by the Centre for Population, Treasury</w:t>
            </w:r>
          </w:p>
          <w:p w14:paraId="2F927E0E" w14:textId="1EA0D7F5" w:rsidR="00013302" w:rsidRDefault="00013302" w:rsidP="00BC0276">
            <w:r w:rsidRPr="005C4D9F">
              <w:rPr>
                <w:rFonts w:eastAsia="Calibri" w:cs="Calibri"/>
                <w:color w:val="000000"/>
              </w:rPr>
              <w:t xml:space="preserve">This is the </w:t>
            </w:r>
            <w:r w:rsidR="00722344">
              <w:rPr>
                <w:rFonts w:eastAsia="Calibri" w:cs="Calibri"/>
                <w:color w:val="000000"/>
              </w:rPr>
              <w:t>third</w:t>
            </w:r>
            <w:r>
              <w:rPr>
                <w:rFonts w:eastAsia="Calibri" w:cs="Calibri"/>
                <w:color w:val="000000"/>
              </w:rPr>
              <w:t xml:space="preserve"> release of </w:t>
            </w:r>
            <w:r w:rsidRPr="005C4D9F">
              <w:rPr>
                <w:rFonts w:eastAsia="Calibri" w:cs="Calibri"/>
                <w:color w:val="000000"/>
              </w:rPr>
              <w:t>PRIME data by the ABS</w:t>
            </w:r>
            <w:r w:rsidR="009245DE">
              <w:rPr>
                <w:rFonts w:eastAsia="Calibri" w:cs="Calibri"/>
                <w:color w:val="000000"/>
              </w:rPr>
              <w:t>, a release</w:t>
            </w:r>
            <w:r w:rsidR="008E3C27"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funded</w:t>
            </w:r>
            <w:r w:rsidRPr="005C4D9F">
              <w:rPr>
                <w:rFonts w:eastAsia="Calibri" w:cs="Calibri"/>
                <w:color w:val="000000"/>
              </w:rPr>
              <w:t xml:space="preserve"> by the Centre for Population. </w:t>
            </w:r>
            <w:r>
              <w:rPr>
                <w:rFonts w:eastAsia="Calibri" w:cs="Calibri"/>
                <w:color w:val="000000"/>
              </w:rPr>
              <w:t>PRIME</w:t>
            </w:r>
            <w:r w:rsidRPr="005C4D9F">
              <w:rPr>
                <w:rFonts w:eastAsia="Calibri" w:cs="Calibri"/>
                <w:color w:val="000000"/>
              </w:rPr>
              <w:t xml:space="preserve"> data provides quarterly estimates of interstate migration and internal migration between capital cities and areas outside the capital cities. Prior to this release, </w:t>
            </w:r>
            <w:r>
              <w:rPr>
                <w:rFonts w:eastAsia="Calibri" w:cs="Calibri"/>
                <w:color w:val="000000"/>
              </w:rPr>
              <w:t xml:space="preserve">sub-state </w:t>
            </w:r>
            <w:r w:rsidRPr="005C4D9F">
              <w:rPr>
                <w:rFonts w:eastAsia="Calibri" w:cs="Calibri"/>
                <w:color w:val="000000"/>
              </w:rPr>
              <w:t>data was only available annually.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Pr="005C4D9F">
              <w:rPr>
                <w:rFonts w:eastAsia="Calibri" w:cs="Calibri"/>
                <w:color w:val="000000"/>
              </w:rPr>
              <w:t>This new data provides insight into the</w:t>
            </w:r>
            <w:r w:rsidRPr="005C4D9F">
              <w:t xml:space="preserve"> impact of COVID</w:t>
            </w:r>
            <w:r w:rsidRPr="005C4D9F">
              <w:noBreakHyphen/>
              <w:t>19 restrictions</w:t>
            </w:r>
            <w:r w:rsidR="00722344">
              <w:t xml:space="preserve"> throughout 2020</w:t>
            </w:r>
            <w:r w:rsidRPr="005C4D9F">
              <w:t xml:space="preserve">. </w:t>
            </w:r>
            <w:r w:rsidR="007A0198">
              <w:rPr>
                <w:rFonts w:eastAsia="Calibri" w:cs="Calibri"/>
                <w:color w:val="000000"/>
              </w:rPr>
              <w:t>The final release in this series will be published on 3 August 2021.</w:t>
            </w:r>
          </w:p>
        </w:tc>
      </w:tr>
      <w:tr w:rsidR="0034167D" w14:paraId="4A342E67" w14:textId="77777777" w:rsidTr="00B63E09">
        <w:tc>
          <w:tcPr>
            <w:tcW w:w="57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A7B4EEF" w14:textId="77777777" w:rsidR="0034167D" w:rsidRDefault="0034167D" w:rsidP="002B2D8B">
            <w:pPr>
              <w:spacing w:after="0"/>
            </w:pPr>
          </w:p>
        </w:tc>
        <w:tc>
          <w:tcPr>
            <w:tcW w:w="474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78FFEF0" w14:textId="77777777" w:rsidR="0034167D" w:rsidRDefault="0034167D" w:rsidP="002B2D8B">
            <w:pPr>
              <w:spacing w:after="0"/>
            </w:pPr>
          </w:p>
        </w:tc>
      </w:tr>
    </w:tbl>
    <w:p w14:paraId="20EBFA11" w14:textId="77777777" w:rsidR="00D37A1E" w:rsidRDefault="00E10DE8" w:rsidP="0034167D"/>
    <w:sectPr w:rsidR="00D37A1E" w:rsidSect="009637F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F4C2" w14:textId="77777777" w:rsidR="005C0AAB" w:rsidRDefault="005C0AAB" w:rsidP="005C0AAB">
      <w:pPr>
        <w:spacing w:after="0"/>
      </w:pPr>
      <w:r>
        <w:separator/>
      </w:r>
    </w:p>
  </w:endnote>
  <w:endnote w:type="continuationSeparator" w:id="0">
    <w:p w14:paraId="28633C22" w14:textId="77777777" w:rsidR="005C0AAB" w:rsidRDefault="005C0AAB" w:rsidP="005C0A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9E95" w14:textId="77777777" w:rsidR="00BC3670" w:rsidRDefault="00BC3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320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8D612" w14:textId="383E1594" w:rsidR="005C0AAB" w:rsidRDefault="005C0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DE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BD51" w14:textId="77777777" w:rsidR="005C0AAB" w:rsidRDefault="005C0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CCCE" w14:textId="77777777" w:rsidR="00BC3670" w:rsidRDefault="00BC3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C4CAC" w14:textId="77777777" w:rsidR="005C0AAB" w:rsidRDefault="005C0AAB" w:rsidP="005C0AAB">
      <w:pPr>
        <w:spacing w:after="0"/>
      </w:pPr>
      <w:r>
        <w:separator/>
      </w:r>
    </w:p>
  </w:footnote>
  <w:footnote w:type="continuationSeparator" w:id="0">
    <w:p w14:paraId="29307C2F" w14:textId="77777777" w:rsidR="005C0AAB" w:rsidRDefault="005C0AAB" w:rsidP="005C0A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A7C3" w14:textId="77777777" w:rsidR="00BC3670" w:rsidRDefault="00BC3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D044" w14:textId="77777777" w:rsidR="00BC3670" w:rsidRDefault="00BC3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F0472" w14:textId="77777777" w:rsidR="00BC3670" w:rsidRDefault="00BC3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6A3C"/>
    <w:multiLevelType w:val="multilevel"/>
    <w:tmpl w:val="A06AA75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1" w15:restartNumberingAfterBreak="0">
    <w:nsid w:val="3BAB50CE"/>
    <w:multiLevelType w:val="hybridMultilevel"/>
    <w:tmpl w:val="9B300BCC"/>
    <w:lvl w:ilvl="0" w:tplc="FED4A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D"/>
    <w:rsid w:val="000030AB"/>
    <w:rsid w:val="000061E9"/>
    <w:rsid w:val="00013302"/>
    <w:rsid w:val="000146D4"/>
    <w:rsid w:val="00024E07"/>
    <w:rsid w:val="0002783D"/>
    <w:rsid w:val="000457B6"/>
    <w:rsid w:val="000475B3"/>
    <w:rsid w:val="00061975"/>
    <w:rsid w:val="00076B52"/>
    <w:rsid w:val="00094A8B"/>
    <w:rsid w:val="000B4B89"/>
    <w:rsid w:val="000C685A"/>
    <w:rsid w:val="000D3696"/>
    <w:rsid w:val="000D6F5F"/>
    <w:rsid w:val="000F14BA"/>
    <w:rsid w:val="00107A42"/>
    <w:rsid w:val="00111466"/>
    <w:rsid w:val="00126644"/>
    <w:rsid w:val="00126AD7"/>
    <w:rsid w:val="0013046F"/>
    <w:rsid w:val="00131AA2"/>
    <w:rsid w:val="00137EA7"/>
    <w:rsid w:val="001627DE"/>
    <w:rsid w:val="00167634"/>
    <w:rsid w:val="001A2BE6"/>
    <w:rsid w:val="001B638A"/>
    <w:rsid w:val="001C287E"/>
    <w:rsid w:val="001C6D25"/>
    <w:rsid w:val="001D452C"/>
    <w:rsid w:val="001D6C16"/>
    <w:rsid w:val="001E0C23"/>
    <w:rsid w:val="001E726F"/>
    <w:rsid w:val="001E763F"/>
    <w:rsid w:val="001E7CA4"/>
    <w:rsid w:val="001F240C"/>
    <w:rsid w:val="0021562E"/>
    <w:rsid w:val="00215D78"/>
    <w:rsid w:val="00222ADA"/>
    <w:rsid w:val="0024125B"/>
    <w:rsid w:val="00242295"/>
    <w:rsid w:val="002732B2"/>
    <w:rsid w:val="0027725C"/>
    <w:rsid w:val="002913A6"/>
    <w:rsid w:val="00291A29"/>
    <w:rsid w:val="00293F36"/>
    <w:rsid w:val="00294233"/>
    <w:rsid w:val="002B2A20"/>
    <w:rsid w:val="002B2D8B"/>
    <w:rsid w:val="002C3FC2"/>
    <w:rsid w:val="002D7AE3"/>
    <w:rsid w:val="002E272C"/>
    <w:rsid w:val="002F0F15"/>
    <w:rsid w:val="002F7290"/>
    <w:rsid w:val="00324B06"/>
    <w:rsid w:val="0034167D"/>
    <w:rsid w:val="00367E88"/>
    <w:rsid w:val="00374C8B"/>
    <w:rsid w:val="00376B00"/>
    <w:rsid w:val="00376DF2"/>
    <w:rsid w:val="00391065"/>
    <w:rsid w:val="00395B79"/>
    <w:rsid w:val="003A2260"/>
    <w:rsid w:val="003B4EE7"/>
    <w:rsid w:val="003C0A98"/>
    <w:rsid w:val="003C1F4D"/>
    <w:rsid w:val="003D3FB1"/>
    <w:rsid w:val="003F13BD"/>
    <w:rsid w:val="003F43AB"/>
    <w:rsid w:val="003F4C8D"/>
    <w:rsid w:val="00404B1A"/>
    <w:rsid w:val="00412C31"/>
    <w:rsid w:val="0041477F"/>
    <w:rsid w:val="004159C5"/>
    <w:rsid w:val="00424233"/>
    <w:rsid w:val="00433B94"/>
    <w:rsid w:val="004776B0"/>
    <w:rsid w:val="0048300A"/>
    <w:rsid w:val="004845A4"/>
    <w:rsid w:val="00492CDE"/>
    <w:rsid w:val="00496888"/>
    <w:rsid w:val="00497DD9"/>
    <w:rsid w:val="004A312D"/>
    <w:rsid w:val="004B5CE3"/>
    <w:rsid w:val="004E7A68"/>
    <w:rsid w:val="004F5DD4"/>
    <w:rsid w:val="00501570"/>
    <w:rsid w:val="005065A8"/>
    <w:rsid w:val="00510154"/>
    <w:rsid w:val="00520CD4"/>
    <w:rsid w:val="0053043B"/>
    <w:rsid w:val="005305E9"/>
    <w:rsid w:val="00537173"/>
    <w:rsid w:val="005437A7"/>
    <w:rsid w:val="00543BE2"/>
    <w:rsid w:val="005463BD"/>
    <w:rsid w:val="00550F93"/>
    <w:rsid w:val="00555772"/>
    <w:rsid w:val="00556F36"/>
    <w:rsid w:val="00567F1D"/>
    <w:rsid w:val="00577589"/>
    <w:rsid w:val="0058053E"/>
    <w:rsid w:val="0058213E"/>
    <w:rsid w:val="00594969"/>
    <w:rsid w:val="005A73CA"/>
    <w:rsid w:val="005B4CCB"/>
    <w:rsid w:val="005C0AAB"/>
    <w:rsid w:val="005C4E97"/>
    <w:rsid w:val="005C7C78"/>
    <w:rsid w:val="005D18F5"/>
    <w:rsid w:val="005D5745"/>
    <w:rsid w:val="006133FE"/>
    <w:rsid w:val="00625D5D"/>
    <w:rsid w:val="00640672"/>
    <w:rsid w:val="00645E42"/>
    <w:rsid w:val="00672771"/>
    <w:rsid w:val="006819AE"/>
    <w:rsid w:val="006A0299"/>
    <w:rsid w:val="006B6565"/>
    <w:rsid w:val="006C104D"/>
    <w:rsid w:val="006D1218"/>
    <w:rsid w:val="006D2ACB"/>
    <w:rsid w:val="006E084A"/>
    <w:rsid w:val="006E72CF"/>
    <w:rsid w:val="006F2E37"/>
    <w:rsid w:val="006F72AF"/>
    <w:rsid w:val="00722344"/>
    <w:rsid w:val="00723260"/>
    <w:rsid w:val="0073211A"/>
    <w:rsid w:val="00742EF4"/>
    <w:rsid w:val="00743F57"/>
    <w:rsid w:val="007519B0"/>
    <w:rsid w:val="00751EEF"/>
    <w:rsid w:val="00755CD1"/>
    <w:rsid w:val="00770F02"/>
    <w:rsid w:val="00772983"/>
    <w:rsid w:val="00774FB3"/>
    <w:rsid w:val="00780F85"/>
    <w:rsid w:val="00781F52"/>
    <w:rsid w:val="0078369F"/>
    <w:rsid w:val="007836DB"/>
    <w:rsid w:val="007A0198"/>
    <w:rsid w:val="007A2BA7"/>
    <w:rsid w:val="007A2E1C"/>
    <w:rsid w:val="007A6B77"/>
    <w:rsid w:val="007C3860"/>
    <w:rsid w:val="007D32B8"/>
    <w:rsid w:val="007E364D"/>
    <w:rsid w:val="007F06C4"/>
    <w:rsid w:val="007F1B38"/>
    <w:rsid w:val="0081502D"/>
    <w:rsid w:val="00817CB1"/>
    <w:rsid w:val="00837DD0"/>
    <w:rsid w:val="008402F6"/>
    <w:rsid w:val="008517D1"/>
    <w:rsid w:val="0085211D"/>
    <w:rsid w:val="00857C3A"/>
    <w:rsid w:val="008605E8"/>
    <w:rsid w:val="00864C66"/>
    <w:rsid w:val="008725AF"/>
    <w:rsid w:val="0087352A"/>
    <w:rsid w:val="00874B2C"/>
    <w:rsid w:val="008853D8"/>
    <w:rsid w:val="008A0BB5"/>
    <w:rsid w:val="008C0D9F"/>
    <w:rsid w:val="008D6B69"/>
    <w:rsid w:val="008E2797"/>
    <w:rsid w:val="008E3C27"/>
    <w:rsid w:val="008E46B3"/>
    <w:rsid w:val="008E5DEB"/>
    <w:rsid w:val="00902080"/>
    <w:rsid w:val="009042BD"/>
    <w:rsid w:val="00914B7D"/>
    <w:rsid w:val="00917E86"/>
    <w:rsid w:val="009245DE"/>
    <w:rsid w:val="00934919"/>
    <w:rsid w:val="009405D5"/>
    <w:rsid w:val="009637FF"/>
    <w:rsid w:val="009654B2"/>
    <w:rsid w:val="00975287"/>
    <w:rsid w:val="00997364"/>
    <w:rsid w:val="009A1458"/>
    <w:rsid w:val="009B115A"/>
    <w:rsid w:val="009B2606"/>
    <w:rsid w:val="009B3CE1"/>
    <w:rsid w:val="009D0782"/>
    <w:rsid w:val="009D5CA2"/>
    <w:rsid w:val="009E0A70"/>
    <w:rsid w:val="009F168F"/>
    <w:rsid w:val="009F4FC3"/>
    <w:rsid w:val="00A0122D"/>
    <w:rsid w:val="00A15BD3"/>
    <w:rsid w:val="00A2449D"/>
    <w:rsid w:val="00A25387"/>
    <w:rsid w:val="00A3625C"/>
    <w:rsid w:val="00A50501"/>
    <w:rsid w:val="00A505C8"/>
    <w:rsid w:val="00A5102D"/>
    <w:rsid w:val="00A63BD6"/>
    <w:rsid w:val="00A91A2E"/>
    <w:rsid w:val="00AB47B3"/>
    <w:rsid w:val="00AB7460"/>
    <w:rsid w:val="00AC6D4C"/>
    <w:rsid w:val="00AC7C89"/>
    <w:rsid w:val="00AE40E1"/>
    <w:rsid w:val="00AF72C5"/>
    <w:rsid w:val="00B00A08"/>
    <w:rsid w:val="00B03A76"/>
    <w:rsid w:val="00B06B15"/>
    <w:rsid w:val="00B16D72"/>
    <w:rsid w:val="00B23FEF"/>
    <w:rsid w:val="00B23FF7"/>
    <w:rsid w:val="00B25B15"/>
    <w:rsid w:val="00B62244"/>
    <w:rsid w:val="00B63E09"/>
    <w:rsid w:val="00B743FA"/>
    <w:rsid w:val="00B929C6"/>
    <w:rsid w:val="00B9659D"/>
    <w:rsid w:val="00BA4BC4"/>
    <w:rsid w:val="00BB7756"/>
    <w:rsid w:val="00BC0276"/>
    <w:rsid w:val="00BC3670"/>
    <w:rsid w:val="00BC4908"/>
    <w:rsid w:val="00BC77FC"/>
    <w:rsid w:val="00BD2A03"/>
    <w:rsid w:val="00BE7045"/>
    <w:rsid w:val="00BF2ED5"/>
    <w:rsid w:val="00BF4A62"/>
    <w:rsid w:val="00C046B6"/>
    <w:rsid w:val="00C050F6"/>
    <w:rsid w:val="00C13D60"/>
    <w:rsid w:val="00C25751"/>
    <w:rsid w:val="00C26B07"/>
    <w:rsid w:val="00C31A2D"/>
    <w:rsid w:val="00C33D06"/>
    <w:rsid w:val="00C35CD2"/>
    <w:rsid w:val="00C64D41"/>
    <w:rsid w:val="00C64EF9"/>
    <w:rsid w:val="00C6701A"/>
    <w:rsid w:val="00C67D2E"/>
    <w:rsid w:val="00C85B37"/>
    <w:rsid w:val="00C875EE"/>
    <w:rsid w:val="00C916E9"/>
    <w:rsid w:val="00C94C7D"/>
    <w:rsid w:val="00CA7704"/>
    <w:rsid w:val="00CC4519"/>
    <w:rsid w:val="00CD2A88"/>
    <w:rsid w:val="00D01905"/>
    <w:rsid w:val="00D15B4C"/>
    <w:rsid w:val="00D20F09"/>
    <w:rsid w:val="00D211E4"/>
    <w:rsid w:val="00D235D3"/>
    <w:rsid w:val="00D25A2E"/>
    <w:rsid w:val="00D3073D"/>
    <w:rsid w:val="00D6191C"/>
    <w:rsid w:val="00D64BD2"/>
    <w:rsid w:val="00D65886"/>
    <w:rsid w:val="00D709D7"/>
    <w:rsid w:val="00D755DA"/>
    <w:rsid w:val="00D8272A"/>
    <w:rsid w:val="00DA3392"/>
    <w:rsid w:val="00DB471E"/>
    <w:rsid w:val="00DB7D8D"/>
    <w:rsid w:val="00DC4572"/>
    <w:rsid w:val="00DD12DE"/>
    <w:rsid w:val="00DD1CCA"/>
    <w:rsid w:val="00DE1457"/>
    <w:rsid w:val="00DE698C"/>
    <w:rsid w:val="00DF7013"/>
    <w:rsid w:val="00E016AD"/>
    <w:rsid w:val="00E06C36"/>
    <w:rsid w:val="00E07BAD"/>
    <w:rsid w:val="00E10DE8"/>
    <w:rsid w:val="00E16C7A"/>
    <w:rsid w:val="00E20717"/>
    <w:rsid w:val="00E21F4D"/>
    <w:rsid w:val="00E4250E"/>
    <w:rsid w:val="00E7716A"/>
    <w:rsid w:val="00E84356"/>
    <w:rsid w:val="00E856E3"/>
    <w:rsid w:val="00E875AE"/>
    <w:rsid w:val="00E90005"/>
    <w:rsid w:val="00E97366"/>
    <w:rsid w:val="00E97CE5"/>
    <w:rsid w:val="00E97D80"/>
    <w:rsid w:val="00EA599D"/>
    <w:rsid w:val="00EA60FE"/>
    <w:rsid w:val="00EC0139"/>
    <w:rsid w:val="00EE1671"/>
    <w:rsid w:val="00EE2F6E"/>
    <w:rsid w:val="00EF769F"/>
    <w:rsid w:val="00F10031"/>
    <w:rsid w:val="00F21153"/>
    <w:rsid w:val="00F242C9"/>
    <w:rsid w:val="00F36918"/>
    <w:rsid w:val="00F4089C"/>
    <w:rsid w:val="00F66DE6"/>
    <w:rsid w:val="00F709C4"/>
    <w:rsid w:val="00F7518E"/>
    <w:rsid w:val="00F76211"/>
    <w:rsid w:val="00F76DA0"/>
    <w:rsid w:val="00F77835"/>
    <w:rsid w:val="00F82B92"/>
    <w:rsid w:val="00F83BDC"/>
    <w:rsid w:val="00F95401"/>
    <w:rsid w:val="00F97B75"/>
    <w:rsid w:val="00FA2590"/>
    <w:rsid w:val="00FA5B4D"/>
    <w:rsid w:val="00FE1D3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B75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7D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167D"/>
    <w:pPr>
      <w:spacing w:before="360" w:after="80"/>
      <w:outlineLvl w:val="0"/>
    </w:pPr>
    <w:rPr>
      <w:rFonts w:eastAsia="Calibri" w:cs="Calibri"/>
      <w:b/>
      <w:i/>
      <w:color w:val="00000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046F"/>
    <w:pPr>
      <w:spacing w:before="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3046F"/>
    <w:pPr>
      <w:outlineLvl w:val="2"/>
    </w:pPr>
    <w:rPr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4167D"/>
    <w:rPr>
      <w:rFonts w:eastAsia="Calibri" w:cs="Calibri"/>
      <w:b/>
      <w:i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046F"/>
    <w:rPr>
      <w:rFonts w:eastAsia="Calibri" w:cs="Calibri"/>
      <w:b/>
      <w:i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rsid w:val="0034167D"/>
    <w:pPr>
      <w:numPr>
        <w:numId w:val="1"/>
      </w:numPr>
      <w:spacing w:after="0"/>
    </w:pPr>
    <w:rPr>
      <w:rFonts w:ascii="Calibri" w:hAnsi="Calibri" w:cs="Times New Roman"/>
    </w:rPr>
  </w:style>
  <w:style w:type="character" w:customStyle="1" w:styleId="BulletChar">
    <w:name w:val="Bullet Char"/>
    <w:basedOn w:val="DefaultParagraphFont"/>
    <w:link w:val="Bullet"/>
    <w:rsid w:val="0034167D"/>
    <w:rPr>
      <w:rFonts w:ascii="Calibri" w:hAnsi="Calibri" w:cs="Times New Roman"/>
    </w:rPr>
  </w:style>
  <w:style w:type="paragraph" w:customStyle="1" w:styleId="Dash">
    <w:name w:val="Dash"/>
    <w:basedOn w:val="Normal"/>
    <w:rsid w:val="0034167D"/>
    <w:pPr>
      <w:numPr>
        <w:ilvl w:val="1"/>
        <w:numId w:val="1"/>
      </w:numPr>
      <w:spacing w:after="0"/>
    </w:pPr>
    <w:rPr>
      <w:rFonts w:ascii="Calibri" w:hAnsi="Calibri" w:cs="Times New Roman"/>
    </w:rPr>
  </w:style>
  <w:style w:type="paragraph" w:customStyle="1" w:styleId="DoubleDot">
    <w:name w:val="Double Dot"/>
    <w:basedOn w:val="Normal"/>
    <w:rsid w:val="0034167D"/>
    <w:pPr>
      <w:numPr>
        <w:ilvl w:val="2"/>
        <w:numId w:val="1"/>
      </w:numPr>
      <w:spacing w:after="0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302"/>
    <w:pPr>
      <w:spacing w:before="120"/>
    </w:pPr>
  </w:style>
  <w:style w:type="character" w:customStyle="1" w:styleId="SubtitleChar">
    <w:name w:val="Subtitle Char"/>
    <w:basedOn w:val="DefaultParagraphFont"/>
    <w:link w:val="Subtitle"/>
    <w:uiPriority w:val="11"/>
    <w:rsid w:val="00013302"/>
  </w:style>
  <w:style w:type="paragraph" w:styleId="Title">
    <w:name w:val="Title"/>
    <w:basedOn w:val="Normal"/>
    <w:next w:val="Normal"/>
    <w:link w:val="TitleChar"/>
    <w:uiPriority w:val="10"/>
    <w:qFormat/>
    <w:rsid w:val="00013302"/>
    <w:pPr>
      <w:spacing w:before="160" w:after="240"/>
    </w:pPr>
    <w:rPr>
      <w:rFonts w:eastAsia="Calibri" w:cs="Calibri"/>
      <w:b/>
      <w:bCs/>
      <w:color w:val="3A6FA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3302"/>
    <w:rPr>
      <w:rFonts w:eastAsia="Calibri" w:cs="Calibri"/>
      <w:b/>
      <w:bCs/>
      <w:color w:val="3A6FAF"/>
      <w:sz w:val="32"/>
      <w:szCs w:val="32"/>
    </w:rPr>
  </w:style>
  <w:style w:type="character" w:styleId="SubtleEmphasis">
    <w:name w:val="Subtle Emphasis"/>
    <w:uiPriority w:val="19"/>
    <w:qFormat/>
    <w:rsid w:val="00013302"/>
    <w:rPr>
      <w:rFonts w:eastAsia="Calibri" w:cs="Calibri"/>
      <w:b/>
      <w:bCs/>
      <w:color w:val="002C47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3046F"/>
    <w:rPr>
      <w:rFonts w:eastAsia="Calibri" w:cs="Calibri"/>
      <w:b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B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B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A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AAB"/>
  </w:style>
  <w:style w:type="paragraph" w:styleId="Footer">
    <w:name w:val="footer"/>
    <w:basedOn w:val="Normal"/>
    <w:link w:val="FooterChar"/>
    <w:uiPriority w:val="99"/>
    <w:unhideWhenUsed/>
    <w:rsid w:val="005C0A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AAB"/>
  </w:style>
  <w:style w:type="paragraph" w:styleId="ListParagraph">
    <w:name w:val="List Paragraph"/>
    <w:basedOn w:val="Normal"/>
    <w:uiPriority w:val="34"/>
    <w:qFormat/>
    <w:rsid w:val="0007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75CD-62A3-4FE2-88E2-E6841B1C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2021-05-04T01:38:00Z</dcterms:created>
  <dcterms:modified xsi:type="dcterms:W3CDTF">2021-05-04T01:47:00Z</dcterms:modified>
</cp:coreProperties>
</file>