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EB3D" w14:textId="42A20F74" w:rsidR="00725216" w:rsidRPr="00463005" w:rsidRDefault="006351DC"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23 June 2021</w:t>
      </w:r>
    </w:p>
    <w:tbl>
      <w:tblPr>
        <w:tblW w:w="9185" w:type="dxa"/>
        <w:tblLayout w:type="fixed"/>
        <w:tblLook w:val="04A0" w:firstRow="1" w:lastRow="0" w:firstColumn="1" w:lastColumn="0" w:noHBand="0" w:noVBand="1"/>
      </w:tblPr>
      <w:tblGrid>
        <w:gridCol w:w="9185"/>
      </w:tblGrid>
      <w:tr w:rsidR="00725216" w:rsidRPr="00F21FAB" w14:paraId="57BC2909" w14:textId="77777777" w:rsidTr="00CC3A04">
        <w:trPr>
          <w:trHeight w:val="300"/>
        </w:trPr>
        <w:tc>
          <w:tcPr>
            <w:tcW w:w="5000" w:type="pct"/>
            <w:shd w:val="clear" w:color="auto" w:fill="auto"/>
            <w:vAlign w:val="center"/>
          </w:tcPr>
          <w:p w14:paraId="0EB52E41" w14:textId="46B539CF" w:rsidR="00725216" w:rsidRPr="003A7FFE" w:rsidRDefault="006351DC" w:rsidP="00463005">
            <w:pPr>
              <w:pStyle w:val="Heading2"/>
            </w:pPr>
            <w:bookmarkStart w:id="1" w:name="_Ref75254943"/>
            <w:bookmarkEnd w:id="0"/>
            <w:r>
              <w:t>Provisional Mortality Statistics, March 2021</w:t>
            </w:r>
            <w:bookmarkEnd w:id="1"/>
          </w:p>
        </w:tc>
      </w:tr>
      <w:tr w:rsidR="00725216" w:rsidRPr="0023709A" w14:paraId="37605938" w14:textId="77777777" w:rsidTr="00CC3A04">
        <w:trPr>
          <w:trHeight w:val="300"/>
        </w:trPr>
        <w:tc>
          <w:tcPr>
            <w:tcW w:w="5000" w:type="pct"/>
            <w:shd w:val="clear" w:color="auto" w:fill="CCE3F6" w:themeFill="accent2" w:themeFillTint="33"/>
            <w:vAlign w:val="center"/>
          </w:tcPr>
          <w:p w14:paraId="2D191C53" w14:textId="7B0B39A5" w:rsidR="00725216" w:rsidRPr="00FA35CB" w:rsidRDefault="006351DC" w:rsidP="00F21FAB">
            <w:pPr>
              <w:pStyle w:val="BoxText"/>
            </w:pPr>
            <w:r w:rsidRPr="002123E7">
              <w:t>Cumulatively in 202</w:t>
            </w:r>
            <w:r>
              <w:t>1</w:t>
            </w:r>
            <w:r w:rsidR="00D9782C">
              <w:t xml:space="preserve"> (until 28 March)</w:t>
            </w:r>
            <w:r w:rsidRPr="002123E7">
              <w:t xml:space="preserve">, the total number of doctor-certified deaths </w:t>
            </w:r>
            <w:r>
              <w:t>(</w:t>
            </w:r>
            <w:r w:rsidR="000E2FED">
              <w:t>31</w:t>
            </w:r>
            <w:r w:rsidR="00B21D49">
              <w:t>,</w:t>
            </w:r>
            <w:r w:rsidR="000E2FED">
              <w:t>363</w:t>
            </w:r>
            <w:r>
              <w:t xml:space="preserve">) </w:t>
            </w:r>
            <w:r w:rsidRPr="002123E7">
              <w:t xml:space="preserve">was </w:t>
            </w:r>
            <w:r w:rsidR="000E2FED">
              <w:t xml:space="preserve">higher than </w:t>
            </w:r>
            <w:r w:rsidRPr="002123E7">
              <w:t>the number of cumulative doctor-certified deaths</w:t>
            </w:r>
            <w:r>
              <w:t xml:space="preserve"> in 2020</w:t>
            </w:r>
            <w:r w:rsidR="00B21D49">
              <w:t xml:space="preserve"> (</w:t>
            </w:r>
            <w:r w:rsidR="000E2FED">
              <w:t>30</w:t>
            </w:r>
            <w:r w:rsidR="00B21D49">
              <w:t>,</w:t>
            </w:r>
            <w:r w:rsidR="000E2FED">
              <w:t>900</w:t>
            </w:r>
            <w:r w:rsidR="00B21D49">
              <w:t>)</w:t>
            </w:r>
            <w:r>
              <w:t xml:space="preserve">, </w:t>
            </w:r>
            <w:r w:rsidRPr="000E2FED">
              <w:t xml:space="preserve">and </w:t>
            </w:r>
            <w:r w:rsidR="00B21D49" w:rsidRPr="000E2FED">
              <w:t>higher</w:t>
            </w:r>
            <w:r w:rsidRPr="000E2FED">
              <w:t xml:space="preserve"> than the average over 2015-19 (</w:t>
            </w:r>
            <w:r w:rsidR="000E2FED" w:rsidRPr="000E2FED">
              <w:t>29</w:t>
            </w:r>
            <w:r w:rsidR="00B21D49" w:rsidRPr="000E2FED">
              <w:t>,75</w:t>
            </w:r>
            <w:r w:rsidR="002C33B3">
              <w:t>2</w:t>
            </w:r>
            <w:r w:rsidRPr="000E2FED">
              <w:t>).</w:t>
            </w:r>
            <w:r w:rsidR="00B21D49" w:rsidRPr="000E2FED">
              <w:t xml:space="preserve"> The weekly</w:t>
            </w:r>
            <w:r w:rsidR="00B21D49" w:rsidRPr="005C4011">
              <w:t xml:space="preserve"> number of doctor-certified deaths</w:t>
            </w:r>
            <w:r w:rsidR="00B21D49">
              <w:t xml:space="preserve"> in March 2021 was </w:t>
            </w:r>
            <w:r w:rsidR="00B21D49" w:rsidRPr="000E2FED">
              <w:t>higher than in 2020, and above</w:t>
            </w:r>
            <w:r w:rsidR="00B21D49">
              <w:t xml:space="preserve"> the 2015</w:t>
            </w:r>
            <w:r w:rsidR="00B21D49">
              <w:noBreakHyphen/>
              <w:t xml:space="preserve">19 average. </w:t>
            </w:r>
            <w:r w:rsidR="00B21D49" w:rsidRPr="00CB3341">
              <w:t xml:space="preserve">However, age standardised death rates </w:t>
            </w:r>
            <w:r w:rsidR="00CB3341" w:rsidRPr="00CB3341">
              <w:t>in March were lower than in 2020, and below the 2015-19 average</w:t>
            </w:r>
            <w:r w:rsidR="00E23819">
              <w:t>, suggesting that the increase in deaths is driven by a</w:t>
            </w:r>
            <w:r w:rsidR="00993D9B">
              <w:t xml:space="preserve"> change in the size and age structure</w:t>
            </w:r>
            <w:r w:rsidR="00E23819">
              <w:t xml:space="preserve"> of the population</w:t>
            </w:r>
            <w:r w:rsidR="00B07A8E">
              <w:t>.</w:t>
            </w:r>
            <w:r w:rsidRPr="002123E7">
              <w:t xml:space="preserve"> </w:t>
            </w:r>
          </w:p>
        </w:tc>
      </w:tr>
      <w:tr w:rsidR="00725216" w:rsidRPr="0023709A" w14:paraId="6484E700" w14:textId="77777777" w:rsidTr="00CC3A04">
        <w:trPr>
          <w:trHeight w:val="300"/>
        </w:trPr>
        <w:tc>
          <w:tcPr>
            <w:tcW w:w="5000" w:type="pct"/>
            <w:shd w:val="clear" w:color="auto" w:fill="auto"/>
            <w:vAlign w:val="center"/>
          </w:tcPr>
          <w:p w14:paraId="064B949C" w14:textId="2BED150C" w:rsidR="00725216" w:rsidRPr="004C38EA" w:rsidRDefault="006351DC" w:rsidP="00167155">
            <w:pPr>
              <w:pStyle w:val="Heading3"/>
              <w:keepNext w:val="0"/>
            </w:pPr>
            <w:r>
              <w:t>Weekly deaths</w:t>
            </w:r>
          </w:p>
          <w:p w14:paraId="3AC125CC" w14:textId="4CDFA79A" w:rsidR="006351DC" w:rsidRDefault="006351DC" w:rsidP="006351DC">
            <w:r w:rsidRPr="002123E7">
              <w:t>The number of deaths</w:t>
            </w:r>
            <w:r w:rsidR="00C74212">
              <w:t xml:space="preserve"> each week</w:t>
            </w:r>
            <w:r w:rsidRPr="002123E7">
              <w:t xml:space="preserve"> from January through to </w:t>
            </w:r>
            <w:r>
              <w:t>March</w:t>
            </w:r>
            <w:r w:rsidRPr="002123E7">
              <w:t xml:space="preserve"> was</w:t>
            </w:r>
            <w:r w:rsidR="00C74212">
              <w:t xml:space="preserve"> </w:t>
            </w:r>
            <w:r w:rsidR="00C74212" w:rsidRPr="00CB3341">
              <w:t>generally</w:t>
            </w:r>
            <w:r w:rsidRPr="00CB3341">
              <w:t xml:space="preserve"> higher</w:t>
            </w:r>
            <w:r>
              <w:t xml:space="preserve"> in 2021</w:t>
            </w:r>
            <w:r w:rsidRPr="002123E7">
              <w:t xml:space="preserve"> than</w:t>
            </w:r>
            <w:r>
              <w:t xml:space="preserve"> in 2020, </w:t>
            </w:r>
            <w:r w:rsidRPr="00CB3341">
              <w:t>and higher</w:t>
            </w:r>
            <w:r>
              <w:t xml:space="preserve"> than</w:t>
            </w:r>
            <w:r w:rsidRPr="002123E7">
              <w:t xml:space="preserve"> the 2015</w:t>
            </w:r>
            <w:r w:rsidRPr="002123E7">
              <w:noBreakHyphen/>
              <w:t>19 average</w:t>
            </w:r>
            <w:r>
              <w:t>.</w:t>
            </w:r>
            <w:r w:rsidRPr="002123E7">
              <w:t xml:space="preserve"> </w:t>
            </w:r>
            <w:r>
              <w:t>The weekly number of deaths from January through to March was</w:t>
            </w:r>
            <w:r w:rsidRPr="002123E7">
              <w:t xml:space="preserve"> </w:t>
            </w:r>
            <w:r w:rsidR="00CB3341" w:rsidRPr="00CB3341">
              <w:t xml:space="preserve">generally </w:t>
            </w:r>
            <w:r w:rsidRPr="00CB3341">
              <w:t xml:space="preserve">higher than maximums observed in previous years from </w:t>
            </w:r>
            <w:r w:rsidR="00CB3341" w:rsidRPr="00CB3341">
              <w:t>January</w:t>
            </w:r>
            <w:r w:rsidRPr="00CB3341">
              <w:t xml:space="preserve"> through to </w:t>
            </w:r>
            <w:r w:rsidR="00CB3341" w:rsidRPr="00CB3341">
              <w:t>March</w:t>
            </w:r>
            <w:r w:rsidRPr="002123E7">
              <w:t xml:space="preserve"> (Chart</w:t>
            </w:r>
            <w:r>
              <w:t xml:space="preserve"> </w:t>
            </w:r>
            <w:r w:rsidRPr="002123E7">
              <w:t>1).</w:t>
            </w:r>
          </w:p>
          <w:p w14:paraId="7D1FABB2" w14:textId="5BE45271" w:rsidR="00725216" w:rsidRPr="00834409" w:rsidRDefault="0033789B" w:rsidP="00167155">
            <w:pPr>
              <w:pStyle w:val="Chartheading"/>
            </w:pPr>
            <w:r>
              <w:t>Doctor-certified deaths, COVID-19 infections, 2015-19 average compared with 2020 and 2021</w:t>
            </w:r>
          </w:p>
          <w:p w14:paraId="430AC75F" w14:textId="4C1F6E2A" w:rsidR="00725216" w:rsidRDefault="004F5E06" w:rsidP="001C1A91">
            <w:pPr>
              <w:jc w:val="center"/>
            </w:pPr>
            <w:r>
              <w:rPr>
                <w:noProof/>
              </w:rPr>
              <w:drawing>
                <wp:inline distT="0" distB="0" distL="0" distR="0" wp14:anchorId="6CD2317F" wp14:editId="56C1D916">
                  <wp:extent cx="4895238" cy="26190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5238" cy="2619048"/>
                          </a:xfrm>
                          <a:prstGeom prst="rect">
                            <a:avLst/>
                          </a:prstGeom>
                        </pic:spPr>
                      </pic:pic>
                    </a:graphicData>
                  </a:graphic>
                </wp:inline>
              </w:drawing>
            </w:r>
          </w:p>
          <w:p w14:paraId="4B884037" w14:textId="554EEEB4" w:rsidR="00167155" w:rsidRPr="00834409" w:rsidRDefault="0033789B" w:rsidP="00167155">
            <w:pPr>
              <w:pStyle w:val="Heading3"/>
              <w:rPr>
                <w:b w:val="0"/>
              </w:rPr>
            </w:pPr>
            <w:r>
              <w:t>Cumulative deaths</w:t>
            </w:r>
          </w:p>
          <w:p w14:paraId="3C2C38A2" w14:textId="703600FD" w:rsidR="0033789B" w:rsidRDefault="0033789B" w:rsidP="0033789B">
            <w:r>
              <w:t xml:space="preserve">In March 2021, the cumulative number of doctor-certified deaths was </w:t>
            </w:r>
            <w:r w:rsidR="00CB3341">
              <w:t>higher than</w:t>
            </w:r>
            <w:r>
              <w:t xml:space="preserve"> the number of deaths in </w:t>
            </w:r>
            <w:proofErr w:type="gramStart"/>
            <w:r>
              <w:t>2020, and</w:t>
            </w:r>
            <w:proofErr w:type="gramEnd"/>
            <w:r>
              <w:t xml:space="preserve"> was </w:t>
            </w:r>
            <w:r w:rsidR="00CB3341">
              <w:t>above</w:t>
            </w:r>
            <w:r>
              <w:t xml:space="preserve"> the</w:t>
            </w:r>
            <w:r w:rsidR="00BC5BB6">
              <w:t xml:space="preserve"> 2015-19 average</w:t>
            </w:r>
            <w:r>
              <w:t>.</w:t>
            </w:r>
          </w:p>
          <w:p w14:paraId="728C74EE" w14:textId="78768537" w:rsidR="00167155" w:rsidRDefault="0033789B" w:rsidP="0033789B">
            <w:r w:rsidRPr="00DD1224">
              <w:t>Compared with the 2015-19 average, there have been slightly more doctor</w:t>
            </w:r>
            <w:r w:rsidRPr="00DD1224">
              <w:noBreakHyphen/>
              <w:t>certified deaths in 2021 for males</w:t>
            </w:r>
            <w:r w:rsidR="001605A0" w:rsidRPr="00DD1224">
              <w:t xml:space="preserve"> and females</w:t>
            </w:r>
            <w:r w:rsidRPr="00DD1224">
              <w:t xml:space="preserve"> aged over 65 years (an increase of </w:t>
            </w:r>
            <w:r w:rsidR="00DD1224" w:rsidRPr="00DD1224">
              <w:t>9</w:t>
            </w:r>
            <w:r w:rsidRPr="00DD1224">
              <w:t>.</w:t>
            </w:r>
            <w:r w:rsidR="00DD1224" w:rsidRPr="00DD1224">
              <w:t>7</w:t>
            </w:r>
            <w:r w:rsidR="001605A0" w:rsidRPr="00DD1224">
              <w:t xml:space="preserve"> and </w:t>
            </w:r>
            <w:r w:rsidR="00DD1224" w:rsidRPr="00DD1224">
              <w:t>4</w:t>
            </w:r>
            <w:r w:rsidR="001605A0" w:rsidRPr="00DD1224">
              <w:t>.</w:t>
            </w:r>
            <w:r w:rsidR="00DD1224" w:rsidRPr="00DD1224">
              <w:t>6</w:t>
            </w:r>
            <w:r w:rsidRPr="00DD1224">
              <w:t xml:space="preserve"> per cent</w:t>
            </w:r>
            <w:r w:rsidR="001605A0" w:rsidRPr="00DD1224">
              <w:t xml:space="preserve"> respectively</w:t>
            </w:r>
            <w:r w:rsidRPr="00DD1224">
              <w:t>) (Chart 2).</w:t>
            </w:r>
            <w:r>
              <w:t xml:space="preserve"> </w:t>
            </w:r>
          </w:p>
          <w:p w14:paraId="350D889C" w14:textId="23F8FC48" w:rsidR="0033789B" w:rsidRDefault="007D1BB6" w:rsidP="0033789B">
            <w:pPr>
              <w:pStyle w:val="Chartheading"/>
            </w:pPr>
            <w:r>
              <w:lastRenderedPageBreak/>
              <w:t>Cumulative doctor-certified deaths by age and sex, 2015-19 average compared with 2020 and 2021</w:t>
            </w:r>
          </w:p>
          <w:p w14:paraId="7A06D36A" w14:textId="539D18A4" w:rsidR="0033789B" w:rsidRDefault="00B6548B" w:rsidP="0033789B">
            <w:pPr>
              <w:pStyle w:val="Chartheading"/>
              <w:numPr>
                <w:ilvl w:val="0"/>
                <w:numId w:val="0"/>
              </w:numPr>
            </w:pPr>
            <w:r>
              <w:rPr>
                <w:noProof/>
              </w:rPr>
              <w:drawing>
                <wp:inline distT="0" distB="0" distL="0" distR="0" wp14:anchorId="4CC72A49" wp14:editId="0FAE2324">
                  <wp:extent cx="5580952" cy="252380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0952" cy="2523809"/>
                          </a:xfrm>
                          <a:prstGeom prst="rect">
                            <a:avLst/>
                          </a:prstGeom>
                        </pic:spPr>
                      </pic:pic>
                    </a:graphicData>
                  </a:graphic>
                </wp:inline>
              </w:drawing>
            </w:r>
          </w:p>
          <w:p w14:paraId="0B8D8A6E" w14:textId="26D30CD3" w:rsidR="0033789B" w:rsidRDefault="0033789B" w:rsidP="0033789B">
            <w:r>
              <w:t>Cumulative doctor</w:t>
            </w:r>
            <w:r>
              <w:noBreakHyphen/>
              <w:t xml:space="preserve">certified deaths </w:t>
            </w:r>
            <w:r w:rsidRPr="00E91824">
              <w:t>in 202</w:t>
            </w:r>
            <w:r>
              <w:t xml:space="preserve">1 </w:t>
            </w:r>
            <w:r w:rsidRPr="00DD1224">
              <w:t xml:space="preserve">were </w:t>
            </w:r>
            <w:r w:rsidR="00E059FA" w:rsidRPr="00DD1224">
              <w:t xml:space="preserve">slightly </w:t>
            </w:r>
            <w:r w:rsidRPr="00DD1224">
              <w:t>higher</w:t>
            </w:r>
            <w:r>
              <w:t xml:space="preserve"> in </w:t>
            </w:r>
            <w:r w:rsidR="001605A0">
              <w:t xml:space="preserve">most </w:t>
            </w:r>
            <w:r>
              <w:t>states</w:t>
            </w:r>
            <w:r w:rsidR="00AE4F75">
              <w:t xml:space="preserve"> and territories </w:t>
            </w:r>
            <w:r>
              <w:t xml:space="preserve">when compared with 2020, </w:t>
            </w:r>
            <w:r w:rsidR="001605A0">
              <w:t xml:space="preserve">and </w:t>
            </w:r>
            <w:r>
              <w:t xml:space="preserve">the 2015-19 </w:t>
            </w:r>
            <w:r w:rsidRPr="00DD1224">
              <w:t xml:space="preserve">average, </w:t>
            </w:r>
            <w:r w:rsidR="00B07A8E">
              <w:t xml:space="preserve">but </w:t>
            </w:r>
            <w:r w:rsidR="00E059FA" w:rsidRPr="00DD1224">
              <w:t xml:space="preserve">slightly </w:t>
            </w:r>
            <w:r w:rsidRPr="00DD1224">
              <w:t xml:space="preserve">lower in </w:t>
            </w:r>
            <w:r w:rsidR="00DD1224" w:rsidRPr="00DD1224">
              <w:t>the</w:t>
            </w:r>
            <w:r w:rsidR="00AE4F75" w:rsidRPr="00DD1224">
              <w:t xml:space="preserve"> NT and ACT</w:t>
            </w:r>
            <w:r w:rsidRPr="00DD1224">
              <w:t xml:space="preserve"> (Chart 3).</w:t>
            </w:r>
            <w:r>
              <w:t xml:space="preserve">  </w:t>
            </w:r>
          </w:p>
          <w:p w14:paraId="0823B8E0" w14:textId="6F54DB75" w:rsidR="0033789B" w:rsidRPr="0033789B" w:rsidRDefault="0033789B" w:rsidP="0033789B">
            <w:pPr>
              <w:pStyle w:val="Chartheading"/>
            </w:pPr>
            <w:r>
              <w:t>Cumulative doctor-certified deaths by state/territory of registration, 2015-19 average compared with 2020</w:t>
            </w:r>
            <w:r w:rsidRPr="008F245F">
              <w:t xml:space="preserve"> and 2021</w:t>
            </w:r>
          </w:p>
          <w:p w14:paraId="7479AB15" w14:textId="16E9C15F" w:rsidR="00780A59" w:rsidRDefault="00780A59" w:rsidP="0033789B">
            <w:pPr>
              <w:rPr>
                <w:noProof/>
              </w:rPr>
            </w:pPr>
            <w:r w:rsidRPr="00780A59">
              <w:rPr>
                <w:noProof/>
              </w:rPr>
              <w:drawing>
                <wp:inline distT="0" distB="0" distL="0" distR="0" wp14:anchorId="2E68A4FC" wp14:editId="2AC9B321">
                  <wp:extent cx="5686425"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2457450"/>
                          </a:xfrm>
                          <a:prstGeom prst="rect">
                            <a:avLst/>
                          </a:prstGeom>
                          <a:noFill/>
                          <a:ln>
                            <a:noFill/>
                          </a:ln>
                        </pic:spPr>
                      </pic:pic>
                    </a:graphicData>
                  </a:graphic>
                </wp:inline>
              </w:drawing>
            </w:r>
          </w:p>
          <w:p w14:paraId="2CD2245C" w14:textId="248DF195" w:rsidR="0033789B" w:rsidRDefault="0033789B" w:rsidP="0033789B">
            <w:r>
              <w:t>Cumulative doctor</w:t>
            </w:r>
            <w:r>
              <w:noBreakHyphen/>
              <w:t xml:space="preserve">certified deaths due to </w:t>
            </w:r>
            <w:r w:rsidRPr="00E91824">
              <w:t>influenza and pneumonia</w:t>
            </w:r>
            <w:r>
              <w:t xml:space="preserve"> </w:t>
            </w:r>
            <w:r w:rsidRPr="00E91824">
              <w:t>in</w:t>
            </w:r>
            <w:r>
              <w:t xml:space="preserve"> </w:t>
            </w:r>
            <w:r w:rsidRPr="004C1FAD">
              <w:t xml:space="preserve">2021 were </w:t>
            </w:r>
            <w:r w:rsidR="00AE4F75" w:rsidRPr="004C1FAD">
              <w:t>2</w:t>
            </w:r>
            <w:r w:rsidR="004C1FAD" w:rsidRPr="004C1FAD">
              <w:t>3</w:t>
            </w:r>
            <w:r w:rsidRPr="004C1FAD">
              <w:t xml:space="preserve"> per cent lower compared with the 2015</w:t>
            </w:r>
            <w:r w:rsidRPr="004C1FAD">
              <w:noBreakHyphen/>
              <w:t xml:space="preserve">19 </w:t>
            </w:r>
            <w:r w:rsidRPr="004C1FAD" w:rsidDel="008F3E7F">
              <w:t>average</w:t>
            </w:r>
            <w:r w:rsidRPr="004C1FAD">
              <w:t>, while doctor</w:t>
            </w:r>
            <w:r w:rsidRPr="004C1FAD">
              <w:noBreakHyphen/>
              <w:t xml:space="preserve">certified deaths due to dementia in 2021 were </w:t>
            </w:r>
            <w:r w:rsidR="004C1FAD" w:rsidRPr="004C1FAD">
              <w:t>20</w:t>
            </w:r>
            <w:r w:rsidRPr="004C1FAD">
              <w:t xml:space="preserve"> per cent higher compared with the 2015</w:t>
            </w:r>
            <w:r w:rsidRPr="004C1FAD">
              <w:noBreakHyphen/>
              <w:t>19 average (Chart 4).</w:t>
            </w:r>
            <w:r>
              <w:t xml:space="preserve">  </w:t>
            </w:r>
          </w:p>
          <w:p w14:paraId="44DAAF59" w14:textId="1DD08BCF" w:rsidR="003442E6" w:rsidRDefault="003442E6" w:rsidP="0033789B"/>
          <w:p w14:paraId="64903C9E" w14:textId="0C7270FD" w:rsidR="00380D07" w:rsidRDefault="00380D07" w:rsidP="0033789B"/>
          <w:p w14:paraId="1D65497E" w14:textId="51C1275C" w:rsidR="00380D07" w:rsidRDefault="00380D07" w:rsidP="0033789B"/>
          <w:p w14:paraId="7A0FE449" w14:textId="4EB5CBFD" w:rsidR="00380D07" w:rsidRDefault="00380D07" w:rsidP="0033789B"/>
          <w:p w14:paraId="2F5F9256" w14:textId="007DB687" w:rsidR="00380D07" w:rsidRDefault="00380D07" w:rsidP="0033789B"/>
          <w:p w14:paraId="71CFFEE1" w14:textId="5371F387" w:rsidR="00380D07" w:rsidRDefault="00380D07" w:rsidP="0033789B"/>
          <w:p w14:paraId="559855BD" w14:textId="501E0961" w:rsidR="00380D07" w:rsidRDefault="00380D07" w:rsidP="0033789B"/>
          <w:p w14:paraId="2B5AA049" w14:textId="77777777" w:rsidR="00380D07" w:rsidRDefault="00380D07" w:rsidP="0033789B"/>
          <w:p w14:paraId="2C28CD61" w14:textId="355E639E" w:rsidR="0033789B" w:rsidRDefault="0033789B" w:rsidP="00380D07">
            <w:pPr>
              <w:pStyle w:val="Chartheading"/>
              <w:pageBreakBefore/>
            </w:pPr>
            <w:r>
              <w:lastRenderedPageBreak/>
              <w:t xml:space="preserve">Cumulative doctor-certified deaths by specified cause of </w:t>
            </w:r>
            <w:r w:rsidRPr="007F31EF">
              <w:t xml:space="preserve">death, </w:t>
            </w:r>
            <w:r>
              <w:t>2015-19 average compared with 2020</w:t>
            </w:r>
            <w:r w:rsidRPr="008F245F">
              <w:t xml:space="preserve"> and </w:t>
            </w:r>
            <w:r w:rsidRPr="00057787">
              <w:t>2021</w:t>
            </w:r>
          </w:p>
          <w:p w14:paraId="26FF9C29" w14:textId="6E42899B" w:rsidR="0033789B" w:rsidRDefault="00780A59" w:rsidP="003442E6">
            <w:pPr>
              <w:keepLines/>
            </w:pPr>
            <w:r w:rsidRPr="00780A59">
              <w:rPr>
                <w:noProof/>
              </w:rPr>
              <w:drawing>
                <wp:inline distT="0" distB="0" distL="0" distR="0" wp14:anchorId="78C1FB3A" wp14:editId="72778552">
                  <wp:extent cx="5685155" cy="275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155" cy="2759075"/>
                          </a:xfrm>
                          <a:prstGeom prst="rect">
                            <a:avLst/>
                          </a:prstGeom>
                          <a:noFill/>
                          <a:ln>
                            <a:noFill/>
                          </a:ln>
                        </pic:spPr>
                      </pic:pic>
                    </a:graphicData>
                  </a:graphic>
                </wp:inline>
              </w:drawing>
            </w:r>
          </w:p>
          <w:p w14:paraId="40A6FEFF" w14:textId="6A7A491A" w:rsidR="0035677A" w:rsidRDefault="0035677A" w:rsidP="003442E6">
            <w:pPr>
              <w:pStyle w:val="Source"/>
              <w:keepLines/>
            </w:pPr>
            <w:r>
              <w:t>Note:</w:t>
            </w:r>
            <w:r>
              <w:rPr>
                <w:color w:val="000000"/>
              </w:rPr>
              <w:t xml:space="preserve"> </w:t>
            </w:r>
            <w:r w:rsidR="00057787">
              <w:rPr>
                <w:color w:val="000000"/>
              </w:rPr>
              <w:tab/>
            </w:r>
            <w:r>
              <w:t xml:space="preserve">Chart 4 shows the main causes of doctor-certified </w:t>
            </w:r>
            <w:proofErr w:type="gramStart"/>
            <w:r>
              <w:t>deaths, and</w:t>
            </w:r>
            <w:proofErr w:type="gramEnd"/>
            <w:r>
              <w:t xml:space="preserve"> does not sum to total doctor</w:t>
            </w:r>
            <w:r>
              <w:noBreakHyphen/>
              <w:t>certified deaths for the period.</w:t>
            </w:r>
          </w:p>
          <w:p w14:paraId="6CC7C70B" w14:textId="3DF8E82C" w:rsidR="0035677A" w:rsidRPr="0035677A" w:rsidRDefault="0035677A" w:rsidP="0035677A">
            <w:pPr>
              <w:pStyle w:val="Heading3"/>
            </w:pPr>
            <w:r w:rsidRPr="0035677A">
              <w:t>Age standardised death rates</w:t>
            </w:r>
          </w:p>
          <w:p w14:paraId="3503146E" w14:textId="77777777" w:rsidR="0035677A" w:rsidRDefault="0035677A" w:rsidP="0035677A">
            <w:r>
              <w:t>Age standardised death rates (ASDRs) allow</w:t>
            </w:r>
            <w:r w:rsidRPr="00831ED3">
              <w:t xml:space="preserve"> comparison of</w:t>
            </w:r>
            <w:r>
              <w:t xml:space="preserve"> mortality</w:t>
            </w:r>
            <w:r w:rsidRPr="00831ED3">
              <w:t xml:space="preserve"> </w:t>
            </w:r>
            <w:r>
              <w:t>trends across populations of different size and age structure. They are expressed as deaths per 100,000 population.</w:t>
            </w:r>
          </w:p>
          <w:p w14:paraId="205282A3" w14:textId="7F0B72B2" w:rsidR="0035677A" w:rsidRDefault="0035677A" w:rsidP="0035677A">
            <w:r>
              <w:t>In early 2021</w:t>
            </w:r>
            <w:r w:rsidR="00B07A8E">
              <w:t>,</w:t>
            </w:r>
            <w:r>
              <w:t xml:space="preserve"> ASDRs</w:t>
            </w:r>
            <w:r w:rsidRPr="00465C90">
              <w:t xml:space="preserve"> have </w:t>
            </w:r>
            <w:r w:rsidRPr="004C1FAD">
              <w:t>been generally lower</w:t>
            </w:r>
            <w:r>
              <w:t xml:space="preserve"> when compared to the 2015-19 average (Chart 5). </w:t>
            </w:r>
          </w:p>
          <w:p w14:paraId="0FED269B" w14:textId="77777777" w:rsidR="0035677A" w:rsidRDefault="0035677A" w:rsidP="0035677A">
            <w:pPr>
              <w:pStyle w:val="Chartheading"/>
            </w:pPr>
            <w:r>
              <w:t>Age standardised death rates, 2015-19 average compared with 2020 and 2021</w:t>
            </w:r>
          </w:p>
          <w:p w14:paraId="4CD39A00" w14:textId="0198BE0E" w:rsidR="0035677A" w:rsidRDefault="004C1FAD" w:rsidP="0035677A">
            <w:pPr>
              <w:pStyle w:val="Chartheading"/>
              <w:numPr>
                <w:ilvl w:val="0"/>
                <w:numId w:val="0"/>
              </w:numPr>
            </w:pPr>
            <w:r>
              <w:rPr>
                <w:noProof/>
              </w:rPr>
              <w:drawing>
                <wp:inline distT="0" distB="0" distL="0" distR="0" wp14:anchorId="5BBFD987" wp14:editId="6A0903F5">
                  <wp:extent cx="5552381" cy="2571429"/>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2381" cy="2571429"/>
                          </a:xfrm>
                          <a:prstGeom prst="rect">
                            <a:avLst/>
                          </a:prstGeom>
                        </pic:spPr>
                      </pic:pic>
                    </a:graphicData>
                  </a:graphic>
                </wp:inline>
              </w:drawing>
            </w:r>
          </w:p>
          <w:p w14:paraId="5DAF2CFB" w14:textId="7BC5113F" w:rsidR="0035677A" w:rsidRDefault="0035677A" w:rsidP="0035677A">
            <w:r>
              <w:t xml:space="preserve">ASDRs for respiratory diseases in 2021 have </w:t>
            </w:r>
            <w:r w:rsidRPr="004C1FAD">
              <w:t>also been lower</w:t>
            </w:r>
            <w:r>
              <w:t xml:space="preserve"> than the 2015-19 average (Chart 6</w:t>
            </w:r>
            <w:r w:rsidRPr="004C1FAD">
              <w:t>). This suggests that the decrease in respiratory related deaths are unrelated to changes in population size and ageing.</w:t>
            </w:r>
          </w:p>
          <w:p w14:paraId="5233A222" w14:textId="21DFE31F" w:rsidR="00BD3A1F" w:rsidRDefault="00BD3A1F" w:rsidP="0035677A"/>
          <w:p w14:paraId="2518DDE7" w14:textId="46059EE4" w:rsidR="00BD3A1F" w:rsidRDefault="00BD3A1F" w:rsidP="0035677A"/>
          <w:p w14:paraId="60AD5E9A" w14:textId="7613289D" w:rsidR="00BD3A1F" w:rsidRDefault="00BD3A1F" w:rsidP="0035677A"/>
          <w:p w14:paraId="5809F3BD" w14:textId="77777777" w:rsidR="00BD3A1F" w:rsidRDefault="00BD3A1F" w:rsidP="0035677A"/>
          <w:p w14:paraId="7D263B66" w14:textId="0B4D50D3" w:rsidR="0035677A" w:rsidRPr="0035677A" w:rsidRDefault="0035677A" w:rsidP="0035677A">
            <w:pPr>
              <w:pStyle w:val="Chartheading"/>
            </w:pPr>
            <w:r w:rsidRPr="0035677A">
              <w:lastRenderedPageBreak/>
              <w:t>Age standardised death rates for respiratory disease, 2015-19 average compared with 2020 and 2021</w:t>
            </w:r>
          </w:p>
          <w:p w14:paraId="263DD9A2" w14:textId="68CDCAA7" w:rsidR="0035677A" w:rsidRDefault="004C1FAD" w:rsidP="00057787">
            <w:r>
              <w:rPr>
                <w:noProof/>
              </w:rPr>
              <w:drawing>
                <wp:inline distT="0" distB="0" distL="0" distR="0" wp14:anchorId="39E46533" wp14:editId="0A0B2B06">
                  <wp:extent cx="5552381" cy="2571429"/>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2381" cy="2571429"/>
                          </a:xfrm>
                          <a:prstGeom prst="rect">
                            <a:avLst/>
                          </a:prstGeom>
                        </pic:spPr>
                      </pic:pic>
                    </a:graphicData>
                  </a:graphic>
                </wp:inline>
              </w:drawing>
            </w:r>
          </w:p>
          <w:p w14:paraId="4E2ECFC5" w14:textId="77777777" w:rsidR="00057787" w:rsidRDefault="00057787" w:rsidP="008F245F">
            <w:pPr>
              <w:pStyle w:val="Source"/>
            </w:pPr>
          </w:p>
          <w:p w14:paraId="7DD68EA6" w14:textId="05C35D1F" w:rsidR="0035677A" w:rsidRDefault="0035677A" w:rsidP="0035677A">
            <w:r>
              <w:t xml:space="preserve">ASDRs for dementia for </w:t>
            </w:r>
            <w:r w:rsidRPr="004C1FAD">
              <w:t>2021 are close to</w:t>
            </w:r>
            <w:r>
              <w:t xml:space="preserve"> the 2015-19 average (Chart 7</w:t>
            </w:r>
            <w:r w:rsidRPr="004C1FAD">
              <w:t>). This suggests that some of the increase in cumulative dementia deaths compared to the 2015</w:t>
            </w:r>
            <w:r w:rsidRPr="004C1FAD">
              <w:noBreakHyphen/>
              <w:t>19 average can be explained by an increase in population size, particularly at older ages.</w:t>
            </w:r>
            <w:r>
              <w:t xml:space="preserve"> </w:t>
            </w:r>
          </w:p>
          <w:p w14:paraId="0B6DA070" w14:textId="4320046C" w:rsidR="0035677A" w:rsidRDefault="0035677A" w:rsidP="0035677A">
            <w:pPr>
              <w:pStyle w:val="Chartheading"/>
            </w:pPr>
            <w:r w:rsidRPr="0035677A">
              <w:t>Age standardised death rates for dementia, 2015-19 average compared with 2020 and 2021</w:t>
            </w:r>
          </w:p>
          <w:p w14:paraId="3E5673C8" w14:textId="68E499B0" w:rsidR="0035677A" w:rsidRPr="0035677A" w:rsidRDefault="004C1FAD" w:rsidP="008F245F">
            <w:r>
              <w:rPr>
                <w:noProof/>
              </w:rPr>
              <w:drawing>
                <wp:inline distT="0" distB="0" distL="0" distR="0" wp14:anchorId="24E8E27C" wp14:editId="154577F4">
                  <wp:extent cx="5552381" cy="2571429"/>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2381" cy="2571429"/>
                          </a:xfrm>
                          <a:prstGeom prst="rect">
                            <a:avLst/>
                          </a:prstGeom>
                        </pic:spPr>
                      </pic:pic>
                    </a:graphicData>
                  </a:graphic>
                </wp:inline>
              </w:drawing>
            </w:r>
          </w:p>
          <w:p w14:paraId="031C2D16" w14:textId="77777777" w:rsidR="008F245F" w:rsidRPr="0035677A" w:rsidRDefault="008F245F" w:rsidP="008F245F">
            <w:pPr>
              <w:pStyle w:val="Source"/>
            </w:pPr>
          </w:p>
          <w:p w14:paraId="75144DB0" w14:textId="77777777" w:rsidR="00167155" w:rsidRDefault="00167155" w:rsidP="00167155">
            <w:pPr>
              <w:pStyle w:val="TableHeadingContinued"/>
            </w:pPr>
            <w:r w:rsidRPr="00737787">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167155" w:rsidRPr="009C2B09" w14:paraId="647D94ED" w14:textId="77777777" w:rsidTr="00CC3A04">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77777777" w:rsidR="00167155" w:rsidRPr="00DC62D9"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167155" w:rsidRPr="009C2B09" w14:paraId="6950ED65" w14:textId="77777777" w:rsidTr="00CC3A04">
              <w:trPr>
                <w:trHeight w:val="204"/>
                <w:jc w:val="center"/>
              </w:trPr>
              <w:tc>
                <w:tcPr>
                  <w:tcW w:w="4731" w:type="dxa"/>
                  <w:tcBorders>
                    <w:top w:val="single" w:sz="4" w:space="0" w:color="002C47" w:themeColor="accent1"/>
                  </w:tcBorders>
                  <w:shd w:val="clear" w:color="auto" w:fill="auto"/>
                  <w:noWrap/>
                  <w:tcMar>
                    <w:left w:w="28" w:type="dxa"/>
                  </w:tcMar>
                  <w:vAlign w:val="bottom"/>
                </w:tcPr>
                <w:p w14:paraId="40C724EF" w14:textId="77777777"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Regional internal migration estimates, provisional</w:t>
                  </w:r>
                  <w:r>
                    <w:rPr>
                      <w:rFonts w:asciiTheme="minorHAnsi" w:eastAsia="Times New Roman" w:hAnsiTheme="minorHAnsi" w:cstheme="minorHAnsi"/>
                      <w:b/>
                      <w:bCs/>
                      <w:color w:val="000000"/>
                      <w:sz w:val="18"/>
                      <w:szCs w:val="18"/>
                      <w:lang w:eastAsia="en-AU"/>
                    </w:rPr>
                    <w:t xml:space="preserve"> (PRIME)</w:t>
                  </w:r>
                </w:p>
              </w:tc>
              <w:tc>
                <w:tcPr>
                  <w:tcW w:w="1425" w:type="dxa"/>
                  <w:tcBorders>
                    <w:top w:val="single" w:sz="4" w:space="0" w:color="002C47" w:themeColor="accent1"/>
                    <w:left w:val="nil"/>
                    <w:bottom w:val="nil"/>
                    <w:right w:val="nil"/>
                  </w:tcBorders>
                  <w:shd w:val="clear" w:color="auto" w:fill="auto"/>
                  <w:noWrap/>
                  <w:vAlign w:val="bottom"/>
                </w:tcPr>
                <w:p w14:paraId="32E0C0B0" w14:textId="77777777"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N/A</w:t>
                  </w:r>
                </w:p>
              </w:tc>
              <w:tc>
                <w:tcPr>
                  <w:tcW w:w="1592" w:type="dxa"/>
                  <w:tcBorders>
                    <w:top w:val="single" w:sz="4" w:space="0" w:color="002C47" w:themeColor="accent1"/>
                    <w:left w:val="nil"/>
                    <w:bottom w:val="nil"/>
                    <w:right w:val="nil"/>
                  </w:tcBorders>
                  <w:shd w:val="clear" w:color="auto" w:fill="auto"/>
                  <w:noWrap/>
                  <w:vAlign w:val="bottom"/>
                </w:tcPr>
                <w:p w14:paraId="734CEDEF" w14:textId="77777777" w:rsidR="00167155" w:rsidRPr="009C2B09" w:rsidRDefault="00167155"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13619">
                    <w:rPr>
                      <w:rFonts w:asciiTheme="minorHAnsi" w:eastAsia="Times New Roman" w:hAnsiTheme="minorHAnsi" w:cstheme="minorHAnsi"/>
                      <w:color w:val="000000"/>
                      <w:sz w:val="18"/>
                      <w:szCs w:val="18"/>
                      <w:lang w:eastAsia="en-AU"/>
                    </w:rPr>
                    <w:t>3/08/2021</w:t>
                  </w:r>
                </w:p>
              </w:tc>
            </w:tr>
            <w:tr w:rsidR="00167155" w:rsidRPr="009C2B09" w14:paraId="40320B05" w14:textId="77777777" w:rsidTr="00CC3A04">
              <w:trPr>
                <w:trHeight w:val="204"/>
                <w:jc w:val="center"/>
              </w:trPr>
              <w:tc>
                <w:tcPr>
                  <w:tcW w:w="4731" w:type="dxa"/>
                  <w:tcBorders>
                    <w:bottom w:val="nil"/>
                  </w:tcBorders>
                  <w:shd w:val="clear" w:color="auto" w:fill="auto"/>
                  <w:noWrap/>
                  <w:tcMar>
                    <w:left w:w="28" w:type="dxa"/>
                  </w:tcMar>
                  <w:vAlign w:val="bottom"/>
                </w:tcPr>
                <w:p w14:paraId="60B03A65" w14:textId="77777777"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 by age and sex</w:t>
                  </w:r>
                </w:p>
              </w:tc>
              <w:tc>
                <w:tcPr>
                  <w:tcW w:w="1425" w:type="dxa"/>
                  <w:tcBorders>
                    <w:top w:val="nil"/>
                    <w:left w:val="nil"/>
                    <w:bottom w:val="nil"/>
                    <w:right w:val="nil"/>
                  </w:tcBorders>
                  <w:shd w:val="clear" w:color="auto" w:fill="auto"/>
                  <w:noWrap/>
                  <w:vAlign w:val="bottom"/>
                </w:tcPr>
                <w:p w14:paraId="63BD1473" w14:textId="77777777"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sidRPr="00C86822">
                    <w:rPr>
                      <w:rFonts w:asciiTheme="minorHAnsi" w:eastAsia="Times New Roman" w:hAnsiTheme="minorHAnsi" w:cstheme="minorHAnsi"/>
                      <w:color w:val="000000"/>
                      <w:sz w:val="18"/>
                      <w:szCs w:val="18"/>
                      <w:lang w:eastAsia="en-AU"/>
                    </w:rPr>
                    <w:t>3235</w:t>
                  </w:r>
                  <w:r w:rsidRPr="00513619">
                    <w:rPr>
                      <w:rFonts w:asciiTheme="minorHAnsi" w:eastAsia="Times New Roman" w:hAnsiTheme="minorHAnsi" w:cstheme="minorHAnsi"/>
                      <w:color w:val="000000"/>
                      <w:sz w:val="18"/>
                      <w:szCs w:val="18"/>
                      <w:lang w:eastAsia="en-AU"/>
                    </w:rPr>
                    <w:t>.0</w:t>
                  </w:r>
                </w:p>
              </w:tc>
              <w:tc>
                <w:tcPr>
                  <w:tcW w:w="1592" w:type="dxa"/>
                  <w:tcBorders>
                    <w:top w:val="nil"/>
                    <w:left w:val="nil"/>
                    <w:bottom w:val="nil"/>
                    <w:right w:val="nil"/>
                  </w:tcBorders>
                  <w:shd w:val="clear" w:color="auto" w:fill="auto"/>
                  <w:noWrap/>
                  <w:vAlign w:val="bottom"/>
                </w:tcPr>
                <w:p w14:paraId="67C65EDC" w14:textId="77777777" w:rsidR="00167155" w:rsidRPr="009C2B09" w:rsidRDefault="00167155"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13619">
                    <w:rPr>
                      <w:rFonts w:asciiTheme="minorHAnsi" w:eastAsia="Times New Roman" w:hAnsiTheme="minorHAnsi" w:cstheme="minorHAnsi"/>
                      <w:color w:val="000000"/>
                      <w:sz w:val="18"/>
                      <w:szCs w:val="18"/>
                      <w:lang w:eastAsia="en-AU"/>
                    </w:rPr>
                    <w:t>2</w:t>
                  </w:r>
                  <w:r>
                    <w:rPr>
                      <w:rFonts w:asciiTheme="minorHAnsi" w:eastAsia="Times New Roman" w:hAnsiTheme="minorHAnsi" w:cstheme="minorHAnsi"/>
                      <w:color w:val="000000"/>
                      <w:sz w:val="18"/>
                      <w:szCs w:val="18"/>
                      <w:lang w:eastAsia="en-AU"/>
                    </w:rPr>
                    <w:t>7</w:t>
                  </w:r>
                  <w:r w:rsidRPr="00513619">
                    <w:rPr>
                      <w:rFonts w:asciiTheme="minorHAnsi" w:eastAsia="Times New Roman" w:hAnsiTheme="minorHAnsi" w:cstheme="minorHAnsi"/>
                      <w:color w:val="000000"/>
                      <w:sz w:val="18"/>
                      <w:szCs w:val="18"/>
                      <w:lang w:eastAsia="en-AU"/>
                    </w:rPr>
                    <w:t>/0</w:t>
                  </w:r>
                  <w:r>
                    <w:rPr>
                      <w:rFonts w:asciiTheme="minorHAnsi" w:eastAsia="Times New Roman" w:hAnsiTheme="minorHAnsi" w:cstheme="minorHAnsi"/>
                      <w:color w:val="000000"/>
                      <w:sz w:val="18"/>
                      <w:szCs w:val="18"/>
                      <w:lang w:eastAsia="en-AU"/>
                    </w:rPr>
                    <w:t>8</w:t>
                  </w:r>
                  <w:r w:rsidRPr="00513619">
                    <w:rPr>
                      <w:rFonts w:asciiTheme="minorHAnsi" w:eastAsia="Times New Roman" w:hAnsiTheme="minorHAnsi" w:cstheme="minorHAnsi"/>
                      <w:color w:val="000000"/>
                      <w:sz w:val="18"/>
                      <w:szCs w:val="18"/>
                      <w:lang w:eastAsia="en-AU"/>
                    </w:rPr>
                    <w:t>/</w:t>
                  </w:r>
                  <w:r>
                    <w:rPr>
                      <w:rFonts w:asciiTheme="minorHAnsi" w:eastAsia="Times New Roman" w:hAnsiTheme="minorHAnsi" w:cstheme="minorHAnsi"/>
                      <w:color w:val="000000"/>
                      <w:sz w:val="18"/>
                      <w:szCs w:val="18"/>
                      <w:lang w:eastAsia="en-AU"/>
                    </w:rPr>
                    <w:t>2021</w:t>
                  </w:r>
                </w:p>
              </w:tc>
            </w:tr>
            <w:tr w:rsidR="00167155" w:rsidRPr="009C2B09" w14:paraId="6D273FCD" w14:textId="77777777" w:rsidTr="00CC3A04">
              <w:trPr>
                <w:trHeight w:val="204"/>
                <w:jc w:val="center"/>
              </w:trPr>
              <w:tc>
                <w:tcPr>
                  <w:tcW w:w="4731" w:type="dxa"/>
                  <w:tcBorders>
                    <w:top w:val="nil"/>
                    <w:bottom w:val="single" w:sz="4" w:space="0" w:color="002C47" w:themeColor="accent1"/>
                  </w:tcBorders>
                  <w:shd w:val="clear" w:color="auto" w:fill="auto"/>
                  <w:noWrap/>
                  <w:tcMar>
                    <w:left w:w="28" w:type="dxa"/>
                  </w:tcMar>
                  <w:vAlign w:val="bottom"/>
                </w:tcPr>
                <w:p w14:paraId="5ADD8446" w14:textId="77777777" w:rsidR="00167155" w:rsidRPr="009C2B09"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xml:space="preserve"> March 2021</w:t>
                  </w:r>
                </w:p>
              </w:tc>
              <w:tc>
                <w:tcPr>
                  <w:tcW w:w="1425" w:type="dxa"/>
                  <w:tcBorders>
                    <w:top w:val="nil"/>
                    <w:left w:val="nil"/>
                    <w:bottom w:val="single" w:sz="4" w:space="0" w:color="002C47" w:themeColor="accent1"/>
                    <w:right w:val="nil"/>
                  </w:tcBorders>
                  <w:shd w:val="clear" w:color="auto" w:fill="auto"/>
                  <w:noWrap/>
                  <w:vAlign w:val="bottom"/>
                </w:tcPr>
                <w:p w14:paraId="7F2859E0" w14:textId="77777777" w:rsidR="00167155" w:rsidRPr="009C2B09"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592" w:type="dxa"/>
                  <w:tcBorders>
                    <w:top w:val="nil"/>
                    <w:left w:val="nil"/>
                    <w:bottom w:val="single" w:sz="4" w:space="0" w:color="002C47" w:themeColor="accent1"/>
                    <w:right w:val="nil"/>
                  </w:tcBorders>
                  <w:shd w:val="clear" w:color="auto" w:fill="auto"/>
                  <w:noWrap/>
                  <w:vAlign w:val="bottom"/>
                </w:tcPr>
                <w:p w14:paraId="4A0CEE85" w14:textId="77777777" w:rsidR="00167155" w:rsidRPr="009C2B09" w:rsidRDefault="00167155"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16/09/2021</w:t>
                  </w:r>
                </w:p>
              </w:tc>
            </w:tr>
          </w:tbl>
          <w:p w14:paraId="2D0644AA" w14:textId="28C54279" w:rsidR="00725216" w:rsidRPr="00945E30" w:rsidRDefault="00725216" w:rsidP="00F21FAB"/>
        </w:tc>
      </w:tr>
      <w:tr w:rsidR="00725216" w:rsidRPr="0023709A" w14:paraId="5CA9948B" w14:textId="77777777" w:rsidTr="00CC3A04">
        <w:trPr>
          <w:trHeight w:val="300"/>
        </w:trPr>
        <w:tc>
          <w:tcPr>
            <w:tcW w:w="5000" w:type="pct"/>
            <w:shd w:val="clear" w:color="auto" w:fill="auto"/>
          </w:tcPr>
          <w:p w14:paraId="4B60D3C9" w14:textId="77777777" w:rsidR="00725216" w:rsidRPr="00834409" w:rsidRDefault="00725216" w:rsidP="00F21FAB"/>
        </w:tc>
      </w:tr>
      <w:tr w:rsidR="00725216" w:rsidRPr="00D24DBE" w14:paraId="4AB1EC6E" w14:textId="77777777" w:rsidTr="00CC3A04">
        <w:trPr>
          <w:trHeight w:val="300"/>
        </w:trPr>
        <w:tc>
          <w:tcPr>
            <w:tcW w:w="5000" w:type="pct"/>
            <w:tcBorders>
              <w:bottom w:val="single" w:sz="12" w:space="0" w:color="002C47" w:themeColor="accent1"/>
            </w:tcBorders>
            <w:shd w:val="clear" w:color="auto" w:fill="auto"/>
            <w:vAlign w:val="center"/>
          </w:tcPr>
          <w:p w14:paraId="70B4801F" w14:textId="5750273D" w:rsidR="00725216" w:rsidRDefault="00725216" w:rsidP="00F21FAB">
            <w:pPr>
              <w:pStyle w:val="Heading3"/>
            </w:pPr>
            <w:r>
              <w:lastRenderedPageBreak/>
              <w:t>NOTES</w:t>
            </w:r>
          </w:p>
          <w:p w14:paraId="0A692BD0" w14:textId="77777777" w:rsidR="0035677A" w:rsidRDefault="0035677A" w:rsidP="0035677A">
            <w:r>
              <w:t>Provisional data in this release only include</w:t>
            </w:r>
            <w:r w:rsidRPr="006579A0">
              <w:t xml:space="preserve"> doctor-certified </w:t>
            </w:r>
            <w:proofErr w:type="gramStart"/>
            <w:r w:rsidRPr="006579A0">
              <w:t>deaths</w:t>
            </w:r>
            <w:r>
              <w:t>, and</w:t>
            </w:r>
            <w:proofErr w:type="gramEnd"/>
            <w:r>
              <w:t xml:space="preserve"> are therefore </w:t>
            </w:r>
            <w:r w:rsidRPr="006579A0">
              <w:t xml:space="preserve">not comparable with the annual </w:t>
            </w:r>
            <w:r w:rsidRPr="00A268EF">
              <w:rPr>
                <w:i/>
              </w:rPr>
              <w:t xml:space="preserve">Deaths </w:t>
            </w:r>
            <w:r w:rsidRPr="00957951">
              <w:t>and</w:t>
            </w:r>
            <w:r w:rsidRPr="00A268EF">
              <w:rPr>
                <w:i/>
              </w:rPr>
              <w:t xml:space="preserve"> Causes of Death</w:t>
            </w:r>
            <w:r w:rsidRPr="006579A0">
              <w:t xml:space="preserve"> data</w:t>
            </w:r>
            <w:r>
              <w:t xml:space="preserve"> releases (which also include coroner</w:t>
            </w:r>
            <w:r>
              <w:noBreakHyphen/>
              <w:t>certified deaths)</w:t>
            </w:r>
            <w:r w:rsidRPr="006579A0">
              <w:t xml:space="preserve">. </w:t>
            </w:r>
            <w:r w:rsidRPr="00145BAB">
              <w:rPr>
                <w:rFonts w:asciiTheme="minorHAnsi" w:hAnsiTheme="minorHAnsi"/>
                <w:shd w:val="clear" w:color="auto" w:fill="FFFFFF"/>
              </w:rPr>
              <w:t>Each year just over 10</w:t>
            </w:r>
            <w:r>
              <w:rPr>
                <w:rFonts w:asciiTheme="minorHAnsi" w:hAnsiTheme="minorHAnsi"/>
                <w:shd w:val="clear" w:color="auto" w:fill="FFFFFF"/>
              </w:rPr>
              <w:t> per cent</w:t>
            </w:r>
            <w:r w:rsidRPr="00145BAB">
              <w:rPr>
                <w:rFonts w:asciiTheme="minorHAnsi" w:hAnsiTheme="minorHAnsi"/>
                <w:shd w:val="clear" w:color="auto" w:fill="FFFFFF"/>
              </w:rPr>
              <w:t xml:space="preserve"> of deaths in Australia are certified by a coroner. These include reportable deaths including suicides, drug overdoses and assaults</w:t>
            </w:r>
            <w:r>
              <w:rPr>
                <w:rFonts w:asciiTheme="minorHAnsi" w:hAnsiTheme="minorHAnsi"/>
                <w:shd w:val="clear" w:color="auto" w:fill="FFFFFF"/>
              </w:rPr>
              <w:t>.</w:t>
            </w:r>
          </w:p>
          <w:p w14:paraId="7FC27CB0" w14:textId="77777777" w:rsidR="0035677A" w:rsidRDefault="0035677A" w:rsidP="0035677A"/>
          <w:p w14:paraId="633659A1" w14:textId="06EFEFFD" w:rsidR="0035677A" w:rsidRDefault="0035677A" w:rsidP="0035677A">
            <w:r w:rsidRPr="006579A0">
              <w:t xml:space="preserve">Each new </w:t>
            </w:r>
            <w:r w:rsidRPr="00A268EF">
              <w:rPr>
                <w:i/>
              </w:rPr>
              <w:t>Provisional Mortality Statistics</w:t>
            </w:r>
            <w:r w:rsidRPr="006579A0">
              <w:t xml:space="preserve"> release will include those deaths that have been registered and reported to the A</w:t>
            </w:r>
            <w:r>
              <w:t xml:space="preserve">ustralian </w:t>
            </w:r>
            <w:r w:rsidRPr="006579A0">
              <w:t>B</w:t>
            </w:r>
            <w:r>
              <w:t xml:space="preserve">ureau of </w:t>
            </w:r>
            <w:r w:rsidRPr="006579A0">
              <w:t>S</w:t>
            </w:r>
            <w:r>
              <w:t>tatistics</w:t>
            </w:r>
            <w:r w:rsidRPr="006579A0">
              <w:t xml:space="preserve"> since the previous </w:t>
            </w:r>
            <w:r>
              <w:t>release</w:t>
            </w:r>
            <w:r w:rsidRPr="006579A0">
              <w:t xml:space="preserve">. As some of those deaths will have occurred in time periods covered in previous reports, the counts of deaths for those time periods will change from one report to the next. As a result, </w:t>
            </w:r>
            <w:r>
              <w:t>the cumulative</w:t>
            </w:r>
            <w:r w:rsidRPr="006579A0">
              <w:t xml:space="preserve"> numbers </w:t>
            </w:r>
            <w:r>
              <w:t>of deaths for the January-December</w:t>
            </w:r>
            <w:r w:rsidRPr="006579A0">
              <w:t xml:space="preserve"> period will change in future releases. </w:t>
            </w:r>
          </w:p>
          <w:p w14:paraId="3DD67E53" w14:textId="68B8FF94" w:rsidR="00C74212" w:rsidRDefault="00C74212" w:rsidP="0035677A"/>
          <w:p w14:paraId="1C31D145" w14:textId="4848D7E6" w:rsidR="00C74212" w:rsidRPr="00C74212" w:rsidRDefault="00C74212" w:rsidP="0035677A">
            <w:r>
              <w:rPr>
                <w:i/>
                <w:iCs/>
              </w:rPr>
              <w:t xml:space="preserve">Provisional Mortality Statistics </w:t>
            </w:r>
            <w:r>
              <w:t>is release</w:t>
            </w:r>
            <w:r w:rsidR="00C6193B">
              <w:t>d</w:t>
            </w:r>
            <w:r>
              <w:t xml:space="preserve"> by the Australian Bureau of Statistics monthly. The Centre for Population prepares notes analysing these releases on a quarterly basis.</w:t>
            </w:r>
          </w:p>
          <w:p w14:paraId="38FE2F4B" w14:textId="77777777" w:rsidR="0035677A" w:rsidRPr="0035677A" w:rsidRDefault="0035677A" w:rsidP="0035677A"/>
          <w:p w14:paraId="57A4071E" w14:textId="761F59EC" w:rsidR="00725216" w:rsidRPr="00D24DBE" w:rsidRDefault="00725216" w:rsidP="00F21FAB">
            <w:r>
              <w:t xml:space="preserve">Further detail is available from the </w:t>
            </w:r>
            <w:hyperlink r:id="rId15" w:history="1">
              <w:r w:rsidRPr="0035677A">
                <w:rPr>
                  <w:rStyle w:val="Hyperlink"/>
                </w:rPr>
                <w:t>Australian Bureau of Statistics</w:t>
              </w:r>
            </w:hyperlink>
          </w:p>
        </w:tc>
      </w:tr>
    </w:tbl>
    <w:p w14:paraId="2748F8F0" w14:textId="03645EA7" w:rsidR="00725216" w:rsidRDefault="00057787" w:rsidP="001A0533">
      <w:pPr>
        <w:rPr>
          <w:color w:val="000000"/>
        </w:rPr>
      </w:pPr>
      <w:r>
        <w:rPr>
          <w:color w:val="000000"/>
        </w:rPr>
        <w:tab/>
      </w:r>
    </w:p>
    <w:sectPr w:rsidR="00725216" w:rsidSect="00763EB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E6CA" w14:textId="77777777" w:rsidR="00C81CCE" w:rsidRDefault="00C81CCE" w:rsidP="008F6A37">
      <w:r>
        <w:separator/>
      </w:r>
    </w:p>
  </w:endnote>
  <w:endnote w:type="continuationSeparator" w:id="0">
    <w:p w14:paraId="32AC2D1A" w14:textId="77777777" w:rsidR="00C81CCE" w:rsidRDefault="00C81CCE" w:rsidP="008F6A37">
      <w:r>
        <w:continuationSeparator/>
      </w:r>
    </w:p>
  </w:endnote>
  <w:endnote w:type="continuationNotice" w:id="1">
    <w:p w14:paraId="669BF26E" w14:textId="77777777" w:rsidR="00C81CCE" w:rsidRDefault="00C81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91A5" w14:textId="75752A09" w:rsidR="004B590F" w:rsidRDefault="004B590F">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7CF" w14:textId="4DDB57AF" w:rsidR="004B590F" w:rsidRDefault="004B590F"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6305" w14:textId="7B5B23E0" w:rsidR="004B590F" w:rsidRDefault="004B590F"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A3F1" w14:textId="77777777" w:rsidR="00C81CCE" w:rsidRDefault="00C81CCE" w:rsidP="008F6A37">
      <w:r>
        <w:separator/>
      </w:r>
    </w:p>
  </w:footnote>
  <w:footnote w:type="continuationSeparator" w:id="0">
    <w:p w14:paraId="24E6BCF6" w14:textId="77777777" w:rsidR="00C81CCE" w:rsidRDefault="00C81CCE" w:rsidP="008F6A37">
      <w:r>
        <w:continuationSeparator/>
      </w:r>
    </w:p>
  </w:footnote>
  <w:footnote w:type="continuationNotice" w:id="1">
    <w:p w14:paraId="71A8CC6B" w14:textId="77777777" w:rsidR="00C81CCE" w:rsidRDefault="00C81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D1D4" w14:textId="0A9FACF2" w:rsidR="004B590F" w:rsidRPr="00763EB8" w:rsidRDefault="004B590F"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A917" w14:textId="40E06148" w:rsidR="004B590F" w:rsidRPr="00763EB8" w:rsidRDefault="004B590F" w:rsidP="00763EB8">
    <w:pPr>
      <w:pStyle w:val="HeaderOdd"/>
      <w:rPr>
        <w:b w:val="0"/>
        <w:bCs/>
        <w:i/>
        <w:iCs/>
      </w:rPr>
    </w:pPr>
    <w:r w:rsidRPr="005A394E">
      <w:rPr>
        <w:b w:val="0"/>
      </w:rPr>
      <w:t xml:space="preserve">Analysis of </w:t>
    </w:r>
    <w:r w:rsidRPr="001C1A91">
      <w:rPr>
        <w:b w:val="0"/>
        <w:i/>
        <w:iCs/>
      </w:rPr>
      <w:fldChar w:fldCharType="begin"/>
    </w:r>
    <w:r w:rsidRPr="001C1A91">
      <w:rPr>
        <w:b w:val="0"/>
        <w:i/>
        <w:iCs/>
      </w:rPr>
      <w:instrText xml:space="preserve"> REF _Ref75254943 \h  \* MERGEFORMAT </w:instrText>
    </w:r>
    <w:r w:rsidRPr="001C1A91">
      <w:rPr>
        <w:b w:val="0"/>
        <w:i/>
        <w:iCs/>
      </w:rPr>
    </w:r>
    <w:r w:rsidRPr="001C1A91">
      <w:rPr>
        <w:b w:val="0"/>
        <w:i/>
        <w:iCs/>
      </w:rPr>
      <w:fldChar w:fldCharType="separate"/>
    </w:r>
    <w:r w:rsidRPr="001C1A91">
      <w:rPr>
        <w:b w:val="0"/>
        <w:i/>
        <w:iCs/>
      </w:rPr>
      <w:t>Provisional Mortality Statistics, March 2021</w:t>
    </w:r>
    <w:r w:rsidRPr="001C1A91">
      <w:rPr>
        <w:b w:val="0"/>
        <w:i/>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5162B5A1" w:rsidR="004B590F" w:rsidRPr="00725216" w:rsidRDefault="004B590F"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EAEC0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5552"/>
    <w:rsid w:val="00005C33"/>
    <w:rsid w:val="00005FDD"/>
    <w:rsid w:val="000075D6"/>
    <w:rsid w:val="00011E58"/>
    <w:rsid w:val="0001357F"/>
    <w:rsid w:val="000135AD"/>
    <w:rsid w:val="000138FE"/>
    <w:rsid w:val="00014B3E"/>
    <w:rsid w:val="00017247"/>
    <w:rsid w:val="000212AE"/>
    <w:rsid w:val="000219AA"/>
    <w:rsid w:val="00022B42"/>
    <w:rsid w:val="00022C7A"/>
    <w:rsid w:val="00023CBA"/>
    <w:rsid w:val="00024A4C"/>
    <w:rsid w:val="00024D0B"/>
    <w:rsid w:val="00027731"/>
    <w:rsid w:val="00027CE2"/>
    <w:rsid w:val="000321E4"/>
    <w:rsid w:val="000330A2"/>
    <w:rsid w:val="00036886"/>
    <w:rsid w:val="0004038D"/>
    <w:rsid w:val="00040405"/>
    <w:rsid w:val="000405D3"/>
    <w:rsid w:val="000409F3"/>
    <w:rsid w:val="0004496F"/>
    <w:rsid w:val="00044A6C"/>
    <w:rsid w:val="00044BD0"/>
    <w:rsid w:val="00046DAC"/>
    <w:rsid w:val="0004718D"/>
    <w:rsid w:val="00047BA9"/>
    <w:rsid w:val="000507D3"/>
    <w:rsid w:val="00053DE3"/>
    <w:rsid w:val="00053FF1"/>
    <w:rsid w:val="0005424F"/>
    <w:rsid w:val="0005568F"/>
    <w:rsid w:val="00056E4C"/>
    <w:rsid w:val="00057787"/>
    <w:rsid w:val="00057D34"/>
    <w:rsid w:val="0006007C"/>
    <w:rsid w:val="00064D04"/>
    <w:rsid w:val="00065FAE"/>
    <w:rsid w:val="000702C0"/>
    <w:rsid w:val="00072387"/>
    <w:rsid w:val="00073631"/>
    <w:rsid w:val="000741B6"/>
    <w:rsid w:val="0007513C"/>
    <w:rsid w:val="0008139F"/>
    <w:rsid w:val="00081BE4"/>
    <w:rsid w:val="000833DC"/>
    <w:rsid w:val="00085F2A"/>
    <w:rsid w:val="00093E21"/>
    <w:rsid w:val="00094A06"/>
    <w:rsid w:val="00096136"/>
    <w:rsid w:val="000967BC"/>
    <w:rsid w:val="000A130F"/>
    <w:rsid w:val="000A2E8D"/>
    <w:rsid w:val="000A709B"/>
    <w:rsid w:val="000A77D4"/>
    <w:rsid w:val="000B065B"/>
    <w:rsid w:val="000B2BC3"/>
    <w:rsid w:val="000B43F7"/>
    <w:rsid w:val="000B4C4B"/>
    <w:rsid w:val="000B6715"/>
    <w:rsid w:val="000B7540"/>
    <w:rsid w:val="000C1DC4"/>
    <w:rsid w:val="000C2BBD"/>
    <w:rsid w:val="000C5C34"/>
    <w:rsid w:val="000D0233"/>
    <w:rsid w:val="000D0E89"/>
    <w:rsid w:val="000D1ADE"/>
    <w:rsid w:val="000D2084"/>
    <w:rsid w:val="000D4B22"/>
    <w:rsid w:val="000D63F6"/>
    <w:rsid w:val="000D7E77"/>
    <w:rsid w:val="000E1BCE"/>
    <w:rsid w:val="000E283D"/>
    <w:rsid w:val="000E2FED"/>
    <w:rsid w:val="000E3CD8"/>
    <w:rsid w:val="000E3E0C"/>
    <w:rsid w:val="000E68E6"/>
    <w:rsid w:val="000F0031"/>
    <w:rsid w:val="000F04C1"/>
    <w:rsid w:val="000F1A5D"/>
    <w:rsid w:val="000F1F16"/>
    <w:rsid w:val="000F60AE"/>
    <w:rsid w:val="000F60CF"/>
    <w:rsid w:val="000F6912"/>
    <w:rsid w:val="001039A8"/>
    <w:rsid w:val="001140DF"/>
    <w:rsid w:val="00116FB0"/>
    <w:rsid w:val="00120861"/>
    <w:rsid w:val="001211DA"/>
    <w:rsid w:val="00122466"/>
    <w:rsid w:val="00122485"/>
    <w:rsid w:val="00126350"/>
    <w:rsid w:val="00133E61"/>
    <w:rsid w:val="00135022"/>
    <w:rsid w:val="001418C5"/>
    <w:rsid w:val="00142FC9"/>
    <w:rsid w:val="0014336B"/>
    <w:rsid w:val="001452FF"/>
    <w:rsid w:val="0014580B"/>
    <w:rsid w:val="00150047"/>
    <w:rsid w:val="00150552"/>
    <w:rsid w:val="00153143"/>
    <w:rsid w:val="00153E9E"/>
    <w:rsid w:val="001540C3"/>
    <w:rsid w:val="00154658"/>
    <w:rsid w:val="001548EE"/>
    <w:rsid w:val="00157EB6"/>
    <w:rsid w:val="0016052C"/>
    <w:rsid w:val="001605A0"/>
    <w:rsid w:val="00160A10"/>
    <w:rsid w:val="00164BB5"/>
    <w:rsid w:val="00165611"/>
    <w:rsid w:val="00166D3E"/>
    <w:rsid w:val="00167034"/>
    <w:rsid w:val="00167155"/>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757"/>
    <w:rsid w:val="00194E8F"/>
    <w:rsid w:val="00197182"/>
    <w:rsid w:val="001A0533"/>
    <w:rsid w:val="001A1254"/>
    <w:rsid w:val="001A24B0"/>
    <w:rsid w:val="001B0934"/>
    <w:rsid w:val="001B0EDA"/>
    <w:rsid w:val="001B0EE4"/>
    <w:rsid w:val="001B275D"/>
    <w:rsid w:val="001B2923"/>
    <w:rsid w:val="001B690A"/>
    <w:rsid w:val="001C0224"/>
    <w:rsid w:val="001C0F70"/>
    <w:rsid w:val="001C1A91"/>
    <w:rsid w:val="001C2DAA"/>
    <w:rsid w:val="001C38B5"/>
    <w:rsid w:val="001C6454"/>
    <w:rsid w:val="001C6A41"/>
    <w:rsid w:val="001C6E25"/>
    <w:rsid w:val="001D0043"/>
    <w:rsid w:val="001D259D"/>
    <w:rsid w:val="001D5A3A"/>
    <w:rsid w:val="001D76C7"/>
    <w:rsid w:val="001E17A9"/>
    <w:rsid w:val="001E20B9"/>
    <w:rsid w:val="001E2E52"/>
    <w:rsid w:val="001F5C62"/>
    <w:rsid w:val="001F62EA"/>
    <w:rsid w:val="001F67C7"/>
    <w:rsid w:val="001F6AFA"/>
    <w:rsid w:val="001F7C99"/>
    <w:rsid w:val="00201F7A"/>
    <w:rsid w:val="002046A2"/>
    <w:rsid w:val="002065FF"/>
    <w:rsid w:val="0021002C"/>
    <w:rsid w:val="0021212C"/>
    <w:rsid w:val="0021232B"/>
    <w:rsid w:val="002123E7"/>
    <w:rsid w:val="00215C3B"/>
    <w:rsid w:val="00220979"/>
    <w:rsid w:val="00221231"/>
    <w:rsid w:val="002237C5"/>
    <w:rsid w:val="00223EE9"/>
    <w:rsid w:val="002240CA"/>
    <w:rsid w:val="00230525"/>
    <w:rsid w:val="00230721"/>
    <w:rsid w:val="00230EB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5B70"/>
    <w:rsid w:val="00245C98"/>
    <w:rsid w:val="0024662A"/>
    <w:rsid w:val="0024753F"/>
    <w:rsid w:val="00247742"/>
    <w:rsid w:val="0025079E"/>
    <w:rsid w:val="00250DCD"/>
    <w:rsid w:val="002526C9"/>
    <w:rsid w:val="00256CAD"/>
    <w:rsid w:val="00257970"/>
    <w:rsid w:val="00257D71"/>
    <w:rsid w:val="002622FF"/>
    <w:rsid w:val="002668C3"/>
    <w:rsid w:val="00275740"/>
    <w:rsid w:val="00275A41"/>
    <w:rsid w:val="00275C6D"/>
    <w:rsid w:val="00277157"/>
    <w:rsid w:val="00277DCD"/>
    <w:rsid w:val="002830CF"/>
    <w:rsid w:val="00283A37"/>
    <w:rsid w:val="00284FDF"/>
    <w:rsid w:val="0028692E"/>
    <w:rsid w:val="00287D12"/>
    <w:rsid w:val="002919A7"/>
    <w:rsid w:val="00291D2F"/>
    <w:rsid w:val="002929EF"/>
    <w:rsid w:val="00292A6B"/>
    <w:rsid w:val="00292EFE"/>
    <w:rsid w:val="00293C4B"/>
    <w:rsid w:val="00294212"/>
    <w:rsid w:val="002950F4"/>
    <w:rsid w:val="002A2AB7"/>
    <w:rsid w:val="002A4563"/>
    <w:rsid w:val="002A7BB1"/>
    <w:rsid w:val="002B09EB"/>
    <w:rsid w:val="002B0CAC"/>
    <w:rsid w:val="002B1DF1"/>
    <w:rsid w:val="002B40ED"/>
    <w:rsid w:val="002B5824"/>
    <w:rsid w:val="002B684F"/>
    <w:rsid w:val="002B6A32"/>
    <w:rsid w:val="002C03D9"/>
    <w:rsid w:val="002C0D7D"/>
    <w:rsid w:val="002C2D5A"/>
    <w:rsid w:val="002C33B3"/>
    <w:rsid w:val="002D01D9"/>
    <w:rsid w:val="002D0D59"/>
    <w:rsid w:val="002D1DDD"/>
    <w:rsid w:val="002D4BDD"/>
    <w:rsid w:val="002D4EB4"/>
    <w:rsid w:val="002D5196"/>
    <w:rsid w:val="002D5D79"/>
    <w:rsid w:val="002E1020"/>
    <w:rsid w:val="002E1867"/>
    <w:rsid w:val="002E1FDA"/>
    <w:rsid w:val="002E290A"/>
    <w:rsid w:val="002E2FAA"/>
    <w:rsid w:val="002E57F5"/>
    <w:rsid w:val="002E5932"/>
    <w:rsid w:val="002E6DD2"/>
    <w:rsid w:val="002F0ECB"/>
    <w:rsid w:val="002F1DE2"/>
    <w:rsid w:val="002F323C"/>
    <w:rsid w:val="002F77A5"/>
    <w:rsid w:val="0030289A"/>
    <w:rsid w:val="00302A94"/>
    <w:rsid w:val="0030553F"/>
    <w:rsid w:val="00317D6E"/>
    <w:rsid w:val="003207E9"/>
    <w:rsid w:val="00323571"/>
    <w:rsid w:val="00325741"/>
    <w:rsid w:val="003266FB"/>
    <w:rsid w:val="00330482"/>
    <w:rsid w:val="003348F5"/>
    <w:rsid w:val="003369A9"/>
    <w:rsid w:val="00336E85"/>
    <w:rsid w:val="0033789B"/>
    <w:rsid w:val="003413C9"/>
    <w:rsid w:val="00341522"/>
    <w:rsid w:val="00341E00"/>
    <w:rsid w:val="003442E6"/>
    <w:rsid w:val="0034464F"/>
    <w:rsid w:val="00344B69"/>
    <w:rsid w:val="00347177"/>
    <w:rsid w:val="003478BF"/>
    <w:rsid w:val="00347F56"/>
    <w:rsid w:val="00351A5B"/>
    <w:rsid w:val="00354BA3"/>
    <w:rsid w:val="003558C3"/>
    <w:rsid w:val="0035639A"/>
    <w:rsid w:val="0035677A"/>
    <w:rsid w:val="00357348"/>
    <w:rsid w:val="003600B6"/>
    <w:rsid w:val="00362537"/>
    <w:rsid w:val="00364843"/>
    <w:rsid w:val="00365126"/>
    <w:rsid w:val="00365E78"/>
    <w:rsid w:val="00366737"/>
    <w:rsid w:val="0037217C"/>
    <w:rsid w:val="0037393C"/>
    <w:rsid w:val="003770CC"/>
    <w:rsid w:val="0038054F"/>
    <w:rsid w:val="00380D07"/>
    <w:rsid w:val="00381B77"/>
    <w:rsid w:val="00381C48"/>
    <w:rsid w:val="003826CF"/>
    <w:rsid w:val="00393ABA"/>
    <w:rsid w:val="00394E0D"/>
    <w:rsid w:val="003A06BD"/>
    <w:rsid w:val="003A0CFF"/>
    <w:rsid w:val="003A1707"/>
    <w:rsid w:val="003A3DD6"/>
    <w:rsid w:val="003A5CFB"/>
    <w:rsid w:val="003A748B"/>
    <w:rsid w:val="003A7FFE"/>
    <w:rsid w:val="003B06DE"/>
    <w:rsid w:val="003B47F5"/>
    <w:rsid w:val="003B702A"/>
    <w:rsid w:val="003C01A4"/>
    <w:rsid w:val="003C3E27"/>
    <w:rsid w:val="003C63DE"/>
    <w:rsid w:val="003C759F"/>
    <w:rsid w:val="003D148A"/>
    <w:rsid w:val="003D3445"/>
    <w:rsid w:val="003D4110"/>
    <w:rsid w:val="003D4771"/>
    <w:rsid w:val="003D5324"/>
    <w:rsid w:val="003D7915"/>
    <w:rsid w:val="003E1B45"/>
    <w:rsid w:val="003E5E43"/>
    <w:rsid w:val="003F00FC"/>
    <w:rsid w:val="003F1886"/>
    <w:rsid w:val="003F2541"/>
    <w:rsid w:val="003F3B05"/>
    <w:rsid w:val="003F3F0B"/>
    <w:rsid w:val="003F4900"/>
    <w:rsid w:val="003F5859"/>
    <w:rsid w:val="003F5DC8"/>
    <w:rsid w:val="003F60A7"/>
    <w:rsid w:val="00400285"/>
    <w:rsid w:val="00400C70"/>
    <w:rsid w:val="00401FAD"/>
    <w:rsid w:val="00402BBA"/>
    <w:rsid w:val="004033FC"/>
    <w:rsid w:val="00403CA5"/>
    <w:rsid w:val="0040438A"/>
    <w:rsid w:val="00404954"/>
    <w:rsid w:val="00405536"/>
    <w:rsid w:val="004056DC"/>
    <w:rsid w:val="00405AD5"/>
    <w:rsid w:val="00410B21"/>
    <w:rsid w:val="004175A1"/>
    <w:rsid w:val="00420363"/>
    <w:rsid w:val="00423191"/>
    <w:rsid w:val="0042650B"/>
    <w:rsid w:val="0042763C"/>
    <w:rsid w:val="00431FE2"/>
    <w:rsid w:val="00432A34"/>
    <w:rsid w:val="004331C1"/>
    <w:rsid w:val="00437458"/>
    <w:rsid w:val="0043774A"/>
    <w:rsid w:val="0044091A"/>
    <w:rsid w:val="00441873"/>
    <w:rsid w:val="00441AEB"/>
    <w:rsid w:val="004431B7"/>
    <w:rsid w:val="00445817"/>
    <w:rsid w:val="00445CD9"/>
    <w:rsid w:val="004464EF"/>
    <w:rsid w:val="00447B0D"/>
    <w:rsid w:val="00447EDC"/>
    <w:rsid w:val="00450BCE"/>
    <w:rsid w:val="00451C6F"/>
    <w:rsid w:val="00453087"/>
    <w:rsid w:val="004547F8"/>
    <w:rsid w:val="00455273"/>
    <w:rsid w:val="00456891"/>
    <w:rsid w:val="0045794D"/>
    <w:rsid w:val="0046058D"/>
    <w:rsid w:val="0046136D"/>
    <w:rsid w:val="00461D8E"/>
    <w:rsid w:val="00463005"/>
    <w:rsid w:val="0046456E"/>
    <w:rsid w:val="00465C90"/>
    <w:rsid w:val="004671F2"/>
    <w:rsid w:val="004711B6"/>
    <w:rsid w:val="0047532A"/>
    <w:rsid w:val="0047768D"/>
    <w:rsid w:val="004820B2"/>
    <w:rsid w:val="00482FE6"/>
    <w:rsid w:val="0048321B"/>
    <w:rsid w:val="00484CB6"/>
    <w:rsid w:val="0048560C"/>
    <w:rsid w:val="00487CB6"/>
    <w:rsid w:val="00490182"/>
    <w:rsid w:val="00491076"/>
    <w:rsid w:val="00491E2A"/>
    <w:rsid w:val="004927CF"/>
    <w:rsid w:val="00493780"/>
    <w:rsid w:val="004A1D45"/>
    <w:rsid w:val="004A6A96"/>
    <w:rsid w:val="004A6BC4"/>
    <w:rsid w:val="004A6ECE"/>
    <w:rsid w:val="004A6FE6"/>
    <w:rsid w:val="004A7907"/>
    <w:rsid w:val="004B31F7"/>
    <w:rsid w:val="004B32ED"/>
    <w:rsid w:val="004B523D"/>
    <w:rsid w:val="004B5358"/>
    <w:rsid w:val="004B53AF"/>
    <w:rsid w:val="004B590F"/>
    <w:rsid w:val="004C1FAD"/>
    <w:rsid w:val="004C38EA"/>
    <w:rsid w:val="004C6AEA"/>
    <w:rsid w:val="004D06C2"/>
    <w:rsid w:val="004D1E83"/>
    <w:rsid w:val="004D39B1"/>
    <w:rsid w:val="004D5E45"/>
    <w:rsid w:val="004E1632"/>
    <w:rsid w:val="004E1C71"/>
    <w:rsid w:val="004E2245"/>
    <w:rsid w:val="004E6D11"/>
    <w:rsid w:val="004F0C24"/>
    <w:rsid w:val="004F34F6"/>
    <w:rsid w:val="004F427D"/>
    <w:rsid w:val="004F4E43"/>
    <w:rsid w:val="004F4FDD"/>
    <w:rsid w:val="004F55F6"/>
    <w:rsid w:val="004F5E0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67A9"/>
    <w:rsid w:val="00527E02"/>
    <w:rsid w:val="00527FAF"/>
    <w:rsid w:val="0053040C"/>
    <w:rsid w:val="00532145"/>
    <w:rsid w:val="00532759"/>
    <w:rsid w:val="00532BEE"/>
    <w:rsid w:val="005330EA"/>
    <w:rsid w:val="0053664F"/>
    <w:rsid w:val="00540F12"/>
    <w:rsid w:val="005433F9"/>
    <w:rsid w:val="005461A1"/>
    <w:rsid w:val="00552451"/>
    <w:rsid w:val="00553293"/>
    <w:rsid w:val="0055406A"/>
    <w:rsid w:val="00555C4A"/>
    <w:rsid w:val="00556113"/>
    <w:rsid w:val="00556908"/>
    <w:rsid w:val="005579B8"/>
    <w:rsid w:val="0056128B"/>
    <w:rsid w:val="0056171F"/>
    <w:rsid w:val="0056226B"/>
    <w:rsid w:val="00562946"/>
    <w:rsid w:val="00562A8F"/>
    <w:rsid w:val="005630EA"/>
    <w:rsid w:val="00563395"/>
    <w:rsid w:val="0056611C"/>
    <w:rsid w:val="0057167F"/>
    <w:rsid w:val="00581D1C"/>
    <w:rsid w:val="00583823"/>
    <w:rsid w:val="00583A6A"/>
    <w:rsid w:val="00583B2D"/>
    <w:rsid w:val="0058746B"/>
    <w:rsid w:val="00590175"/>
    <w:rsid w:val="00591A94"/>
    <w:rsid w:val="00592F47"/>
    <w:rsid w:val="0059471F"/>
    <w:rsid w:val="00595444"/>
    <w:rsid w:val="00596A22"/>
    <w:rsid w:val="005A272D"/>
    <w:rsid w:val="005A2937"/>
    <w:rsid w:val="005A2F15"/>
    <w:rsid w:val="005A394E"/>
    <w:rsid w:val="005A3A4F"/>
    <w:rsid w:val="005A56FC"/>
    <w:rsid w:val="005A5838"/>
    <w:rsid w:val="005A74B5"/>
    <w:rsid w:val="005B1EB3"/>
    <w:rsid w:val="005B2A7E"/>
    <w:rsid w:val="005B347F"/>
    <w:rsid w:val="005B74A2"/>
    <w:rsid w:val="005C0D05"/>
    <w:rsid w:val="005C0DCD"/>
    <w:rsid w:val="005C15BD"/>
    <w:rsid w:val="005C2132"/>
    <w:rsid w:val="005C2327"/>
    <w:rsid w:val="005C4011"/>
    <w:rsid w:val="005C4800"/>
    <w:rsid w:val="005C606E"/>
    <w:rsid w:val="005C6849"/>
    <w:rsid w:val="005C6A65"/>
    <w:rsid w:val="005C6E7A"/>
    <w:rsid w:val="005C7473"/>
    <w:rsid w:val="005D04BB"/>
    <w:rsid w:val="005D06AA"/>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10743"/>
    <w:rsid w:val="006110E2"/>
    <w:rsid w:val="006129E0"/>
    <w:rsid w:val="00616494"/>
    <w:rsid w:val="006177B9"/>
    <w:rsid w:val="00621790"/>
    <w:rsid w:val="00622667"/>
    <w:rsid w:val="0062490B"/>
    <w:rsid w:val="00624B5A"/>
    <w:rsid w:val="00626060"/>
    <w:rsid w:val="006263EE"/>
    <w:rsid w:val="006264E9"/>
    <w:rsid w:val="00630CC8"/>
    <w:rsid w:val="006317B5"/>
    <w:rsid w:val="00633548"/>
    <w:rsid w:val="006351DC"/>
    <w:rsid w:val="00635BCC"/>
    <w:rsid w:val="006403A5"/>
    <w:rsid w:val="00640B92"/>
    <w:rsid w:val="00641342"/>
    <w:rsid w:val="00641A0F"/>
    <w:rsid w:val="00643E14"/>
    <w:rsid w:val="00645F4A"/>
    <w:rsid w:val="006528FC"/>
    <w:rsid w:val="006579A0"/>
    <w:rsid w:val="00660B67"/>
    <w:rsid w:val="00663FE2"/>
    <w:rsid w:val="0066539C"/>
    <w:rsid w:val="006669AF"/>
    <w:rsid w:val="00671AC6"/>
    <w:rsid w:val="00671AFD"/>
    <w:rsid w:val="00672963"/>
    <w:rsid w:val="00675B6D"/>
    <w:rsid w:val="006834DE"/>
    <w:rsid w:val="00685EE6"/>
    <w:rsid w:val="00690549"/>
    <w:rsid w:val="00690D8D"/>
    <w:rsid w:val="006910AB"/>
    <w:rsid w:val="006912A0"/>
    <w:rsid w:val="00691847"/>
    <w:rsid w:val="00692645"/>
    <w:rsid w:val="00692771"/>
    <w:rsid w:val="00692B90"/>
    <w:rsid w:val="006945A0"/>
    <w:rsid w:val="00694A0F"/>
    <w:rsid w:val="00694C37"/>
    <w:rsid w:val="006A1463"/>
    <w:rsid w:val="006A298B"/>
    <w:rsid w:val="006A3DBE"/>
    <w:rsid w:val="006A4861"/>
    <w:rsid w:val="006A5224"/>
    <w:rsid w:val="006B1110"/>
    <w:rsid w:val="006B257F"/>
    <w:rsid w:val="006B5086"/>
    <w:rsid w:val="006B533A"/>
    <w:rsid w:val="006B5943"/>
    <w:rsid w:val="006C4875"/>
    <w:rsid w:val="006C761C"/>
    <w:rsid w:val="006D19E6"/>
    <w:rsid w:val="006D66A4"/>
    <w:rsid w:val="006D78FA"/>
    <w:rsid w:val="006E12FF"/>
    <w:rsid w:val="006E2A16"/>
    <w:rsid w:val="006E2D65"/>
    <w:rsid w:val="006E32B5"/>
    <w:rsid w:val="006F2478"/>
    <w:rsid w:val="006F3A88"/>
    <w:rsid w:val="006F3F34"/>
    <w:rsid w:val="0070296C"/>
    <w:rsid w:val="0070388B"/>
    <w:rsid w:val="00704125"/>
    <w:rsid w:val="00704F10"/>
    <w:rsid w:val="00706F04"/>
    <w:rsid w:val="00706FDC"/>
    <w:rsid w:val="00707C5B"/>
    <w:rsid w:val="00711D07"/>
    <w:rsid w:val="007137D3"/>
    <w:rsid w:val="007168FE"/>
    <w:rsid w:val="007171AE"/>
    <w:rsid w:val="00721E28"/>
    <w:rsid w:val="007222AC"/>
    <w:rsid w:val="00722C5A"/>
    <w:rsid w:val="0072327E"/>
    <w:rsid w:val="00723DB1"/>
    <w:rsid w:val="00724625"/>
    <w:rsid w:val="00725216"/>
    <w:rsid w:val="00725EFC"/>
    <w:rsid w:val="00725F91"/>
    <w:rsid w:val="007261C9"/>
    <w:rsid w:val="00727476"/>
    <w:rsid w:val="007321EE"/>
    <w:rsid w:val="00732D37"/>
    <w:rsid w:val="00732E1E"/>
    <w:rsid w:val="007331FC"/>
    <w:rsid w:val="00734CC6"/>
    <w:rsid w:val="0073520B"/>
    <w:rsid w:val="00735369"/>
    <w:rsid w:val="00737787"/>
    <w:rsid w:val="00742228"/>
    <w:rsid w:val="00742B87"/>
    <w:rsid w:val="00743156"/>
    <w:rsid w:val="00745F3D"/>
    <w:rsid w:val="007464C1"/>
    <w:rsid w:val="00747C31"/>
    <w:rsid w:val="00750348"/>
    <w:rsid w:val="00751B0F"/>
    <w:rsid w:val="0075220D"/>
    <w:rsid w:val="007522A2"/>
    <w:rsid w:val="0075511A"/>
    <w:rsid w:val="007553F0"/>
    <w:rsid w:val="00756761"/>
    <w:rsid w:val="00760EC7"/>
    <w:rsid w:val="00761231"/>
    <w:rsid w:val="00761B9D"/>
    <w:rsid w:val="0076249E"/>
    <w:rsid w:val="007634BF"/>
    <w:rsid w:val="00763CD0"/>
    <w:rsid w:val="00763EB8"/>
    <w:rsid w:val="007704EB"/>
    <w:rsid w:val="00775370"/>
    <w:rsid w:val="00775DE1"/>
    <w:rsid w:val="00780A59"/>
    <w:rsid w:val="00781150"/>
    <w:rsid w:val="0078346F"/>
    <w:rsid w:val="007835B6"/>
    <w:rsid w:val="007847A7"/>
    <w:rsid w:val="00787BD7"/>
    <w:rsid w:val="00791A7A"/>
    <w:rsid w:val="00792B9D"/>
    <w:rsid w:val="00792C05"/>
    <w:rsid w:val="00793EB3"/>
    <w:rsid w:val="007A1AB1"/>
    <w:rsid w:val="007C116A"/>
    <w:rsid w:val="007C3E5F"/>
    <w:rsid w:val="007C4E46"/>
    <w:rsid w:val="007C5639"/>
    <w:rsid w:val="007D1BB6"/>
    <w:rsid w:val="007D48D4"/>
    <w:rsid w:val="007D4C47"/>
    <w:rsid w:val="007E0422"/>
    <w:rsid w:val="007E0789"/>
    <w:rsid w:val="007E21C1"/>
    <w:rsid w:val="007E2901"/>
    <w:rsid w:val="007E2D43"/>
    <w:rsid w:val="007E4C4E"/>
    <w:rsid w:val="007E50DE"/>
    <w:rsid w:val="007E74A1"/>
    <w:rsid w:val="007E765D"/>
    <w:rsid w:val="007F31EF"/>
    <w:rsid w:val="00800B84"/>
    <w:rsid w:val="00801461"/>
    <w:rsid w:val="00804227"/>
    <w:rsid w:val="00804C84"/>
    <w:rsid w:val="00805622"/>
    <w:rsid w:val="008125C8"/>
    <w:rsid w:val="00812992"/>
    <w:rsid w:val="008144E1"/>
    <w:rsid w:val="00815D89"/>
    <w:rsid w:val="00815FD8"/>
    <w:rsid w:val="00816A93"/>
    <w:rsid w:val="0082060D"/>
    <w:rsid w:val="0082230F"/>
    <w:rsid w:val="008253F3"/>
    <w:rsid w:val="00825A1C"/>
    <w:rsid w:val="00826B87"/>
    <w:rsid w:val="0082762B"/>
    <w:rsid w:val="00831ED3"/>
    <w:rsid w:val="00834409"/>
    <w:rsid w:val="008348BA"/>
    <w:rsid w:val="00845DF0"/>
    <w:rsid w:val="00846AD4"/>
    <w:rsid w:val="00850D87"/>
    <w:rsid w:val="00852284"/>
    <w:rsid w:val="008534E3"/>
    <w:rsid w:val="008537F6"/>
    <w:rsid w:val="00854DF4"/>
    <w:rsid w:val="00854FFD"/>
    <w:rsid w:val="00856E74"/>
    <w:rsid w:val="008579FA"/>
    <w:rsid w:val="0086127A"/>
    <w:rsid w:val="00862857"/>
    <w:rsid w:val="008657D5"/>
    <w:rsid w:val="00867744"/>
    <w:rsid w:val="00870C89"/>
    <w:rsid w:val="0087108A"/>
    <w:rsid w:val="0087207B"/>
    <w:rsid w:val="00876539"/>
    <w:rsid w:val="0088375A"/>
    <w:rsid w:val="008852F9"/>
    <w:rsid w:val="00885AD0"/>
    <w:rsid w:val="00886DCF"/>
    <w:rsid w:val="00887B7F"/>
    <w:rsid w:val="00887FC5"/>
    <w:rsid w:val="00894841"/>
    <w:rsid w:val="00894A5B"/>
    <w:rsid w:val="00896C7B"/>
    <w:rsid w:val="008A12DF"/>
    <w:rsid w:val="008A1AED"/>
    <w:rsid w:val="008A21C0"/>
    <w:rsid w:val="008A3ADA"/>
    <w:rsid w:val="008A4660"/>
    <w:rsid w:val="008A5B6C"/>
    <w:rsid w:val="008A6100"/>
    <w:rsid w:val="008A7180"/>
    <w:rsid w:val="008B12A5"/>
    <w:rsid w:val="008B4A6F"/>
    <w:rsid w:val="008B5AF4"/>
    <w:rsid w:val="008B76FB"/>
    <w:rsid w:val="008C0026"/>
    <w:rsid w:val="008C31B7"/>
    <w:rsid w:val="008C321C"/>
    <w:rsid w:val="008C3336"/>
    <w:rsid w:val="008C60D2"/>
    <w:rsid w:val="008C6B04"/>
    <w:rsid w:val="008C6C1B"/>
    <w:rsid w:val="008C7635"/>
    <w:rsid w:val="008C76FC"/>
    <w:rsid w:val="008C7FFA"/>
    <w:rsid w:val="008D36E2"/>
    <w:rsid w:val="008D3F5B"/>
    <w:rsid w:val="008D5237"/>
    <w:rsid w:val="008D5CD8"/>
    <w:rsid w:val="008D5F1B"/>
    <w:rsid w:val="008D7C09"/>
    <w:rsid w:val="008D7CA9"/>
    <w:rsid w:val="008E0014"/>
    <w:rsid w:val="008E0F4C"/>
    <w:rsid w:val="008E1539"/>
    <w:rsid w:val="008E2FAB"/>
    <w:rsid w:val="008E41C6"/>
    <w:rsid w:val="008E4B5F"/>
    <w:rsid w:val="008E58A4"/>
    <w:rsid w:val="008E71A6"/>
    <w:rsid w:val="008F245F"/>
    <w:rsid w:val="008F24C6"/>
    <w:rsid w:val="008F38FB"/>
    <w:rsid w:val="008F3E7F"/>
    <w:rsid w:val="008F3EEE"/>
    <w:rsid w:val="008F58C6"/>
    <w:rsid w:val="008F6A37"/>
    <w:rsid w:val="00900E15"/>
    <w:rsid w:val="00900E6C"/>
    <w:rsid w:val="00901055"/>
    <w:rsid w:val="00901CF0"/>
    <w:rsid w:val="00902539"/>
    <w:rsid w:val="009033F7"/>
    <w:rsid w:val="0090605A"/>
    <w:rsid w:val="009064B8"/>
    <w:rsid w:val="009064D6"/>
    <w:rsid w:val="00910EB7"/>
    <w:rsid w:val="00912B87"/>
    <w:rsid w:val="00913488"/>
    <w:rsid w:val="00913F02"/>
    <w:rsid w:val="00916CCF"/>
    <w:rsid w:val="009171FE"/>
    <w:rsid w:val="0092086C"/>
    <w:rsid w:val="009220D8"/>
    <w:rsid w:val="00922FB5"/>
    <w:rsid w:val="00924741"/>
    <w:rsid w:val="009255A7"/>
    <w:rsid w:val="00933C47"/>
    <w:rsid w:val="009351C8"/>
    <w:rsid w:val="00935940"/>
    <w:rsid w:val="0093776F"/>
    <w:rsid w:val="0094175A"/>
    <w:rsid w:val="009433EE"/>
    <w:rsid w:val="00943626"/>
    <w:rsid w:val="00945AA7"/>
    <w:rsid w:val="00945E30"/>
    <w:rsid w:val="00946672"/>
    <w:rsid w:val="009467B9"/>
    <w:rsid w:val="00947956"/>
    <w:rsid w:val="00947CE6"/>
    <w:rsid w:val="00950F36"/>
    <w:rsid w:val="00953A4F"/>
    <w:rsid w:val="00953BFB"/>
    <w:rsid w:val="00956EC0"/>
    <w:rsid w:val="00957951"/>
    <w:rsid w:val="00962C6B"/>
    <w:rsid w:val="00966184"/>
    <w:rsid w:val="00966FC9"/>
    <w:rsid w:val="0096704E"/>
    <w:rsid w:val="00973633"/>
    <w:rsid w:val="00975BC4"/>
    <w:rsid w:val="0097778D"/>
    <w:rsid w:val="00977DC6"/>
    <w:rsid w:val="009820F8"/>
    <w:rsid w:val="0098238E"/>
    <w:rsid w:val="00984A49"/>
    <w:rsid w:val="00987C1E"/>
    <w:rsid w:val="00993D9B"/>
    <w:rsid w:val="009947E7"/>
    <w:rsid w:val="00995774"/>
    <w:rsid w:val="00997D47"/>
    <w:rsid w:val="009A2AFF"/>
    <w:rsid w:val="009A6918"/>
    <w:rsid w:val="009A71C9"/>
    <w:rsid w:val="009B3992"/>
    <w:rsid w:val="009B6D04"/>
    <w:rsid w:val="009B777C"/>
    <w:rsid w:val="009C180E"/>
    <w:rsid w:val="009C2B09"/>
    <w:rsid w:val="009C3C53"/>
    <w:rsid w:val="009C6C28"/>
    <w:rsid w:val="009D0275"/>
    <w:rsid w:val="009D3AF8"/>
    <w:rsid w:val="009D3B86"/>
    <w:rsid w:val="009D3FBE"/>
    <w:rsid w:val="009D46EF"/>
    <w:rsid w:val="009E166B"/>
    <w:rsid w:val="009E5E56"/>
    <w:rsid w:val="009E70CE"/>
    <w:rsid w:val="009F05B9"/>
    <w:rsid w:val="009F17A9"/>
    <w:rsid w:val="009F2865"/>
    <w:rsid w:val="009F2887"/>
    <w:rsid w:val="009F2977"/>
    <w:rsid w:val="009F2BC9"/>
    <w:rsid w:val="009F3160"/>
    <w:rsid w:val="009F4B8B"/>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21A3E"/>
    <w:rsid w:val="00A235AE"/>
    <w:rsid w:val="00A26589"/>
    <w:rsid w:val="00A268EF"/>
    <w:rsid w:val="00A26B26"/>
    <w:rsid w:val="00A27E10"/>
    <w:rsid w:val="00A325A5"/>
    <w:rsid w:val="00A32BC3"/>
    <w:rsid w:val="00A34F3B"/>
    <w:rsid w:val="00A36A25"/>
    <w:rsid w:val="00A37451"/>
    <w:rsid w:val="00A37C09"/>
    <w:rsid w:val="00A40FCB"/>
    <w:rsid w:val="00A43EFE"/>
    <w:rsid w:val="00A44BFB"/>
    <w:rsid w:val="00A45BD3"/>
    <w:rsid w:val="00A462B2"/>
    <w:rsid w:val="00A46483"/>
    <w:rsid w:val="00A468B5"/>
    <w:rsid w:val="00A46D50"/>
    <w:rsid w:val="00A47833"/>
    <w:rsid w:val="00A50BB2"/>
    <w:rsid w:val="00A50D2F"/>
    <w:rsid w:val="00A537A5"/>
    <w:rsid w:val="00A543AD"/>
    <w:rsid w:val="00A54E21"/>
    <w:rsid w:val="00A57D21"/>
    <w:rsid w:val="00A60A84"/>
    <w:rsid w:val="00A615B2"/>
    <w:rsid w:val="00A62B45"/>
    <w:rsid w:val="00A647E5"/>
    <w:rsid w:val="00A666D2"/>
    <w:rsid w:val="00A669D8"/>
    <w:rsid w:val="00A711D0"/>
    <w:rsid w:val="00A711E0"/>
    <w:rsid w:val="00A728CD"/>
    <w:rsid w:val="00A76C65"/>
    <w:rsid w:val="00A82BB9"/>
    <w:rsid w:val="00A85A5B"/>
    <w:rsid w:val="00A90FA0"/>
    <w:rsid w:val="00A92B32"/>
    <w:rsid w:val="00A951DC"/>
    <w:rsid w:val="00A95B50"/>
    <w:rsid w:val="00A95F73"/>
    <w:rsid w:val="00A97ADB"/>
    <w:rsid w:val="00A97C3E"/>
    <w:rsid w:val="00A97CBF"/>
    <w:rsid w:val="00AA0DAF"/>
    <w:rsid w:val="00AA49BC"/>
    <w:rsid w:val="00AA635F"/>
    <w:rsid w:val="00AA6B25"/>
    <w:rsid w:val="00AA6C45"/>
    <w:rsid w:val="00AB2E11"/>
    <w:rsid w:val="00AB557E"/>
    <w:rsid w:val="00AB6652"/>
    <w:rsid w:val="00AB7A16"/>
    <w:rsid w:val="00AB7C17"/>
    <w:rsid w:val="00AC28E2"/>
    <w:rsid w:val="00AC2D06"/>
    <w:rsid w:val="00AC3BC7"/>
    <w:rsid w:val="00AC6243"/>
    <w:rsid w:val="00AD00CE"/>
    <w:rsid w:val="00AD1299"/>
    <w:rsid w:val="00AD343E"/>
    <w:rsid w:val="00AD39F4"/>
    <w:rsid w:val="00AD4AB7"/>
    <w:rsid w:val="00AE0060"/>
    <w:rsid w:val="00AE11D3"/>
    <w:rsid w:val="00AE18E7"/>
    <w:rsid w:val="00AE1BF4"/>
    <w:rsid w:val="00AE213D"/>
    <w:rsid w:val="00AE290E"/>
    <w:rsid w:val="00AE3249"/>
    <w:rsid w:val="00AE436C"/>
    <w:rsid w:val="00AE446A"/>
    <w:rsid w:val="00AE4F75"/>
    <w:rsid w:val="00AE5C6D"/>
    <w:rsid w:val="00AE5E6A"/>
    <w:rsid w:val="00AE6BF9"/>
    <w:rsid w:val="00AF097C"/>
    <w:rsid w:val="00AF27D8"/>
    <w:rsid w:val="00AF3E5D"/>
    <w:rsid w:val="00AF6645"/>
    <w:rsid w:val="00B00596"/>
    <w:rsid w:val="00B02A26"/>
    <w:rsid w:val="00B05480"/>
    <w:rsid w:val="00B068F8"/>
    <w:rsid w:val="00B07A8E"/>
    <w:rsid w:val="00B14ECA"/>
    <w:rsid w:val="00B16EF4"/>
    <w:rsid w:val="00B17212"/>
    <w:rsid w:val="00B20CF5"/>
    <w:rsid w:val="00B2115F"/>
    <w:rsid w:val="00B21AA3"/>
    <w:rsid w:val="00B21D19"/>
    <w:rsid w:val="00B21D49"/>
    <w:rsid w:val="00B2322B"/>
    <w:rsid w:val="00B236FA"/>
    <w:rsid w:val="00B26556"/>
    <w:rsid w:val="00B34BBD"/>
    <w:rsid w:val="00B35F1C"/>
    <w:rsid w:val="00B3615E"/>
    <w:rsid w:val="00B40DD0"/>
    <w:rsid w:val="00B42261"/>
    <w:rsid w:val="00B4333E"/>
    <w:rsid w:val="00B44DF1"/>
    <w:rsid w:val="00B45D09"/>
    <w:rsid w:val="00B47917"/>
    <w:rsid w:val="00B47C4B"/>
    <w:rsid w:val="00B51CC3"/>
    <w:rsid w:val="00B52C44"/>
    <w:rsid w:val="00B52D42"/>
    <w:rsid w:val="00B5343C"/>
    <w:rsid w:val="00B54E66"/>
    <w:rsid w:val="00B57359"/>
    <w:rsid w:val="00B6079A"/>
    <w:rsid w:val="00B627AC"/>
    <w:rsid w:val="00B63885"/>
    <w:rsid w:val="00B63FA7"/>
    <w:rsid w:val="00B64A02"/>
    <w:rsid w:val="00B6548B"/>
    <w:rsid w:val="00B671CF"/>
    <w:rsid w:val="00B67962"/>
    <w:rsid w:val="00B70CAC"/>
    <w:rsid w:val="00B70D16"/>
    <w:rsid w:val="00B71763"/>
    <w:rsid w:val="00B77BDC"/>
    <w:rsid w:val="00B80B96"/>
    <w:rsid w:val="00B80EF2"/>
    <w:rsid w:val="00B830D8"/>
    <w:rsid w:val="00B8733E"/>
    <w:rsid w:val="00B87814"/>
    <w:rsid w:val="00B90504"/>
    <w:rsid w:val="00B907AC"/>
    <w:rsid w:val="00B91E74"/>
    <w:rsid w:val="00B938EC"/>
    <w:rsid w:val="00B96D10"/>
    <w:rsid w:val="00BA0D0C"/>
    <w:rsid w:val="00BA1883"/>
    <w:rsid w:val="00BA39C7"/>
    <w:rsid w:val="00BB308B"/>
    <w:rsid w:val="00BB473C"/>
    <w:rsid w:val="00BB473D"/>
    <w:rsid w:val="00BB5ACD"/>
    <w:rsid w:val="00BB5D58"/>
    <w:rsid w:val="00BB5D8E"/>
    <w:rsid w:val="00BC0851"/>
    <w:rsid w:val="00BC14D8"/>
    <w:rsid w:val="00BC45ED"/>
    <w:rsid w:val="00BC5BB6"/>
    <w:rsid w:val="00BC5EB8"/>
    <w:rsid w:val="00BC720A"/>
    <w:rsid w:val="00BD20D7"/>
    <w:rsid w:val="00BD21F3"/>
    <w:rsid w:val="00BD35A0"/>
    <w:rsid w:val="00BD3A1F"/>
    <w:rsid w:val="00BD4845"/>
    <w:rsid w:val="00BD6BBE"/>
    <w:rsid w:val="00BE1677"/>
    <w:rsid w:val="00BE643A"/>
    <w:rsid w:val="00BF094C"/>
    <w:rsid w:val="00BF2E06"/>
    <w:rsid w:val="00BF3EAA"/>
    <w:rsid w:val="00BF7CAE"/>
    <w:rsid w:val="00C10BA2"/>
    <w:rsid w:val="00C1149E"/>
    <w:rsid w:val="00C127E6"/>
    <w:rsid w:val="00C131A4"/>
    <w:rsid w:val="00C1582D"/>
    <w:rsid w:val="00C226FF"/>
    <w:rsid w:val="00C2347B"/>
    <w:rsid w:val="00C2486B"/>
    <w:rsid w:val="00C24C23"/>
    <w:rsid w:val="00C25AB6"/>
    <w:rsid w:val="00C32CD0"/>
    <w:rsid w:val="00C3453B"/>
    <w:rsid w:val="00C34D4D"/>
    <w:rsid w:val="00C36A62"/>
    <w:rsid w:val="00C37489"/>
    <w:rsid w:val="00C40097"/>
    <w:rsid w:val="00C40A17"/>
    <w:rsid w:val="00C40EC1"/>
    <w:rsid w:val="00C4288D"/>
    <w:rsid w:val="00C441C0"/>
    <w:rsid w:val="00C4623A"/>
    <w:rsid w:val="00C47491"/>
    <w:rsid w:val="00C531FE"/>
    <w:rsid w:val="00C533D6"/>
    <w:rsid w:val="00C56F5E"/>
    <w:rsid w:val="00C572F2"/>
    <w:rsid w:val="00C5750E"/>
    <w:rsid w:val="00C575C2"/>
    <w:rsid w:val="00C6193B"/>
    <w:rsid w:val="00C6197C"/>
    <w:rsid w:val="00C657C5"/>
    <w:rsid w:val="00C661D7"/>
    <w:rsid w:val="00C67BC4"/>
    <w:rsid w:val="00C707DB"/>
    <w:rsid w:val="00C71259"/>
    <w:rsid w:val="00C717E8"/>
    <w:rsid w:val="00C73072"/>
    <w:rsid w:val="00C74212"/>
    <w:rsid w:val="00C757B6"/>
    <w:rsid w:val="00C76C98"/>
    <w:rsid w:val="00C77BFF"/>
    <w:rsid w:val="00C80F13"/>
    <w:rsid w:val="00C81CCE"/>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C73"/>
    <w:rsid w:val="00CA4A4C"/>
    <w:rsid w:val="00CA5A13"/>
    <w:rsid w:val="00CA6BAA"/>
    <w:rsid w:val="00CB0D90"/>
    <w:rsid w:val="00CB1136"/>
    <w:rsid w:val="00CB2E3E"/>
    <w:rsid w:val="00CB3341"/>
    <w:rsid w:val="00CB41AF"/>
    <w:rsid w:val="00CB4FAC"/>
    <w:rsid w:val="00CC384F"/>
    <w:rsid w:val="00CC3A04"/>
    <w:rsid w:val="00CC3F37"/>
    <w:rsid w:val="00CC4995"/>
    <w:rsid w:val="00CC5E84"/>
    <w:rsid w:val="00CD0899"/>
    <w:rsid w:val="00CD4C9A"/>
    <w:rsid w:val="00CD70A7"/>
    <w:rsid w:val="00CE0946"/>
    <w:rsid w:val="00CE0C4B"/>
    <w:rsid w:val="00CE21AC"/>
    <w:rsid w:val="00CE4489"/>
    <w:rsid w:val="00CE7048"/>
    <w:rsid w:val="00CE7E13"/>
    <w:rsid w:val="00CF0D2F"/>
    <w:rsid w:val="00CF1000"/>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64B5"/>
    <w:rsid w:val="00D26946"/>
    <w:rsid w:val="00D26B53"/>
    <w:rsid w:val="00D27A24"/>
    <w:rsid w:val="00D27C88"/>
    <w:rsid w:val="00D30817"/>
    <w:rsid w:val="00D32A7F"/>
    <w:rsid w:val="00D33FF5"/>
    <w:rsid w:val="00D3694E"/>
    <w:rsid w:val="00D36999"/>
    <w:rsid w:val="00D36A32"/>
    <w:rsid w:val="00D36F10"/>
    <w:rsid w:val="00D40FBF"/>
    <w:rsid w:val="00D41C90"/>
    <w:rsid w:val="00D45BA9"/>
    <w:rsid w:val="00D539EF"/>
    <w:rsid w:val="00D53CC9"/>
    <w:rsid w:val="00D567A0"/>
    <w:rsid w:val="00D601FC"/>
    <w:rsid w:val="00D623C3"/>
    <w:rsid w:val="00D63032"/>
    <w:rsid w:val="00D63CAE"/>
    <w:rsid w:val="00D65302"/>
    <w:rsid w:val="00D65D4B"/>
    <w:rsid w:val="00D66535"/>
    <w:rsid w:val="00D67FCF"/>
    <w:rsid w:val="00D71FDA"/>
    <w:rsid w:val="00D723BE"/>
    <w:rsid w:val="00D735CC"/>
    <w:rsid w:val="00D73D5A"/>
    <w:rsid w:val="00D74D30"/>
    <w:rsid w:val="00D759FD"/>
    <w:rsid w:val="00D827F9"/>
    <w:rsid w:val="00D82DD9"/>
    <w:rsid w:val="00D84026"/>
    <w:rsid w:val="00D87101"/>
    <w:rsid w:val="00D9354F"/>
    <w:rsid w:val="00D971C5"/>
    <w:rsid w:val="00D97356"/>
    <w:rsid w:val="00D97789"/>
    <w:rsid w:val="00D9782C"/>
    <w:rsid w:val="00D97D3A"/>
    <w:rsid w:val="00DA0706"/>
    <w:rsid w:val="00DA55BE"/>
    <w:rsid w:val="00DA5649"/>
    <w:rsid w:val="00DA5CB9"/>
    <w:rsid w:val="00DB124C"/>
    <w:rsid w:val="00DB2622"/>
    <w:rsid w:val="00DB266A"/>
    <w:rsid w:val="00DC5081"/>
    <w:rsid w:val="00DC62D9"/>
    <w:rsid w:val="00DD063F"/>
    <w:rsid w:val="00DD1224"/>
    <w:rsid w:val="00DD23B1"/>
    <w:rsid w:val="00DD3237"/>
    <w:rsid w:val="00DD57EE"/>
    <w:rsid w:val="00DD7BA5"/>
    <w:rsid w:val="00DE0AC2"/>
    <w:rsid w:val="00DE3394"/>
    <w:rsid w:val="00DE37D8"/>
    <w:rsid w:val="00DE3C40"/>
    <w:rsid w:val="00DE465F"/>
    <w:rsid w:val="00DE5C34"/>
    <w:rsid w:val="00DE5C82"/>
    <w:rsid w:val="00DE5E22"/>
    <w:rsid w:val="00DE6F79"/>
    <w:rsid w:val="00DE7648"/>
    <w:rsid w:val="00DF7589"/>
    <w:rsid w:val="00E02EF7"/>
    <w:rsid w:val="00E03D34"/>
    <w:rsid w:val="00E03DEA"/>
    <w:rsid w:val="00E059FA"/>
    <w:rsid w:val="00E05AB9"/>
    <w:rsid w:val="00E06B2E"/>
    <w:rsid w:val="00E07196"/>
    <w:rsid w:val="00E073D6"/>
    <w:rsid w:val="00E07A10"/>
    <w:rsid w:val="00E108FF"/>
    <w:rsid w:val="00E17B4A"/>
    <w:rsid w:val="00E21E8D"/>
    <w:rsid w:val="00E23819"/>
    <w:rsid w:val="00E24284"/>
    <w:rsid w:val="00E2787C"/>
    <w:rsid w:val="00E27EDC"/>
    <w:rsid w:val="00E30550"/>
    <w:rsid w:val="00E3055C"/>
    <w:rsid w:val="00E36B42"/>
    <w:rsid w:val="00E36C8E"/>
    <w:rsid w:val="00E40677"/>
    <w:rsid w:val="00E43609"/>
    <w:rsid w:val="00E4504F"/>
    <w:rsid w:val="00E45E0D"/>
    <w:rsid w:val="00E466F4"/>
    <w:rsid w:val="00E467E8"/>
    <w:rsid w:val="00E50386"/>
    <w:rsid w:val="00E52C87"/>
    <w:rsid w:val="00E52CC2"/>
    <w:rsid w:val="00E53111"/>
    <w:rsid w:val="00E56C41"/>
    <w:rsid w:val="00E63B9B"/>
    <w:rsid w:val="00E63BEA"/>
    <w:rsid w:val="00E641D6"/>
    <w:rsid w:val="00E679EC"/>
    <w:rsid w:val="00E7374B"/>
    <w:rsid w:val="00E73D5B"/>
    <w:rsid w:val="00E81CCC"/>
    <w:rsid w:val="00E8218D"/>
    <w:rsid w:val="00E82DC3"/>
    <w:rsid w:val="00E85477"/>
    <w:rsid w:val="00E857CC"/>
    <w:rsid w:val="00E86659"/>
    <w:rsid w:val="00E86FE5"/>
    <w:rsid w:val="00E9016D"/>
    <w:rsid w:val="00E9144E"/>
    <w:rsid w:val="00E91460"/>
    <w:rsid w:val="00E91824"/>
    <w:rsid w:val="00E93E5D"/>
    <w:rsid w:val="00E979E3"/>
    <w:rsid w:val="00EA01E9"/>
    <w:rsid w:val="00EA1D52"/>
    <w:rsid w:val="00EA322E"/>
    <w:rsid w:val="00EA3499"/>
    <w:rsid w:val="00EA6DED"/>
    <w:rsid w:val="00EB40A1"/>
    <w:rsid w:val="00EB7027"/>
    <w:rsid w:val="00EC0A48"/>
    <w:rsid w:val="00EC100F"/>
    <w:rsid w:val="00EC3E6C"/>
    <w:rsid w:val="00EC5223"/>
    <w:rsid w:val="00EC646E"/>
    <w:rsid w:val="00ED1AF6"/>
    <w:rsid w:val="00ED45CE"/>
    <w:rsid w:val="00ED5877"/>
    <w:rsid w:val="00EE0155"/>
    <w:rsid w:val="00EE1538"/>
    <w:rsid w:val="00EE28D3"/>
    <w:rsid w:val="00EE571E"/>
    <w:rsid w:val="00EE660F"/>
    <w:rsid w:val="00EE66AA"/>
    <w:rsid w:val="00EF0326"/>
    <w:rsid w:val="00EF04A4"/>
    <w:rsid w:val="00EF0A78"/>
    <w:rsid w:val="00EF26AA"/>
    <w:rsid w:val="00EF3965"/>
    <w:rsid w:val="00EF4C0F"/>
    <w:rsid w:val="00EF6CFF"/>
    <w:rsid w:val="00EF6EA4"/>
    <w:rsid w:val="00EF7DCC"/>
    <w:rsid w:val="00F01530"/>
    <w:rsid w:val="00F01CFC"/>
    <w:rsid w:val="00F0590E"/>
    <w:rsid w:val="00F0626A"/>
    <w:rsid w:val="00F11E82"/>
    <w:rsid w:val="00F13BFE"/>
    <w:rsid w:val="00F155B0"/>
    <w:rsid w:val="00F164A2"/>
    <w:rsid w:val="00F21FAB"/>
    <w:rsid w:val="00F31639"/>
    <w:rsid w:val="00F31EDA"/>
    <w:rsid w:val="00F3311B"/>
    <w:rsid w:val="00F342FD"/>
    <w:rsid w:val="00F344E2"/>
    <w:rsid w:val="00F35C1D"/>
    <w:rsid w:val="00F36D22"/>
    <w:rsid w:val="00F377EC"/>
    <w:rsid w:val="00F37DC6"/>
    <w:rsid w:val="00F404CA"/>
    <w:rsid w:val="00F40638"/>
    <w:rsid w:val="00F40CF7"/>
    <w:rsid w:val="00F40D86"/>
    <w:rsid w:val="00F421BD"/>
    <w:rsid w:val="00F43BD4"/>
    <w:rsid w:val="00F43E8A"/>
    <w:rsid w:val="00F43F2F"/>
    <w:rsid w:val="00F464FC"/>
    <w:rsid w:val="00F50EFD"/>
    <w:rsid w:val="00F51FD7"/>
    <w:rsid w:val="00F55052"/>
    <w:rsid w:val="00F5608A"/>
    <w:rsid w:val="00F563B6"/>
    <w:rsid w:val="00F565FB"/>
    <w:rsid w:val="00F608E1"/>
    <w:rsid w:val="00F63D8F"/>
    <w:rsid w:val="00F644EA"/>
    <w:rsid w:val="00F64A52"/>
    <w:rsid w:val="00F64D0B"/>
    <w:rsid w:val="00F65D1B"/>
    <w:rsid w:val="00F718C9"/>
    <w:rsid w:val="00F73591"/>
    <w:rsid w:val="00F75275"/>
    <w:rsid w:val="00F75DA9"/>
    <w:rsid w:val="00F76C50"/>
    <w:rsid w:val="00F812D7"/>
    <w:rsid w:val="00F8353E"/>
    <w:rsid w:val="00F842D1"/>
    <w:rsid w:val="00F8475C"/>
    <w:rsid w:val="00F84A12"/>
    <w:rsid w:val="00F854A1"/>
    <w:rsid w:val="00F856C2"/>
    <w:rsid w:val="00F873F5"/>
    <w:rsid w:val="00F91541"/>
    <w:rsid w:val="00F91C3E"/>
    <w:rsid w:val="00F92416"/>
    <w:rsid w:val="00F92649"/>
    <w:rsid w:val="00F92929"/>
    <w:rsid w:val="00F92F61"/>
    <w:rsid w:val="00F9368C"/>
    <w:rsid w:val="00F94C79"/>
    <w:rsid w:val="00F9551B"/>
    <w:rsid w:val="00F95D43"/>
    <w:rsid w:val="00F961E8"/>
    <w:rsid w:val="00FA0D48"/>
    <w:rsid w:val="00FA3347"/>
    <w:rsid w:val="00FA35CB"/>
    <w:rsid w:val="00FA3ADA"/>
    <w:rsid w:val="00FA3E27"/>
    <w:rsid w:val="00FA67B9"/>
    <w:rsid w:val="00FB46F8"/>
    <w:rsid w:val="00FB74A3"/>
    <w:rsid w:val="00FC15F6"/>
    <w:rsid w:val="00FC20BD"/>
    <w:rsid w:val="00FC29A7"/>
    <w:rsid w:val="00FC45D4"/>
    <w:rsid w:val="00FC5735"/>
    <w:rsid w:val="00FC7B44"/>
    <w:rsid w:val="00FD19C7"/>
    <w:rsid w:val="00FD45DF"/>
    <w:rsid w:val="00FD4915"/>
    <w:rsid w:val="00FD4B42"/>
    <w:rsid w:val="00FD7E05"/>
    <w:rsid w:val="00FE106B"/>
    <w:rsid w:val="00FE3E28"/>
    <w:rsid w:val="00FE4092"/>
    <w:rsid w:val="00FE4DF8"/>
    <w:rsid w:val="00FE57CB"/>
    <w:rsid w:val="00FE627E"/>
    <w:rsid w:val="00FE63E5"/>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pPr>
      <w:keepLines/>
    </w:pPr>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abs.gov.au/statistics/health/causes-death/provisional-mortality-statistics/latest-release"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2021-06-28T04:01:00Z</dcterms:created>
  <dcterms:modified xsi:type="dcterms:W3CDTF">2021-06-28T04:01:00Z</dcterms:modified>
</cp:coreProperties>
</file>