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3EDB" w14:textId="77777777" w:rsidR="00411D6C" w:rsidRPr="00515EF0" w:rsidRDefault="00411D6C" w:rsidP="00411D6C">
      <w:r w:rsidRPr="00515EF0">
        <w:rPr>
          <w:noProof/>
          <w:lang w:eastAsia="en-AU"/>
        </w:rPr>
        <w:drawing>
          <wp:inline distT="0" distB="0" distL="0" distR="0" wp14:anchorId="2D0C6D30" wp14:editId="50C5931E">
            <wp:extent cx="5731510" cy="122618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4_header_Eco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4928"/>
      </w:tblGrid>
      <w:tr w:rsidR="00903F2C" w:rsidRPr="00515EF0" w14:paraId="04BF0313" w14:textId="77777777" w:rsidTr="00B8703B">
        <w:trPr>
          <w:trHeight w:val="240"/>
        </w:trPr>
        <w:tc>
          <w:tcPr>
            <w:tcW w:w="22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C40E8" w14:textId="49D747A3" w:rsidR="00903F2C" w:rsidRPr="00515EF0" w:rsidRDefault="00903F2C" w:rsidP="00903F2C">
            <w:pPr>
              <w:spacing w:after="0" w:line="276" w:lineRule="auto"/>
              <w:rPr>
                <w:b/>
                <w:bCs/>
                <w:color w:val="002C47"/>
                <w:sz w:val="20"/>
                <w:szCs w:val="20"/>
              </w:rPr>
            </w:pPr>
            <w:r w:rsidRPr="00515EF0">
              <w:rPr>
                <w:b/>
                <w:bCs/>
                <w:color w:val="002C47"/>
                <w:sz w:val="20"/>
                <w:szCs w:val="20"/>
              </w:rPr>
              <w:t>ABS cat.</w:t>
            </w:r>
            <w:r w:rsidR="007462CF" w:rsidRPr="00515EF0">
              <w:rPr>
                <w:b/>
                <w:bCs/>
                <w:color w:val="002C47"/>
                <w:sz w:val="20"/>
                <w:szCs w:val="20"/>
              </w:rPr>
              <w:t xml:space="preserve"> </w:t>
            </w:r>
            <w:r w:rsidRPr="00515EF0">
              <w:rPr>
                <w:b/>
                <w:bCs/>
                <w:color w:val="002C47"/>
                <w:sz w:val="20"/>
                <w:szCs w:val="20"/>
              </w:rPr>
              <w:t>no.</w:t>
            </w:r>
            <w:r w:rsidR="007462CF" w:rsidRPr="00515EF0">
              <w:rPr>
                <w:b/>
                <w:bCs/>
                <w:color w:val="002C47"/>
                <w:sz w:val="20"/>
                <w:szCs w:val="20"/>
              </w:rPr>
              <w:t xml:space="preserve"> </w:t>
            </w:r>
            <w:r w:rsidRPr="00515EF0">
              <w:rPr>
                <w:b/>
                <w:bCs/>
                <w:color w:val="002C47"/>
                <w:sz w:val="20"/>
                <w:szCs w:val="20"/>
              </w:rPr>
              <w:t>3407.0</w:t>
            </w:r>
          </w:p>
        </w:tc>
        <w:tc>
          <w:tcPr>
            <w:tcW w:w="27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ED1B" w14:textId="15074391" w:rsidR="00903F2C" w:rsidRPr="00515EF0" w:rsidRDefault="00903F2C" w:rsidP="00903F2C">
            <w:pPr>
              <w:spacing w:after="0" w:line="276" w:lineRule="auto"/>
              <w:jc w:val="right"/>
              <w:rPr>
                <w:b/>
                <w:bCs/>
                <w:color w:val="002C47"/>
                <w:sz w:val="20"/>
                <w:szCs w:val="20"/>
              </w:rPr>
            </w:pPr>
            <w:r w:rsidRPr="00515EF0">
              <w:rPr>
                <w:b/>
                <w:color w:val="002C46"/>
                <w:sz w:val="20"/>
              </w:rPr>
              <w:t>17 December 2021</w:t>
            </w:r>
          </w:p>
        </w:tc>
      </w:tr>
      <w:tr w:rsidR="00903F2C" w:rsidRPr="00515EF0" w14:paraId="37DF72C2" w14:textId="77777777" w:rsidTr="00B8703B">
        <w:trPr>
          <w:trHeight w:val="132"/>
        </w:trPr>
        <w:tc>
          <w:tcPr>
            <w:tcW w:w="50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59059" w14:textId="372DAE67" w:rsidR="00903F2C" w:rsidRPr="00515EF0" w:rsidRDefault="00E85627" w:rsidP="00903F2C">
            <w:pPr>
              <w:spacing w:after="0" w:line="276" w:lineRule="auto"/>
              <w:rPr>
                <w:rFonts w:ascii="Calibri" w:hAnsi="Calibri" w:cs="Calibri"/>
                <w:b/>
                <w:bCs/>
                <w:color w:val="3A6FAF"/>
                <w:sz w:val="32"/>
                <w:szCs w:val="32"/>
              </w:rPr>
            </w:pPr>
            <w:r w:rsidRPr="00515EF0">
              <w:rPr>
                <w:b/>
                <w:bCs/>
                <w:color w:val="3A6FAF"/>
                <w:sz w:val="32"/>
                <w:szCs w:val="32"/>
              </w:rPr>
              <w:t>Overseas Migration</w:t>
            </w:r>
            <w:r w:rsidR="00903F2C" w:rsidRPr="00515EF0">
              <w:rPr>
                <w:b/>
                <w:bCs/>
                <w:color w:val="3A6FAF"/>
                <w:sz w:val="32"/>
                <w:szCs w:val="32"/>
              </w:rPr>
              <w:t>, 2020-21</w:t>
            </w:r>
          </w:p>
        </w:tc>
      </w:tr>
      <w:tr w:rsidR="00411D6C" w:rsidRPr="00515EF0" w14:paraId="43670F92" w14:textId="77777777" w:rsidTr="00B8703B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6E2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60CF" w14:textId="63B30838" w:rsidR="00411D6C" w:rsidRPr="00515EF0" w:rsidRDefault="00411D6C" w:rsidP="00B8703B">
            <w:pPr>
              <w:spacing w:before="80" w:after="80"/>
            </w:pPr>
            <w:r w:rsidRPr="00515EF0">
              <w:t>This release presents detailed data on net overseas migration (NOM) for the 20</w:t>
            </w:r>
            <w:r w:rsidR="00FC36B2" w:rsidRPr="00515EF0">
              <w:t xml:space="preserve">20-21 </w:t>
            </w:r>
            <w:r w:rsidRPr="00515EF0">
              <w:t>financial year. It expands on the data presented in the latest National, state and territory population release</w:t>
            </w:r>
            <w:r w:rsidR="009A49C0" w:rsidRPr="00515EF0">
              <w:t>d yesterday,</w:t>
            </w:r>
            <w:r w:rsidRPr="00515EF0">
              <w:t xml:space="preserve"> particularly around visa breakdowns and migrant</w:t>
            </w:r>
            <w:r w:rsidR="009A49C0" w:rsidRPr="00515EF0">
              <w:t>s by countries of origin</w:t>
            </w:r>
            <w:r w:rsidRPr="00515EF0">
              <w:t xml:space="preserve">. </w:t>
            </w:r>
          </w:p>
          <w:p w14:paraId="694560BC" w14:textId="4359FA19" w:rsidR="00FC36B2" w:rsidRPr="00515EF0" w:rsidRDefault="00411D6C" w:rsidP="00FC36B2">
            <w:pPr>
              <w:spacing w:before="80" w:after="80"/>
            </w:pPr>
            <w:r w:rsidRPr="00515EF0">
              <w:t xml:space="preserve">National NOM fell from </w:t>
            </w:r>
            <w:r w:rsidR="00D13503" w:rsidRPr="00515EF0">
              <w:t>193,000</w:t>
            </w:r>
            <w:r w:rsidR="00FC36B2" w:rsidRPr="00515EF0">
              <w:t xml:space="preserve"> </w:t>
            </w:r>
            <w:r w:rsidRPr="00515EF0">
              <w:t>in 20</w:t>
            </w:r>
            <w:r w:rsidR="00FC36B2" w:rsidRPr="00515EF0">
              <w:t>19</w:t>
            </w:r>
            <w:r w:rsidRPr="00515EF0">
              <w:t>-</w:t>
            </w:r>
            <w:r w:rsidR="00FC36B2" w:rsidRPr="00515EF0">
              <w:t>20</w:t>
            </w:r>
            <w:r w:rsidRPr="00515EF0">
              <w:t xml:space="preserve"> to </w:t>
            </w:r>
            <w:r w:rsidR="00D13503" w:rsidRPr="00515EF0">
              <w:t>-88,800</w:t>
            </w:r>
            <w:r w:rsidR="00FC36B2" w:rsidRPr="00515EF0">
              <w:t xml:space="preserve"> </w:t>
            </w:r>
            <w:r w:rsidRPr="00515EF0">
              <w:t>in 20</w:t>
            </w:r>
            <w:r w:rsidR="00FC36B2" w:rsidRPr="00515EF0">
              <w:t>20</w:t>
            </w:r>
            <w:r w:rsidRPr="00515EF0">
              <w:t>-2</w:t>
            </w:r>
            <w:r w:rsidR="00FC36B2" w:rsidRPr="00515EF0">
              <w:t>1</w:t>
            </w:r>
            <w:r w:rsidRPr="00515EF0">
              <w:t xml:space="preserve">, reflecting </w:t>
            </w:r>
            <w:r w:rsidR="00FC36B2" w:rsidRPr="00515EF0">
              <w:t xml:space="preserve">a full year of </w:t>
            </w:r>
            <w:r w:rsidRPr="00515EF0">
              <w:t>the COVID</w:t>
            </w:r>
            <w:r w:rsidRPr="00515EF0">
              <w:noBreakHyphen/>
              <w:t>19 pandemic</w:t>
            </w:r>
            <w:r w:rsidR="00195D15" w:rsidRPr="00515EF0">
              <w:t xml:space="preserve">, although this was slightly higher than NOM of </w:t>
            </w:r>
            <w:r w:rsidR="00195D15" w:rsidRPr="00515EF0">
              <w:noBreakHyphen/>
              <w:t>94,800 in the year ending March 2021.</w:t>
            </w:r>
          </w:p>
          <w:p w14:paraId="59E0B021" w14:textId="597AEC6F" w:rsidR="00195D15" w:rsidRPr="00515EF0" w:rsidRDefault="005D59EF" w:rsidP="00FC36B2">
            <w:pPr>
              <w:spacing w:before="80" w:after="80"/>
            </w:pPr>
            <w:r w:rsidRPr="00515EF0">
              <w:t xml:space="preserve">The fall in NOM </w:t>
            </w:r>
            <w:r w:rsidR="00195D15" w:rsidRPr="00515EF0">
              <w:t>in 2020</w:t>
            </w:r>
            <w:r w:rsidR="00195D15" w:rsidRPr="00515EF0">
              <w:noBreakHyphen/>
              <w:t xml:space="preserve">21 </w:t>
            </w:r>
            <w:r w:rsidRPr="00515EF0">
              <w:t xml:space="preserve">was driven by a 362,000 fall in arrivals, </w:t>
            </w:r>
            <w:r w:rsidR="00195D15" w:rsidRPr="00515EF0">
              <w:t xml:space="preserve">somewhat </w:t>
            </w:r>
            <w:r w:rsidRPr="00515EF0">
              <w:t xml:space="preserve">offset by a 79,600 fall in departures. By visa group, the fall in NOM arrivals </w:t>
            </w:r>
            <w:r w:rsidR="00A412A4" w:rsidRPr="00515EF0">
              <w:t xml:space="preserve">was driven by </w:t>
            </w:r>
            <w:r w:rsidRPr="00515EF0">
              <w:t>temporary visa holders, especially those arriving on visitor, student and working holiday maker</w:t>
            </w:r>
            <w:r w:rsidR="00A412A4" w:rsidRPr="00515EF0">
              <w:t xml:space="preserve"> visas</w:t>
            </w:r>
            <w:r w:rsidRPr="00515EF0">
              <w:t>.</w:t>
            </w:r>
            <w:r w:rsidR="00195D15" w:rsidRPr="00515EF0">
              <w:t xml:space="preserve"> By state, the largest contributor to the fall in NOM was Victoria, which fell from 60,600 in 2019</w:t>
            </w:r>
            <w:r w:rsidR="00195D15" w:rsidRPr="00515EF0">
              <w:noBreakHyphen/>
              <w:t xml:space="preserve">20 to </w:t>
            </w:r>
            <w:r w:rsidR="00195D15" w:rsidRPr="00515EF0">
              <w:noBreakHyphen/>
              <w:t>56,100 in 2020</w:t>
            </w:r>
            <w:r w:rsidR="00195D15" w:rsidRPr="00515EF0">
              <w:noBreakHyphen/>
              <w:t>21.</w:t>
            </w:r>
          </w:p>
          <w:p w14:paraId="6F950829" w14:textId="79AEC37F" w:rsidR="00411D6C" w:rsidRPr="00515EF0" w:rsidRDefault="00411D6C" w:rsidP="00FC36B2">
            <w:pPr>
              <w:spacing w:before="80" w:after="80"/>
            </w:pPr>
          </w:p>
        </w:tc>
      </w:tr>
      <w:tr w:rsidR="00411D6C" w:rsidRPr="00515EF0" w14:paraId="5023F0E5" w14:textId="77777777" w:rsidTr="00B8703B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CD257C" w14:textId="77777777" w:rsidR="00411D6C" w:rsidRPr="00515EF0" w:rsidRDefault="00411D6C" w:rsidP="00B8703B">
            <w:pPr>
              <w:rPr>
                <w:rFonts w:ascii="Calibri" w:hAnsi="Calibri" w:cs="Calibri"/>
              </w:rPr>
            </w:pPr>
          </w:p>
        </w:tc>
      </w:tr>
    </w:tbl>
    <w:p w14:paraId="5FCA8E0B" w14:textId="15A75076" w:rsidR="00E1796F" w:rsidRPr="00515EF0" w:rsidRDefault="00E1796F" w:rsidP="00411D6C">
      <w:pPr>
        <w:spacing w:after="120"/>
        <w:rPr>
          <w:b/>
        </w:rPr>
      </w:pPr>
    </w:p>
    <w:p w14:paraId="4EC67BB5" w14:textId="3B72341D" w:rsidR="00E1796F" w:rsidRPr="00515EF0" w:rsidRDefault="00E1796F" w:rsidP="00411D6C">
      <w:pPr>
        <w:spacing w:after="120"/>
        <w:rPr>
          <w:bCs/>
        </w:rPr>
      </w:pPr>
      <w:r w:rsidRPr="00515EF0">
        <w:rPr>
          <w:bCs/>
        </w:rPr>
        <w:t xml:space="preserve">Net overseas migration (NOM) was </w:t>
      </w:r>
      <w:r w:rsidR="00D143A7" w:rsidRPr="00515EF0">
        <w:rPr>
          <w:bCs/>
        </w:rPr>
        <w:t xml:space="preserve">a net outflow </w:t>
      </w:r>
      <w:r w:rsidR="000C0894" w:rsidRPr="00515EF0">
        <w:rPr>
          <w:bCs/>
        </w:rPr>
        <w:t>-88,800</w:t>
      </w:r>
      <w:r w:rsidR="00C81FBE" w:rsidRPr="00515EF0">
        <w:rPr>
          <w:bCs/>
        </w:rPr>
        <w:t xml:space="preserve"> for </w:t>
      </w:r>
      <w:r w:rsidR="00B412AA" w:rsidRPr="00515EF0">
        <w:rPr>
          <w:bCs/>
        </w:rPr>
        <w:t xml:space="preserve">the </w:t>
      </w:r>
      <w:r w:rsidRPr="00515EF0">
        <w:rPr>
          <w:bCs/>
        </w:rPr>
        <w:t xml:space="preserve">2020-21 financial year, </w:t>
      </w:r>
      <w:r w:rsidR="008118CF" w:rsidRPr="00515EF0">
        <w:rPr>
          <w:bCs/>
        </w:rPr>
        <w:t xml:space="preserve">a slight </w:t>
      </w:r>
      <w:r w:rsidR="005D59EF" w:rsidRPr="00515EF0">
        <w:rPr>
          <w:bCs/>
        </w:rPr>
        <w:t xml:space="preserve">improvement </w:t>
      </w:r>
      <w:r w:rsidR="008118CF" w:rsidRPr="00515EF0">
        <w:rPr>
          <w:bCs/>
        </w:rPr>
        <w:t xml:space="preserve">from </w:t>
      </w:r>
      <w:r w:rsidR="008118CF" w:rsidRPr="00515EF0">
        <w:t>NOM of -94,800 for the year ending 31 March 2021</w:t>
      </w:r>
      <w:r w:rsidR="00014523" w:rsidRPr="00515EF0">
        <w:t>. This was the largest net outflow for a financial year since the first world war</w:t>
      </w:r>
      <w:r w:rsidR="008118CF" w:rsidRPr="00515EF0">
        <w:rPr>
          <w:bCs/>
        </w:rPr>
        <w:t>.</w:t>
      </w:r>
      <w:r w:rsidR="00B412AA" w:rsidRPr="00515EF0">
        <w:rPr>
          <w:bCs/>
        </w:rPr>
        <w:t xml:space="preserve"> NOM </w:t>
      </w:r>
      <w:r w:rsidR="00B13725" w:rsidRPr="00515EF0">
        <w:rPr>
          <w:bCs/>
        </w:rPr>
        <w:t>was</w:t>
      </w:r>
      <w:r w:rsidR="00B412AA" w:rsidRPr="00515EF0">
        <w:rPr>
          <w:bCs/>
        </w:rPr>
        <w:t xml:space="preserve"> </w:t>
      </w:r>
      <w:r w:rsidRPr="00515EF0">
        <w:rPr>
          <w:bCs/>
        </w:rPr>
        <w:t xml:space="preserve">around </w:t>
      </w:r>
      <w:r w:rsidR="000C0894" w:rsidRPr="00515EF0">
        <w:rPr>
          <w:bCs/>
        </w:rPr>
        <w:t>28</w:t>
      </w:r>
      <w:r w:rsidR="008118CF" w:rsidRPr="00515EF0">
        <w:rPr>
          <w:bCs/>
        </w:rPr>
        <w:t>1</w:t>
      </w:r>
      <w:r w:rsidR="000C0894" w:rsidRPr="00515EF0">
        <w:rPr>
          <w:bCs/>
        </w:rPr>
        <w:t>,000</w:t>
      </w:r>
      <w:r w:rsidRPr="00515EF0">
        <w:rPr>
          <w:bCs/>
        </w:rPr>
        <w:t xml:space="preserve"> fewer </w:t>
      </w:r>
      <w:r w:rsidR="00163B89" w:rsidRPr="00515EF0">
        <w:rPr>
          <w:bCs/>
        </w:rPr>
        <w:t>in 2020</w:t>
      </w:r>
      <w:r w:rsidR="00163B89" w:rsidRPr="00515EF0">
        <w:rPr>
          <w:bCs/>
        </w:rPr>
        <w:noBreakHyphen/>
        <w:t xml:space="preserve">21 compared to </w:t>
      </w:r>
      <w:r w:rsidRPr="00515EF0">
        <w:rPr>
          <w:bCs/>
        </w:rPr>
        <w:t>2019-20</w:t>
      </w:r>
      <w:r w:rsidR="00B412AA" w:rsidRPr="00515EF0">
        <w:rPr>
          <w:bCs/>
        </w:rPr>
        <w:t>, reflecting the impact of</w:t>
      </w:r>
      <w:r w:rsidR="00B13725" w:rsidRPr="00515EF0">
        <w:rPr>
          <w:bCs/>
        </w:rPr>
        <w:t xml:space="preserve"> a full year of international</w:t>
      </w:r>
      <w:r w:rsidR="00B412AA" w:rsidRPr="00515EF0">
        <w:rPr>
          <w:bCs/>
        </w:rPr>
        <w:t xml:space="preserve"> travel restrictions</w:t>
      </w:r>
      <w:r w:rsidR="00B13725" w:rsidRPr="00515EF0">
        <w:rPr>
          <w:bCs/>
        </w:rPr>
        <w:t xml:space="preserve">. </w:t>
      </w:r>
      <w:r w:rsidR="00DD4339" w:rsidRPr="00515EF0">
        <w:rPr>
          <w:bCs/>
        </w:rPr>
        <w:t>Overseas arrivals</w:t>
      </w:r>
      <w:r w:rsidR="009A49C0" w:rsidRPr="00515EF0">
        <w:rPr>
          <w:bCs/>
        </w:rPr>
        <w:t xml:space="preserve"> </w:t>
      </w:r>
      <w:r w:rsidR="00D143A7" w:rsidRPr="00515EF0">
        <w:rPr>
          <w:bCs/>
        </w:rPr>
        <w:t xml:space="preserve">fell </w:t>
      </w:r>
      <w:r w:rsidR="00A412A4" w:rsidRPr="00515EF0">
        <w:rPr>
          <w:bCs/>
        </w:rPr>
        <w:t xml:space="preserve">by 71 per cent, </w:t>
      </w:r>
      <w:r w:rsidR="00D143A7" w:rsidRPr="00515EF0">
        <w:rPr>
          <w:bCs/>
        </w:rPr>
        <w:t xml:space="preserve">from </w:t>
      </w:r>
      <w:r w:rsidR="00782E75" w:rsidRPr="00515EF0">
        <w:rPr>
          <w:bCs/>
        </w:rPr>
        <w:t>507,000</w:t>
      </w:r>
      <w:r w:rsidR="00D143A7" w:rsidRPr="00515EF0">
        <w:rPr>
          <w:bCs/>
        </w:rPr>
        <w:t xml:space="preserve"> in 2019</w:t>
      </w:r>
      <w:r w:rsidR="005D59EF" w:rsidRPr="00515EF0">
        <w:rPr>
          <w:bCs/>
        </w:rPr>
        <w:noBreakHyphen/>
      </w:r>
      <w:r w:rsidR="00D143A7" w:rsidRPr="00515EF0">
        <w:rPr>
          <w:bCs/>
        </w:rPr>
        <w:t xml:space="preserve">20 to </w:t>
      </w:r>
      <w:r w:rsidR="00163B89" w:rsidRPr="00515EF0">
        <w:rPr>
          <w:bCs/>
        </w:rPr>
        <w:t xml:space="preserve">just </w:t>
      </w:r>
      <w:r w:rsidR="00782E75" w:rsidRPr="00515EF0">
        <w:rPr>
          <w:bCs/>
        </w:rPr>
        <w:t>146,000</w:t>
      </w:r>
      <w:r w:rsidR="00CB59E7" w:rsidRPr="00515EF0">
        <w:rPr>
          <w:bCs/>
        </w:rPr>
        <w:t xml:space="preserve"> in 2020-21</w:t>
      </w:r>
      <w:r w:rsidR="00A412A4" w:rsidRPr="00515EF0">
        <w:rPr>
          <w:bCs/>
        </w:rPr>
        <w:t>,</w:t>
      </w:r>
      <w:r w:rsidR="00CB59E7" w:rsidRPr="00515EF0">
        <w:rPr>
          <w:bCs/>
        </w:rPr>
        <w:t xml:space="preserve"> </w:t>
      </w:r>
      <w:r w:rsidR="009A49C0" w:rsidRPr="00515EF0">
        <w:rPr>
          <w:bCs/>
        </w:rPr>
        <w:t xml:space="preserve">only partly offset by </w:t>
      </w:r>
      <w:r w:rsidR="00CB59E7" w:rsidRPr="00515EF0">
        <w:rPr>
          <w:bCs/>
        </w:rPr>
        <w:t xml:space="preserve">overseas departures </w:t>
      </w:r>
      <w:r w:rsidR="009A49C0" w:rsidRPr="00515EF0">
        <w:rPr>
          <w:bCs/>
        </w:rPr>
        <w:t xml:space="preserve">which </w:t>
      </w:r>
      <w:r w:rsidR="009028C0" w:rsidRPr="00515EF0">
        <w:rPr>
          <w:bCs/>
        </w:rPr>
        <w:t>fell</w:t>
      </w:r>
      <w:r w:rsidR="00CB59E7" w:rsidRPr="00515EF0">
        <w:rPr>
          <w:bCs/>
        </w:rPr>
        <w:t xml:space="preserve"> </w:t>
      </w:r>
      <w:r w:rsidR="00A412A4" w:rsidRPr="00515EF0">
        <w:rPr>
          <w:bCs/>
        </w:rPr>
        <w:t xml:space="preserve">by 25 per cent, </w:t>
      </w:r>
      <w:r w:rsidR="009028C0" w:rsidRPr="00515EF0">
        <w:rPr>
          <w:bCs/>
        </w:rPr>
        <w:t xml:space="preserve">from </w:t>
      </w:r>
      <w:r w:rsidR="00782E75" w:rsidRPr="00515EF0">
        <w:rPr>
          <w:bCs/>
        </w:rPr>
        <w:t>314,000</w:t>
      </w:r>
      <w:r w:rsidR="009028C0" w:rsidRPr="00515EF0">
        <w:rPr>
          <w:bCs/>
        </w:rPr>
        <w:t xml:space="preserve"> in 2019-20 to </w:t>
      </w:r>
      <w:r w:rsidR="00782E75" w:rsidRPr="00515EF0">
        <w:rPr>
          <w:bCs/>
        </w:rPr>
        <w:t>235,000</w:t>
      </w:r>
      <w:r w:rsidR="00A412A4" w:rsidRPr="00515EF0">
        <w:rPr>
          <w:bCs/>
        </w:rPr>
        <w:t xml:space="preserve"> </w:t>
      </w:r>
      <w:r w:rsidR="009028C0" w:rsidRPr="00515EF0">
        <w:rPr>
          <w:bCs/>
        </w:rPr>
        <w:t>in 2020</w:t>
      </w:r>
      <w:r w:rsidR="00014523" w:rsidRPr="00515EF0">
        <w:rPr>
          <w:bCs/>
        </w:rPr>
        <w:noBreakHyphen/>
      </w:r>
      <w:r w:rsidR="009028C0" w:rsidRPr="00515EF0">
        <w:rPr>
          <w:bCs/>
        </w:rPr>
        <w:t>21</w:t>
      </w:r>
      <w:r w:rsidR="00652263" w:rsidRPr="00515EF0">
        <w:rPr>
          <w:bCs/>
        </w:rPr>
        <w:t xml:space="preserve"> (</w:t>
      </w:r>
      <w:r w:rsidR="00253751" w:rsidRPr="00515EF0">
        <w:rPr>
          <w:bCs/>
        </w:rPr>
        <w:t>Chart</w:t>
      </w:r>
      <w:r w:rsidR="00652263" w:rsidRPr="00515EF0">
        <w:rPr>
          <w:bCs/>
        </w:rPr>
        <w:t xml:space="preserve"> 1)</w:t>
      </w:r>
      <w:r w:rsidR="009028C0" w:rsidRPr="00515EF0">
        <w:rPr>
          <w:bCs/>
        </w:rPr>
        <w:t>.</w:t>
      </w:r>
      <w:r w:rsidR="00024FA9" w:rsidRPr="00515EF0">
        <w:rPr>
          <w:bCs/>
        </w:rPr>
        <w:t xml:space="preserve"> </w:t>
      </w:r>
    </w:p>
    <w:p w14:paraId="21E4F465" w14:textId="5570BC03" w:rsidR="00B13725" w:rsidRPr="00515EF0" w:rsidRDefault="00253751" w:rsidP="00B13725">
      <w:pPr>
        <w:pStyle w:val="Heading9"/>
        <w:keepLines w:val="0"/>
        <w:pBdr>
          <w:top w:val="dashed" w:sz="4" w:space="1" w:color="002C47" w:themeColor="accent1"/>
        </w:pBdr>
        <w:tabs>
          <w:tab w:val="num" w:pos="992"/>
        </w:tabs>
        <w:spacing w:before="120" w:after="120" w:line="240" w:lineRule="auto"/>
        <w:ind w:left="992" w:hanging="992"/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</w:pPr>
      <w:r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Chart</w:t>
      </w:r>
      <w:r w:rsidR="00B13725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 1</w:t>
      </w:r>
      <w:r w:rsidR="00B13725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ab/>
        <w:t>Net overseas migration, year ending quarterly</w:t>
      </w:r>
    </w:p>
    <w:p w14:paraId="6FB280FB" w14:textId="74BBB54C" w:rsidR="00B13725" w:rsidRPr="00515EF0" w:rsidRDefault="00CA568B" w:rsidP="00CF1AD0">
      <w:pPr>
        <w:spacing w:after="0"/>
      </w:pPr>
      <w:r w:rsidRPr="00515EF0">
        <w:rPr>
          <w:noProof/>
        </w:rPr>
        <w:drawing>
          <wp:inline distT="0" distB="0" distL="0" distR="0" wp14:anchorId="494E678F" wp14:editId="26751537">
            <wp:extent cx="5581650" cy="2524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64CA" w14:textId="26A107BC" w:rsidR="00411D6C" w:rsidRPr="00515EF0" w:rsidRDefault="00411D6C" w:rsidP="00411D6C">
      <w:pPr>
        <w:rPr>
          <w:sz w:val="20"/>
        </w:rPr>
      </w:pPr>
      <w:r w:rsidRPr="00515EF0">
        <w:rPr>
          <w:sz w:val="20"/>
        </w:rPr>
        <w:t xml:space="preserve"> Source: ABS National state and territory population, </w:t>
      </w:r>
      <w:r w:rsidR="004A726E" w:rsidRPr="00515EF0">
        <w:rPr>
          <w:sz w:val="20"/>
        </w:rPr>
        <w:t xml:space="preserve">June </w:t>
      </w:r>
      <w:r w:rsidRPr="00515EF0">
        <w:rPr>
          <w:sz w:val="20"/>
        </w:rPr>
        <w:t>202</w:t>
      </w:r>
      <w:r w:rsidR="004A726E" w:rsidRPr="00515EF0">
        <w:rPr>
          <w:sz w:val="20"/>
        </w:rPr>
        <w:t>1</w:t>
      </w:r>
      <w:r w:rsidRPr="00515EF0">
        <w:rPr>
          <w:sz w:val="20"/>
        </w:rPr>
        <w:t xml:space="preserve"> </w:t>
      </w:r>
    </w:p>
    <w:p w14:paraId="4C8405C5" w14:textId="5942B522" w:rsidR="00DD4339" w:rsidRPr="00515EF0" w:rsidRDefault="00B624B9" w:rsidP="00DD4339">
      <w:pPr>
        <w:spacing w:after="120"/>
        <w:rPr>
          <w:bCs/>
        </w:rPr>
      </w:pPr>
      <w:r w:rsidRPr="00515EF0">
        <w:rPr>
          <w:bCs/>
        </w:rPr>
        <w:lastRenderedPageBreak/>
        <w:t xml:space="preserve">The fall in NOM </w:t>
      </w:r>
      <w:r w:rsidR="009A49C0" w:rsidRPr="00515EF0">
        <w:rPr>
          <w:bCs/>
        </w:rPr>
        <w:t xml:space="preserve">compared to </w:t>
      </w:r>
      <w:r w:rsidR="00787C46" w:rsidRPr="00515EF0">
        <w:rPr>
          <w:bCs/>
        </w:rPr>
        <w:t xml:space="preserve">the </w:t>
      </w:r>
      <w:r w:rsidR="009A49C0" w:rsidRPr="00515EF0">
        <w:rPr>
          <w:bCs/>
        </w:rPr>
        <w:t xml:space="preserve">previous </w:t>
      </w:r>
      <w:r w:rsidR="00787C46" w:rsidRPr="00515EF0">
        <w:rPr>
          <w:bCs/>
        </w:rPr>
        <w:t>financial year</w:t>
      </w:r>
      <w:r w:rsidR="00B10958" w:rsidRPr="00515EF0">
        <w:rPr>
          <w:bCs/>
        </w:rPr>
        <w:t xml:space="preserve"> </w:t>
      </w:r>
      <w:r w:rsidRPr="00515EF0">
        <w:rPr>
          <w:bCs/>
        </w:rPr>
        <w:t>was</w:t>
      </w:r>
      <w:r w:rsidR="00B10958" w:rsidRPr="00515EF0">
        <w:rPr>
          <w:bCs/>
        </w:rPr>
        <w:t xml:space="preserve"> </w:t>
      </w:r>
      <w:r w:rsidRPr="00515EF0">
        <w:rPr>
          <w:bCs/>
        </w:rPr>
        <w:t>driven</w:t>
      </w:r>
      <w:r w:rsidR="00C4774C" w:rsidRPr="00515EF0">
        <w:rPr>
          <w:bCs/>
        </w:rPr>
        <w:t xml:space="preserve"> by</w:t>
      </w:r>
      <w:r w:rsidRPr="00515EF0">
        <w:rPr>
          <w:bCs/>
        </w:rPr>
        <w:t xml:space="preserve"> </w:t>
      </w:r>
      <w:r w:rsidR="00B10958" w:rsidRPr="00515EF0">
        <w:rPr>
          <w:bCs/>
        </w:rPr>
        <w:t>a continued decline in</w:t>
      </w:r>
      <w:r w:rsidR="00C4774C" w:rsidRPr="00515EF0">
        <w:rPr>
          <w:bCs/>
        </w:rPr>
        <w:t xml:space="preserve"> </w:t>
      </w:r>
      <w:r w:rsidR="008E0937" w:rsidRPr="00515EF0">
        <w:rPr>
          <w:bCs/>
        </w:rPr>
        <w:t>arrivals</w:t>
      </w:r>
      <w:r w:rsidR="00C4774C" w:rsidRPr="00515EF0">
        <w:rPr>
          <w:bCs/>
        </w:rPr>
        <w:t xml:space="preserve"> of</w:t>
      </w:r>
      <w:r w:rsidR="00B10958" w:rsidRPr="00515EF0">
        <w:rPr>
          <w:bCs/>
        </w:rPr>
        <w:t xml:space="preserve"> </w:t>
      </w:r>
      <w:r w:rsidR="00C4774C" w:rsidRPr="00515EF0">
        <w:rPr>
          <w:bCs/>
        </w:rPr>
        <w:t>temporary visa holders since the introduction of travel restrictions in the last quarter of 2019-20</w:t>
      </w:r>
      <w:r w:rsidR="0045064C" w:rsidRPr="00515EF0">
        <w:rPr>
          <w:bCs/>
        </w:rPr>
        <w:t>.</w:t>
      </w:r>
      <w:r w:rsidR="00E82A8D" w:rsidRPr="00515EF0">
        <w:rPr>
          <w:bCs/>
        </w:rPr>
        <w:t xml:space="preserve"> </w:t>
      </w:r>
      <w:r w:rsidR="00A1193E" w:rsidRPr="00515EF0">
        <w:rPr>
          <w:bCs/>
        </w:rPr>
        <w:t>In 2020-21</w:t>
      </w:r>
      <w:r w:rsidR="00B329B2" w:rsidRPr="00515EF0">
        <w:rPr>
          <w:bCs/>
        </w:rPr>
        <w:t>,</w:t>
      </w:r>
      <w:r w:rsidR="00A1193E" w:rsidRPr="00515EF0">
        <w:rPr>
          <w:bCs/>
        </w:rPr>
        <w:t xml:space="preserve"> every temporary visa </w:t>
      </w:r>
      <w:r w:rsidR="0073327A" w:rsidRPr="00515EF0">
        <w:rPr>
          <w:bCs/>
        </w:rPr>
        <w:t xml:space="preserve">group </w:t>
      </w:r>
      <w:r w:rsidR="00A1193E" w:rsidRPr="00515EF0">
        <w:rPr>
          <w:bCs/>
        </w:rPr>
        <w:t>experienced a net outflow of migrants.</w:t>
      </w:r>
      <w:r w:rsidR="00E82A8D" w:rsidRPr="00515EF0">
        <w:rPr>
          <w:bCs/>
        </w:rPr>
        <w:t xml:space="preserve"> </w:t>
      </w:r>
    </w:p>
    <w:p w14:paraId="2CF52BE8" w14:textId="77DF3892" w:rsidR="000F5580" w:rsidRPr="00515EF0" w:rsidRDefault="009A49C0" w:rsidP="00411D6C">
      <w:pPr>
        <w:rPr>
          <w:bCs/>
        </w:rPr>
      </w:pPr>
      <w:r w:rsidRPr="00515EF0">
        <w:rPr>
          <w:bCs/>
        </w:rPr>
        <w:t>S</w:t>
      </w:r>
      <w:r w:rsidR="00E82A8D" w:rsidRPr="00515EF0">
        <w:rPr>
          <w:bCs/>
        </w:rPr>
        <w:t xml:space="preserve">tudent </w:t>
      </w:r>
      <w:r w:rsidR="000F5580" w:rsidRPr="00515EF0">
        <w:rPr>
          <w:bCs/>
        </w:rPr>
        <w:t>arrivals</w:t>
      </w:r>
      <w:r w:rsidRPr="00515EF0">
        <w:rPr>
          <w:bCs/>
        </w:rPr>
        <w:t xml:space="preserve">, which </w:t>
      </w:r>
      <w:r w:rsidR="009A4E2A" w:rsidRPr="00515EF0">
        <w:rPr>
          <w:bCs/>
        </w:rPr>
        <w:t xml:space="preserve">in the years prior to the pandemic </w:t>
      </w:r>
      <w:r w:rsidRPr="00515EF0">
        <w:rPr>
          <w:bCs/>
        </w:rPr>
        <w:t xml:space="preserve">accounted for the largest share of </w:t>
      </w:r>
      <w:r w:rsidR="001A52AC" w:rsidRPr="00515EF0">
        <w:rPr>
          <w:bCs/>
        </w:rPr>
        <w:t>NOM</w:t>
      </w:r>
      <w:r w:rsidR="00A412A4" w:rsidRPr="00515EF0">
        <w:rPr>
          <w:bCs/>
        </w:rPr>
        <w:t xml:space="preserve"> arrivals</w:t>
      </w:r>
      <w:r w:rsidRPr="00515EF0">
        <w:rPr>
          <w:bCs/>
        </w:rPr>
        <w:t>,</w:t>
      </w:r>
      <w:r w:rsidR="00E82A8D" w:rsidRPr="00515EF0">
        <w:rPr>
          <w:bCs/>
        </w:rPr>
        <w:t xml:space="preserve"> </w:t>
      </w:r>
      <w:r w:rsidR="000F5580" w:rsidRPr="00515EF0">
        <w:rPr>
          <w:bCs/>
        </w:rPr>
        <w:t xml:space="preserve">fell </w:t>
      </w:r>
      <w:r w:rsidR="00244057" w:rsidRPr="00515EF0">
        <w:rPr>
          <w:bCs/>
        </w:rPr>
        <w:t xml:space="preserve">by </w:t>
      </w:r>
      <w:r w:rsidR="00EB25E7" w:rsidRPr="00515EF0">
        <w:rPr>
          <w:bCs/>
        </w:rPr>
        <w:t>109,000</w:t>
      </w:r>
      <w:r w:rsidR="00244057" w:rsidRPr="00515EF0">
        <w:rPr>
          <w:bCs/>
        </w:rPr>
        <w:t xml:space="preserve"> to </w:t>
      </w:r>
      <w:r w:rsidR="00A412A4" w:rsidRPr="00515EF0">
        <w:rPr>
          <w:bCs/>
        </w:rPr>
        <w:t xml:space="preserve">just </w:t>
      </w:r>
      <w:r w:rsidR="00EB25E7" w:rsidRPr="00515EF0">
        <w:rPr>
          <w:bCs/>
        </w:rPr>
        <w:t>1,600</w:t>
      </w:r>
      <w:r w:rsidR="00244057" w:rsidRPr="00515EF0">
        <w:rPr>
          <w:bCs/>
        </w:rPr>
        <w:t xml:space="preserve"> </w:t>
      </w:r>
      <w:r w:rsidR="000F5580" w:rsidRPr="00515EF0">
        <w:rPr>
          <w:bCs/>
        </w:rPr>
        <w:t>in 2020-21</w:t>
      </w:r>
      <w:r w:rsidR="00244057" w:rsidRPr="00515EF0">
        <w:rPr>
          <w:bCs/>
        </w:rPr>
        <w:t xml:space="preserve">, </w:t>
      </w:r>
      <w:r w:rsidR="00A412A4" w:rsidRPr="00515EF0">
        <w:rPr>
          <w:bCs/>
        </w:rPr>
        <w:t>a 99 per cent fall</w:t>
      </w:r>
      <w:r w:rsidR="0003134B" w:rsidRPr="00515EF0">
        <w:rPr>
          <w:bCs/>
        </w:rPr>
        <w:t xml:space="preserve">, making it the </w:t>
      </w:r>
      <w:r w:rsidR="0037551F" w:rsidRPr="00515EF0">
        <w:rPr>
          <w:bCs/>
        </w:rPr>
        <w:t xml:space="preserve">visa </w:t>
      </w:r>
      <w:r w:rsidR="0073327A" w:rsidRPr="00515EF0">
        <w:rPr>
          <w:bCs/>
        </w:rPr>
        <w:t xml:space="preserve">group </w:t>
      </w:r>
      <w:r w:rsidR="0003134B" w:rsidRPr="00515EF0">
        <w:rPr>
          <w:bCs/>
        </w:rPr>
        <w:t>with the most negative NOM</w:t>
      </w:r>
      <w:r w:rsidR="00244057" w:rsidRPr="00515EF0">
        <w:rPr>
          <w:bCs/>
        </w:rPr>
        <w:t xml:space="preserve">. </w:t>
      </w:r>
      <w:r w:rsidR="00187393" w:rsidRPr="00515EF0">
        <w:rPr>
          <w:bCs/>
        </w:rPr>
        <w:t>At the same time</w:t>
      </w:r>
      <w:r w:rsidR="00244057" w:rsidRPr="00515EF0">
        <w:rPr>
          <w:bCs/>
        </w:rPr>
        <w:t xml:space="preserve">, </w:t>
      </w:r>
      <w:r w:rsidR="00BE1B92" w:rsidRPr="00515EF0">
        <w:rPr>
          <w:bCs/>
        </w:rPr>
        <w:t>departures</w:t>
      </w:r>
      <w:r w:rsidR="00244057" w:rsidRPr="00515EF0">
        <w:rPr>
          <w:bCs/>
        </w:rPr>
        <w:t xml:space="preserve"> for student visa holders peaked in the March 2020 quarter before </w:t>
      </w:r>
      <w:r w:rsidR="00E82A8D" w:rsidRPr="00515EF0">
        <w:rPr>
          <w:bCs/>
        </w:rPr>
        <w:t>gradually</w:t>
      </w:r>
      <w:r w:rsidR="00BE1B92" w:rsidRPr="00515EF0">
        <w:rPr>
          <w:bCs/>
        </w:rPr>
        <w:t xml:space="preserve"> </w:t>
      </w:r>
      <w:r w:rsidR="00C40B25" w:rsidRPr="00515EF0">
        <w:rPr>
          <w:bCs/>
        </w:rPr>
        <w:t>falling below 2019-20</w:t>
      </w:r>
      <w:r w:rsidR="00BE1B92" w:rsidRPr="00515EF0">
        <w:rPr>
          <w:bCs/>
        </w:rPr>
        <w:t xml:space="preserve"> levels</w:t>
      </w:r>
      <w:r w:rsidR="00653102" w:rsidRPr="00515EF0">
        <w:rPr>
          <w:bCs/>
        </w:rPr>
        <w:t xml:space="preserve"> by </w:t>
      </w:r>
      <w:r w:rsidR="00787C46" w:rsidRPr="00515EF0">
        <w:rPr>
          <w:bCs/>
        </w:rPr>
        <w:t xml:space="preserve">the end of </w:t>
      </w:r>
      <w:r w:rsidR="00653102" w:rsidRPr="00515EF0">
        <w:rPr>
          <w:bCs/>
        </w:rPr>
        <w:t>2020-21</w:t>
      </w:r>
      <w:r w:rsidR="00E82A8D" w:rsidRPr="00515EF0">
        <w:rPr>
          <w:bCs/>
        </w:rPr>
        <w:t xml:space="preserve">. </w:t>
      </w:r>
      <w:r w:rsidR="00653102" w:rsidRPr="00515EF0">
        <w:rPr>
          <w:bCs/>
        </w:rPr>
        <w:t xml:space="preserve">As a result, </w:t>
      </w:r>
      <w:r w:rsidR="00E82A8D" w:rsidRPr="00515EF0">
        <w:rPr>
          <w:bCs/>
        </w:rPr>
        <w:t xml:space="preserve">NOM for student visa holders fell </w:t>
      </w:r>
      <w:r w:rsidR="00653102" w:rsidRPr="00515EF0">
        <w:rPr>
          <w:bCs/>
        </w:rPr>
        <w:t>from</w:t>
      </w:r>
      <w:r w:rsidR="00B768BB" w:rsidRPr="00515EF0">
        <w:rPr>
          <w:bCs/>
        </w:rPr>
        <w:t xml:space="preserve"> </w:t>
      </w:r>
      <w:r w:rsidR="00EB25E7" w:rsidRPr="00515EF0">
        <w:rPr>
          <w:bCs/>
        </w:rPr>
        <w:t>9,500</w:t>
      </w:r>
      <w:r w:rsidR="00B768BB" w:rsidRPr="00515EF0">
        <w:rPr>
          <w:bCs/>
        </w:rPr>
        <w:t xml:space="preserve"> </w:t>
      </w:r>
      <w:r w:rsidR="00653102" w:rsidRPr="00515EF0">
        <w:rPr>
          <w:bCs/>
        </w:rPr>
        <w:t xml:space="preserve">in 2019-20 </w:t>
      </w:r>
      <w:r w:rsidR="00B768BB" w:rsidRPr="00515EF0">
        <w:rPr>
          <w:bCs/>
        </w:rPr>
        <w:t xml:space="preserve">to </w:t>
      </w:r>
      <w:r w:rsidR="0073327A" w:rsidRPr="00515EF0">
        <w:rPr>
          <w:bCs/>
        </w:rPr>
        <w:noBreakHyphen/>
      </w:r>
      <w:r w:rsidR="00064766" w:rsidRPr="00515EF0">
        <w:rPr>
          <w:bCs/>
        </w:rPr>
        <w:t>61,600</w:t>
      </w:r>
      <w:r w:rsidR="00B768BB" w:rsidRPr="00515EF0">
        <w:rPr>
          <w:bCs/>
        </w:rPr>
        <w:t xml:space="preserve"> in 2020-21</w:t>
      </w:r>
      <w:r w:rsidR="00D73A05" w:rsidRPr="00515EF0">
        <w:rPr>
          <w:bCs/>
        </w:rPr>
        <w:t xml:space="preserve"> </w:t>
      </w:r>
      <w:r w:rsidR="00787C46" w:rsidRPr="00515EF0">
        <w:rPr>
          <w:bCs/>
        </w:rPr>
        <w:t>(</w:t>
      </w:r>
      <w:r w:rsidR="00253751" w:rsidRPr="00515EF0">
        <w:rPr>
          <w:bCs/>
        </w:rPr>
        <w:t>Chart</w:t>
      </w:r>
      <w:r w:rsidR="00787C46" w:rsidRPr="00515EF0">
        <w:rPr>
          <w:bCs/>
        </w:rPr>
        <w:t xml:space="preserve"> 2)</w:t>
      </w:r>
      <w:r w:rsidR="00A412A4" w:rsidRPr="00515EF0">
        <w:rPr>
          <w:bCs/>
        </w:rPr>
        <w:t>, in contrast to the 9</w:t>
      </w:r>
      <w:r w:rsidR="00B9653F" w:rsidRPr="00515EF0">
        <w:rPr>
          <w:bCs/>
        </w:rPr>
        <w:t>6</w:t>
      </w:r>
      <w:r w:rsidR="00A412A4" w:rsidRPr="00515EF0">
        <w:rPr>
          <w:bCs/>
        </w:rPr>
        <w:t>,900 student NOM in 2018</w:t>
      </w:r>
      <w:r w:rsidR="00A412A4" w:rsidRPr="00515EF0">
        <w:rPr>
          <w:bCs/>
        </w:rPr>
        <w:noBreakHyphen/>
        <w:t>19</w:t>
      </w:r>
      <w:r w:rsidR="00B768BB" w:rsidRPr="00515EF0">
        <w:rPr>
          <w:bCs/>
        </w:rPr>
        <w:t>.</w:t>
      </w:r>
    </w:p>
    <w:p w14:paraId="425649B6" w14:textId="338012EB" w:rsidR="00FC52EA" w:rsidRPr="00515EF0" w:rsidRDefault="00866BE4" w:rsidP="00411D6C">
      <w:pPr>
        <w:rPr>
          <w:bCs/>
        </w:rPr>
      </w:pPr>
      <w:r w:rsidRPr="00515EF0">
        <w:rPr>
          <w:bCs/>
        </w:rPr>
        <w:t>W</w:t>
      </w:r>
      <w:r w:rsidR="005971FA" w:rsidRPr="00515EF0">
        <w:rPr>
          <w:bCs/>
        </w:rPr>
        <w:t xml:space="preserve">orking holiday makers experienced the </w:t>
      </w:r>
      <w:r w:rsidR="00072887" w:rsidRPr="00515EF0">
        <w:rPr>
          <w:bCs/>
        </w:rPr>
        <w:t xml:space="preserve">next </w:t>
      </w:r>
      <w:r w:rsidR="00B264F8" w:rsidRPr="00515EF0">
        <w:rPr>
          <w:bCs/>
        </w:rPr>
        <w:t>largest decrease in</w:t>
      </w:r>
      <w:r w:rsidR="0003134B" w:rsidRPr="00515EF0">
        <w:rPr>
          <w:bCs/>
        </w:rPr>
        <w:t xml:space="preserve"> </w:t>
      </w:r>
      <w:r w:rsidR="005971FA" w:rsidRPr="00515EF0">
        <w:rPr>
          <w:bCs/>
        </w:rPr>
        <w:t>NOM</w:t>
      </w:r>
      <w:r w:rsidR="00E61453" w:rsidRPr="00515EF0">
        <w:rPr>
          <w:bCs/>
        </w:rPr>
        <w:t>,</w:t>
      </w:r>
      <w:r w:rsidR="005971FA" w:rsidRPr="00515EF0">
        <w:rPr>
          <w:bCs/>
        </w:rPr>
        <w:t xml:space="preserve"> falling </w:t>
      </w:r>
      <w:r w:rsidR="0073327A" w:rsidRPr="00515EF0">
        <w:rPr>
          <w:bCs/>
        </w:rPr>
        <w:t xml:space="preserve">from </w:t>
      </w:r>
      <w:r w:rsidR="00D20958" w:rsidRPr="00515EF0">
        <w:rPr>
          <w:bCs/>
        </w:rPr>
        <w:t>18,400 in 2019</w:t>
      </w:r>
      <w:r w:rsidR="00D20958" w:rsidRPr="00515EF0">
        <w:rPr>
          <w:bCs/>
        </w:rPr>
        <w:noBreakHyphen/>
        <w:t xml:space="preserve">20 </w:t>
      </w:r>
      <w:r w:rsidR="005971FA" w:rsidRPr="00515EF0">
        <w:rPr>
          <w:bCs/>
        </w:rPr>
        <w:t xml:space="preserve">to </w:t>
      </w:r>
      <w:r w:rsidR="00D20958" w:rsidRPr="00515EF0">
        <w:rPr>
          <w:bCs/>
        </w:rPr>
        <w:noBreakHyphen/>
      </w:r>
      <w:r w:rsidR="00064766" w:rsidRPr="00515EF0">
        <w:rPr>
          <w:bCs/>
        </w:rPr>
        <w:t>6,700</w:t>
      </w:r>
      <w:r w:rsidR="005971FA" w:rsidRPr="00515EF0">
        <w:rPr>
          <w:bCs/>
        </w:rPr>
        <w:t xml:space="preserve"> in 20</w:t>
      </w:r>
      <w:r w:rsidR="00AB4514" w:rsidRPr="00515EF0">
        <w:rPr>
          <w:bCs/>
        </w:rPr>
        <w:t>20</w:t>
      </w:r>
      <w:r w:rsidR="005971FA" w:rsidRPr="00515EF0">
        <w:rPr>
          <w:bCs/>
        </w:rPr>
        <w:t>-2</w:t>
      </w:r>
      <w:r w:rsidR="00AB4514" w:rsidRPr="00515EF0">
        <w:rPr>
          <w:bCs/>
        </w:rPr>
        <w:t>1</w:t>
      </w:r>
      <w:r w:rsidR="00E61453" w:rsidRPr="00515EF0">
        <w:rPr>
          <w:bCs/>
        </w:rPr>
        <w:t xml:space="preserve"> </w:t>
      </w:r>
      <w:r w:rsidR="00D20958" w:rsidRPr="00515EF0">
        <w:rPr>
          <w:bCs/>
        </w:rPr>
        <w:t xml:space="preserve">(Chart 2), </w:t>
      </w:r>
      <w:r w:rsidR="00E61453" w:rsidRPr="00515EF0">
        <w:rPr>
          <w:bCs/>
        </w:rPr>
        <w:t>driven by a</w:t>
      </w:r>
      <w:r w:rsidR="00653102" w:rsidRPr="00515EF0">
        <w:rPr>
          <w:bCs/>
        </w:rPr>
        <w:t xml:space="preserve">rrivals </w:t>
      </w:r>
      <w:r w:rsidR="00103076" w:rsidRPr="00515EF0">
        <w:rPr>
          <w:bCs/>
        </w:rPr>
        <w:t>dropping</w:t>
      </w:r>
      <w:r w:rsidR="00AB4514" w:rsidRPr="00515EF0">
        <w:rPr>
          <w:bCs/>
        </w:rPr>
        <w:t xml:space="preserve"> </w:t>
      </w:r>
      <w:r w:rsidR="00D20958" w:rsidRPr="00515EF0">
        <w:rPr>
          <w:bCs/>
        </w:rPr>
        <w:t>from 44,000 in 2019</w:t>
      </w:r>
      <w:r w:rsidR="00D20958" w:rsidRPr="00515EF0">
        <w:rPr>
          <w:bCs/>
        </w:rPr>
        <w:noBreakHyphen/>
        <w:t xml:space="preserve">20 </w:t>
      </w:r>
      <w:r w:rsidR="00645EB2" w:rsidRPr="00515EF0">
        <w:rPr>
          <w:bCs/>
        </w:rPr>
        <w:t xml:space="preserve">to </w:t>
      </w:r>
      <w:r w:rsidR="00D20958" w:rsidRPr="00515EF0">
        <w:rPr>
          <w:bCs/>
        </w:rPr>
        <w:t xml:space="preserve">just </w:t>
      </w:r>
      <w:r w:rsidR="0080590E" w:rsidRPr="00515EF0">
        <w:rPr>
          <w:bCs/>
        </w:rPr>
        <w:t xml:space="preserve">1,100 </w:t>
      </w:r>
      <w:r w:rsidR="00D20958" w:rsidRPr="00515EF0">
        <w:rPr>
          <w:bCs/>
        </w:rPr>
        <w:t>in 2020</w:t>
      </w:r>
      <w:r w:rsidR="00D20958" w:rsidRPr="00515EF0">
        <w:rPr>
          <w:bCs/>
        </w:rPr>
        <w:noBreakHyphen/>
        <w:t>21</w:t>
      </w:r>
      <w:r w:rsidR="00E61453" w:rsidRPr="00515EF0">
        <w:rPr>
          <w:bCs/>
        </w:rPr>
        <w:t xml:space="preserve">. </w:t>
      </w:r>
      <w:r w:rsidR="00072887" w:rsidRPr="00515EF0">
        <w:rPr>
          <w:bCs/>
        </w:rPr>
        <w:t>Departures for working holiday makers also peaked in the March 2020 quarter</w:t>
      </w:r>
      <w:r w:rsidR="0073327A" w:rsidRPr="00515EF0">
        <w:rPr>
          <w:bCs/>
        </w:rPr>
        <w:t>,</w:t>
      </w:r>
      <w:r w:rsidR="00072887" w:rsidRPr="00515EF0">
        <w:rPr>
          <w:bCs/>
        </w:rPr>
        <w:t xml:space="preserve"> before falling to </w:t>
      </w:r>
      <w:r w:rsidR="00D20958" w:rsidRPr="00515EF0">
        <w:rPr>
          <w:bCs/>
        </w:rPr>
        <w:t>7,900 in 2020</w:t>
      </w:r>
      <w:r w:rsidR="00D20958" w:rsidRPr="00515EF0">
        <w:rPr>
          <w:bCs/>
        </w:rPr>
        <w:noBreakHyphen/>
        <w:t xml:space="preserve">21, around </w:t>
      </w:r>
      <w:r w:rsidR="0080590E" w:rsidRPr="00515EF0">
        <w:rPr>
          <w:bCs/>
        </w:rPr>
        <w:t xml:space="preserve">31 </w:t>
      </w:r>
      <w:r w:rsidR="00F5695E" w:rsidRPr="00515EF0">
        <w:rPr>
          <w:bCs/>
        </w:rPr>
        <w:t xml:space="preserve">per cent of </w:t>
      </w:r>
      <w:r w:rsidR="00072887" w:rsidRPr="00515EF0">
        <w:rPr>
          <w:bCs/>
        </w:rPr>
        <w:t>20</w:t>
      </w:r>
      <w:r w:rsidR="00F5695E" w:rsidRPr="00515EF0">
        <w:rPr>
          <w:bCs/>
        </w:rPr>
        <w:t>19</w:t>
      </w:r>
      <w:r w:rsidR="00D20958" w:rsidRPr="00515EF0">
        <w:rPr>
          <w:bCs/>
        </w:rPr>
        <w:noBreakHyphen/>
      </w:r>
      <w:r w:rsidR="00F5695E" w:rsidRPr="00515EF0">
        <w:rPr>
          <w:bCs/>
        </w:rPr>
        <w:t>20</w:t>
      </w:r>
      <w:r w:rsidR="00072887" w:rsidRPr="00515EF0">
        <w:rPr>
          <w:bCs/>
        </w:rPr>
        <w:t xml:space="preserve"> levels</w:t>
      </w:r>
      <w:r w:rsidR="009F6B49" w:rsidRPr="00515EF0">
        <w:rPr>
          <w:bCs/>
        </w:rPr>
        <w:t>.</w:t>
      </w:r>
    </w:p>
    <w:p w14:paraId="6401F1BA" w14:textId="365BB944" w:rsidR="008E0937" w:rsidRPr="00515EF0" w:rsidRDefault="0047613A" w:rsidP="00411D6C">
      <w:pPr>
        <w:rPr>
          <w:bCs/>
        </w:rPr>
      </w:pPr>
      <w:r w:rsidRPr="00515EF0">
        <w:rPr>
          <w:bCs/>
        </w:rPr>
        <w:t xml:space="preserve">Though comparatively smaller, </w:t>
      </w:r>
      <w:r w:rsidR="001A52AC" w:rsidRPr="00515EF0">
        <w:rPr>
          <w:bCs/>
        </w:rPr>
        <w:t>NOM for temporary skilled and other temporary migrants also fell</w:t>
      </w:r>
      <w:r w:rsidRPr="00515EF0">
        <w:rPr>
          <w:bCs/>
        </w:rPr>
        <w:t xml:space="preserve"> significantly in 2020-21 driven by fall</w:t>
      </w:r>
      <w:r w:rsidR="000458F8">
        <w:rPr>
          <w:bCs/>
        </w:rPr>
        <w:t>s</w:t>
      </w:r>
      <w:r w:rsidRPr="00515EF0">
        <w:rPr>
          <w:bCs/>
        </w:rPr>
        <w:t xml:space="preserve"> in arrivals of </w:t>
      </w:r>
      <w:r w:rsidR="002B48FC" w:rsidRPr="00515EF0">
        <w:rPr>
          <w:bCs/>
        </w:rPr>
        <w:t>13</w:t>
      </w:r>
      <w:r w:rsidR="001E5DC9" w:rsidRPr="00515EF0">
        <w:rPr>
          <w:bCs/>
        </w:rPr>
        <w:t>,</w:t>
      </w:r>
      <w:r w:rsidR="002B48FC" w:rsidRPr="00515EF0">
        <w:rPr>
          <w:bCs/>
        </w:rPr>
        <w:t>8</w:t>
      </w:r>
      <w:r w:rsidR="001E5DC9" w:rsidRPr="00515EF0">
        <w:rPr>
          <w:bCs/>
        </w:rPr>
        <w:t xml:space="preserve">00 and </w:t>
      </w:r>
      <w:r w:rsidR="002B48FC" w:rsidRPr="00515EF0">
        <w:rPr>
          <w:bCs/>
        </w:rPr>
        <w:t>10</w:t>
      </w:r>
      <w:r w:rsidR="001E5DC9" w:rsidRPr="00515EF0">
        <w:rPr>
          <w:bCs/>
        </w:rPr>
        <w:t>,</w:t>
      </w:r>
      <w:r w:rsidR="002B48FC" w:rsidRPr="00515EF0">
        <w:rPr>
          <w:bCs/>
        </w:rPr>
        <w:t>2</w:t>
      </w:r>
      <w:r w:rsidR="001E5DC9" w:rsidRPr="00515EF0">
        <w:rPr>
          <w:bCs/>
        </w:rPr>
        <w:t>00</w:t>
      </w:r>
      <w:r w:rsidR="00F42613" w:rsidRPr="00515EF0">
        <w:rPr>
          <w:bCs/>
        </w:rPr>
        <w:t xml:space="preserve"> respectively.</w:t>
      </w:r>
      <w:r w:rsidR="00FC52EA" w:rsidRPr="00515EF0">
        <w:rPr>
          <w:bCs/>
        </w:rPr>
        <w:t xml:space="preserve"> Unlike</w:t>
      </w:r>
      <w:r w:rsidR="009F6B49" w:rsidRPr="00515EF0">
        <w:rPr>
          <w:bCs/>
        </w:rPr>
        <w:t xml:space="preserve"> students and working holiday makers</w:t>
      </w:r>
      <w:r w:rsidR="00FC52EA" w:rsidRPr="00515EF0">
        <w:rPr>
          <w:bCs/>
        </w:rPr>
        <w:t xml:space="preserve">, departures for other temporary visa holders increased from </w:t>
      </w:r>
      <w:r w:rsidR="001E5DC9" w:rsidRPr="00515EF0">
        <w:rPr>
          <w:bCs/>
        </w:rPr>
        <w:t>39,800</w:t>
      </w:r>
      <w:r w:rsidR="00FC52EA" w:rsidRPr="00515EF0">
        <w:rPr>
          <w:bCs/>
        </w:rPr>
        <w:t xml:space="preserve"> in 2019-20 to </w:t>
      </w:r>
      <w:r w:rsidR="001E5DC9" w:rsidRPr="00515EF0">
        <w:rPr>
          <w:bCs/>
        </w:rPr>
        <w:t>51,100</w:t>
      </w:r>
      <w:r w:rsidR="00866BE4" w:rsidRPr="00515EF0">
        <w:rPr>
          <w:bCs/>
        </w:rPr>
        <w:t xml:space="preserve"> in 2020</w:t>
      </w:r>
      <w:r w:rsidR="00866BE4" w:rsidRPr="00515EF0">
        <w:rPr>
          <w:bCs/>
        </w:rPr>
        <w:noBreakHyphen/>
        <w:t>21</w:t>
      </w:r>
      <w:r w:rsidR="00072887" w:rsidRPr="00515EF0">
        <w:rPr>
          <w:bCs/>
        </w:rPr>
        <w:t xml:space="preserve"> while departures </w:t>
      </w:r>
      <w:r w:rsidR="00E57067" w:rsidRPr="00515EF0">
        <w:rPr>
          <w:bCs/>
        </w:rPr>
        <w:t xml:space="preserve">of </w:t>
      </w:r>
      <w:r w:rsidR="009F6B49" w:rsidRPr="00515EF0">
        <w:rPr>
          <w:bCs/>
        </w:rPr>
        <w:t>temporary skill</w:t>
      </w:r>
      <w:r w:rsidR="00E57067" w:rsidRPr="00515EF0">
        <w:rPr>
          <w:bCs/>
        </w:rPr>
        <w:t>ed</w:t>
      </w:r>
      <w:r w:rsidR="009F6B49" w:rsidRPr="00515EF0">
        <w:rPr>
          <w:bCs/>
        </w:rPr>
        <w:t xml:space="preserve"> </w:t>
      </w:r>
      <w:r w:rsidR="00E57067" w:rsidRPr="00515EF0">
        <w:rPr>
          <w:bCs/>
        </w:rPr>
        <w:t xml:space="preserve">migrants </w:t>
      </w:r>
      <w:r w:rsidR="00B34747" w:rsidRPr="00515EF0">
        <w:rPr>
          <w:bCs/>
        </w:rPr>
        <w:t xml:space="preserve">experienced </w:t>
      </w:r>
      <w:r w:rsidR="00E57067" w:rsidRPr="00515EF0">
        <w:rPr>
          <w:bCs/>
        </w:rPr>
        <w:t>a</w:t>
      </w:r>
      <w:r w:rsidR="00EE1826" w:rsidRPr="00515EF0">
        <w:rPr>
          <w:bCs/>
        </w:rPr>
        <w:t xml:space="preserve"> comparatively</w:t>
      </w:r>
      <w:r w:rsidR="00E57067" w:rsidRPr="00515EF0">
        <w:rPr>
          <w:bCs/>
        </w:rPr>
        <w:t xml:space="preserve"> small decline</w:t>
      </w:r>
      <w:r w:rsidR="009F6B49" w:rsidRPr="00515EF0">
        <w:rPr>
          <w:bCs/>
        </w:rPr>
        <w:t>.</w:t>
      </w:r>
    </w:p>
    <w:p w14:paraId="4A221D44" w14:textId="48B8A51C" w:rsidR="0063684F" w:rsidRPr="00515EF0" w:rsidRDefault="007A527A" w:rsidP="00B13D28">
      <w:pPr>
        <w:spacing w:after="120"/>
        <w:rPr>
          <w:bCs/>
        </w:rPr>
      </w:pPr>
      <w:r w:rsidRPr="00515EF0">
        <w:rPr>
          <w:bCs/>
        </w:rPr>
        <w:t>In 2020-21 Australian citizens remain</w:t>
      </w:r>
      <w:r w:rsidR="00D2311A" w:rsidRPr="00515EF0">
        <w:rPr>
          <w:bCs/>
        </w:rPr>
        <w:t>ed</w:t>
      </w:r>
      <w:r w:rsidRPr="00515EF0">
        <w:rPr>
          <w:bCs/>
        </w:rPr>
        <w:t xml:space="preserve"> net immigrants to Australia</w:t>
      </w:r>
      <w:r w:rsidR="0001141F" w:rsidRPr="00515EF0">
        <w:rPr>
          <w:bCs/>
        </w:rPr>
        <w:t xml:space="preserve"> </w:t>
      </w:r>
      <w:r w:rsidR="00D2311A" w:rsidRPr="00515EF0">
        <w:rPr>
          <w:bCs/>
        </w:rPr>
        <w:t xml:space="preserve">with </w:t>
      </w:r>
      <w:r w:rsidR="0001141F" w:rsidRPr="00515EF0">
        <w:rPr>
          <w:bCs/>
        </w:rPr>
        <w:t>NOM of</w:t>
      </w:r>
      <w:r w:rsidR="00B9206D" w:rsidRPr="00515EF0">
        <w:rPr>
          <w:bCs/>
        </w:rPr>
        <w:t xml:space="preserve"> 18,100</w:t>
      </w:r>
      <w:r w:rsidR="00884113" w:rsidRPr="00515EF0">
        <w:rPr>
          <w:bCs/>
        </w:rPr>
        <w:t>, as more Australians return</w:t>
      </w:r>
      <w:r w:rsidR="00D2311A" w:rsidRPr="00515EF0">
        <w:rPr>
          <w:bCs/>
        </w:rPr>
        <w:t>ed</w:t>
      </w:r>
      <w:r w:rsidR="00884113" w:rsidRPr="00515EF0">
        <w:rPr>
          <w:bCs/>
        </w:rPr>
        <w:t xml:space="preserve"> to the country than depart</w:t>
      </w:r>
      <w:r w:rsidR="00D2311A" w:rsidRPr="00515EF0">
        <w:rPr>
          <w:bCs/>
        </w:rPr>
        <w:t>ed</w:t>
      </w:r>
      <w:r w:rsidR="00253751" w:rsidRPr="00515EF0">
        <w:rPr>
          <w:bCs/>
        </w:rPr>
        <w:t xml:space="preserve"> (Chart 2)</w:t>
      </w:r>
      <w:r w:rsidR="00D20958" w:rsidRPr="00515EF0">
        <w:rPr>
          <w:bCs/>
        </w:rPr>
        <w:t>. Over the last two financial years</w:t>
      </w:r>
      <w:r w:rsidR="007D763E" w:rsidRPr="00515EF0">
        <w:rPr>
          <w:bCs/>
        </w:rPr>
        <w:t xml:space="preserve">, </w:t>
      </w:r>
      <w:r w:rsidR="00EA111B" w:rsidRPr="00515EF0">
        <w:rPr>
          <w:bCs/>
        </w:rPr>
        <w:t xml:space="preserve">54,100 Australian citizens have migrated to Australia in net terms, compared to an annual average of </w:t>
      </w:r>
      <w:r w:rsidR="00EA111B" w:rsidRPr="00515EF0">
        <w:rPr>
          <w:bCs/>
        </w:rPr>
        <w:noBreakHyphen/>
        <w:t xml:space="preserve">13,900 over the preceding 15 years. </w:t>
      </w:r>
      <w:r w:rsidR="00884113" w:rsidRPr="00515EF0">
        <w:rPr>
          <w:bCs/>
        </w:rPr>
        <w:t>Despite</w:t>
      </w:r>
      <w:r w:rsidR="00787C46" w:rsidRPr="00515EF0">
        <w:rPr>
          <w:bCs/>
        </w:rPr>
        <w:t xml:space="preserve"> arrivals</w:t>
      </w:r>
      <w:r w:rsidR="00884113" w:rsidRPr="00515EF0">
        <w:rPr>
          <w:bCs/>
        </w:rPr>
        <w:t xml:space="preserve"> falling from</w:t>
      </w:r>
      <w:r w:rsidR="0001141F" w:rsidRPr="00515EF0">
        <w:rPr>
          <w:bCs/>
        </w:rPr>
        <w:t xml:space="preserve"> a </w:t>
      </w:r>
      <w:r w:rsidR="00B9206D" w:rsidRPr="00515EF0">
        <w:rPr>
          <w:bCs/>
        </w:rPr>
        <w:t xml:space="preserve">financial year </w:t>
      </w:r>
      <w:r w:rsidR="0001141F" w:rsidRPr="00515EF0">
        <w:rPr>
          <w:bCs/>
        </w:rPr>
        <w:t>peak of</w:t>
      </w:r>
      <w:r w:rsidR="00884113" w:rsidRPr="00515EF0">
        <w:rPr>
          <w:bCs/>
        </w:rPr>
        <w:t xml:space="preserve"> </w:t>
      </w:r>
      <w:r w:rsidR="00B9206D" w:rsidRPr="00515EF0">
        <w:rPr>
          <w:bCs/>
        </w:rPr>
        <w:t>96,400</w:t>
      </w:r>
      <w:r w:rsidR="00884113" w:rsidRPr="00515EF0">
        <w:rPr>
          <w:bCs/>
        </w:rPr>
        <w:t xml:space="preserve"> in 2019</w:t>
      </w:r>
      <w:r w:rsidR="00D73A05" w:rsidRPr="00515EF0">
        <w:rPr>
          <w:bCs/>
        </w:rPr>
        <w:noBreakHyphen/>
      </w:r>
      <w:r w:rsidR="00884113" w:rsidRPr="00515EF0">
        <w:rPr>
          <w:bCs/>
        </w:rPr>
        <w:t xml:space="preserve">20 to </w:t>
      </w:r>
      <w:r w:rsidR="00B9206D" w:rsidRPr="00515EF0">
        <w:rPr>
          <w:bCs/>
        </w:rPr>
        <w:t>62,400</w:t>
      </w:r>
      <w:r w:rsidR="00884113" w:rsidRPr="00515EF0">
        <w:rPr>
          <w:bCs/>
        </w:rPr>
        <w:t xml:space="preserve"> in 2020-21, </w:t>
      </w:r>
      <w:r w:rsidR="0001141F" w:rsidRPr="00515EF0">
        <w:rPr>
          <w:bCs/>
        </w:rPr>
        <w:t xml:space="preserve">returning Australians </w:t>
      </w:r>
      <w:r w:rsidR="00EA111B" w:rsidRPr="00515EF0">
        <w:rPr>
          <w:bCs/>
        </w:rPr>
        <w:t xml:space="preserve">were </w:t>
      </w:r>
      <w:r w:rsidR="008D429A">
        <w:rPr>
          <w:bCs/>
        </w:rPr>
        <w:t xml:space="preserve">nonetheless </w:t>
      </w:r>
      <w:r w:rsidR="00EA111B" w:rsidRPr="00515EF0">
        <w:rPr>
          <w:bCs/>
        </w:rPr>
        <w:t xml:space="preserve">the </w:t>
      </w:r>
      <w:r w:rsidR="007D763E" w:rsidRPr="00515EF0">
        <w:rPr>
          <w:bCs/>
        </w:rPr>
        <w:t xml:space="preserve">largest group </w:t>
      </w:r>
      <w:r w:rsidR="0001141F" w:rsidRPr="00515EF0">
        <w:rPr>
          <w:bCs/>
        </w:rPr>
        <w:t>of total arrivals to Australia</w:t>
      </w:r>
      <w:r w:rsidR="00EA111B" w:rsidRPr="00515EF0">
        <w:rPr>
          <w:bCs/>
        </w:rPr>
        <w:t xml:space="preserve"> in 2020</w:t>
      </w:r>
      <w:r w:rsidR="00EA111B" w:rsidRPr="00515EF0">
        <w:rPr>
          <w:bCs/>
        </w:rPr>
        <w:noBreakHyphen/>
        <w:t>21</w:t>
      </w:r>
      <w:r w:rsidR="0001141F" w:rsidRPr="00515EF0">
        <w:rPr>
          <w:bCs/>
        </w:rPr>
        <w:t>.</w:t>
      </w:r>
      <w:r w:rsidR="007B670A" w:rsidRPr="00515EF0">
        <w:rPr>
          <w:bCs/>
        </w:rPr>
        <w:t xml:space="preserve"> NOM for permanent residents also remained </w:t>
      </w:r>
      <w:r w:rsidR="00B13D28" w:rsidRPr="00515EF0">
        <w:rPr>
          <w:bCs/>
        </w:rPr>
        <w:t>positive</w:t>
      </w:r>
      <w:r w:rsidR="009B09AF" w:rsidRPr="00515EF0">
        <w:rPr>
          <w:bCs/>
        </w:rPr>
        <w:t xml:space="preserve"> in 2020-21</w:t>
      </w:r>
      <w:r w:rsidR="00B13D28" w:rsidRPr="00515EF0">
        <w:rPr>
          <w:bCs/>
        </w:rPr>
        <w:t xml:space="preserve"> despite arrivals </w:t>
      </w:r>
      <w:r w:rsidR="00B659D1" w:rsidRPr="00515EF0">
        <w:rPr>
          <w:bCs/>
        </w:rPr>
        <w:t xml:space="preserve">of </w:t>
      </w:r>
      <w:r w:rsidR="00B13D28" w:rsidRPr="00515EF0">
        <w:rPr>
          <w:bCs/>
        </w:rPr>
        <w:t xml:space="preserve">permanent residents </w:t>
      </w:r>
      <w:r w:rsidR="00AC1C2A" w:rsidRPr="00515EF0">
        <w:rPr>
          <w:bCs/>
        </w:rPr>
        <w:t xml:space="preserve">almost halving </w:t>
      </w:r>
      <w:r w:rsidR="000B7EF8" w:rsidRPr="00515EF0">
        <w:rPr>
          <w:bCs/>
        </w:rPr>
        <w:t xml:space="preserve">compared to </w:t>
      </w:r>
      <w:r w:rsidR="00AC1C2A" w:rsidRPr="00515EF0">
        <w:rPr>
          <w:bCs/>
        </w:rPr>
        <w:t>2019-20</w:t>
      </w:r>
      <w:r w:rsidR="00B13D28" w:rsidRPr="00515EF0">
        <w:rPr>
          <w:bCs/>
        </w:rPr>
        <w:t>.</w:t>
      </w:r>
    </w:p>
    <w:p w14:paraId="5A562F98" w14:textId="0419086A" w:rsidR="00B13D28" w:rsidRPr="00515EF0" w:rsidRDefault="00253751" w:rsidP="00B13D28">
      <w:pPr>
        <w:pStyle w:val="Heading9"/>
        <w:keepLines w:val="0"/>
        <w:pBdr>
          <w:top w:val="dashed" w:sz="4" w:space="1" w:color="002C47" w:themeColor="accent1"/>
        </w:pBdr>
        <w:tabs>
          <w:tab w:val="num" w:pos="992"/>
        </w:tabs>
        <w:spacing w:before="120" w:after="120" w:line="240" w:lineRule="auto"/>
        <w:ind w:left="992" w:hanging="992"/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</w:pPr>
      <w:r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Chart</w:t>
      </w:r>
      <w:r w:rsidR="00B13D28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 2</w:t>
      </w:r>
      <w:r w:rsidR="00B13D28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ab/>
        <w:t xml:space="preserve">National NOM by visa </w:t>
      </w:r>
      <w:r w:rsidR="0073327A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group</w:t>
      </w:r>
    </w:p>
    <w:p w14:paraId="7567B897" w14:textId="289C48B9" w:rsidR="00F90C4A" w:rsidRPr="00515EF0" w:rsidRDefault="00CF1AD0" w:rsidP="00CF1AD0">
      <w:pPr>
        <w:spacing w:after="0"/>
        <w:rPr>
          <w:b/>
        </w:rPr>
      </w:pPr>
      <w:r w:rsidRPr="00CF1AD0">
        <w:rPr>
          <w:noProof/>
        </w:rPr>
        <w:drawing>
          <wp:inline distT="0" distB="0" distL="0" distR="0" wp14:anchorId="6169BB43" wp14:editId="581494C6">
            <wp:extent cx="5581650" cy="2524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56D5" w14:textId="1D899AFD" w:rsidR="00411D6C" w:rsidRPr="00515EF0" w:rsidRDefault="00411D6C" w:rsidP="00411D6C">
      <w:pPr>
        <w:rPr>
          <w:sz w:val="20"/>
          <w:szCs w:val="20"/>
        </w:rPr>
      </w:pPr>
      <w:r w:rsidRPr="00515EF0">
        <w:rPr>
          <w:rFonts w:ascii="Arial"/>
          <w:sz w:val="20"/>
          <w:szCs w:val="20"/>
        </w:rPr>
        <w:t>*</w:t>
      </w:r>
      <w:r w:rsidRPr="00515EF0">
        <w:rPr>
          <w:sz w:val="20"/>
          <w:szCs w:val="20"/>
        </w:rPr>
        <w:t>Other includes all unclassified visa holders as well as migrants that crossed the border on visitor visas and likely transitioned to other visa types.</w:t>
      </w:r>
    </w:p>
    <w:p w14:paraId="77C24CCE" w14:textId="3973C57B" w:rsidR="00592551" w:rsidRPr="00515EF0" w:rsidRDefault="00411D6C" w:rsidP="001B2DA7">
      <w:pPr>
        <w:keepLines/>
      </w:pPr>
      <w:r w:rsidRPr="00515EF0">
        <w:rPr>
          <w:bCs/>
        </w:rPr>
        <w:lastRenderedPageBreak/>
        <w:t>In 20</w:t>
      </w:r>
      <w:r w:rsidR="00652263" w:rsidRPr="00515EF0">
        <w:rPr>
          <w:bCs/>
        </w:rPr>
        <w:t>20</w:t>
      </w:r>
      <w:r w:rsidRPr="00515EF0">
        <w:rPr>
          <w:bCs/>
        </w:rPr>
        <w:t>-2</w:t>
      </w:r>
      <w:r w:rsidR="00652263" w:rsidRPr="00515EF0">
        <w:rPr>
          <w:bCs/>
        </w:rPr>
        <w:t>1</w:t>
      </w:r>
      <w:r w:rsidRPr="00515EF0">
        <w:rPr>
          <w:bCs/>
        </w:rPr>
        <w:t xml:space="preserve">, </w:t>
      </w:r>
      <w:r w:rsidR="00B26D5D" w:rsidRPr="00515EF0">
        <w:t>a</w:t>
      </w:r>
      <w:r w:rsidR="00E0646D" w:rsidRPr="00515EF0">
        <w:t>ll</w:t>
      </w:r>
      <w:r w:rsidR="00F667D8" w:rsidRPr="00515EF0">
        <w:t xml:space="preserve"> states and territories experienced a net outflow of </w:t>
      </w:r>
      <w:r w:rsidR="00AC1CDC" w:rsidRPr="00515EF0">
        <w:t>migrants</w:t>
      </w:r>
      <w:r w:rsidR="00F667D8" w:rsidRPr="00515EF0">
        <w:rPr>
          <w:bCs/>
        </w:rPr>
        <w:t xml:space="preserve">. </w:t>
      </w:r>
      <w:r w:rsidRPr="00515EF0">
        <w:rPr>
          <w:bCs/>
        </w:rPr>
        <w:t xml:space="preserve">New South Wales and Victoria </w:t>
      </w:r>
      <w:r w:rsidR="00B659D1" w:rsidRPr="00515EF0">
        <w:rPr>
          <w:bCs/>
        </w:rPr>
        <w:t xml:space="preserve">historically have </w:t>
      </w:r>
      <w:r w:rsidRPr="00515EF0">
        <w:rPr>
          <w:bCs/>
        </w:rPr>
        <w:t>account</w:t>
      </w:r>
      <w:r w:rsidR="00B659D1" w:rsidRPr="00515EF0">
        <w:rPr>
          <w:bCs/>
        </w:rPr>
        <w:t>ed</w:t>
      </w:r>
      <w:r w:rsidRPr="00515EF0">
        <w:rPr>
          <w:bCs/>
        </w:rPr>
        <w:t xml:space="preserve"> for the largest share of NOM and </w:t>
      </w:r>
      <w:r w:rsidR="00B659D1" w:rsidRPr="00515EF0">
        <w:rPr>
          <w:bCs/>
        </w:rPr>
        <w:t xml:space="preserve">correspondingly had </w:t>
      </w:r>
      <w:r w:rsidRPr="00515EF0">
        <w:rPr>
          <w:bCs/>
        </w:rPr>
        <w:t>the largest fall</w:t>
      </w:r>
      <w:r w:rsidR="009A4E2A" w:rsidRPr="00515EF0">
        <w:rPr>
          <w:bCs/>
        </w:rPr>
        <w:t>s</w:t>
      </w:r>
      <w:r w:rsidRPr="00515EF0">
        <w:rPr>
          <w:bCs/>
        </w:rPr>
        <w:t xml:space="preserve"> in 20</w:t>
      </w:r>
      <w:r w:rsidR="00652263" w:rsidRPr="00515EF0">
        <w:rPr>
          <w:bCs/>
        </w:rPr>
        <w:t>20-21</w:t>
      </w:r>
      <w:r w:rsidRPr="00515EF0">
        <w:rPr>
          <w:bCs/>
        </w:rPr>
        <w:t xml:space="preserve"> (</w:t>
      </w:r>
      <w:r w:rsidR="00253751" w:rsidRPr="00515EF0">
        <w:rPr>
          <w:bCs/>
        </w:rPr>
        <w:t>Chart</w:t>
      </w:r>
      <w:r w:rsidRPr="00515EF0">
        <w:rPr>
          <w:bCs/>
        </w:rPr>
        <w:t xml:space="preserve"> 3)</w:t>
      </w:r>
      <w:r w:rsidR="001C6D45" w:rsidRPr="00515EF0">
        <w:rPr>
          <w:bCs/>
        </w:rPr>
        <w:t xml:space="preserve">, </w:t>
      </w:r>
      <w:r w:rsidR="001C6D45" w:rsidRPr="00515EF0">
        <w:t xml:space="preserve">primarily </w:t>
      </w:r>
      <w:r w:rsidR="001E4E2C" w:rsidRPr="00515EF0">
        <w:t>due</w:t>
      </w:r>
      <w:r w:rsidR="00B659D1" w:rsidRPr="00515EF0">
        <w:t xml:space="preserve"> </w:t>
      </w:r>
      <w:r w:rsidR="001C6D45" w:rsidRPr="00515EF0">
        <w:t xml:space="preserve">to fewer student </w:t>
      </w:r>
      <w:r w:rsidR="00AC1CDC" w:rsidRPr="00515EF0">
        <w:t xml:space="preserve">and visitor </w:t>
      </w:r>
      <w:r w:rsidR="001C6D45" w:rsidRPr="00515EF0">
        <w:t>arrivals.</w:t>
      </w:r>
      <w:r w:rsidR="00921AA0" w:rsidRPr="00515EF0">
        <w:t xml:space="preserve"> </w:t>
      </w:r>
      <w:r w:rsidR="003405B5" w:rsidRPr="00515EF0">
        <w:t xml:space="preserve">However, the states experienced very different outcomes, with NOM to NSW of -5,500 </w:t>
      </w:r>
      <w:r w:rsidR="00AC1CDC" w:rsidRPr="00515EF0">
        <w:t xml:space="preserve">in </w:t>
      </w:r>
      <w:r w:rsidR="003405B5" w:rsidRPr="00515EF0">
        <w:t>2020</w:t>
      </w:r>
      <w:r w:rsidR="003405B5" w:rsidRPr="00515EF0">
        <w:noBreakHyphen/>
        <w:t>21, while NOM to Victoria was -56,</w:t>
      </w:r>
      <w:r w:rsidR="00B054C1" w:rsidRPr="00515EF0">
        <w:t>1</w:t>
      </w:r>
      <w:r w:rsidR="003405B5" w:rsidRPr="00515EF0">
        <w:t>00 in 2020</w:t>
      </w:r>
      <w:r w:rsidR="003405B5" w:rsidRPr="00515EF0">
        <w:noBreakHyphen/>
        <w:t>21</w:t>
      </w:r>
      <w:r w:rsidR="00391453" w:rsidRPr="00515EF0">
        <w:t>.</w:t>
      </w:r>
    </w:p>
    <w:p w14:paraId="576EFC06" w14:textId="3810A2C4" w:rsidR="00411D6C" w:rsidRPr="00515EF0" w:rsidRDefault="00AC1CDC" w:rsidP="00411D6C">
      <w:r w:rsidRPr="00515EF0">
        <w:t xml:space="preserve">Victoria remains the state with the largest fall and lowest level of NOM since the beginning of the pandemic. </w:t>
      </w:r>
      <w:r w:rsidR="00F044EB" w:rsidRPr="00515EF0">
        <w:t xml:space="preserve">Victoria </w:t>
      </w:r>
      <w:r w:rsidR="00B90B99" w:rsidRPr="00515EF0">
        <w:t xml:space="preserve">was </w:t>
      </w:r>
      <w:r w:rsidR="00F044EB" w:rsidRPr="00515EF0">
        <w:t xml:space="preserve">also </w:t>
      </w:r>
      <w:r w:rsidR="00B90B99" w:rsidRPr="00515EF0">
        <w:t xml:space="preserve">the state to experience </w:t>
      </w:r>
      <w:r w:rsidR="00D72442" w:rsidRPr="00515EF0">
        <w:t>the largest</w:t>
      </w:r>
      <w:r w:rsidR="00B90B99" w:rsidRPr="00515EF0">
        <w:t xml:space="preserve"> net outflow </w:t>
      </w:r>
      <w:r w:rsidR="00B659D1" w:rsidRPr="00515EF0">
        <w:t xml:space="preserve">of </w:t>
      </w:r>
      <w:r w:rsidR="00F044EB" w:rsidRPr="00515EF0">
        <w:t>Australian citizens</w:t>
      </w:r>
      <w:r w:rsidR="008E3675" w:rsidRPr="00515EF0">
        <w:t xml:space="preserve"> in 2020-21</w:t>
      </w:r>
      <w:r w:rsidR="00B90B99" w:rsidRPr="00515EF0">
        <w:t xml:space="preserve"> </w:t>
      </w:r>
      <w:r w:rsidR="00F5695E" w:rsidRPr="00515EF0">
        <w:t xml:space="preserve">due </w:t>
      </w:r>
      <w:r w:rsidR="00B90B99" w:rsidRPr="00515EF0">
        <w:t>to a</w:t>
      </w:r>
      <w:r w:rsidR="00F044EB" w:rsidRPr="00515EF0">
        <w:t xml:space="preserve"> decrease </w:t>
      </w:r>
      <w:r w:rsidR="00B90B99" w:rsidRPr="00515EF0">
        <w:t xml:space="preserve">in </w:t>
      </w:r>
      <w:r w:rsidR="00592551" w:rsidRPr="00515EF0">
        <w:t>arrivals</w:t>
      </w:r>
      <w:r w:rsidR="00B90B99" w:rsidRPr="00515EF0">
        <w:t xml:space="preserve"> </w:t>
      </w:r>
      <w:r w:rsidR="00B659D1" w:rsidRPr="00515EF0">
        <w:t xml:space="preserve">compared to </w:t>
      </w:r>
      <w:r w:rsidR="00F044EB" w:rsidRPr="00515EF0">
        <w:t>the previous financial year</w:t>
      </w:r>
      <w:r w:rsidR="00592551" w:rsidRPr="00515EF0">
        <w:t xml:space="preserve">. </w:t>
      </w:r>
      <w:r w:rsidR="003405B5" w:rsidRPr="00515EF0">
        <w:t>Australian citizen NOM to Victoria was -2,500 in 2020</w:t>
      </w:r>
      <w:r w:rsidR="003405B5" w:rsidRPr="00515EF0">
        <w:noBreakHyphen/>
        <w:t>21, while Australian citizen NOM to NSW was 17,000.</w:t>
      </w:r>
    </w:p>
    <w:p w14:paraId="3B7B3251" w14:textId="24AA3602" w:rsidR="0087168D" w:rsidRPr="00515EF0" w:rsidRDefault="00253751" w:rsidP="0087168D">
      <w:pPr>
        <w:pStyle w:val="Heading9"/>
        <w:keepLines w:val="0"/>
        <w:pBdr>
          <w:top w:val="dashed" w:sz="4" w:space="1" w:color="002C47" w:themeColor="accent1"/>
        </w:pBdr>
        <w:tabs>
          <w:tab w:val="num" w:pos="992"/>
        </w:tabs>
        <w:spacing w:before="120" w:after="120" w:line="240" w:lineRule="auto"/>
        <w:ind w:left="992" w:hanging="992"/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</w:pPr>
      <w:r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C</w:t>
      </w:r>
      <w:r w:rsidR="0087168D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hart 3</w:t>
      </w:r>
      <w:r w:rsidR="0087168D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ab/>
        <w:t>NOM by state, year ending</w:t>
      </w:r>
      <w:r w:rsidR="00E0646D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 quarterly</w:t>
      </w:r>
    </w:p>
    <w:p w14:paraId="377F26FA" w14:textId="24F5DED4" w:rsidR="00767864" w:rsidRPr="00515EF0" w:rsidRDefault="00767864" w:rsidP="00CF1AD0">
      <w:pPr>
        <w:spacing w:after="0"/>
        <w:rPr>
          <w:noProof/>
          <w:lang w:eastAsia="en-AU"/>
        </w:rPr>
      </w:pPr>
      <w:r w:rsidRPr="00515EF0">
        <w:rPr>
          <w:noProof/>
        </w:rPr>
        <w:drawing>
          <wp:inline distT="0" distB="0" distL="0" distR="0" wp14:anchorId="05B70C33" wp14:editId="561443CA">
            <wp:extent cx="5731510" cy="2792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A020" w14:textId="44A54106" w:rsidR="00411D6C" w:rsidRPr="00515EF0" w:rsidRDefault="00411D6C" w:rsidP="00411D6C">
      <w:pPr>
        <w:rPr>
          <w:noProof/>
          <w:lang w:eastAsia="en-AU"/>
        </w:rPr>
      </w:pPr>
      <w:r w:rsidRPr="00515EF0">
        <w:rPr>
          <w:sz w:val="20"/>
        </w:rPr>
        <w:t xml:space="preserve">Source: ABS National state and territory population, </w:t>
      </w:r>
      <w:r w:rsidR="00592551" w:rsidRPr="00515EF0">
        <w:rPr>
          <w:sz w:val="20"/>
        </w:rPr>
        <w:t>June</w:t>
      </w:r>
      <w:r w:rsidRPr="00515EF0">
        <w:rPr>
          <w:sz w:val="20"/>
        </w:rPr>
        <w:t xml:space="preserve"> 202</w:t>
      </w:r>
      <w:r w:rsidR="00592551" w:rsidRPr="00515EF0">
        <w:rPr>
          <w:sz w:val="20"/>
        </w:rPr>
        <w:t>1</w:t>
      </w:r>
      <w:r w:rsidRPr="00515EF0">
        <w:rPr>
          <w:sz w:val="20"/>
        </w:rPr>
        <w:t xml:space="preserve"> release</w:t>
      </w:r>
    </w:p>
    <w:p w14:paraId="3D071E96" w14:textId="4D6CF871" w:rsidR="00DF379D" w:rsidRPr="00515EF0" w:rsidRDefault="00AC1CDC" w:rsidP="00411D6C">
      <w:r w:rsidRPr="00515EF0">
        <w:t>By country</w:t>
      </w:r>
      <w:r w:rsidR="00DF379D" w:rsidRPr="00515EF0">
        <w:t xml:space="preserve">, </w:t>
      </w:r>
      <w:r w:rsidR="009D7268" w:rsidRPr="00515EF0">
        <w:t xml:space="preserve">the </w:t>
      </w:r>
      <w:r w:rsidR="00051A00" w:rsidRPr="00515EF0">
        <w:t xml:space="preserve">largest contributor </w:t>
      </w:r>
      <w:r w:rsidR="0018731F" w:rsidRPr="00515EF0">
        <w:t xml:space="preserve">to </w:t>
      </w:r>
      <w:r w:rsidR="008B474D" w:rsidRPr="00515EF0">
        <w:t xml:space="preserve">NOM </w:t>
      </w:r>
      <w:r w:rsidRPr="00515EF0">
        <w:t>in 2020</w:t>
      </w:r>
      <w:r w:rsidRPr="00515EF0">
        <w:noBreakHyphen/>
        <w:t xml:space="preserve">21 </w:t>
      </w:r>
      <w:r w:rsidR="009D7268" w:rsidRPr="00515EF0">
        <w:t xml:space="preserve">came from </w:t>
      </w:r>
      <w:r w:rsidR="00173D1F" w:rsidRPr="00515EF0">
        <w:t xml:space="preserve">returning Australians. In the years prior to the pandemic migrants from Asia, </w:t>
      </w:r>
      <w:r w:rsidR="0043695A" w:rsidRPr="00515EF0">
        <w:t xml:space="preserve">particularly </w:t>
      </w:r>
      <w:r w:rsidR="00777CB8" w:rsidRPr="00515EF0">
        <w:t xml:space="preserve">temporary migrants from </w:t>
      </w:r>
      <w:r w:rsidR="0043695A" w:rsidRPr="00515EF0">
        <w:t>China and India</w:t>
      </w:r>
      <w:r w:rsidR="00173D1F" w:rsidRPr="00515EF0">
        <w:t xml:space="preserve"> made up the majority of NOM. </w:t>
      </w:r>
      <w:r w:rsidR="00777CB8" w:rsidRPr="00515EF0">
        <w:t>However,</w:t>
      </w:r>
      <w:r w:rsidR="00173D1F" w:rsidRPr="00515EF0">
        <w:t xml:space="preserve"> in 2020-21</w:t>
      </w:r>
      <w:r w:rsidR="0043695A" w:rsidRPr="00515EF0">
        <w:t xml:space="preserve">, </w:t>
      </w:r>
      <w:r w:rsidR="0018731F" w:rsidRPr="00515EF0">
        <w:t xml:space="preserve">the </w:t>
      </w:r>
      <w:r w:rsidR="00F72F50" w:rsidRPr="00515EF0">
        <w:t xml:space="preserve">Rest of Asia and </w:t>
      </w:r>
      <w:r w:rsidR="0043695A" w:rsidRPr="00515EF0">
        <w:t>India</w:t>
      </w:r>
      <w:r w:rsidR="00173D1F" w:rsidRPr="00515EF0">
        <w:t xml:space="preserve"> </w:t>
      </w:r>
      <w:r w:rsidR="00777CB8" w:rsidRPr="00515EF0">
        <w:t xml:space="preserve">experienced a net outflow of migrants </w:t>
      </w:r>
      <w:r w:rsidR="00DC1E9F" w:rsidRPr="00515EF0">
        <w:t>of 23,600</w:t>
      </w:r>
      <w:r w:rsidR="00F72F50" w:rsidRPr="00515EF0">
        <w:t xml:space="preserve"> and 11,600 </w:t>
      </w:r>
      <w:r w:rsidR="00777CB8" w:rsidRPr="00515EF0">
        <w:t xml:space="preserve">for the first time in this series while </w:t>
      </w:r>
      <w:r w:rsidR="005D3DBA" w:rsidRPr="00515EF0">
        <w:t xml:space="preserve">NOM from </w:t>
      </w:r>
      <w:r w:rsidR="008B474D" w:rsidRPr="00515EF0">
        <w:t>China</w:t>
      </w:r>
      <w:r w:rsidR="00B054C1" w:rsidRPr="00515EF0">
        <w:t xml:space="preserve"> fell</w:t>
      </w:r>
      <w:r w:rsidR="00777CB8" w:rsidRPr="00515EF0">
        <w:t xml:space="preserve"> </w:t>
      </w:r>
      <w:r w:rsidR="00F72F50" w:rsidRPr="00515EF0">
        <w:t xml:space="preserve">by 32,000 from </w:t>
      </w:r>
      <w:r w:rsidR="00777CB8" w:rsidRPr="00515EF0">
        <w:t>2019-20</w:t>
      </w:r>
      <w:r w:rsidR="005D3DBA" w:rsidRPr="00515EF0">
        <w:t xml:space="preserve"> to </w:t>
      </w:r>
      <w:r w:rsidR="00515EF0" w:rsidRPr="00515EF0">
        <w:noBreakHyphen/>
      </w:r>
      <w:r w:rsidR="005D3DBA" w:rsidRPr="00515EF0">
        <w:t>50,500</w:t>
      </w:r>
      <w:r w:rsidR="00777CB8" w:rsidRPr="00515EF0">
        <w:t xml:space="preserve"> </w:t>
      </w:r>
      <w:r w:rsidR="00253751" w:rsidRPr="00515EF0">
        <w:t>(</w:t>
      </w:r>
      <w:r w:rsidR="00B054C1" w:rsidRPr="00515EF0">
        <w:t>Chart</w:t>
      </w:r>
      <w:r w:rsidR="00253751" w:rsidRPr="00515EF0">
        <w:t xml:space="preserve"> </w:t>
      </w:r>
      <w:r w:rsidR="00B054C1" w:rsidRPr="00515EF0">
        <w:t>3</w:t>
      </w:r>
      <w:r w:rsidR="00253751" w:rsidRPr="00515EF0">
        <w:t>)</w:t>
      </w:r>
      <w:r w:rsidR="008B474D" w:rsidRPr="00515EF0">
        <w:t>.</w:t>
      </w:r>
    </w:p>
    <w:p w14:paraId="62E47AC2" w14:textId="03010672" w:rsidR="0087168D" w:rsidRPr="00515EF0" w:rsidRDefault="00B054C1" w:rsidP="00515EF0">
      <w:pPr>
        <w:pStyle w:val="Heading9"/>
        <w:keepLines w:val="0"/>
        <w:pBdr>
          <w:top w:val="dashed" w:sz="4" w:space="1" w:color="002C47" w:themeColor="accent1"/>
        </w:pBdr>
        <w:tabs>
          <w:tab w:val="num" w:pos="992"/>
        </w:tabs>
        <w:spacing w:before="120" w:after="120" w:line="240" w:lineRule="auto"/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</w:pPr>
      <w:bookmarkStart w:id="0" w:name="bkSelection"/>
      <w:bookmarkEnd w:id="0"/>
      <w:r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lastRenderedPageBreak/>
        <w:t>Chart 3</w:t>
      </w:r>
      <w:r w:rsidR="0087168D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ab/>
      </w:r>
      <w:r w:rsidR="003F431A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Country of birth composition of </w:t>
      </w:r>
      <w:proofErr w:type="gramStart"/>
      <w:r w:rsidR="003F431A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NOM</w:t>
      </w:r>
      <w:r w:rsidR="003F431A" w:rsidRPr="00515EF0" w:rsidDel="003F431A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 </w:t>
      </w:r>
      <w:r w:rsidR="0087168D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,</w:t>
      </w:r>
      <w:proofErr w:type="gramEnd"/>
      <w:r w:rsidR="0087168D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 </w:t>
      </w:r>
      <w:r w:rsidR="003F431A"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 2019-20</w:t>
      </w:r>
    </w:p>
    <w:p w14:paraId="2572558C" w14:textId="5960EFB2" w:rsidR="00503424" w:rsidRPr="00515EF0" w:rsidRDefault="003F431A" w:rsidP="00503424">
      <w:r w:rsidRPr="00515EF0">
        <w:rPr>
          <w:noProof/>
        </w:rPr>
        <w:drawing>
          <wp:inline distT="0" distB="0" distL="0" distR="0" wp14:anchorId="646D6A99" wp14:editId="5FDF671E">
            <wp:extent cx="5581650" cy="252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D3C3" w14:textId="37EB9388" w:rsidR="00253751" w:rsidRPr="00515EF0" w:rsidRDefault="00253751" w:rsidP="00253751">
      <w:pPr>
        <w:pStyle w:val="Heading9"/>
        <w:keepLines w:val="0"/>
        <w:pBdr>
          <w:top w:val="dashed" w:sz="4" w:space="1" w:color="002C47" w:themeColor="accent1"/>
        </w:pBdr>
        <w:tabs>
          <w:tab w:val="num" w:pos="992"/>
        </w:tabs>
        <w:spacing w:before="120" w:after="120" w:line="240" w:lineRule="auto"/>
        <w:ind w:left="992" w:hanging="992"/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</w:pPr>
      <w:r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>Table 2</w:t>
      </w:r>
      <w:r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ab/>
      </w:r>
      <w:r w:rsidRPr="00515EF0">
        <w:t xml:space="preserve"> </w:t>
      </w:r>
      <w:r w:rsidRPr="00515EF0">
        <w:rPr>
          <w:rFonts w:ascii="Calibri" w:eastAsia="Calibri" w:hAnsi="Calibri" w:cstheme="minorBidi"/>
          <w:b/>
          <w:bCs/>
          <w:i w:val="0"/>
          <w:iCs w:val="0"/>
          <w:smallCaps/>
          <w:color w:val="002C47" w:themeColor="accent1"/>
          <w:sz w:val="20"/>
          <w:szCs w:val="20"/>
        </w:rPr>
        <w:t xml:space="preserve">Upcoming major population releases  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1843"/>
        <w:gridCol w:w="1520"/>
      </w:tblGrid>
      <w:tr w:rsidR="00903F2C" w:rsidRPr="00515EF0" w14:paraId="565171BD" w14:textId="77777777" w:rsidTr="00960A0D">
        <w:trPr>
          <w:trHeight w:val="286"/>
        </w:trPr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5924" w14:textId="77777777" w:rsidR="00903F2C" w:rsidRPr="00515EF0" w:rsidRDefault="00903F2C" w:rsidP="00960A0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15EF0">
              <w:rPr>
                <w:b/>
                <w:bCs/>
                <w:color w:val="000000"/>
              </w:rPr>
              <w:t>Release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8B74" w14:textId="77777777" w:rsidR="00903F2C" w:rsidRPr="00515EF0" w:rsidRDefault="00903F2C" w:rsidP="00960A0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15EF0">
              <w:rPr>
                <w:b/>
                <w:bCs/>
                <w:color w:val="000000"/>
              </w:rPr>
              <w:t>Former catalogue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9EA8" w14:textId="77777777" w:rsidR="00903F2C" w:rsidRPr="00515EF0" w:rsidRDefault="00903F2C" w:rsidP="00960A0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15EF0">
              <w:rPr>
                <w:b/>
                <w:bCs/>
                <w:color w:val="000000"/>
              </w:rPr>
              <w:t>Release date</w:t>
            </w:r>
          </w:p>
        </w:tc>
      </w:tr>
      <w:tr w:rsidR="00203DCA" w:rsidRPr="00515EF0" w14:paraId="7DD298BD" w14:textId="77777777" w:rsidTr="00960A0D">
        <w:trPr>
          <w:trHeight w:val="28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5048" w14:textId="497841C5" w:rsidR="00203DCA" w:rsidRPr="00515EF0" w:rsidRDefault="00203DCA" w:rsidP="00203DCA">
            <w:pPr>
              <w:spacing w:after="0"/>
            </w:pPr>
            <w:r w:rsidRPr="00515EF0">
              <w:t>National, state and territory population</w:t>
            </w:r>
            <w:r w:rsidRPr="00515EF0">
              <w:rPr>
                <w:color w:val="000000"/>
              </w:rPr>
              <w:t>, September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8DDB" w14:textId="61A1667D" w:rsidR="00203DCA" w:rsidRPr="00515EF0" w:rsidRDefault="00203DCA" w:rsidP="00203DCA">
            <w:pPr>
              <w:spacing w:after="0"/>
              <w:ind w:right="82"/>
              <w:jc w:val="center"/>
              <w:rPr>
                <w:color w:val="000000"/>
              </w:rPr>
            </w:pPr>
            <w:r w:rsidRPr="00515EF0">
              <w:rPr>
                <w:color w:val="000000"/>
              </w:rPr>
              <w:t>3101.0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F123" w14:textId="07E5B4C9" w:rsidR="00203DCA" w:rsidRPr="00515EF0" w:rsidRDefault="00203DCA" w:rsidP="00203DCA">
            <w:pPr>
              <w:spacing w:after="0"/>
              <w:ind w:right="82"/>
              <w:jc w:val="center"/>
              <w:rPr>
                <w:color w:val="000000"/>
              </w:rPr>
            </w:pPr>
            <w:r w:rsidRPr="00515EF0">
              <w:rPr>
                <w:color w:val="000000"/>
              </w:rPr>
              <w:t>17 March 2022</w:t>
            </w:r>
          </w:p>
        </w:tc>
      </w:tr>
      <w:tr w:rsidR="00203DCA" w:rsidRPr="00515EF0" w14:paraId="6380276B" w14:textId="77777777" w:rsidTr="00960A0D">
        <w:trPr>
          <w:trHeight w:val="28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8060" w14:textId="5FAD3323" w:rsidR="00203DCA" w:rsidRPr="00515EF0" w:rsidRDefault="00203DCA" w:rsidP="00203DCA">
            <w:pPr>
              <w:spacing w:after="0"/>
            </w:pPr>
            <w:r w:rsidRPr="00515EF0">
              <w:t>Regional Population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A423" w14:textId="4D83D5B8" w:rsidR="00203DCA" w:rsidRPr="00515EF0" w:rsidRDefault="00203DCA" w:rsidP="00203DCA">
            <w:pPr>
              <w:spacing w:after="0"/>
              <w:ind w:right="82"/>
              <w:jc w:val="center"/>
              <w:rPr>
                <w:color w:val="000000"/>
              </w:rPr>
            </w:pPr>
            <w:r w:rsidRPr="00515EF0">
              <w:t>3218.0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B492" w14:textId="59366BBD" w:rsidR="00203DCA" w:rsidRPr="00515EF0" w:rsidRDefault="00203DCA" w:rsidP="00203DCA">
            <w:pPr>
              <w:spacing w:after="0"/>
              <w:ind w:right="82"/>
              <w:jc w:val="center"/>
              <w:rPr>
                <w:color w:val="000000"/>
              </w:rPr>
            </w:pPr>
            <w:r w:rsidRPr="00515EF0">
              <w:rPr>
                <w:color w:val="000000"/>
              </w:rPr>
              <w:t>29 March 2022</w:t>
            </w:r>
          </w:p>
        </w:tc>
      </w:tr>
      <w:tr w:rsidR="00203DCA" w:rsidRPr="00515EF0" w14:paraId="4099F374" w14:textId="77777777" w:rsidTr="00203DCA">
        <w:trPr>
          <w:trHeight w:val="28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20AB" w14:textId="01B9A193" w:rsidR="00203DCA" w:rsidRPr="00515EF0" w:rsidRDefault="00203DCA" w:rsidP="00203DCA">
            <w:pPr>
              <w:spacing w:after="0"/>
              <w:rPr>
                <w:color w:val="000000"/>
              </w:rPr>
            </w:pPr>
            <w:r w:rsidRPr="00515EF0">
              <w:t>National, state and territory population</w:t>
            </w:r>
            <w:r w:rsidRPr="00515EF0">
              <w:rPr>
                <w:color w:val="000000"/>
              </w:rPr>
              <w:t>, December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1013" w14:textId="026CEE10" w:rsidR="00203DCA" w:rsidRPr="00515EF0" w:rsidRDefault="00203DCA" w:rsidP="00203DCA">
            <w:pPr>
              <w:spacing w:after="0"/>
              <w:ind w:right="82"/>
              <w:jc w:val="center"/>
              <w:rPr>
                <w:color w:val="000000"/>
              </w:rPr>
            </w:pPr>
            <w:r w:rsidRPr="00515EF0">
              <w:rPr>
                <w:color w:val="000000"/>
              </w:rPr>
              <w:t>3101.0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551C" w14:textId="16485381" w:rsidR="00203DCA" w:rsidRPr="00515EF0" w:rsidRDefault="00203DCA" w:rsidP="00203DCA">
            <w:pPr>
              <w:spacing w:after="0"/>
              <w:ind w:right="82"/>
              <w:jc w:val="center"/>
              <w:rPr>
                <w:color w:val="000000"/>
              </w:rPr>
            </w:pPr>
            <w:r w:rsidRPr="00515EF0">
              <w:rPr>
                <w:color w:val="000000"/>
              </w:rPr>
              <w:t>June 2022</w:t>
            </w:r>
          </w:p>
        </w:tc>
      </w:tr>
    </w:tbl>
    <w:p w14:paraId="6D1D92A3" w14:textId="77777777" w:rsidR="00903F2C" w:rsidRPr="00515EF0" w:rsidRDefault="00903F2C" w:rsidP="00903F2C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760"/>
      </w:tblGrid>
      <w:tr w:rsidR="00903F2C" w:rsidRPr="00515EF0" w14:paraId="7375262B" w14:textId="77777777" w:rsidTr="00960A0D"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6DD4" w14:textId="77777777" w:rsidR="00903F2C" w:rsidRPr="00515EF0" w:rsidRDefault="00903F2C" w:rsidP="00960A0D">
            <w:pP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903F2C" w:rsidRPr="00515EF0" w14:paraId="6E473AD7" w14:textId="77777777" w:rsidTr="00B02FC3">
        <w:tc>
          <w:tcPr>
            <w:tcW w:w="23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63CC0" w14:textId="19AB948E" w:rsidR="00903F2C" w:rsidRPr="00515EF0" w:rsidRDefault="00903F2C" w:rsidP="00960A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78C7" w14:textId="5564DE28" w:rsidR="00903F2C" w:rsidRPr="00515EF0" w:rsidRDefault="00903F2C" w:rsidP="00960A0D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03F2C" w14:paraId="51E106DD" w14:textId="77777777" w:rsidTr="00B02FC3">
        <w:tc>
          <w:tcPr>
            <w:tcW w:w="23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92E0F" w14:textId="40CA2450" w:rsidR="00903F2C" w:rsidRPr="00515EF0" w:rsidRDefault="00903F2C" w:rsidP="00960A0D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2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8DB47" w14:textId="666EB95D" w:rsidR="00903F2C" w:rsidRDefault="00903F2C" w:rsidP="00960A0D">
            <w:pPr>
              <w:spacing w:after="0" w:line="276" w:lineRule="auto"/>
              <w:jc w:val="right"/>
              <w:rPr>
                <w:color w:val="000000"/>
              </w:rPr>
            </w:pPr>
          </w:p>
        </w:tc>
      </w:tr>
    </w:tbl>
    <w:p w14:paraId="40D11E7B" w14:textId="77777777" w:rsidR="00903F2C" w:rsidRPr="00AC14EE" w:rsidRDefault="00903F2C" w:rsidP="00903F2C"/>
    <w:p w14:paraId="07D09404" w14:textId="77777777" w:rsidR="001742F7" w:rsidRPr="00411D6C" w:rsidRDefault="001742F7" w:rsidP="00411D6C"/>
    <w:sectPr w:rsidR="001742F7" w:rsidRPr="00411D6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2938" w14:textId="77777777" w:rsidR="005C52EA" w:rsidRDefault="005C52EA" w:rsidP="008A67E1">
      <w:pPr>
        <w:spacing w:after="0" w:line="240" w:lineRule="auto"/>
      </w:pPr>
      <w:r>
        <w:separator/>
      </w:r>
    </w:p>
  </w:endnote>
  <w:endnote w:type="continuationSeparator" w:id="0">
    <w:p w14:paraId="370A9AEF" w14:textId="77777777" w:rsidR="005C52EA" w:rsidRDefault="005C52EA" w:rsidP="008A67E1">
      <w:pPr>
        <w:spacing w:after="0" w:line="240" w:lineRule="auto"/>
      </w:pPr>
      <w:r>
        <w:continuationSeparator/>
      </w:r>
    </w:p>
  </w:endnote>
  <w:endnote w:type="continuationNotice" w:id="1">
    <w:p w14:paraId="552EF5AC" w14:textId="77777777" w:rsidR="005C52EA" w:rsidRDefault="005C5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729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81A08" w14:textId="6AF32DCA" w:rsidR="005C52EA" w:rsidRDefault="005C5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13C4EE" w14:textId="77777777" w:rsidR="005C52EA" w:rsidRDefault="005C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8576" w14:textId="77777777" w:rsidR="005C52EA" w:rsidRDefault="005C52EA" w:rsidP="008A67E1">
      <w:pPr>
        <w:spacing w:after="0" w:line="240" w:lineRule="auto"/>
      </w:pPr>
      <w:r>
        <w:separator/>
      </w:r>
    </w:p>
  </w:footnote>
  <w:footnote w:type="continuationSeparator" w:id="0">
    <w:p w14:paraId="7A734C4D" w14:textId="77777777" w:rsidR="005C52EA" w:rsidRDefault="005C52EA" w:rsidP="008A67E1">
      <w:pPr>
        <w:spacing w:after="0" w:line="240" w:lineRule="auto"/>
      </w:pPr>
      <w:r>
        <w:continuationSeparator/>
      </w:r>
    </w:p>
  </w:footnote>
  <w:footnote w:type="continuationNotice" w:id="1">
    <w:p w14:paraId="7781A080" w14:textId="77777777" w:rsidR="005C52EA" w:rsidRDefault="005C52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B02"/>
    <w:multiLevelType w:val="multilevel"/>
    <w:tmpl w:val="823013F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E908DF"/>
    <w:multiLevelType w:val="multilevel"/>
    <w:tmpl w:val="17CA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21354"/>
    <w:multiLevelType w:val="multilevel"/>
    <w:tmpl w:val="556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32135"/>
    <w:multiLevelType w:val="multilevel"/>
    <w:tmpl w:val="590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9D231E"/>
    <w:multiLevelType w:val="multilevel"/>
    <w:tmpl w:val="BA9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B7BEE"/>
    <w:multiLevelType w:val="multilevel"/>
    <w:tmpl w:val="578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26A3C"/>
    <w:multiLevelType w:val="multilevel"/>
    <w:tmpl w:val="BDDC308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1E0A16"/>
    <w:multiLevelType w:val="multilevel"/>
    <w:tmpl w:val="95F2E70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DF145B"/>
    <w:multiLevelType w:val="multilevel"/>
    <w:tmpl w:val="570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91143D"/>
    <w:multiLevelType w:val="multilevel"/>
    <w:tmpl w:val="C478EC0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303B4D"/>
    <w:multiLevelType w:val="multilevel"/>
    <w:tmpl w:val="81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B1B1F"/>
    <w:multiLevelType w:val="multilevel"/>
    <w:tmpl w:val="4DA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D7074F"/>
    <w:multiLevelType w:val="multilevel"/>
    <w:tmpl w:val="2E5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F04DDE"/>
    <w:multiLevelType w:val="multilevel"/>
    <w:tmpl w:val="1DE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DE6A82"/>
    <w:multiLevelType w:val="multilevel"/>
    <w:tmpl w:val="95D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DD6132"/>
    <w:multiLevelType w:val="multilevel"/>
    <w:tmpl w:val="283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2D6725"/>
    <w:multiLevelType w:val="multilevel"/>
    <w:tmpl w:val="71A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2"/>
  </w:num>
  <w:num w:numId="18">
    <w:abstractNumId w:val="11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FF"/>
    <w:rsid w:val="00006CB0"/>
    <w:rsid w:val="0001141F"/>
    <w:rsid w:val="00013861"/>
    <w:rsid w:val="00014523"/>
    <w:rsid w:val="00014735"/>
    <w:rsid w:val="00024FA9"/>
    <w:rsid w:val="00026251"/>
    <w:rsid w:val="0003134B"/>
    <w:rsid w:val="0003376F"/>
    <w:rsid w:val="00034FBF"/>
    <w:rsid w:val="00035BE9"/>
    <w:rsid w:val="0004108B"/>
    <w:rsid w:val="00043633"/>
    <w:rsid w:val="000458F8"/>
    <w:rsid w:val="0004621C"/>
    <w:rsid w:val="00046B1C"/>
    <w:rsid w:val="00047B1F"/>
    <w:rsid w:val="00051A00"/>
    <w:rsid w:val="00056F67"/>
    <w:rsid w:val="00063748"/>
    <w:rsid w:val="00063FAF"/>
    <w:rsid w:val="00064766"/>
    <w:rsid w:val="00072887"/>
    <w:rsid w:val="00072C07"/>
    <w:rsid w:val="00073C2A"/>
    <w:rsid w:val="000763FB"/>
    <w:rsid w:val="00081CFD"/>
    <w:rsid w:val="000832A7"/>
    <w:rsid w:val="00086608"/>
    <w:rsid w:val="0008715A"/>
    <w:rsid w:val="00090061"/>
    <w:rsid w:val="000901D7"/>
    <w:rsid w:val="000A001A"/>
    <w:rsid w:val="000A26CF"/>
    <w:rsid w:val="000A2C9A"/>
    <w:rsid w:val="000A7A43"/>
    <w:rsid w:val="000B1E60"/>
    <w:rsid w:val="000B662E"/>
    <w:rsid w:val="000B6C2C"/>
    <w:rsid w:val="000B7EF8"/>
    <w:rsid w:val="000C0894"/>
    <w:rsid w:val="000C23E8"/>
    <w:rsid w:val="000C4DB1"/>
    <w:rsid w:val="000D6497"/>
    <w:rsid w:val="000E1C82"/>
    <w:rsid w:val="000E4D99"/>
    <w:rsid w:val="000F5580"/>
    <w:rsid w:val="000F6E4C"/>
    <w:rsid w:val="000F714B"/>
    <w:rsid w:val="000F7B1C"/>
    <w:rsid w:val="00103076"/>
    <w:rsid w:val="00104859"/>
    <w:rsid w:val="001053FF"/>
    <w:rsid w:val="00106F48"/>
    <w:rsid w:val="00113428"/>
    <w:rsid w:val="00117574"/>
    <w:rsid w:val="00121BBC"/>
    <w:rsid w:val="001227DA"/>
    <w:rsid w:val="00123040"/>
    <w:rsid w:val="001251B7"/>
    <w:rsid w:val="00131672"/>
    <w:rsid w:val="00136278"/>
    <w:rsid w:val="00137A4C"/>
    <w:rsid w:val="00141BA0"/>
    <w:rsid w:val="0014537A"/>
    <w:rsid w:val="001479E7"/>
    <w:rsid w:val="00157AA3"/>
    <w:rsid w:val="00161EA6"/>
    <w:rsid w:val="00163B89"/>
    <w:rsid w:val="00173D1F"/>
    <w:rsid w:val="001742F7"/>
    <w:rsid w:val="0018731F"/>
    <w:rsid w:val="00187393"/>
    <w:rsid w:val="00195D15"/>
    <w:rsid w:val="00196E5A"/>
    <w:rsid w:val="001970A4"/>
    <w:rsid w:val="00197FD5"/>
    <w:rsid w:val="001A1BB9"/>
    <w:rsid w:val="001A52AC"/>
    <w:rsid w:val="001A5C8E"/>
    <w:rsid w:val="001B25AA"/>
    <w:rsid w:val="001B2DA7"/>
    <w:rsid w:val="001C564F"/>
    <w:rsid w:val="001C651A"/>
    <w:rsid w:val="001C6D45"/>
    <w:rsid w:val="001C7DC6"/>
    <w:rsid w:val="001D200E"/>
    <w:rsid w:val="001D2EFD"/>
    <w:rsid w:val="001E4E2C"/>
    <w:rsid w:val="001E5616"/>
    <w:rsid w:val="001E5DC9"/>
    <w:rsid w:val="001E6EFB"/>
    <w:rsid w:val="001F51A6"/>
    <w:rsid w:val="00201F6E"/>
    <w:rsid w:val="002025A6"/>
    <w:rsid w:val="00203DCA"/>
    <w:rsid w:val="0020764A"/>
    <w:rsid w:val="00214365"/>
    <w:rsid w:val="00220E29"/>
    <w:rsid w:val="00221AB4"/>
    <w:rsid w:val="00226A22"/>
    <w:rsid w:val="00231A6F"/>
    <w:rsid w:val="00233C04"/>
    <w:rsid w:val="00236D61"/>
    <w:rsid w:val="00242B95"/>
    <w:rsid w:val="00244057"/>
    <w:rsid w:val="0024406D"/>
    <w:rsid w:val="002472FF"/>
    <w:rsid w:val="00253751"/>
    <w:rsid w:val="00256D93"/>
    <w:rsid w:val="00257390"/>
    <w:rsid w:val="0026550D"/>
    <w:rsid w:val="00267E34"/>
    <w:rsid w:val="00271EAF"/>
    <w:rsid w:val="00272E1D"/>
    <w:rsid w:val="002747A8"/>
    <w:rsid w:val="002766C5"/>
    <w:rsid w:val="00282956"/>
    <w:rsid w:val="00285EFB"/>
    <w:rsid w:val="002875AB"/>
    <w:rsid w:val="002939EA"/>
    <w:rsid w:val="002944F2"/>
    <w:rsid w:val="0029470A"/>
    <w:rsid w:val="00295D89"/>
    <w:rsid w:val="002A1700"/>
    <w:rsid w:val="002A4055"/>
    <w:rsid w:val="002A658B"/>
    <w:rsid w:val="002B419B"/>
    <w:rsid w:val="002B48FC"/>
    <w:rsid w:val="002B4B4B"/>
    <w:rsid w:val="002B4E86"/>
    <w:rsid w:val="002C48DE"/>
    <w:rsid w:val="002D79D3"/>
    <w:rsid w:val="002F35D6"/>
    <w:rsid w:val="002F45A1"/>
    <w:rsid w:val="002F63C8"/>
    <w:rsid w:val="003034FF"/>
    <w:rsid w:val="00303527"/>
    <w:rsid w:val="00304DE9"/>
    <w:rsid w:val="00304EA2"/>
    <w:rsid w:val="00305674"/>
    <w:rsid w:val="003059AF"/>
    <w:rsid w:val="00307B20"/>
    <w:rsid w:val="00312366"/>
    <w:rsid w:val="0032693E"/>
    <w:rsid w:val="003270CD"/>
    <w:rsid w:val="00327618"/>
    <w:rsid w:val="003405B5"/>
    <w:rsid w:val="00340746"/>
    <w:rsid w:val="003502B4"/>
    <w:rsid w:val="0035334F"/>
    <w:rsid w:val="0035543B"/>
    <w:rsid w:val="0035574E"/>
    <w:rsid w:val="00367AB3"/>
    <w:rsid w:val="00372164"/>
    <w:rsid w:val="00374FF9"/>
    <w:rsid w:val="0037551F"/>
    <w:rsid w:val="00382A4C"/>
    <w:rsid w:val="00391453"/>
    <w:rsid w:val="003C1AD7"/>
    <w:rsid w:val="003C2C5A"/>
    <w:rsid w:val="003D0F40"/>
    <w:rsid w:val="003D1298"/>
    <w:rsid w:val="003D4492"/>
    <w:rsid w:val="003F1AFC"/>
    <w:rsid w:val="003F431A"/>
    <w:rsid w:val="00403528"/>
    <w:rsid w:val="004047F0"/>
    <w:rsid w:val="0040666B"/>
    <w:rsid w:val="004117A5"/>
    <w:rsid w:val="00411D6C"/>
    <w:rsid w:val="00412B0D"/>
    <w:rsid w:val="0041776B"/>
    <w:rsid w:val="0042077D"/>
    <w:rsid w:val="004212CA"/>
    <w:rsid w:val="00435F1E"/>
    <w:rsid w:val="00435FDF"/>
    <w:rsid w:val="0043695A"/>
    <w:rsid w:val="0044040F"/>
    <w:rsid w:val="00442711"/>
    <w:rsid w:val="00444E32"/>
    <w:rsid w:val="0045064C"/>
    <w:rsid w:val="00460FC8"/>
    <w:rsid w:val="00463230"/>
    <w:rsid w:val="0046444C"/>
    <w:rsid w:val="004749A4"/>
    <w:rsid w:val="0047613A"/>
    <w:rsid w:val="004774DB"/>
    <w:rsid w:val="0048676F"/>
    <w:rsid w:val="00493EC5"/>
    <w:rsid w:val="004A3032"/>
    <w:rsid w:val="004A4E71"/>
    <w:rsid w:val="004A64AE"/>
    <w:rsid w:val="004A726E"/>
    <w:rsid w:val="004B7954"/>
    <w:rsid w:val="004C6451"/>
    <w:rsid w:val="004D347F"/>
    <w:rsid w:val="004D5178"/>
    <w:rsid w:val="004D51C1"/>
    <w:rsid w:val="004D6C73"/>
    <w:rsid w:val="004E4125"/>
    <w:rsid w:val="004E68F9"/>
    <w:rsid w:val="004F3331"/>
    <w:rsid w:val="00503424"/>
    <w:rsid w:val="005047FB"/>
    <w:rsid w:val="00515EF0"/>
    <w:rsid w:val="005410F5"/>
    <w:rsid w:val="00542446"/>
    <w:rsid w:val="00546BB8"/>
    <w:rsid w:val="00550070"/>
    <w:rsid w:val="0055365A"/>
    <w:rsid w:val="00554B0E"/>
    <w:rsid w:val="00554D53"/>
    <w:rsid w:val="00570803"/>
    <w:rsid w:val="005735B2"/>
    <w:rsid w:val="00592551"/>
    <w:rsid w:val="00593B28"/>
    <w:rsid w:val="0059408C"/>
    <w:rsid w:val="00595116"/>
    <w:rsid w:val="00596424"/>
    <w:rsid w:val="00596C11"/>
    <w:rsid w:val="005971FA"/>
    <w:rsid w:val="005977DF"/>
    <w:rsid w:val="005A41A2"/>
    <w:rsid w:val="005B15B8"/>
    <w:rsid w:val="005B242F"/>
    <w:rsid w:val="005B66C4"/>
    <w:rsid w:val="005B7328"/>
    <w:rsid w:val="005B7A1F"/>
    <w:rsid w:val="005C52EA"/>
    <w:rsid w:val="005C5FBF"/>
    <w:rsid w:val="005D0DB9"/>
    <w:rsid w:val="005D29AE"/>
    <w:rsid w:val="005D3DBA"/>
    <w:rsid w:val="005D59EF"/>
    <w:rsid w:val="005E0DEB"/>
    <w:rsid w:val="005E0FC8"/>
    <w:rsid w:val="005E1F85"/>
    <w:rsid w:val="005E28EE"/>
    <w:rsid w:val="005E7BCF"/>
    <w:rsid w:val="005F2A72"/>
    <w:rsid w:val="0060542E"/>
    <w:rsid w:val="006066A8"/>
    <w:rsid w:val="00610C3B"/>
    <w:rsid w:val="00622E8B"/>
    <w:rsid w:val="00623F61"/>
    <w:rsid w:val="00627A2E"/>
    <w:rsid w:val="00631A9A"/>
    <w:rsid w:val="00631E79"/>
    <w:rsid w:val="00634C73"/>
    <w:rsid w:val="0063684F"/>
    <w:rsid w:val="00645EB2"/>
    <w:rsid w:val="00647CC5"/>
    <w:rsid w:val="00651FED"/>
    <w:rsid w:val="00652263"/>
    <w:rsid w:val="00653102"/>
    <w:rsid w:val="00660309"/>
    <w:rsid w:val="006604DD"/>
    <w:rsid w:val="00661C7A"/>
    <w:rsid w:val="00662D28"/>
    <w:rsid w:val="00665129"/>
    <w:rsid w:val="00670246"/>
    <w:rsid w:val="00672A67"/>
    <w:rsid w:val="006741D9"/>
    <w:rsid w:val="00680B8D"/>
    <w:rsid w:val="006821AF"/>
    <w:rsid w:val="00695855"/>
    <w:rsid w:val="00697BB8"/>
    <w:rsid w:val="006A48DE"/>
    <w:rsid w:val="006B01C2"/>
    <w:rsid w:val="006B204A"/>
    <w:rsid w:val="006C714C"/>
    <w:rsid w:val="006D0B0D"/>
    <w:rsid w:val="006D45B2"/>
    <w:rsid w:val="006D788A"/>
    <w:rsid w:val="006E2ABF"/>
    <w:rsid w:val="006E639C"/>
    <w:rsid w:val="006F0C88"/>
    <w:rsid w:val="006F3008"/>
    <w:rsid w:val="006F69BD"/>
    <w:rsid w:val="007046B3"/>
    <w:rsid w:val="00721E91"/>
    <w:rsid w:val="00724AB3"/>
    <w:rsid w:val="00731D65"/>
    <w:rsid w:val="0073327A"/>
    <w:rsid w:val="00741128"/>
    <w:rsid w:val="0074260C"/>
    <w:rsid w:val="0074315A"/>
    <w:rsid w:val="007462CF"/>
    <w:rsid w:val="00751E31"/>
    <w:rsid w:val="007560C4"/>
    <w:rsid w:val="00767864"/>
    <w:rsid w:val="00774EEE"/>
    <w:rsid w:val="00775955"/>
    <w:rsid w:val="007769FA"/>
    <w:rsid w:val="00777AFE"/>
    <w:rsid w:val="00777CB8"/>
    <w:rsid w:val="00782E75"/>
    <w:rsid w:val="007834BD"/>
    <w:rsid w:val="007845A5"/>
    <w:rsid w:val="00786BE4"/>
    <w:rsid w:val="00787C46"/>
    <w:rsid w:val="00791872"/>
    <w:rsid w:val="00791951"/>
    <w:rsid w:val="007978B0"/>
    <w:rsid w:val="007A527A"/>
    <w:rsid w:val="007A7786"/>
    <w:rsid w:val="007B24FA"/>
    <w:rsid w:val="007B509F"/>
    <w:rsid w:val="007B670A"/>
    <w:rsid w:val="007C30C6"/>
    <w:rsid w:val="007D1ADE"/>
    <w:rsid w:val="007D763E"/>
    <w:rsid w:val="007E1DBF"/>
    <w:rsid w:val="007F1369"/>
    <w:rsid w:val="007F4916"/>
    <w:rsid w:val="007F785A"/>
    <w:rsid w:val="0080590E"/>
    <w:rsid w:val="00805C44"/>
    <w:rsid w:val="008118CF"/>
    <w:rsid w:val="00821829"/>
    <w:rsid w:val="008234FB"/>
    <w:rsid w:val="00826E03"/>
    <w:rsid w:val="00834F36"/>
    <w:rsid w:val="00840553"/>
    <w:rsid w:val="00840C6A"/>
    <w:rsid w:val="008455D8"/>
    <w:rsid w:val="00847B63"/>
    <w:rsid w:val="0085279D"/>
    <w:rsid w:val="00856C28"/>
    <w:rsid w:val="00864691"/>
    <w:rsid w:val="00866BE4"/>
    <w:rsid w:val="0087168D"/>
    <w:rsid w:val="00875CD0"/>
    <w:rsid w:val="00883C0A"/>
    <w:rsid w:val="00884113"/>
    <w:rsid w:val="008852B5"/>
    <w:rsid w:val="0088720A"/>
    <w:rsid w:val="00890F44"/>
    <w:rsid w:val="008A1628"/>
    <w:rsid w:val="008A67E1"/>
    <w:rsid w:val="008B32DC"/>
    <w:rsid w:val="008B474D"/>
    <w:rsid w:val="008C25D1"/>
    <w:rsid w:val="008C3D43"/>
    <w:rsid w:val="008D2268"/>
    <w:rsid w:val="008D429A"/>
    <w:rsid w:val="008E0937"/>
    <w:rsid w:val="008E1FEE"/>
    <w:rsid w:val="008E3675"/>
    <w:rsid w:val="008E4169"/>
    <w:rsid w:val="008F1AB8"/>
    <w:rsid w:val="00900C32"/>
    <w:rsid w:val="009028C0"/>
    <w:rsid w:val="00903B81"/>
    <w:rsid w:val="00903F2C"/>
    <w:rsid w:val="009062B7"/>
    <w:rsid w:val="00913C18"/>
    <w:rsid w:val="00914A89"/>
    <w:rsid w:val="00921AA0"/>
    <w:rsid w:val="009220F4"/>
    <w:rsid w:val="0092273C"/>
    <w:rsid w:val="009251FC"/>
    <w:rsid w:val="00927358"/>
    <w:rsid w:val="009307F6"/>
    <w:rsid w:val="00932125"/>
    <w:rsid w:val="009359D8"/>
    <w:rsid w:val="00947879"/>
    <w:rsid w:val="00952018"/>
    <w:rsid w:val="0095279E"/>
    <w:rsid w:val="009611BF"/>
    <w:rsid w:val="009655E2"/>
    <w:rsid w:val="009846AC"/>
    <w:rsid w:val="00992BAB"/>
    <w:rsid w:val="0099440D"/>
    <w:rsid w:val="009A0241"/>
    <w:rsid w:val="009A40DF"/>
    <w:rsid w:val="009A496B"/>
    <w:rsid w:val="009A49C0"/>
    <w:rsid w:val="009A4E2A"/>
    <w:rsid w:val="009B09AF"/>
    <w:rsid w:val="009B1731"/>
    <w:rsid w:val="009B50FF"/>
    <w:rsid w:val="009C17CA"/>
    <w:rsid w:val="009C21AD"/>
    <w:rsid w:val="009C3114"/>
    <w:rsid w:val="009C7945"/>
    <w:rsid w:val="009C7C3E"/>
    <w:rsid w:val="009D146E"/>
    <w:rsid w:val="009D36A8"/>
    <w:rsid w:val="009D448E"/>
    <w:rsid w:val="009D7268"/>
    <w:rsid w:val="009E136C"/>
    <w:rsid w:val="009E1B0D"/>
    <w:rsid w:val="009E1D0F"/>
    <w:rsid w:val="009F3332"/>
    <w:rsid w:val="009F399A"/>
    <w:rsid w:val="009F4D3C"/>
    <w:rsid w:val="009F6B49"/>
    <w:rsid w:val="009F78E7"/>
    <w:rsid w:val="00A010EB"/>
    <w:rsid w:val="00A010FA"/>
    <w:rsid w:val="00A029F4"/>
    <w:rsid w:val="00A03A88"/>
    <w:rsid w:val="00A0769C"/>
    <w:rsid w:val="00A1193E"/>
    <w:rsid w:val="00A1285A"/>
    <w:rsid w:val="00A12F36"/>
    <w:rsid w:val="00A160B1"/>
    <w:rsid w:val="00A20383"/>
    <w:rsid w:val="00A21E87"/>
    <w:rsid w:val="00A335CE"/>
    <w:rsid w:val="00A379BF"/>
    <w:rsid w:val="00A37D8E"/>
    <w:rsid w:val="00A4044D"/>
    <w:rsid w:val="00A412A4"/>
    <w:rsid w:val="00A42421"/>
    <w:rsid w:val="00A4398D"/>
    <w:rsid w:val="00A4764D"/>
    <w:rsid w:val="00A55194"/>
    <w:rsid w:val="00A602DE"/>
    <w:rsid w:val="00A706BA"/>
    <w:rsid w:val="00A732BA"/>
    <w:rsid w:val="00A8010F"/>
    <w:rsid w:val="00A80BE2"/>
    <w:rsid w:val="00A81D5F"/>
    <w:rsid w:val="00A8611B"/>
    <w:rsid w:val="00A86566"/>
    <w:rsid w:val="00A87B2D"/>
    <w:rsid w:val="00A97B99"/>
    <w:rsid w:val="00AA0E7A"/>
    <w:rsid w:val="00AA7E5A"/>
    <w:rsid w:val="00AB08B7"/>
    <w:rsid w:val="00AB10D4"/>
    <w:rsid w:val="00AB3995"/>
    <w:rsid w:val="00AB4514"/>
    <w:rsid w:val="00AC14EE"/>
    <w:rsid w:val="00AC1C2A"/>
    <w:rsid w:val="00AC1CDC"/>
    <w:rsid w:val="00AC476E"/>
    <w:rsid w:val="00AC49D3"/>
    <w:rsid w:val="00AC53E4"/>
    <w:rsid w:val="00AD60DE"/>
    <w:rsid w:val="00AE360E"/>
    <w:rsid w:val="00AF0363"/>
    <w:rsid w:val="00AF433B"/>
    <w:rsid w:val="00AF4F6A"/>
    <w:rsid w:val="00AF6AC1"/>
    <w:rsid w:val="00B02FC3"/>
    <w:rsid w:val="00B054C1"/>
    <w:rsid w:val="00B077D7"/>
    <w:rsid w:val="00B10958"/>
    <w:rsid w:val="00B13725"/>
    <w:rsid w:val="00B137B3"/>
    <w:rsid w:val="00B13D28"/>
    <w:rsid w:val="00B14CB4"/>
    <w:rsid w:val="00B14F3A"/>
    <w:rsid w:val="00B264F8"/>
    <w:rsid w:val="00B26D5D"/>
    <w:rsid w:val="00B26EC2"/>
    <w:rsid w:val="00B329B2"/>
    <w:rsid w:val="00B34747"/>
    <w:rsid w:val="00B34FA4"/>
    <w:rsid w:val="00B412AA"/>
    <w:rsid w:val="00B41CDE"/>
    <w:rsid w:val="00B46ED3"/>
    <w:rsid w:val="00B5148C"/>
    <w:rsid w:val="00B52C14"/>
    <w:rsid w:val="00B612FB"/>
    <w:rsid w:val="00B624B9"/>
    <w:rsid w:val="00B63304"/>
    <w:rsid w:val="00B6597C"/>
    <w:rsid w:val="00B659D1"/>
    <w:rsid w:val="00B71DC0"/>
    <w:rsid w:val="00B7262D"/>
    <w:rsid w:val="00B7273C"/>
    <w:rsid w:val="00B7472D"/>
    <w:rsid w:val="00B768BB"/>
    <w:rsid w:val="00B86E53"/>
    <w:rsid w:val="00B87E74"/>
    <w:rsid w:val="00B90B99"/>
    <w:rsid w:val="00B9206D"/>
    <w:rsid w:val="00B9653F"/>
    <w:rsid w:val="00B97DE0"/>
    <w:rsid w:val="00BA2E6A"/>
    <w:rsid w:val="00BA3B15"/>
    <w:rsid w:val="00BB46D3"/>
    <w:rsid w:val="00BE1121"/>
    <w:rsid w:val="00BE1B92"/>
    <w:rsid w:val="00BE20C2"/>
    <w:rsid w:val="00BE37A0"/>
    <w:rsid w:val="00BE6D15"/>
    <w:rsid w:val="00BF1528"/>
    <w:rsid w:val="00BF4990"/>
    <w:rsid w:val="00BF4DA1"/>
    <w:rsid w:val="00C00633"/>
    <w:rsid w:val="00C04D10"/>
    <w:rsid w:val="00C07C8E"/>
    <w:rsid w:val="00C1067E"/>
    <w:rsid w:val="00C13C83"/>
    <w:rsid w:val="00C25C93"/>
    <w:rsid w:val="00C31CB7"/>
    <w:rsid w:val="00C3560D"/>
    <w:rsid w:val="00C35D28"/>
    <w:rsid w:val="00C40B25"/>
    <w:rsid w:val="00C4331F"/>
    <w:rsid w:val="00C4774C"/>
    <w:rsid w:val="00C479F9"/>
    <w:rsid w:val="00C5177A"/>
    <w:rsid w:val="00C519D4"/>
    <w:rsid w:val="00C6511F"/>
    <w:rsid w:val="00C65A9A"/>
    <w:rsid w:val="00C72C1D"/>
    <w:rsid w:val="00C7732A"/>
    <w:rsid w:val="00C8192D"/>
    <w:rsid w:val="00C81FBE"/>
    <w:rsid w:val="00C84862"/>
    <w:rsid w:val="00CA1C3E"/>
    <w:rsid w:val="00CA233C"/>
    <w:rsid w:val="00CA568B"/>
    <w:rsid w:val="00CA5BEF"/>
    <w:rsid w:val="00CA5FB1"/>
    <w:rsid w:val="00CB2EA2"/>
    <w:rsid w:val="00CB301C"/>
    <w:rsid w:val="00CB59E7"/>
    <w:rsid w:val="00CC5D2D"/>
    <w:rsid w:val="00CC7E46"/>
    <w:rsid w:val="00CD6DBB"/>
    <w:rsid w:val="00CD7CB5"/>
    <w:rsid w:val="00CE11B6"/>
    <w:rsid w:val="00CF1AD0"/>
    <w:rsid w:val="00CF4000"/>
    <w:rsid w:val="00D012C2"/>
    <w:rsid w:val="00D0484B"/>
    <w:rsid w:val="00D110B0"/>
    <w:rsid w:val="00D13503"/>
    <w:rsid w:val="00D143A7"/>
    <w:rsid w:val="00D1774C"/>
    <w:rsid w:val="00D20958"/>
    <w:rsid w:val="00D2311A"/>
    <w:rsid w:val="00D24F17"/>
    <w:rsid w:val="00D314D9"/>
    <w:rsid w:val="00D37481"/>
    <w:rsid w:val="00D40E53"/>
    <w:rsid w:val="00D40EDE"/>
    <w:rsid w:val="00D42132"/>
    <w:rsid w:val="00D42775"/>
    <w:rsid w:val="00D42E4E"/>
    <w:rsid w:val="00D50D7B"/>
    <w:rsid w:val="00D53B69"/>
    <w:rsid w:val="00D72442"/>
    <w:rsid w:val="00D72A2F"/>
    <w:rsid w:val="00D73A05"/>
    <w:rsid w:val="00D759AA"/>
    <w:rsid w:val="00D76CCC"/>
    <w:rsid w:val="00D86D60"/>
    <w:rsid w:val="00DA1A3A"/>
    <w:rsid w:val="00DA394C"/>
    <w:rsid w:val="00DC00F7"/>
    <w:rsid w:val="00DC131B"/>
    <w:rsid w:val="00DC1E9F"/>
    <w:rsid w:val="00DC2208"/>
    <w:rsid w:val="00DD4339"/>
    <w:rsid w:val="00DD5C95"/>
    <w:rsid w:val="00DE038E"/>
    <w:rsid w:val="00DF379D"/>
    <w:rsid w:val="00E04C88"/>
    <w:rsid w:val="00E05C89"/>
    <w:rsid w:val="00E0646D"/>
    <w:rsid w:val="00E15B5C"/>
    <w:rsid w:val="00E1796F"/>
    <w:rsid w:val="00E27B0A"/>
    <w:rsid w:val="00E320E7"/>
    <w:rsid w:val="00E323BF"/>
    <w:rsid w:val="00E354B9"/>
    <w:rsid w:val="00E368E8"/>
    <w:rsid w:val="00E456C7"/>
    <w:rsid w:val="00E47DDF"/>
    <w:rsid w:val="00E5104C"/>
    <w:rsid w:val="00E55944"/>
    <w:rsid w:val="00E57067"/>
    <w:rsid w:val="00E6081C"/>
    <w:rsid w:val="00E61453"/>
    <w:rsid w:val="00E62A27"/>
    <w:rsid w:val="00E63968"/>
    <w:rsid w:val="00E70294"/>
    <w:rsid w:val="00E82A8D"/>
    <w:rsid w:val="00E83141"/>
    <w:rsid w:val="00E85627"/>
    <w:rsid w:val="00E910B6"/>
    <w:rsid w:val="00E944D2"/>
    <w:rsid w:val="00EA111B"/>
    <w:rsid w:val="00EA64FA"/>
    <w:rsid w:val="00EA6C0B"/>
    <w:rsid w:val="00EB25E7"/>
    <w:rsid w:val="00EB3E7B"/>
    <w:rsid w:val="00EB6B9B"/>
    <w:rsid w:val="00ED314D"/>
    <w:rsid w:val="00ED3BD5"/>
    <w:rsid w:val="00EE1826"/>
    <w:rsid w:val="00EE47BE"/>
    <w:rsid w:val="00EE724D"/>
    <w:rsid w:val="00EF33EA"/>
    <w:rsid w:val="00F000E2"/>
    <w:rsid w:val="00F00240"/>
    <w:rsid w:val="00F02AA0"/>
    <w:rsid w:val="00F044EB"/>
    <w:rsid w:val="00F07ECD"/>
    <w:rsid w:val="00F11F9C"/>
    <w:rsid w:val="00F2696A"/>
    <w:rsid w:val="00F31194"/>
    <w:rsid w:val="00F318B9"/>
    <w:rsid w:val="00F42613"/>
    <w:rsid w:val="00F432F6"/>
    <w:rsid w:val="00F43C33"/>
    <w:rsid w:val="00F467F6"/>
    <w:rsid w:val="00F50A4B"/>
    <w:rsid w:val="00F5695E"/>
    <w:rsid w:val="00F62274"/>
    <w:rsid w:val="00F62639"/>
    <w:rsid w:val="00F667D8"/>
    <w:rsid w:val="00F72F50"/>
    <w:rsid w:val="00F761E5"/>
    <w:rsid w:val="00F763A3"/>
    <w:rsid w:val="00F844F3"/>
    <w:rsid w:val="00F8476C"/>
    <w:rsid w:val="00F84D04"/>
    <w:rsid w:val="00F90C4A"/>
    <w:rsid w:val="00F927AC"/>
    <w:rsid w:val="00F95E24"/>
    <w:rsid w:val="00F9641A"/>
    <w:rsid w:val="00F97471"/>
    <w:rsid w:val="00FA3B69"/>
    <w:rsid w:val="00FA68C9"/>
    <w:rsid w:val="00FC0693"/>
    <w:rsid w:val="00FC36B2"/>
    <w:rsid w:val="00FC52EA"/>
    <w:rsid w:val="00FD273C"/>
    <w:rsid w:val="00FD6984"/>
    <w:rsid w:val="00FE7686"/>
    <w:rsid w:val="00FF06B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75CA"/>
  <w15:chartTrackingRefBased/>
  <w15:docId w15:val="{253D963F-C3B7-4A69-9A80-8944685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D200E"/>
    <w:pPr>
      <w:spacing w:before="160" w:after="0" w:line="247" w:lineRule="auto"/>
      <w:ind w:left="20" w:right="403"/>
      <w:outlineLvl w:val="0"/>
    </w:pPr>
    <w:rPr>
      <w:rFonts w:ascii="Calibri" w:eastAsia="Calibri" w:hAnsi="Calibri" w:cs="Calibri"/>
      <w:b/>
      <w:bCs/>
      <w:lang w:eastAsia="en-AU" w:bidi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37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F9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B7262D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B7262D"/>
  </w:style>
  <w:style w:type="paragraph" w:customStyle="1" w:styleId="Dash">
    <w:name w:val="Dash"/>
    <w:basedOn w:val="Normal"/>
    <w:link w:val="DashChar"/>
    <w:rsid w:val="00B7262D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B7262D"/>
  </w:style>
  <w:style w:type="paragraph" w:customStyle="1" w:styleId="DoubleDot">
    <w:name w:val="Double Dot"/>
    <w:basedOn w:val="Normal"/>
    <w:link w:val="DoubleDotChar"/>
    <w:rsid w:val="00B7262D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B7262D"/>
  </w:style>
  <w:style w:type="paragraph" w:customStyle="1" w:styleId="OutlineNumbered1">
    <w:name w:val="Outline Numbered 1"/>
    <w:basedOn w:val="Normal"/>
    <w:link w:val="OutlineNumbered1Char"/>
    <w:rsid w:val="009C7945"/>
    <w:pPr>
      <w:numPr>
        <w:numId w:val="11"/>
      </w:numPr>
      <w:spacing w:after="0" w:line="240" w:lineRule="auto"/>
    </w:pPr>
  </w:style>
  <w:style w:type="character" w:customStyle="1" w:styleId="OutlineNumbered1Char">
    <w:name w:val="Outline Numbered 1 Char"/>
    <w:basedOn w:val="DefaultParagraphFont"/>
    <w:link w:val="OutlineNumbered1"/>
    <w:rsid w:val="009C7945"/>
  </w:style>
  <w:style w:type="paragraph" w:customStyle="1" w:styleId="OutlineNumbered2">
    <w:name w:val="Outline Numbered 2"/>
    <w:basedOn w:val="Normal"/>
    <w:link w:val="OutlineNumbered2Char"/>
    <w:rsid w:val="009C7945"/>
    <w:pPr>
      <w:numPr>
        <w:ilvl w:val="1"/>
        <w:numId w:val="11"/>
      </w:numPr>
      <w:spacing w:after="0" w:line="240" w:lineRule="auto"/>
    </w:pPr>
  </w:style>
  <w:style w:type="character" w:customStyle="1" w:styleId="OutlineNumbered2Char">
    <w:name w:val="Outline Numbered 2 Char"/>
    <w:basedOn w:val="DefaultParagraphFont"/>
    <w:link w:val="OutlineNumbered2"/>
    <w:rsid w:val="009C7945"/>
  </w:style>
  <w:style w:type="paragraph" w:customStyle="1" w:styleId="OutlineNumbered3">
    <w:name w:val="Outline Numbered 3"/>
    <w:basedOn w:val="Normal"/>
    <w:link w:val="OutlineNumbered3Char"/>
    <w:rsid w:val="009C7945"/>
    <w:pPr>
      <w:numPr>
        <w:ilvl w:val="2"/>
        <w:numId w:val="11"/>
      </w:numPr>
      <w:spacing w:after="0" w:line="240" w:lineRule="auto"/>
    </w:pPr>
  </w:style>
  <w:style w:type="character" w:customStyle="1" w:styleId="OutlineNumbered3Char">
    <w:name w:val="Outline Numbered 3 Char"/>
    <w:basedOn w:val="DefaultParagraphFont"/>
    <w:link w:val="OutlineNumbered3"/>
    <w:rsid w:val="009C7945"/>
  </w:style>
  <w:style w:type="paragraph" w:styleId="NormalWeb">
    <w:name w:val="Normal (Web)"/>
    <w:basedOn w:val="Normal"/>
    <w:uiPriority w:val="99"/>
    <w:semiHidden/>
    <w:unhideWhenUsed/>
    <w:rsid w:val="005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E1"/>
  </w:style>
  <w:style w:type="paragraph" w:styleId="Footer">
    <w:name w:val="footer"/>
    <w:basedOn w:val="Normal"/>
    <w:link w:val="FooterChar"/>
    <w:uiPriority w:val="99"/>
    <w:unhideWhenUsed/>
    <w:rsid w:val="008A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E1"/>
  </w:style>
  <w:style w:type="paragraph" w:styleId="Revision">
    <w:name w:val="Revision"/>
    <w:hidden/>
    <w:uiPriority w:val="99"/>
    <w:semiHidden/>
    <w:rsid w:val="004035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4406D"/>
    <w:pPr>
      <w:spacing w:before="160" w:after="0" w:line="247" w:lineRule="auto"/>
      <w:ind w:left="301" w:right="403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4406D"/>
    <w:rPr>
      <w:rFonts w:ascii="Calibri" w:eastAsia="Calibri" w:hAnsi="Calibri" w:cs="Calibri"/>
      <w:lang w:eastAsia="en-AU" w:bidi="en-AU"/>
    </w:rPr>
  </w:style>
  <w:style w:type="character" w:customStyle="1" w:styleId="Heading1Char">
    <w:name w:val="Heading 1 Char"/>
    <w:basedOn w:val="DefaultParagraphFont"/>
    <w:link w:val="Heading1"/>
    <w:uiPriority w:val="1"/>
    <w:rsid w:val="001D200E"/>
    <w:rPr>
      <w:rFonts w:ascii="Calibri" w:eastAsia="Calibri" w:hAnsi="Calibri" w:cs="Calibri"/>
      <w:b/>
      <w:bCs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9C3114"/>
    <w:pPr>
      <w:spacing w:before="160" w:after="0" w:line="247" w:lineRule="auto"/>
      <w:ind w:left="301" w:right="403"/>
      <w:jc w:val="right"/>
    </w:pPr>
    <w:rPr>
      <w:rFonts w:ascii="Calibri" w:eastAsia="Calibri" w:hAnsi="Calibri" w:cs="Calibri"/>
      <w:lang w:eastAsia="en-AU" w:bidi="en-AU"/>
    </w:rPr>
  </w:style>
  <w:style w:type="character" w:customStyle="1" w:styleId="Heading9Char">
    <w:name w:val="Heading 9 Char"/>
    <w:basedOn w:val="DefaultParagraphFont"/>
    <w:link w:val="Heading9"/>
    <w:uiPriority w:val="9"/>
    <w:rsid w:val="00B137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4628-0BED-43AE-BA76-077994ED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4849</Characters>
  <Application>Microsoft Office Word</Application>
  <DocSecurity>0</DocSecurity>
  <Lines>97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the Treasury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Population</dc:creator>
  <cp:keywords/>
  <dc:description/>
  <cp:lastModifiedBy>Keogh, Vicky</cp:lastModifiedBy>
  <cp:revision>3</cp:revision>
  <cp:lastPrinted>2021-12-16T21:31:00Z</cp:lastPrinted>
  <dcterms:created xsi:type="dcterms:W3CDTF">2021-12-17T01:04:00Z</dcterms:created>
  <dcterms:modified xsi:type="dcterms:W3CDTF">2021-12-17T03:49:00Z</dcterms:modified>
</cp:coreProperties>
</file>