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7EB3D" w14:textId="233E965D" w:rsidR="00725216" w:rsidRPr="00463005" w:rsidRDefault="00D739EF" w:rsidP="00463005">
      <w:pPr>
        <w:spacing w:before="240" w:after="360"/>
        <w:jc w:val="right"/>
        <w:rPr>
          <w:b/>
          <w:bCs/>
          <w:i/>
          <w:iCs/>
          <w:color w:val="FFFFFF" w:themeColor="background1"/>
          <w:sz w:val="28"/>
          <w:szCs w:val="28"/>
        </w:rPr>
      </w:pPr>
      <w:bookmarkStart w:id="0" w:name="_Hlk74846628"/>
      <w:r w:rsidRPr="001B5B2D">
        <w:rPr>
          <w:b/>
          <w:i/>
          <w:color w:val="FFFFFF" w:themeColor="background1"/>
          <w:sz w:val="28"/>
          <w:szCs w:val="28"/>
        </w:rPr>
        <w:t>22 December</w:t>
      </w:r>
      <w:r w:rsidR="006351DC">
        <w:rPr>
          <w:b/>
          <w:bCs/>
          <w:i/>
          <w:iCs/>
          <w:color w:val="FFFFFF" w:themeColor="background1"/>
          <w:sz w:val="28"/>
          <w:szCs w:val="28"/>
        </w:rPr>
        <w:t xml:space="preserve"> 2021</w:t>
      </w:r>
    </w:p>
    <w:tbl>
      <w:tblPr>
        <w:tblW w:w="9185" w:type="dxa"/>
        <w:tblLayout w:type="fixed"/>
        <w:tblLook w:val="04A0" w:firstRow="1" w:lastRow="0" w:firstColumn="1" w:lastColumn="0" w:noHBand="0" w:noVBand="1"/>
      </w:tblPr>
      <w:tblGrid>
        <w:gridCol w:w="9185"/>
      </w:tblGrid>
      <w:tr w:rsidR="00725216" w:rsidRPr="00F21FAB" w14:paraId="57BC2909" w14:textId="77777777" w:rsidTr="00CC3A04">
        <w:trPr>
          <w:trHeight w:val="300"/>
        </w:trPr>
        <w:tc>
          <w:tcPr>
            <w:tcW w:w="5000" w:type="pct"/>
            <w:shd w:val="clear" w:color="auto" w:fill="auto"/>
            <w:vAlign w:val="center"/>
          </w:tcPr>
          <w:p w14:paraId="0EB52E41" w14:textId="7C158D75" w:rsidR="00725216" w:rsidRPr="003A7FFE" w:rsidRDefault="006351DC" w:rsidP="00463005">
            <w:pPr>
              <w:pStyle w:val="Heading2"/>
            </w:pPr>
            <w:bookmarkStart w:id="1" w:name="_Ref75254943"/>
            <w:bookmarkStart w:id="2" w:name="_Hlk83912548"/>
            <w:bookmarkEnd w:id="0"/>
            <w:r>
              <w:t>Provisional Mortality Statistics,</w:t>
            </w:r>
            <w:r w:rsidR="004901F9">
              <w:t xml:space="preserve"> </w:t>
            </w:r>
            <w:r w:rsidR="00D739EF" w:rsidRPr="001B5B2D">
              <w:t>October</w:t>
            </w:r>
            <w:r>
              <w:t xml:space="preserve"> 2021</w:t>
            </w:r>
            <w:bookmarkEnd w:id="1"/>
          </w:p>
        </w:tc>
      </w:tr>
      <w:tr w:rsidR="00725216" w:rsidRPr="0023709A" w14:paraId="37605938" w14:textId="77777777" w:rsidTr="00CC3A04">
        <w:trPr>
          <w:trHeight w:val="300"/>
        </w:trPr>
        <w:tc>
          <w:tcPr>
            <w:tcW w:w="5000" w:type="pct"/>
            <w:shd w:val="clear" w:color="auto" w:fill="CCE3F6" w:themeFill="accent2" w:themeFillTint="33"/>
            <w:vAlign w:val="center"/>
          </w:tcPr>
          <w:p w14:paraId="2D191C53" w14:textId="7760C639" w:rsidR="009E1BE5" w:rsidRPr="00C36281" w:rsidRDefault="006351DC" w:rsidP="00251AE8">
            <w:r w:rsidRPr="00C36281">
              <w:t>Cumulatively in 2021</w:t>
            </w:r>
            <w:r w:rsidR="00D9782C" w:rsidRPr="00C36281">
              <w:t xml:space="preserve"> (</w:t>
            </w:r>
            <w:r w:rsidR="00D9782C" w:rsidRPr="001B5B2D">
              <w:t xml:space="preserve">until </w:t>
            </w:r>
            <w:r w:rsidR="0024484D">
              <w:t>31</w:t>
            </w:r>
            <w:r w:rsidR="002B19D4" w:rsidRPr="00C36281">
              <w:t xml:space="preserve"> </w:t>
            </w:r>
            <w:r w:rsidR="0024484D">
              <w:t>October</w:t>
            </w:r>
            <w:r w:rsidR="00D9782C" w:rsidRPr="00C36281">
              <w:t>)</w:t>
            </w:r>
            <w:r w:rsidRPr="00C36281">
              <w:t>, the total number of doctor-certified deaths (</w:t>
            </w:r>
            <w:r w:rsidR="001B5B2D" w:rsidRPr="001B5B2D">
              <w:t>124</w:t>
            </w:r>
            <w:r w:rsidR="00B21D49" w:rsidRPr="001B5B2D">
              <w:t>,</w:t>
            </w:r>
            <w:r w:rsidR="00036CE7" w:rsidRPr="001B5B2D">
              <w:t>200</w:t>
            </w:r>
            <w:r w:rsidRPr="00C36281">
              <w:t xml:space="preserve">) was </w:t>
            </w:r>
            <w:r w:rsidR="000E2FED" w:rsidRPr="001B5B2D">
              <w:t>higher</w:t>
            </w:r>
            <w:r w:rsidR="000E2FED" w:rsidRPr="00C36281">
              <w:t xml:space="preserve"> than </w:t>
            </w:r>
            <w:r w:rsidRPr="00C36281">
              <w:t>the number of doctor-certified deaths in 2020</w:t>
            </w:r>
            <w:r w:rsidR="00B21D49" w:rsidRPr="00C36281">
              <w:t xml:space="preserve"> (</w:t>
            </w:r>
            <w:r w:rsidR="001B5B2D" w:rsidRPr="001B5B2D">
              <w:t>119,2</w:t>
            </w:r>
            <w:r w:rsidR="00036CE7" w:rsidRPr="001B5B2D">
              <w:t>00</w:t>
            </w:r>
            <w:r w:rsidR="00B21D49" w:rsidRPr="001B5B2D">
              <w:t>)</w:t>
            </w:r>
            <w:r w:rsidRPr="001B5B2D">
              <w:t xml:space="preserve">, and </w:t>
            </w:r>
            <w:r w:rsidR="00B21D49" w:rsidRPr="001B5B2D">
              <w:t>higher</w:t>
            </w:r>
            <w:r w:rsidRPr="00C36281">
              <w:t xml:space="preserve"> than the average over 2015-19 (</w:t>
            </w:r>
            <w:r w:rsidR="001B5B2D" w:rsidRPr="001B5B2D">
              <w:t>118</w:t>
            </w:r>
            <w:r w:rsidR="002B19D4" w:rsidRPr="001B5B2D">
              <w:t>,</w:t>
            </w:r>
            <w:r w:rsidR="00036CE7" w:rsidRPr="001B5B2D">
              <w:t>800</w:t>
            </w:r>
            <w:r w:rsidRPr="00C36281">
              <w:t>).</w:t>
            </w:r>
            <w:r w:rsidR="00B21D49" w:rsidRPr="00C36281">
              <w:t xml:space="preserve"> The </w:t>
            </w:r>
            <w:r w:rsidR="004E7EAB">
              <w:t>monthly</w:t>
            </w:r>
            <w:r w:rsidR="00B21D49" w:rsidRPr="00C36281">
              <w:t xml:space="preserve"> number of doctor-certified deaths in</w:t>
            </w:r>
            <w:r w:rsidR="004901F9" w:rsidRPr="00C36281">
              <w:t xml:space="preserve"> </w:t>
            </w:r>
            <w:r w:rsidR="004E7EAB">
              <w:t>October</w:t>
            </w:r>
            <w:r w:rsidR="00B21D49" w:rsidRPr="00C36281">
              <w:t xml:space="preserve"> 2021 was higher than in </w:t>
            </w:r>
            <w:r w:rsidR="001B5B2D">
              <w:t>October</w:t>
            </w:r>
            <w:r w:rsidR="00B21D49" w:rsidRPr="00C36281">
              <w:t xml:space="preserve"> 2020 and the 2015</w:t>
            </w:r>
            <w:r w:rsidR="00B21D49" w:rsidRPr="00C36281">
              <w:noBreakHyphen/>
              <w:t>19 average.</w:t>
            </w:r>
            <w:r w:rsidR="00B21D49">
              <w:t xml:space="preserve"> </w:t>
            </w:r>
            <w:r w:rsidR="001412F0">
              <w:t>From August to October, weekly doctor-certified deaths were not significantly higher in 2021 than the 2015-19 average, despite a large increase in new COVID-19 infections over this period.</w:t>
            </w:r>
            <w:r w:rsidR="00B21D49" w:rsidRPr="00C36281">
              <w:t xml:space="preserve"> </w:t>
            </w:r>
            <w:r w:rsidR="001412F0">
              <w:t>A</w:t>
            </w:r>
            <w:r w:rsidR="00B21D49" w:rsidRPr="00C36281">
              <w:t>ge standardised death rates</w:t>
            </w:r>
            <w:r w:rsidR="00B21D49">
              <w:t xml:space="preserve"> </w:t>
            </w:r>
            <w:r w:rsidR="001412F0">
              <w:t>for total doctor-certified deaths</w:t>
            </w:r>
            <w:r w:rsidR="00B21D49" w:rsidRPr="00C36281">
              <w:t xml:space="preserve"> </w:t>
            </w:r>
            <w:r w:rsidR="00CB3341" w:rsidRPr="00C36281">
              <w:t>in</w:t>
            </w:r>
            <w:r w:rsidR="002B19D4" w:rsidRPr="00C36281">
              <w:t xml:space="preserve"> </w:t>
            </w:r>
            <w:r w:rsidR="001412F0">
              <w:t>2021 have been</w:t>
            </w:r>
            <w:r w:rsidR="00B36E6D">
              <w:t xml:space="preserve"> </w:t>
            </w:r>
            <w:r w:rsidR="00B36E6D" w:rsidRPr="001B5B2D">
              <w:t>below</w:t>
            </w:r>
            <w:r w:rsidR="00CB3341" w:rsidRPr="00C36281">
              <w:t xml:space="preserve"> the 2015-19 average</w:t>
            </w:r>
            <w:r w:rsidR="00E23819" w:rsidRPr="00C36281">
              <w:t xml:space="preserve">, suggesting that the </w:t>
            </w:r>
            <w:r w:rsidR="00E23819" w:rsidRPr="001B5B2D">
              <w:t>increase</w:t>
            </w:r>
            <w:r w:rsidR="00E23819" w:rsidRPr="00C36281">
              <w:t xml:space="preserve"> in </w:t>
            </w:r>
            <w:r w:rsidR="003E4BCD" w:rsidRPr="00C36281">
              <w:t>the number of</w:t>
            </w:r>
            <w:r w:rsidR="00E23819">
              <w:t xml:space="preserve"> </w:t>
            </w:r>
            <w:r w:rsidR="001412F0">
              <w:t>cumulative</w:t>
            </w:r>
            <w:r w:rsidR="00E23819" w:rsidRPr="00C36281">
              <w:t xml:space="preserve"> deaths </w:t>
            </w:r>
            <w:r w:rsidR="00CA63A0" w:rsidRPr="00C36281">
              <w:t>(when compared to 2015-19)</w:t>
            </w:r>
            <w:r w:rsidR="00E23819" w:rsidRPr="00C36281">
              <w:t xml:space="preserve"> </w:t>
            </w:r>
            <w:r w:rsidR="0019258B">
              <w:t>reflects</w:t>
            </w:r>
            <w:r w:rsidR="00E23819" w:rsidRPr="00C36281">
              <w:t xml:space="preserve"> a</w:t>
            </w:r>
            <w:r w:rsidR="00993D9B" w:rsidRPr="00C36281">
              <w:t xml:space="preserve"> change in the size and age structure</w:t>
            </w:r>
            <w:r w:rsidR="00E23819" w:rsidRPr="00C36281">
              <w:t xml:space="preserve"> of the population</w:t>
            </w:r>
            <w:r w:rsidR="00B36E6D" w:rsidRPr="00C36281">
              <w:t xml:space="preserve"> rather than an increase in mortality</w:t>
            </w:r>
            <w:r w:rsidR="00B07A8E" w:rsidRPr="00C36281">
              <w:t>.</w:t>
            </w:r>
          </w:p>
        </w:tc>
      </w:tr>
      <w:tr w:rsidR="00725216" w:rsidRPr="0023709A" w14:paraId="6484E700" w14:textId="77777777" w:rsidTr="009B6516">
        <w:trPr>
          <w:trHeight w:val="300"/>
        </w:trPr>
        <w:tc>
          <w:tcPr>
            <w:tcW w:w="5000" w:type="pct"/>
            <w:shd w:val="clear" w:color="auto" w:fill="auto"/>
            <w:vAlign w:val="center"/>
          </w:tcPr>
          <w:p w14:paraId="01B59FD9" w14:textId="1516FB0F" w:rsidR="009E1BE5" w:rsidRPr="004C38EA" w:rsidRDefault="00E675E2" w:rsidP="009E1BE5">
            <w:pPr>
              <w:pStyle w:val="Heading3"/>
              <w:keepNext w:val="0"/>
            </w:pPr>
            <w:r>
              <w:t>Weekly</w:t>
            </w:r>
            <w:r w:rsidR="009E1BE5">
              <w:t xml:space="preserve"> deaths</w:t>
            </w:r>
          </w:p>
          <w:p w14:paraId="2FC1F0D2" w14:textId="44D41B51" w:rsidR="009E1BE5" w:rsidRDefault="009E1BE5" w:rsidP="009E1BE5">
            <w:r w:rsidRPr="002123E7">
              <w:t>The number of deaths</w:t>
            </w:r>
            <w:r>
              <w:t xml:space="preserve"> each </w:t>
            </w:r>
            <w:r w:rsidR="00E675E2">
              <w:t>week</w:t>
            </w:r>
            <w:r w:rsidRPr="002123E7">
              <w:t xml:space="preserve"> from January through to </w:t>
            </w:r>
            <w:r w:rsidR="004E7EAB">
              <w:t>October</w:t>
            </w:r>
            <w:r>
              <w:t xml:space="preserve"> </w:t>
            </w:r>
            <w:r w:rsidRPr="002123E7">
              <w:t>was</w:t>
            </w:r>
            <w:r>
              <w:t xml:space="preserve"> </w:t>
            </w:r>
            <w:r w:rsidRPr="001B5B2D">
              <w:t>generally higher</w:t>
            </w:r>
            <w:r>
              <w:t xml:space="preserve"> in 2021</w:t>
            </w:r>
            <w:r w:rsidRPr="002123E7">
              <w:t xml:space="preserve"> than</w:t>
            </w:r>
            <w:r>
              <w:t xml:space="preserve"> </w:t>
            </w:r>
            <w:r w:rsidRPr="002123E7">
              <w:t>the 2015</w:t>
            </w:r>
            <w:r w:rsidRPr="002123E7">
              <w:noBreakHyphen/>
              <w:t>19 average.</w:t>
            </w:r>
            <w:r w:rsidR="00F66CE9">
              <w:t xml:space="preserve"> Notably, from August to October, weekly doctor-certified deaths were not significantly higher in 2021 than the 2015-19 average, despite a large increase in new COVID-19 infections over this period</w:t>
            </w:r>
            <w:r w:rsidRPr="002123E7">
              <w:t xml:space="preserve"> (Chart</w:t>
            </w:r>
            <w:r>
              <w:t xml:space="preserve"> </w:t>
            </w:r>
            <w:r w:rsidRPr="002123E7">
              <w:t>1).</w:t>
            </w:r>
            <w:r w:rsidR="00F66CE9">
              <w:t xml:space="preserve"> </w:t>
            </w:r>
          </w:p>
          <w:p w14:paraId="7D1FABB2" w14:textId="4B60BD46" w:rsidR="00725216" w:rsidRPr="00B85825" w:rsidRDefault="002E1EF3" w:rsidP="009E1BE5">
            <w:pPr>
              <w:pStyle w:val="Chartheading"/>
            </w:pPr>
            <w:r>
              <w:t>Weekly d</w:t>
            </w:r>
            <w:r w:rsidR="0033789B" w:rsidRPr="009E1BE5">
              <w:t>octor</w:t>
            </w:r>
            <w:r w:rsidR="0033789B" w:rsidRPr="00B85825">
              <w:t>-certified deaths</w:t>
            </w:r>
            <w:r>
              <w:t xml:space="preserve"> and</w:t>
            </w:r>
            <w:r w:rsidR="0033789B" w:rsidRPr="00B85825">
              <w:t xml:space="preserve"> COVID-19 infections</w:t>
            </w:r>
            <w:r w:rsidR="00572ADF">
              <w:t xml:space="preserve">, 1 November 2020 to </w:t>
            </w:r>
            <w:r w:rsidR="00747370">
              <w:t>31</w:t>
            </w:r>
            <w:r w:rsidR="00572ADF">
              <w:t xml:space="preserve"> October 2021</w:t>
            </w:r>
          </w:p>
          <w:p w14:paraId="1DDED278" w14:textId="67FAEB66" w:rsidR="00B85825" w:rsidRPr="00B83BEA" w:rsidRDefault="00572ADF" w:rsidP="00B83BEA">
            <w:pPr>
              <w:pStyle w:val="Source"/>
            </w:pPr>
            <w:r w:rsidRPr="00572ADF">
              <w:rPr>
                <w:noProof/>
              </w:rPr>
              <w:drawing>
                <wp:inline distT="0" distB="0" distL="0" distR="0" wp14:anchorId="513E5250" wp14:editId="500B990A">
                  <wp:extent cx="5581650" cy="2524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4B884037" w14:textId="554EEEB4" w:rsidR="00167155" w:rsidRPr="009E1BE5" w:rsidRDefault="0033789B" w:rsidP="00C36281">
            <w:pPr>
              <w:pStyle w:val="Heading3"/>
            </w:pPr>
            <w:r w:rsidRPr="009E1BE5">
              <w:t>Cumulative deaths</w:t>
            </w:r>
          </w:p>
          <w:p w14:paraId="3C2C38A2" w14:textId="045EB159" w:rsidR="0033789B" w:rsidRDefault="0033789B" w:rsidP="009E1BE5">
            <w:r>
              <w:t xml:space="preserve">In </w:t>
            </w:r>
            <w:r w:rsidR="00C26F04">
              <w:t>October</w:t>
            </w:r>
            <w:r>
              <w:t xml:space="preserve"> 2021, the cumulative number of doctor-certified deaths </w:t>
            </w:r>
            <w:r w:rsidR="00C26F04">
              <w:t>(124,200)</w:t>
            </w:r>
            <w:r>
              <w:t xml:space="preserve"> was </w:t>
            </w:r>
            <w:r w:rsidR="00CB3341" w:rsidRPr="00C26F04">
              <w:t>higher</w:t>
            </w:r>
            <w:r w:rsidR="00CB3341">
              <w:t xml:space="preserve"> than</w:t>
            </w:r>
            <w:r>
              <w:t xml:space="preserve"> the number of deaths in 2020 </w:t>
            </w:r>
            <w:r w:rsidR="00C26F04">
              <w:t>(119,200)</w:t>
            </w:r>
            <w:r w:rsidRPr="00C26F04">
              <w:t xml:space="preserve"> </w:t>
            </w:r>
            <w:r>
              <w:t xml:space="preserve">and was </w:t>
            </w:r>
            <w:r w:rsidR="00CB3341" w:rsidRPr="00C26F04">
              <w:t>above</w:t>
            </w:r>
            <w:r>
              <w:t xml:space="preserve"> the</w:t>
            </w:r>
            <w:r w:rsidR="00BC5BB6">
              <w:t xml:space="preserve"> 2015-19 average</w:t>
            </w:r>
            <w:r w:rsidR="00C26F04">
              <w:t xml:space="preserve"> (118,800)</w:t>
            </w:r>
            <w:r w:rsidRPr="00C26F04">
              <w:t>.</w:t>
            </w:r>
          </w:p>
          <w:p w14:paraId="728C74EE" w14:textId="72EECE8A" w:rsidR="00167155" w:rsidRDefault="0033789B" w:rsidP="009E1BE5">
            <w:r w:rsidRPr="00DD1224">
              <w:t xml:space="preserve">Compared with the 2015-19 average, there have been </w:t>
            </w:r>
            <w:r w:rsidRPr="00C26F04">
              <w:t>slightly more</w:t>
            </w:r>
            <w:r w:rsidRPr="0066337D">
              <w:t xml:space="preserve"> doctor</w:t>
            </w:r>
            <w:r w:rsidRPr="0066337D">
              <w:noBreakHyphen/>
              <w:t xml:space="preserve">certified deaths in 2021 </w:t>
            </w:r>
            <w:r w:rsidRPr="00C26F04">
              <w:t>for males</w:t>
            </w:r>
            <w:r w:rsidR="001605A0" w:rsidRPr="00C26F04">
              <w:t xml:space="preserve"> and females</w:t>
            </w:r>
            <w:r w:rsidRPr="00C26F04">
              <w:t xml:space="preserve"> aged over 65 years (an increase of </w:t>
            </w:r>
            <w:r w:rsidR="00DD1224" w:rsidRPr="00C26F04">
              <w:t>7</w:t>
            </w:r>
            <w:r w:rsidR="001605A0" w:rsidRPr="00C26F04">
              <w:t xml:space="preserve"> and </w:t>
            </w:r>
            <w:r w:rsidR="00C26F04" w:rsidRPr="00C26F04">
              <w:t>4</w:t>
            </w:r>
            <w:r w:rsidRPr="00C26F04">
              <w:t xml:space="preserve"> per cent</w:t>
            </w:r>
            <w:r w:rsidR="001605A0" w:rsidRPr="00C26F04">
              <w:t xml:space="preserve"> respectively</w:t>
            </w:r>
            <w:r w:rsidRPr="00C26F04">
              <w:t>)</w:t>
            </w:r>
            <w:r w:rsidRPr="00DD1224">
              <w:t xml:space="preserve"> (Chart 2).</w:t>
            </w:r>
          </w:p>
          <w:p w14:paraId="350D889C" w14:textId="20B938D9" w:rsidR="0033789B" w:rsidRPr="00B85825" w:rsidRDefault="007D1BB6" w:rsidP="009E1BE5">
            <w:pPr>
              <w:pStyle w:val="Chartheading"/>
            </w:pPr>
            <w:r w:rsidRPr="00B85825">
              <w:lastRenderedPageBreak/>
              <w:t>Cumulative doctor-certified deaths by age and sex</w:t>
            </w:r>
            <w:r w:rsidR="002A051B">
              <w:t>, January to October</w:t>
            </w:r>
          </w:p>
          <w:p w14:paraId="54C327C2" w14:textId="33B41E0A" w:rsidR="005731BE" w:rsidRPr="00723D5E" w:rsidRDefault="00723D5E" w:rsidP="00723D5E">
            <w:pPr>
              <w:pStyle w:val="Source"/>
            </w:pPr>
            <w:r w:rsidRPr="00723D5E">
              <w:rPr>
                <w:noProof/>
              </w:rPr>
              <w:drawing>
                <wp:inline distT="0" distB="0" distL="0" distR="0" wp14:anchorId="2F2FE091" wp14:editId="779895B4">
                  <wp:extent cx="5686425" cy="2524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2524125"/>
                          </a:xfrm>
                          <a:prstGeom prst="rect">
                            <a:avLst/>
                          </a:prstGeom>
                          <a:noFill/>
                          <a:ln>
                            <a:noFill/>
                          </a:ln>
                        </pic:spPr>
                      </pic:pic>
                    </a:graphicData>
                  </a:graphic>
                </wp:inline>
              </w:drawing>
            </w:r>
          </w:p>
          <w:p w14:paraId="7BFA2ED0" w14:textId="6D598827" w:rsidR="00A511D0" w:rsidRDefault="0033789B" w:rsidP="009E1BE5">
            <w:r>
              <w:t>Cumulative doctor</w:t>
            </w:r>
            <w:r>
              <w:noBreakHyphen/>
              <w:t xml:space="preserve">certified deaths </w:t>
            </w:r>
            <w:r w:rsidRPr="00E91824">
              <w:t>in 202</w:t>
            </w:r>
            <w:r>
              <w:t xml:space="preserve">1 </w:t>
            </w:r>
            <w:r w:rsidRPr="00EA60D3">
              <w:t xml:space="preserve">were </w:t>
            </w:r>
            <w:r w:rsidR="00E059FA" w:rsidRPr="002A28A2">
              <w:t xml:space="preserve">slightly </w:t>
            </w:r>
            <w:r w:rsidRPr="002A28A2">
              <w:t>higher</w:t>
            </w:r>
            <w:r w:rsidRPr="00EA60D3">
              <w:t xml:space="preserve"> in </w:t>
            </w:r>
            <w:r w:rsidR="001605A0" w:rsidRPr="002A28A2">
              <w:t>most</w:t>
            </w:r>
            <w:r w:rsidR="001605A0" w:rsidRPr="00EA60D3">
              <w:t xml:space="preserve"> </w:t>
            </w:r>
            <w:r w:rsidRPr="00EA60D3">
              <w:t>states</w:t>
            </w:r>
            <w:r w:rsidR="00AE4F75" w:rsidRPr="00EA60D3">
              <w:t xml:space="preserve"> and territories </w:t>
            </w:r>
            <w:r w:rsidRPr="00EA60D3">
              <w:t xml:space="preserve">when compared with 2020 </w:t>
            </w:r>
            <w:r w:rsidR="001605A0" w:rsidRPr="00EA60D3">
              <w:t xml:space="preserve">and </w:t>
            </w:r>
            <w:r w:rsidRPr="00EA60D3">
              <w:t>the 2015-19 average</w:t>
            </w:r>
            <w:r w:rsidRPr="00DE0171">
              <w:t xml:space="preserve"> (Chart 3).</w:t>
            </w:r>
          </w:p>
          <w:p w14:paraId="5454B927" w14:textId="77777777" w:rsidR="00425BF0" w:rsidRDefault="00425BF0" w:rsidP="009E1BE5"/>
          <w:p w14:paraId="0823B8E0" w14:textId="6F80EE52" w:rsidR="0033789B" w:rsidRPr="00B85825" w:rsidRDefault="002A051B" w:rsidP="009E1BE5">
            <w:pPr>
              <w:pStyle w:val="Chartheading"/>
            </w:pPr>
            <w:r>
              <w:t>C</w:t>
            </w:r>
            <w:r w:rsidR="0033789B" w:rsidRPr="00B85825">
              <w:t>umulative doctor-certified deaths by state/territory of registration</w:t>
            </w:r>
            <w:r w:rsidR="00C03D14">
              <w:t>, January to October</w:t>
            </w:r>
          </w:p>
          <w:p w14:paraId="35B5BE98" w14:textId="29A11DDD" w:rsidR="005731BE" w:rsidRPr="009E1BE5" w:rsidRDefault="00320430" w:rsidP="00532725">
            <w:pPr>
              <w:pStyle w:val="Source"/>
              <w:rPr>
                <w:sz w:val="20"/>
                <w:bdr w:val="none" w:sz="0" w:space="0" w:color="auto"/>
              </w:rPr>
            </w:pPr>
            <w:r w:rsidRPr="00320430">
              <w:rPr>
                <w:noProof/>
                <w:sz w:val="20"/>
                <w:bdr w:val="none" w:sz="0" w:space="0" w:color="auto"/>
              </w:rPr>
              <w:drawing>
                <wp:inline distT="0" distB="0" distL="0" distR="0" wp14:anchorId="4BCCEAE7" wp14:editId="4B8ADF30">
                  <wp:extent cx="5695315"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5315" cy="2514600"/>
                          </a:xfrm>
                          <a:prstGeom prst="rect">
                            <a:avLst/>
                          </a:prstGeom>
                          <a:noFill/>
                          <a:ln>
                            <a:noFill/>
                          </a:ln>
                        </pic:spPr>
                      </pic:pic>
                    </a:graphicData>
                  </a:graphic>
                </wp:inline>
              </w:drawing>
            </w:r>
          </w:p>
          <w:p w14:paraId="577307D0" w14:textId="2FD3A69C" w:rsidR="002A28A2" w:rsidRDefault="0033789B" w:rsidP="009E1BE5">
            <w:r w:rsidRPr="00606F89">
              <w:t>Cumulative doctor</w:t>
            </w:r>
            <w:r w:rsidRPr="00606F89">
              <w:noBreakHyphen/>
              <w:t xml:space="preserve">certified deaths due to </w:t>
            </w:r>
            <w:r w:rsidRPr="002A28A2">
              <w:t xml:space="preserve">influenza and pneumonia in 2021 were </w:t>
            </w:r>
            <w:r w:rsidR="002A28A2" w:rsidRPr="002A28A2">
              <w:t>3</w:t>
            </w:r>
            <w:r w:rsidR="00F12D4A">
              <w:t>8</w:t>
            </w:r>
            <w:r w:rsidRPr="002A28A2">
              <w:t xml:space="preserve"> per cent lower </w:t>
            </w:r>
            <w:r w:rsidR="002F291C" w:rsidRPr="002A28A2">
              <w:t>than</w:t>
            </w:r>
            <w:r w:rsidRPr="002A28A2">
              <w:t xml:space="preserve"> the 2015</w:t>
            </w:r>
            <w:r w:rsidRPr="002A28A2">
              <w:noBreakHyphen/>
              <w:t xml:space="preserve">19 </w:t>
            </w:r>
            <w:r w:rsidRPr="002A28A2" w:rsidDel="008F3E7F">
              <w:t>average</w:t>
            </w:r>
            <w:r w:rsidRPr="002A28A2">
              <w:t>, while doctor</w:t>
            </w:r>
            <w:r w:rsidRPr="002A28A2">
              <w:noBreakHyphen/>
              <w:t>certified d</w:t>
            </w:r>
            <w:r w:rsidRPr="00606F89">
              <w:t xml:space="preserve">eaths due </w:t>
            </w:r>
            <w:r w:rsidRPr="002A28A2">
              <w:t xml:space="preserve">to dementia </w:t>
            </w:r>
            <w:r w:rsidR="008F0885" w:rsidRPr="002A28A2">
              <w:t xml:space="preserve">and diabetes </w:t>
            </w:r>
            <w:r w:rsidRPr="002A28A2">
              <w:t xml:space="preserve">in 2021 were </w:t>
            </w:r>
            <w:r w:rsidR="002A28A2" w:rsidRPr="002A28A2">
              <w:t>1</w:t>
            </w:r>
            <w:r w:rsidR="00F12D4A">
              <w:t>4</w:t>
            </w:r>
            <w:r w:rsidRPr="002A28A2">
              <w:t xml:space="preserve"> </w:t>
            </w:r>
            <w:r w:rsidR="008F0885" w:rsidRPr="002A28A2">
              <w:t xml:space="preserve">and </w:t>
            </w:r>
            <w:r w:rsidR="00F12D4A">
              <w:t>9</w:t>
            </w:r>
            <w:r w:rsidR="008F0885" w:rsidRPr="002A28A2">
              <w:t xml:space="preserve"> </w:t>
            </w:r>
            <w:r w:rsidRPr="002A28A2">
              <w:t xml:space="preserve">per cent higher </w:t>
            </w:r>
            <w:r w:rsidR="008F0885" w:rsidRPr="002A28A2">
              <w:t xml:space="preserve">respectively </w:t>
            </w:r>
            <w:r w:rsidR="002F291C" w:rsidRPr="002A28A2">
              <w:t>than</w:t>
            </w:r>
            <w:r w:rsidRPr="002A28A2">
              <w:t xml:space="preserve"> the 2015</w:t>
            </w:r>
            <w:r w:rsidRPr="002A28A2">
              <w:noBreakHyphen/>
              <w:t>19 average (Chart 4</w:t>
            </w:r>
            <w:r w:rsidRPr="004C1FAD">
              <w:t>).</w:t>
            </w:r>
            <w:r w:rsidR="00E675E2">
              <w:t xml:space="preserve"> </w:t>
            </w:r>
            <w:r w:rsidR="00E675E2" w:rsidRPr="00606F89">
              <w:t>Cumulative doctor</w:t>
            </w:r>
            <w:r w:rsidR="00E675E2" w:rsidRPr="00606F89">
              <w:noBreakHyphen/>
              <w:t xml:space="preserve">certified deaths due to </w:t>
            </w:r>
            <w:r w:rsidR="00E675E2">
              <w:t>COVID-19</w:t>
            </w:r>
            <w:r w:rsidR="00E675E2" w:rsidRPr="002A28A2">
              <w:t xml:space="preserve"> in 2021 were </w:t>
            </w:r>
            <w:r w:rsidR="00E675E2">
              <w:t>17</w:t>
            </w:r>
            <w:r w:rsidR="00E675E2" w:rsidRPr="002A28A2">
              <w:t xml:space="preserve"> per cent lower than in 202</w:t>
            </w:r>
            <w:r w:rsidR="00E675E2">
              <w:t>0</w:t>
            </w:r>
            <w:r w:rsidR="00313A9B">
              <w:t xml:space="preserve"> despite </w:t>
            </w:r>
            <w:r w:rsidR="00F12D4A">
              <w:t xml:space="preserve">new infections </w:t>
            </w:r>
            <w:r w:rsidR="008E5A52">
              <w:t xml:space="preserve">being 420 per cent higher over the same period </w:t>
            </w:r>
            <w:r w:rsidR="00F12D4A">
              <w:t>in 2021</w:t>
            </w:r>
            <w:r w:rsidR="008E5A52">
              <w:rPr>
                <w:rStyle w:val="FootnoteReference"/>
              </w:rPr>
              <w:footnoteReference w:id="2"/>
            </w:r>
            <w:r w:rsidR="00F12D4A">
              <w:t xml:space="preserve">. </w:t>
            </w:r>
          </w:p>
          <w:p w14:paraId="2D0644AA" w14:textId="28C54279" w:rsidR="00725216" w:rsidRPr="00945E30" w:rsidRDefault="00725216" w:rsidP="009E1BE5"/>
        </w:tc>
      </w:tr>
      <w:tr w:rsidR="008D4AB5" w:rsidRPr="0023709A" w14:paraId="092DEAA2" w14:textId="77777777" w:rsidTr="009B6516">
        <w:trPr>
          <w:trHeight w:val="300"/>
        </w:trPr>
        <w:tc>
          <w:tcPr>
            <w:tcW w:w="5000" w:type="pct"/>
            <w:shd w:val="clear" w:color="auto" w:fill="auto"/>
            <w:vAlign w:val="center"/>
          </w:tcPr>
          <w:p w14:paraId="4D94E3B9" w14:textId="77777777" w:rsidR="008D4AB5" w:rsidRPr="00B85825" w:rsidRDefault="008D4AB5" w:rsidP="008D4AB5">
            <w:pPr>
              <w:pStyle w:val="Chartheading"/>
            </w:pPr>
            <w:r w:rsidRPr="00B85825">
              <w:lastRenderedPageBreak/>
              <w:t>Cumulative doctor-certified deaths by specified cause of death</w:t>
            </w:r>
            <w:r>
              <w:t>, January to October</w:t>
            </w:r>
          </w:p>
          <w:p w14:paraId="63F10D1E" w14:textId="77777777" w:rsidR="008D4AB5" w:rsidRDefault="008D4AB5" w:rsidP="008D4AB5">
            <w:pPr>
              <w:keepNext/>
            </w:pPr>
            <w:r w:rsidRPr="00320430">
              <w:rPr>
                <w:noProof/>
              </w:rPr>
              <w:drawing>
                <wp:inline distT="0" distB="0" distL="0" distR="0" wp14:anchorId="479BE8E1" wp14:editId="4341CC51">
                  <wp:extent cx="5695315" cy="2524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315" cy="2524125"/>
                          </a:xfrm>
                          <a:prstGeom prst="rect">
                            <a:avLst/>
                          </a:prstGeom>
                          <a:noFill/>
                          <a:ln>
                            <a:noFill/>
                          </a:ln>
                        </pic:spPr>
                      </pic:pic>
                    </a:graphicData>
                  </a:graphic>
                </wp:inline>
              </w:drawing>
            </w:r>
          </w:p>
          <w:p w14:paraId="31911ABB" w14:textId="77777777" w:rsidR="008D4AB5" w:rsidRPr="009E1BE5" w:rsidRDefault="008D4AB5" w:rsidP="008D4AB5">
            <w:pPr>
              <w:pStyle w:val="Source"/>
              <w:keepNext/>
              <w:rPr>
                <w:sz w:val="20"/>
                <w:bdr w:val="none" w:sz="0" w:space="0" w:color="auto"/>
              </w:rPr>
            </w:pPr>
            <w:r w:rsidRPr="009E1BE5">
              <w:rPr>
                <w:sz w:val="20"/>
                <w:bdr w:val="none" w:sz="0" w:space="0" w:color="auto"/>
              </w:rPr>
              <w:t xml:space="preserve">Note: </w:t>
            </w:r>
            <w:r w:rsidRPr="009E1BE5">
              <w:rPr>
                <w:sz w:val="20"/>
                <w:bdr w:val="none" w:sz="0" w:space="0" w:color="auto"/>
              </w:rPr>
              <w:tab/>
              <w:t>Chart 4 shows the main causes of doctor-certified deaths and does not sum to total doctor</w:t>
            </w:r>
            <w:r w:rsidRPr="009E1BE5">
              <w:rPr>
                <w:sz w:val="20"/>
                <w:bdr w:val="none" w:sz="0" w:space="0" w:color="auto"/>
              </w:rPr>
              <w:noBreakHyphen/>
              <w:t>certified deaths for the period.</w:t>
            </w:r>
          </w:p>
          <w:p w14:paraId="26BB41D1" w14:textId="77777777" w:rsidR="008D4AB5" w:rsidRDefault="008D4AB5" w:rsidP="008D4AB5">
            <w:pPr>
              <w:pStyle w:val="Heading3"/>
            </w:pPr>
          </w:p>
          <w:p w14:paraId="78D8A625" w14:textId="77777777" w:rsidR="008D4AB5" w:rsidRPr="009E1BE5" w:rsidRDefault="008D4AB5" w:rsidP="008D4AB5">
            <w:pPr>
              <w:pStyle w:val="Heading3"/>
            </w:pPr>
            <w:r w:rsidRPr="009E1BE5">
              <w:t>Age standardised death rates</w:t>
            </w:r>
          </w:p>
          <w:p w14:paraId="2A6AD4A0" w14:textId="77777777" w:rsidR="008D4AB5" w:rsidRDefault="008D4AB5" w:rsidP="008D4AB5">
            <w:r>
              <w:t>Age standardised death rates allow</w:t>
            </w:r>
            <w:r w:rsidRPr="00831ED3">
              <w:t xml:space="preserve"> comparison of</w:t>
            </w:r>
            <w:r>
              <w:t xml:space="preserve"> mortality</w:t>
            </w:r>
            <w:r w:rsidRPr="00831ED3">
              <w:t xml:space="preserve"> </w:t>
            </w:r>
            <w:r>
              <w:t>trends across populations of different size and age structure. They are expressed as deaths per 100,000 population.</w:t>
            </w:r>
          </w:p>
          <w:p w14:paraId="5F6BC947" w14:textId="77777777" w:rsidR="008D4AB5" w:rsidRDefault="008D4AB5" w:rsidP="008D4AB5">
            <w:r>
              <w:t>From January to October 2021, age standardised death rates</w:t>
            </w:r>
            <w:r w:rsidRPr="00465C90">
              <w:t xml:space="preserve"> </w:t>
            </w:r>
            <w:r>
              <w:t xml:space="preserve">for total doctor-certified deaths </w:t>
            </w:r>
            <w:r w:rsidRPr="00465C90">
              <w:t xml:space="preserve">have </w:t>
            </w:r>
            <w:r w:rsidRPr="004C1FAD">
              <w:t xml:space="preserve">been </w:t>
            </w:r>
            <w:r w:rsidRPr="002A28A2">
              <w:t>lower</w:t>
            </w:r>
            <w:r>
              <w:t xml:space="preserve"> when compared to the 2015</w:t>
            </w:r>
            <w:r>
              <w:noBreakHyphen/>
              <w:t>19 average (Chart 5).</w:t>
            </w:r>
          </w:p>
          <w:p w14:paraId="451589C0" w14:textId="77777777" w:rsidR="008D4AB5" w:rsidRPr="00B85825" w:rsidRDefault="008D4AB5" w:rsidP="008D4AB5">
            <w:pPr>
              <w:pStyle w:val="Chartheading"/>
            </w:pPr>
            <w:r>
              <w:t>Monthly a</w:t>
            </w:r>
            <w:r w:rsidRPr="00B85825">
              <w:t>ge standardised death rates</w:t>
            </w:r>
            <w:r>
              <w:t xml:space="preserve"> for total doctor-certified deaths, January to October</w:t>
            </w:r>
          </w:p>
          <w:p w14:paraId="6652663C" w14:textId="77777777" w:rsidR="008D4AB5" w:rsidRPr="009E1BE5" w:rsidRDefault="008D4AB5" w:rsidP="008D4AB5">
            <w:pPr>
              <w:pStyle w:val="Source"/>
              <w:ind w:left="0" w:firstLine="0"/>
            </w:pPr>
            <w:r w:rsidRPr="00732299">
              <w:rPr>
                <w:noProof/>
              </w:rPr>
              <w:drawing>
                <wp:inline distT="0" distB="0" distL="0" distR="0" wp14:anchorId="4E480B54" wp14:editId="3CE76F6E">
                  <wp:extent cx="5695315" cy="2571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5315" cy="2571750"/>
                          </a:xfrm>
                          <a:prstGeom prst="rect">
                            <a:avLst/>
                          </a:prstGeom>
                          <a:noFill/>
                          <a:ln>
                            <a:noFill/>
                          </a:ln>
                        </pic:spPr>
                      </pic:pic>
                    </a:graphicData>
                  </a:graphic>
                </wp:inline>
              </w:drawing>
            </w:r>
          </w:p>
          <w:p w14:paraId="022903B0" w14:textId="77777777" w:rsidR="008D4AB5" w:rsidRDefault="008D4AB5" w:rsidP="008D4AB5">
            <w:r>
              <w:t xml:space="preserve">Age standardised death rates </w:t>
            </w:r>
            <w:r w:rsidRPr="002A28A2">
              <w:t>for respiratory diseases in 2021 have also been lower</w:t>
            </w:r>
            <w:r>
              <w:t xml:space="preserve"> than the 2015</w:t>
            </w:r>
            <w:r>
              <w:noBreakHyphen/>
              <w:t>19 average (Chart 6</w:t>
            </w:r>
            <w:r w:rsidRPr="004C1FAD">
              <w:t xml:space="preserve">). This suggests that </w:t>
            </w:r>
            <w:r w:rsidRPr="002A28A2">
              <w:t xml:space="preserve">the decrease in </w:t>
            </w:r>
            <w:r>
              <w:t xml:space="preserve">deaths due to </w:t>
            </w:r>
            <w:r w:rsidRPr="002A28A2">
              <w:t xml:space="preserve">respiratory </w:t>
            </w:r>
            <w:r>
              <w:t>diseases</w:t>
            </w:r>
            <w:r w:rsidRPr="004C1FAD">
              <w:t xml:space="preserve"> </w:t>
            </w:r>
            <w:r>
              <w:t>was</w:t>
            </w:r>
            <w:r w:rsidRPr="002A28A2">
              <w:t xml:space="preserve"> </w:t>
            </w:r>
            <w:r>
              <w:t xml:space="preserve">driven by factors other than </w:t>
            </w:r>
            <w:r w:rsidRPr="002A28A2">
              <w:t>ch</w:t>
            </w:r>
            <w:r w:rsidRPr="004C1FAD">
              <w:t xml:space="preserve">anges in </w:t>
            </w:r>
            <w:r>
              <w:t xml:space="preserve">the </w:t>
            </w:r>
            <w:r w:rsidRPr="004C1FAD">
              <w:t>population size and age</w:t>
            </w:r>
            <w:r>
              <w:t xml:space="preserve"> structure</w:t>
            </w:r>
            <w:r w:rsidRPr="004C1FAD">
              <w:t>.</w:t>
            </w:r>
            <w:r>
              <w:t xml:space="preserve"> Pandemic-related restrictions, social distancing and better hygiene practices may be factors contributing to lower age standardised death rates in 2021 and 2020 compared to the 2015-19 average. </w:t>
            </w:r>
          </w:p>
          <w:p w14:paraId="7A7F1C06" w14:textId="77777777" w:rsidR="008D4AB5" w:rsidRDefault="008D4AB5" w:rsidP="008D4AB5"/>
          <w:p w14:paraId="79630F02" w14:textId="77777777" w:rsidR="008D4AB5" w:rsidRDefault="008D4AB5" w:rsidP="008D4AB5"/>
          <w:p w14:paraId="6843C82B" w14:textId="77777777" w:rsidR="008D4AB5" w:rsidRPr="00B85825" w:rsidRDefault="008D4AB5" w:rsidP="008D4AB5">
            <w:pPr>
              <w:pStyle w:val="Chartheading"/>
            </w:pPr>
            <w:r>
              <w:lastRenderedPageBreak/>
              <w:t>Monthly a</w:t>
            </w:r>
            <w:r w:rsidRPr="00B85825">
              <w:t>ge standardised death rates for respiratory disease</w:t>
            </w:r>
            <w:r>
              <w:t>, January to October</w:t>
            </w:r>
          </w:p>
          <w:p w14:paraId="0B6310FC" w14:textId="77777777" w:rsidR="008D4AB5" w:rsidRPr="009E1BE5" w:rsidRDefault="008D4AB5" w:rsidP="008D4AB5">
            <w:pPr>
              <w:pStyle w:val="Source"/>
              <w:ind w:left="0" w:firstLine="0"/>
              <w:rPr>
                <w:sz w:val="20"/>
                <w:bdr w:val="none" w:sz="0" w:space="0" w:color="auto"/>
              </w:rPr>
            </w:pPr>
            <w:r w:rsidRPr="00732299">
              <w:rPr>
                <w:noProof/>
                <w:sz w:val="20"/>
                <w:bdr w:val="none" w:sz="0" w:space="0" w:color="auto"/>
              </w:rPr>
              <w:drawing>
                <wp:inline distT="0" distB="0" distL="0" distR="0" wp14:anchorId="15AAA79B" wp14:editId="4EEC9437">
                  <wp:extent cx="5695315" cy="2571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315" cy="2571750"/>
                          </a:xfrm>
                          <a:prstGeom prst="rect">
                            <a:avLst/>
                          </a:prstGeom>
                          <a:noFill/>
                          <a:ln>
                            <a:noFill/>
                          </a:ln>
                        </pic:spPr>
                      </pic:pic>
                    </a:graphicData>
                  </a:graphic>
                </wp:inline>
              </w:drawing>
            </w:r>
          </w:p>
          <w:p w14:paraId="728F5495" w14:textId="77777777" w:rsidR="008D4AB5" w:rsidRDefault="008D4AB5" w:rsidP="008D4AB5">
            <w:r>
              <w:t xml:space="preserve">Age </w:t>
            </w:r>
            <w:r w:rsidRPr="002A28A2">
              <w:t>standardised death rates for dementia for 2021 are close to the 2015-19 average (Chart 7). This suggests that the increase in cumulative dementia deaths compared to the 2015</w:t>
            </w:r>
            <w:r w:rsidRPr="002A28A2">
              <w:noBreakHyphen/>
              <w:t>19 average can</w:t>
            </w:r>
            <w:r>
              <w:t xml:space="preserve"> largely</w:t>
            </w:r>
            <w:r w:rsidRPr="002A28A2">
              <w:t xml:space="preserve"> be explained by an increase in population size, particularly at older ages.</w:t>
            </w:r>
          </w:p>
          <w:p w14:paraId="7FACCB71" w14:textId="77777777" w:rsidR="008D4AB5" w:rsidRPr="009E1BE5" w:rsidRDefault="008D4AB5" w:rsidP="008D4AB5">
            <w:pPr>
              <w:pStyle w:val="Chartheading"/>
            </w:pPr>
            <w:r>
              <w:t>Monthly a</w:t>
            </w:r>
            <w:r w:rsidRPr="009E1BE5">
              <w:t xml:space="preserve">ge standardised death rates for dementia, </w:t>
            </w:r>
            <w:r>
              <w:t>January to October</w:t>
            </w:r>
          </w:p>
          <w:p w14:paraId="23059CDF" w14:textId="77777777" w:rsidR="008D4AB5" w:rsidRDefault="008D4AB5" w:rsidP="008D4AB5">
            <w:pPr>
              <w:pStyle w:val="Source"/>
            </w:pPr>
            <w:r w:rsidRPr="00732299">
              <w:rPr>
                <w:noProof/>
              </w:rPr>
              <w:drawing>
                <wp:inline distT="0" distB="0" distL="0" distR="0" wp14:anchorId="64FED094" wp14:editId="1E94AC5D">
                  <wp:extent cx="5695315" cy="2571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315" cy="2571750"/>
                          </a:xfrm>
                          <a:prstGeom prst="rect">
                            <a:avLst/>
                          </a:prstGeom>
                          <a:noFill/>
                          <a:ln>
                            <a:noFill/>
                          </a:ln>
                        </pic:spPr>
                      </pic:pic>
                    </a:graphicData>
                  </a:graphic>
                </wp:inline>
              </w:drawing>
            </w:r>
          </w:p>
          <w:p w14:paraId="295FE35E" w14:textId="77777777" w:rsidR="008D4AB5" w:rsidRDefault="008D4AB5" w:rsidP="008D4AB5"/>
          <w:p w14:paraId="5EA24425" w14:textId="77777777" w:rsidR="008D4AB5" w:rsidRPr="00B85825" w:rsidRDefault="008D4AB5" w:rsidP="008D4AB5">
            <w:pPr>
              <w:pStyle w:val="TableHeadingContinued"/>
            </w:pPr>
            <w:r w:rsidRPr="00B85825">
              <w:t xml:space="preserve">Upcoming major population </w:t>
            </w:r>
            <w:r w:rsidRPr="00D739EF">
              <w:t>releases</w:t>
            </w:r>
          </w:p>
          <w:tbl>
            <w:tblPr>
              <w:tblW w:w="7748" w:type="dxa"/>
              <w:jc w:val="center"/>
              <w:tblBorders>
                <w:top w:val="single" w:sz="4" w:space="0" w:color="auto"/>
                <w:bottom w:val="single" w:sz="4" w:space="0" w:color="auto"/>
              </w:tblBorders>
              <w:tblLayout w:type="fixed"/>
              <w:tblLook w:val="04A0" w:firstRow="1" w:lastRow="0" w:firstColumn="1" w:lastColumn="0" w:noHBand="0" w:noVBand="1"/>
            </w:tblPr>
            <w:tblGrid>
              <w:gridCol w:w="4731"/>
              <w:gridCol w:w="1425"/>
              <w:gridCol w:w="1592"/>
            </w:tblGrid>
            <w:tr w:rsidR="008D4AB5" w:rsidRPr="009C2B09" w14:paraId="4652FBAB" w14:textId="77777777" w:rsidTr="009A69AD">
              <w:trPr>
                <w:trHeight w:val="271"/>
                <w:jc w:val="center"/>
              </w:trPr>
              <w:tc>
                <w:tcPr>
                  <w:tcW w:w="4731" w:type="dxa"/>
                  <w:tcBorders>
                    <w:top w:val="single" w:sz="4" w:space="0" w:color="002C47" w:themeColor="accent1"/>
                    <w:bottom w:val="single" w:sz="4" w:space="0" w:color="002C47" w:themeColor="accent1"/>
                  </w:tcBorders>
                  <w:shd w:val="clear" w:color="auto" w:fill="auto"/>
                  <w:noWrap/>
                  <w:tcMar>
                    <w:left w:w="28" w:type="dxa"/>
                    <w:right w:w="0" w:type="dxa"/>
                  </w:tcMar>
                  <w:hideMark/>
                </w:tcPr>
                <w:p w14:paraId="121D25B9" w14:textId="77777777" w:rsidR="008D4AB5" w:rsidRPr="006B0A79" w:rsidRDefault="008D4AB5" w:rsidP="008D4AB5">
                  <w:pPr>
                    <w:spacing w:before="40" w:after="40" w:line="276" w:lineRule="auto"/>
                    <w:rPr>
                      <w:rFonts w:asciiTheme="minorHAnsi" w:eastAsia="Times New Roman" w:hAnsiTheme="minorHAnsi" w:cstheme="minorHAnsi"/>
                      <w:b/>
                      <w:color w:val="002C47" w:themeColor="accent1"/>
                      <w:sz w:val="18"/>
                      <w:szCs w:val="18"/>
                      <w:lang w:eastAsia="en-AU"/>
                    </w:rPr>
                  </w:pPr>
                  <w:r w:rsidRPr="006B0A79">
                    <w:rPr>
                      <w:rFonts w:asciiTheme="minorHAnsi" w:eastAsia="Times New Roman" w:hAnsiTheme="minorHAnsi" w:cstheme="minorHAnsi"/>
                      <w:b/>
                      <w:color w:val="002C47" w:themeColor="accent1"/>
                      <w:sz w:val="18"/>
                      <w:szCs w:val="18"/>
                      <w:lang w:eastAsia="en-AU"/>
                    </w:rPr>
                    <w:t>Release</w:t>
                  </w:r>
                </w:p>
              </w:tc>
              <w:tc>
                <w:tcPr>
                  <w:tcW w:w="1425" w:type="dxa"/>
                  <w:tcBorders>
                    <w:top w:val="single" w:sz="4" w:space="0" w:color="002C47" w:themeColor="accent1"/>
                    <w:bottom w:val="single" w:sz="4" w:space="0" w:color="002C47" w:themeColor="accent1"/>
                  </w:tcBorders>
                  <w:shd w:val="clear" w:color="auto" w:fill="auto"/>
                  <w:tcMar>
                    <w:left w:w="28" w:type="dxa"/>
                    <w:right w:w="0" w:type="dxa"/>
                  </w:tcMar>
                  <w:hideMark/>
                </w:tcPr>
                <w:p w14:paraId="033CDB5D" w14:textId="77777777" w:rsidR="008D4AB5" w:rsidRPr="006B0A79" w:rsidRDefault="008D4AB5" w:rsidP="008D4AB5">
                  <w:pPr>
                    <w:spacing w:before="40" w:after="40" w:line="276" w:lineRule="auto"/>
                    <w:rPr>
                      <w:rFonts w:asciiTheme="minorHAnsi" w:eastAsia="Times New Roman" w:hAnsiTheme="minorHAnsi" w:cstheme="minorHAnsi"/>
                      <w:b/>
                      <w:color w:val="002C47" w:themeColor="accent1"/>
                      <w:sz w:val="18"/>
                      <w:szCs w:val="18"/>
                      <w:lang w:eastAsia="en-AU"/>
                    </w:rPr>
                  </w:pPr>
                  <w:r w:rsidRPr="006B0A79">
                    <w:rPr>
                      <w:rFonts w:asciiTheme="minorHAnsi" w:eastAsia="Times New Roman" w:hAnsiTheme="minorHAnsi" w:cstheme="minorHAnsi"/>
                      <w:b/>
                      <w:color w:val="002C47" w:themeColor="accent1"/>
                      <w:sz w:val="18"/>
                      <w:szCs w:val="18"/>
                      <w:lang w:eastAsia="en-AU"/>
                    </w:rPr>
                    <w:t>Former catalogue</w:t>
                  </w:r>
                </w:p>
              </w:tc>
              <w:tc>
                <w:tcPr>
                  <w:tcW w:w="1592" w:type="dxa"/>
                  <w:tcBorders>
                    <w:top w:val="single" w:sz="4" w:space="0" w:color="002C47" w:themeColor="accent1"/>
                    <w:bottom w:val="single" w:sz="4" w:space="0" w:color="002C47" w:themeColor="accent1"/>
                  </w:tcBorders>
                  <w:shd w:val="clear" w:color="auto" w:fill="auto"/>
                  <w:tcMar>
                    <w:left w:w="28" w:type="dxa"/>
                    <w:right w:w="0" w:type="dxa"/>
                  </w:tcMar>
                  <w:hideMark/>
                </w:tcPr>
                <w:p w14:paraId="50B83841" w14:textId="77777777" w:rsidR="008D4AB5" w:rsidRPr="006B0A79" w:rsidRDefault="008D4AB5" w:rsidP="008D4AB5">
                  <w:pPr>
                    <w:spacing w:before="40" w:after="40" w:line="276" w:lineRule="auto"/>
                    <w:rPr>
                      <w:rFonts w:asciiTheme="minorHAnsi" w:eastAsia="Times New Roman" w:hAnsiTheme="minorHAnsi" w:cstheme="minorHAnsi"/>
                      <w:b/>
                      <w:color w:val="002C47" w:themeColor="accent1"/>
                      <w:sz w:val="18"/>
                      <w:szCs w:val="18"/>
                      <w:lang w:eastAsia="en-AU"/>
                    </w:rPr>
                  </w:pPr>
                  <w:r w:rsidRPr="006B0A79">
                    <w:rPr>
                      <w:rFonts w:asciiTheme="minorHAnsi" w:eastAsia="Times New Roman" w:hAnsiTheme="minorHAnsi" w:cstheme="minorHAnsi"/>
                      <w:b/>
                      <w:color w:val="002C47" w:themeColor="accent1"/>
                      <w:sz w:val="18"/>
                      <w:szCs w:val="18"/>
                      <w:lang w:eastAsia="en-AU"/>
                    </w:rPr>
                    <w:t>Release date</w:t>
                  </w:r>
                </w:p>
              </w:tc>
            </w:tr>
            <w:tr w:rsidR="008D4AB5" w:rsidRPr="009C2B09" w14:paraId="1DD1A7BF" w14:textId="77777777" w:rsidTr="009A69AD">
              <w:trPr>
                <w:trHeight w:val="204"/>
                <w:jc w:val="center"/>
              </w:trPr>
              <w:tc>
                <w:tcPr>
                  <w:tcW w:w="4731" w:type="dxa"/>
                  <w:tcBorders>
                    <w:top w:val="single" w:sz="4" w:space="0" w:color="002C47" w:themeColor="accent1"/>
                    <w:bottom w:val="nil"/>
                  </w:tcBorders>
                  <w:shd w:val="clear" w:color="auto" w:fill="auto"/>
                  <w:noWrap/>
                  <w:tcMar>
                    <w:left w:w="28" w:type="dxa"/>
                  </w:tcMar>
                  <w:vAlign w:val="bottom"/>
                </w:tcPr>
                <w:p w14:paraId="788DA8BB" w14:textId="77777777" w:rsidR="008D4AB5" w:rsidRPr="009C7802" w:rsidRDefault="008D4AB5" w:rsidP="008D4AB5">
                  <w:pPr>
                    <w:spacing w:before="40" w:after="40" w:line="276" w:lineRule="auto"/>
                    <w:rPr>
                      <w:rFonts w:asciiTheme="minorHAnsi" w:eastAsia="Times New Roman" w:hAnsiTheme="minorHAnsi" w:cstheme="minorHAnsi"/>
                      <w:b/>
                      <w:sz w:val="18"/>
                      <w:szCs w:val="18"/>
                      <w:lang w:eastAsia="en-AU"/>
                    </w:rPr>
                  </w:pPr>
                  <w:r w:rsidRPr="009C7802">
                    <w:rPr>
                      <w:rFonts w:asciiTheme="minorHAnsi" w:eastAsia="Times New Roman" w:hAnsiTheme="minorHAnsi" w:cstheme="minorHAnsi"/>
                      <w:b/>
                      <w:color w:val="000000"/>
                      <w:sz w:val="18"/>
                      <w:szCs w:val="18"/>
                      <w:lang w:eastAsia="en-AU"/>
                    </w:rPr>
                    <w:t>National, state and territory population September 2021</w:t>
                  </w:r>
                </w:p>
              </w:tc>
              <w:tc>
                <w:tcPr>
                  <w:tcW w:w="1425" w:type="dxa"/>
                  <w:tcBorders>
                    <w:top w:val="single" w:sz="4" w:space="0" w:color="002C47" w:themeColor="accent1"/>
                    <w:left w:val="nil"/>
                    <w:bottom w:val="nil"/>
                    <w:right w:val="nil"/>
                  </w:tcBorders>
                  <w:shd w:val="clear" w:color="auto" w:fill="auto"/>
                  <w:noWrap/>
                  <w:vAlign w:val="bottom"/>
                </w:tcPr>
                <w:p w14:paraId="6D8F176D" w14:textId="77777777" w:rsidR="008D4AB5" w:rsidRPr="009C7802" w:rsidRDefault="008D4AB5" w:rsidP="008D4AB5">
                  <w:pPr>
                    <w:spacing w:before="40" w:after="40" w:line="276" w:lineRule="auto"/>
                    <w:rPr>
                      <w:rFonts w:asciiTheme="minorHAnsi" w:eastAsia="Times New Roman" w:hAnsiTheme="minorHAnsi" w:cstheme="minorHAnsi"/>
                      <w:sz w:val="18"/>
                      <w:szCs w:val="18"/>
                      <w:lang w:eastAsia="en-AU"/>
                    </w:rPr>
                  </w:pPr>
                  <w:r w:rsidRPr="009C7802">
                    <w:rPr>
                      <w:rFonts w:asciiTheme="minorHAnsi" w:eastAsia="Times New Roman" w:hAnsiTheme="minorHAnsi" w:cstheme="minorHAnsi"/>
                      <w:color w:val="000000"/>
                      <w:sz w:val="18"/>
                      <w:szCs w:val="18"/>
                      <w:lang w:eastAsia="en-AU"/>
                    </w:rPr>
                    <w:t>3101.0</w:t>
                  </w:r>
                </w:p>
              </w:tc>
              <w:tc>
                <w:tcPr>
                  <w:tcW w:w="1592" w:type="dxa"/>
                  <w:tcBorders>
                    <w:top w:val="single" w:sz="4" w:space="0" w:color="002C47" w:themeColor="accent1"/>
                    <w:left w:val="nil"/>
                    <w:bottom w:val="nil"/>
                    <w:right w:val="nil"/>
                  </w:tcBorders>
                  <w:shd w:val="clear" w:color="auto" w:fill="auto"/>
                  <w:noWrap/>
                  <w:vAlign w:val="bottom"/>
                </w:tcPr>
                <w:p w14:paraId="2582966D" w14:textId="77777777" w:rsidR="008D4AB5" w:rsidRPr="009C7802" w:rsidRDefault="008D4AB5" w:rsidP="008D4AB5">
                  <w:pPr>
                    <w:tabs>
                      <w:tab w:val="decimal" w:pos="741"/>
                    </w:tabs>
                    <w:spacing w:before="40" w:after="40" w:line="276" w:lineRule="auto"/>
                    <w:rPr>
                      <w:rFonts w:asciiTheme="minorHAnsi" w:eastAsia="Times New Roman" w:hAnsiTheme="minorHAnsi" w:cstheme="minorHAnsi"/>
                      <w:sz w:val="18"/>
                      <w:szCs w:val="18"/>
                      <w:lang w:eastAsia="en-AU"/>
                    </w:rPr>
                  </w:pPr>
                  <w:r w:rsidRPr="009C7802">
                    <w:rPr>
                      <w:rFonts w:asciiTheme="minorHAnsi" w:eastAsia="Times New Roman" w:hAnsiTheme="minorHAnsi" w:cstheme="minorHAnsi"/>
                      <w:color w:val="000000"/>
                      <w:sz w:val="18"/>
                      <w:szCs w:val="18"/>
                      <w:lang w:eastAsia="en-AU"/>
                    </w:rPr>
                    <w:t>17/03/2022</w:t>
                  </w:r>
                </w:p>
              </w:tc>
            </w:tr>
            <w:tr w:rsidR="008D4AB5" w:rsidRPr="009C2B09" w14:paraId="438B0717" w14:textId="77777777" w:rsidTr="009A69AD">
              <w:trPr>
                <w:trHeight w:val="204"/>
                <w:jc w:val="center"/>
              </w:trPr>
              <w:tc>
                <w:tcPr>
                  <w:tcW w:w="4731" w:type="dxa"/>
                  <w:tcBorders>
                    <w:top w:val="nil"/>
                    <w:bottom w:val="single" w:sz="4" w:space="0" w:color="auto"/>
                  </w:tcBorders>
                  <w:shd w:val="clear" w:color="auto" w:fill="auto"/>
                  <w:noWrap/>
                  <w:tcMar>
                    <w:left w:w="28" w:type="dxa"/>
                  </w:tcMar>
                  <w:vAlign w:val="bottom"/>
                </w:tcPr>
                <w:p w14:paraId="0F1CFD31" w14:textId="77777777" w:rsidR="008D4AB5" w:rsidRPr="009C7802" w:rsidRDefault="008D4AB5" w:rsidP="008D4AB5">
                  <w:pPr>
                    <w:spacing w:before="40" w:after="40" w:line="276" w:lineRule="auto"/>
                    <w:rPr>
                      <w:rFonts w:asciiTheme="minorHAnsi" w:eastAsia="Times New Roman" w:hAnsiTheme="minorHAnsi" w:cstheme="minorHAnsi"/>
                      <w:b/>
                      <w:sz w:val="18"/>
                      <w:szCs w:val="18"/>
                      <w:lang w:eastAsia="en-AU"/>
                    </w:rPr>
                  </w:pPr>
                  <w:r w:rsidRPr="009C7802">
                    <w:rPr>
                      <w:rFonts w:asciiTheme="minorHAnsi" w:eastAsia="Times New Roman" w:hAnsiTheme="minorHAnsi" w:cstheme="minorHAnsi"/>
                      <w:b/>
                      <w:color w:val="000000"/>
                      <w:sz w:val="18"/>
                      <w:szCs w:val="18"/>
                      <w:lang w:eastAsia="en-AU"/>
                    </w:rPr>
                    <w:t>Regional population, 2020-21</w:t>
                  </w:r>
                </w:p>
              </w:tc>
              <w:tc>
                <w:tcPr>
                  <w:tcW w:w="1425" w:type="dxa"/>
                  <w:tcBorders>
                    <w:top w:val="nil"/>
                    <w:left w:val="nil"/>
                    <w:bottom w:val="single" w:sz="4" w:space="0" w:color="auto"/>
                    <w:right w:val="nil"/>
                  </w:tcBorders>
                  <w:shd w:val="clear" w:color="auto" w:fill="auto"/>
                  <w:noWrap/>
                  <w:vAlign w:val="bottom"/>
                </w:tcPr>
                <w:p w14:paraId="6629FA1E" w14:textId="77777777" w:rsidR="008D4AB5" w:rsidRPr="009C7802" w:rsidRDefault="008D4AB5" w:rsidP="008D4AB5">
                  <w:pPr>
                    <w:spacing w:before="40" w:after="40" w:line="276" w:lineRule="auto"/>
                    <w:rPr>
                      <w:rFonts w:asciiTheme="minorHAnsi" w:eastAsia="Times New Roman" w:hAnsiTheme="minorHAnsi" w:cstheme="minorHAnsi"/>
                      <w:sz w:val="18"/>
                      <w:szCs w:val="18"/>
                      <w:lang w:eastAsia="en-AU"/>
                    </w:rPr>
                  </w:pPr>
                  <w:r w:rsidRPr="009C7802">
                    <w:rPr>
                      <w:rFonts w:asciiTheme="minorHAnsi" w:eastAsia="Times New Roman" w:hAnsiTheme="minorHAnsi" w:cstheme="minorHAnsi"/>
                      <w:color w:val="000000"/>
                      <w:sz w:val="18"/>
                      <w:szCs w:val="18"/>
                      <w:lang w:eastAsia="en-AU"/>
                    </w:rPr>
                    <w:t>3218.0</w:t>
                  </w:r>
                </w:p>
              </w:tc>
              <w:tc>
                <w:tcPr>
                  <w:tcW w:w="1592" w:type="dxa"/>
                  <w:tcBorders>
                    <w:top w:val="nil"/>
                    <w:left w:val="nil"/>
                    <w:bottom w:val="single" w:sz="4" w:space="0" w:color="auto"/>
                    <w:right w:val="nil"/>
                  </w:tcBorders>
                  <w:shd w:val="clear" w:color="auto" w:fill="auto"/>
                  <w:noWrap/>
                  <w:vAlign w:val="bottom"/>
                </w:tcPr>
                <w:p w14:paraId="736D4F60" w14:textId="77777777" w:rsidR="008D4AB5" w:rsidRPr="009C7802" w:rsidRDefault="008D4AB5" w:rsidP="008D4AB5">
                  <w:pPr>
                    <w:tabs>
                      <w:tab w:val="decimal" w:pos="741"/>
                    </w:tabs>
                    <w:spacing w:before="40" w:after="40" w:line="276" w:lineRule="auto"/>
                    <w:rPr>
                      <w:rFonts w:asciiTheme="minorHAnsi" w:eastAsia="Times New Roman" w:hAnsiTheme="minorHAnsi" w:cstheme="minorHAnsi"/>
                      <w:sz w:val="18"/>
                      <w:szCs w:val="18"/>
                      <w:lang w:eastAsia="en-AU"/>
                    </w:rPr>
                  </w:pPr>
                  <w:r w:rsidRPr="009C7802">
                    <w:rPr>
                      <w:rFonts w:asciiTheme="minorHAnsi" w:eastAsia="Times New Roman" w:hAnsiTheme="minorHAnsi" w:cstheme="minorHAnsi"/>
                      <w:color w:val="000000"/>
                      <w:sz w:val="18"/>
                      <w:szCs w:val="18"/>
                      <w:lang w:eastAsia="en-AU"/>
                    </w:rPr>
                    <w:t>29/03/2022</w:t>
                  </w:r>
                </w:p>
              </w:tc>
            </w:tr>
          </w:tbl>
          <w:p w14:paraId="3334BC70" w14:textId="77777777" w:rsidR="008D4AB5" w:rsidRDefault="008D4AB5" w:rsidP="009E1BE5">
            <w:pPr>
              <w:pStyle w:val="Heading3"/>
              <w:keepNext w:val="0"/>
            </w:pPr>
          </w:p>
        </w:tc>
      </w:tr>
      <w:tr w:rsidR="00725216" w:rsidRPr="0023709A" w14:paraId="5CA9948B" w14:textId="77777777" w:rsidTr="00CC3A04">
        <w:trPr>
          <w:trHeight w:val="300"/>
        </w:trPr>
        <w:tc>
          <w:tcPr>
            <w:tcW w:w="5000" w:type="pct"/>
            <w:shd w:val="clear" w:color="auto" w:fill="auto"/>
          </w:tcPr>
          <w:p w14:paraId="4B60D3C9" w14:textId="77777777" w:rsidR="00725216" w:rsidRPr="00834409" w:rsidRDefault="00725216" w:rsidP="00D739EF">
            <w:pPr>
              <w:pStyle w:val="Source"/>
            </w:pPr>
          </w:p>
        </w:tc>
      </w:tr>
      <w:tr w:rsidR="00725216" w:rsidRPr="00D24DBE" w14:paraId="4AB1EC6E" w14:textId="77777777" w:rsidTr="002A051B">
        <w:trPr>
          <w:trHeight w:val="300"/>
        </w:trPr>
        <w:tc>
          <w:tcPr>
            <w:tcW w:w="5000" w:type="pct"/>
            <w:tcBorders>
              <w:bottom w:val="single" w:sz="12" w:space="0" w:color="002C47" w:themeColor="accent1"/>
            </w:tcBorders>
            <w:shd w:val="clear" w:color="auto" w:fill="auto"/>
            <w:vAlign w:val="center"/>
          </w:tcPr>
          <w:p w14:paraId="70B4801F" w14:textId="5750273D" w:rsidR="00725216" w:rsidRDefault="00725216" w:rsidP="00F21FAB">
            <w:pPr>
              <w:pStyle w:val="Heading3"/>
            </w:pPr>
            <w:r>
              <w:lastRenderedPageBreak/>
              <w:t>NOTES</w:t>
            </w:r>
          </w:p>
          <w:p w14:paraId="4CDFE932" w14:textId="11651687" w:rsidR="00B44BF7" w:rsidRDefault="00B44BF7" w:rsidP="0035677A">
            <w:r>
              <w:t>Data for this release includes doctor-certified deaths that occurred by 31 October 2021 and were registered by 30 November 2021.</w:t>
            </w:r>
          </w:p>
          <w:p w14:paraId="7A0EA41E" w14:textId="77777777" w:rsidR="00B44BF7" w:rsidRDefault="00B44BF7" w:rsidP="0035677A"/>
          <w:p w14:paraId="0A692BD0" w14:textId="0350C69B" w:rsidR="0035677A" w:rsidRDefault="0035677A" w:rsidP="0035677A">
            <w:r>
              <w:t>Provisional data in this release only include</w:t>
            </w:r>
            <w:r w:rsidR="002156B8">
              <w:t>s</w:t>
            </w:r>
            <w:r w:rsidRPr="006579A0">
              <w:t xml:space="preserve"> doctor-certified deaths</w:t>
            </w:r>
            <w:r>
              <w:t xml:space="preserve">, and therefore </w:t>
            </w:r>
            <w:r w:rsidRPr="006579A0">
              <w:t xml:space="preserve">not comparable with the annual </w:t>
            </w:r>
            <w:r w:rsidRPr="00A268EF">
              <w:rPr>
                <w:i/>
              </w:rPr>
              <w:t xml:space="preserve">Deaths </w:t>
            </w:r>
            <w:r w:rsidRPr="00957951">
              <w:t>and</w:t>
            </w:r>
            <w:r w:rsidRPr="00A268EF">
              <w:rPr>
                <w:i/>
              </w:rPr>
              <w:t xml:space="preserve"> Causes of Death</w:t>
            </w:r>
            <w:r w:rsidRPr="006579A0">
              <w:t xml:space="preserve"> </w:t>
            </w:r>
            <w:r w:rsidR="002156B8">
              <w:t xml:space="preserve">data released by the </w:t>
            </w:r>
            <w:r w:rsidR="00AC4BD4">
              <w:t>ABS</w:t>
            </w:r>
            <w:r w:rsidR="002156B8">
              <w:t xml:space="preserve">, </w:t>
            </w:r>
            <w:r>
              <w:t>which also include coroner</w:t>
            </w:r>
            <w:r>
              <w:noBreakHyphen/>
              <w:t>certified deaths</w:t>
            </w:r>
            <w:r w:rsidRPr="006579A0">
              <w:t xml:space="preserve">. </w:t>
            </w:r>
            <w:r w:rsidRPr="00145BAB">
              <w:rPr>
                <w:rFonts w:asciiTheme="minorHAnsi" w:hAnsiTheme="minorHAnsi"/>
                <w:shd w:val="clear" w:color="auto" w:fill="FFFFFF"/>
              </w:rPr>
              <w:t>Each year just over 10</w:t>
            </w:r>
            <w:r>
              <w:rPr>
                <w:rFonts w:asciiTheme="minorHAnsi" w:hAnsiTheme="minorHAnsi"/>
                <w:shd w:val="clear" w:color="auto" w:fill="FFFFFF"/>
              </w:rPr>
              <w:t> per cent</w:t>
            </w:r>
            <w:r w:rsidRPr="00145BAB">
              <w:rPr>
                <w:rFonts w:asciiTheme="minorHAnsi" w:hAnsiTheme="minorHAnsi"/>
                <w:shd w:val="clear" w:color="auto" w:fill="FFFFFF"/>
              </w:rPr>
              <w:t xml:space="preserve"> of deaths in Australia are certified by a coroner. These include reportable deaths including suicides, drug overdoses and assaults</w:t>
            </w:r>
            <w:r>
              <w:rPr>
                <w:rFonts w:asciiTheme="minorHAnsi" w:hAnsiTheme="minorHAnsi"/>
                <w:shd w:val="clear" w:color="auto" w:fill="FFFFFF"/>
              </w:rPr>
              <w:t>.</w:t>
            </w:r>
          </w:p>
          <w:p w14:paraId="7FC27CB0" w14:textId="77777777" w:rsidR="0035677A" w:rsidRDefault="0035677A" w:rsidP="0035677A"/>
          <w:p w14:paraId="633659A1" w14:textId="06EFEFFD" w:rsidR="0035677A" w:rsidRDefault="0035677A" w:rsidP="0035677A">
            <w:r w:rsidRPr="006579A0">
              <w:t xml:space="preserve">Each new </w:t>
            </w:r>
            <w:r w:rsidRPr="00A268EF">
              <w:rPr>
                <w:i/>
              </w:rPr>
              <w:t>Provisional Mortality Statistics</w:t>
            </w:r>
            <w:r w:rsidRPr="006579A0">
              <w:t xml:space="preserve"> release will include those deaths that have been registered and reported to the A</w:t>
            </w:r>
            <w:r>
              <w:t xml:space="preserve">ustralian </w:t>
            </w:r>
            <w:r w:rsidRPr="006579A0">
              <w:t>B</w:t>
            </w:r>
            <w:r>
              <w:t xml:space="preserve">ureau of </w:t>
            </w:r>
            <w:r w:rsidRPr="006579A0">
              <w:t>S</w:t>
            </w:r>
            <w:r>
              <w:t>tatistics</w:t>
            </w:r>
            <w:r w:rsidRPr="006579A0">
              <w:t xml:space="preserve"> since the previous </w:t>
            </w:r>
            <w:r>
              <w:t>release</w:t>
            </w:r>
            <w:r w:rsidRPr="006579A0">
              <w:t xml:space="preserve">. As some of those deaths will have occurred in time periods covered in previous reports, the counts of deaths for those time periods will change from one report to the next. As a result, </w:t>
            </w:r>
            <w:r>
              <w:t>the cumulative</w:t>
            </w:r>
            <w:r w:rsidRPr="006579A0">
              <w:t xml:space="preserve"> numbers </w:t>
            </w:r>
            <w:r>
              <w:t>of deaths for the January-December</w:t>
            </w:r>
            <w:r w:rsidRPr="006579A0">
              <w:t xml:space="preserve"> period will change in future releases. </w:t>
            </w:r>
          </w:p>
          <w:p w14:paraId="3DD67E53" w14:textId="68B8FF94" w:rsidR="00C74212" w:rsidRDefault="00C74212" w:rsidP="0035677A"/>
          <w:p w14:paraId="1C31D145" w14:textId="50AACF60" w:rsidR="00C74212" w:rsidRPr="00C74212" w:rsidRDefault="00C74212" w:rsidP="0035677A">
            <w:r>
              <w:rPr>
                <w:i/>
                <w:iCs/>
              </w:rPr>
              <w:t xml:space="preserve">Provisional Mortality Statistics </w:t>
            </w:r>
            <w:r>
              <w:t>is release</w:t>
            </w:r>
            <w:r w:rsidR="00C6193B">
              <w:t>d</w:t>
            </w:r>
            <w:r>
              <w:t xml:space="preserve"> </w:t>
            </w:r>
            <w:proofErr w:type="gramStart"/>
            <w:r w:rsidR="002156B8">
              <w:t>on a monthly basis</w:t>
            </w:r>
            <w:proofErr w:type="gramEnd"/>
            <w:r w:rsidR="002156B8">
              <w:t xml:space="preserve"> </w:t>
            </w:r>
            <w:r>
              <w:t>by the Australian Bureau of Statistics. The Centre for Population prepares notes analysing these releases on a quarterly basis.</w:t>
            </w:r>
          </w:p>
          <w:p w14:paraId="38FE2F4B" w14:textId="77777777" w:rsidR="0035677A" w:rsidRPr="0035677A" w:rsidRDefault="0035677A" w:rsidP="0035677A"/>
          <w:p w14:paraId="57A4071E" w14:textId="761F59EC" w:rsidR="00725216" w:rsidRPr="00D24DBE" w:rsidRDefault="00725216" w:rsidP="00F21FAB">
            <w:r>
              <w:t xml:space="preserve">Further detail is available from the </w:t>
            </w:r>
            <w:hyperlink r:id="rId20" w:history="1">
              <w:r w:rsidRPr="0035677A">
                <w:rPr>
                  <w:rStyle w:val="Hyperlink"/>
                </w:rPr>
                <w:t>Australian Bureau of Statistics</w:t>
              </w:r>
            </w:hyperlink>
          </w:p>
        </w:tc>
      </w:tr>
    </w:tbl>
    <w:bookmarkEnd w:id="2"/>
    <w:p w14:paraId="2748F8F0" w14:textId="03645EA7" w:rsidR="00725216" w:rsidRDefault="00057787" w:rsidP="001A0533">
      <w:pPr>
        <w:rPr>
          <w:color w:val="000000"/>
        </w:rPr>
      </w:pPr>
      <w:r>
        <w:rPr>
          <w:color w:val="000000"/>
        </w:rPr>
        <w:tab/>
      </w:r>
    </w:p>
    <w:sectPr w:rsidR="00725216" w:rsidSect="00763EB8">
      <w:headerReference w:type="even" r:id="rId21"/>
      <w:headerReference w:type="default" r:id="rId22"/>
      <w:footerReference w:type="even" r:id="rId23"/>
      <w:footerReference w:type="default" r:id="rId24"/>
      <w:headerReference w:type="first" r:id="rId25"/>
      <w:footerReference w:type="first" r:id="rId26"/>
      <w:footnotePr>
        <w:pos w:val="beneathText"/>
      </w:footnotePr>
      <w:pgSz w:w="11906" w:h="16838" w:code="9"/>
      <w:pgMar w:top="1440" w:right="1440" w:bottom="1440" w:left="1440"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54538" w14:textId="77777777" w:rsidR="00934FD1" w:rsidRDefault="00934FD1" w:rsidP="008F6A37">
      <w:r>
        <w:separator/>
      </w:r>
    </w:p>
  </w:endnote>
  <w:endnote w:type="continuationSeparator" w:id="0">
    <w:p w14:paraId="02DF4B4C" w14:textId="77777777" w:rsidR="00934FD1" w:rsidRDefault="00934FD1" w:rsidP="008F6A37">
      <w:r>
        <w:continuationSeparator/>
      </w:r>
    </w:p>
  </w:endnote>
  <w:endnote w:type="continuationNotice" w:id="1">
    <w:p w14:paraId="162AC456" w14:textId="77777777" w:rsidR="00934FD1" w:rsidRDefault="00934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91A5" w14:textId="75752A09" w:rsidR="00934FD1" w:rsidRDefault="00934FD1">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3</w:t>
    </w:r>
    <w:r w:rsidRPr="004B53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27CF" w14:textId="4DDB57AF" w:rsidR="00934FD1" w:rsidRDefault="00934FD1"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06305" w14:textId="7B5B23E0" w:rsidR="00934FD1" w:rsidRDefault="00934FD1"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30D01" w14:textId="77777777" w:rsidR="00934FD1" w:rsidRDefault="00934FD1" w:rsidP="008F6A37">
      <w:r>
        <w:separator/>
      </w:r>
    </w:p>
  </w:footnote>
  <w:footnote w:type="continuationSeparator" w:id="0">
    <w:p w14:paraId="12101605" w14:textId="77777777" w:rsidR="00934FD1" w:rsidRDefault="00934FD1" w:rsidP="008F6A37">
      <w:r>
        <w:continuationSeparator/>
      </w:r>
    </w:p>
  </w:footnote>
  <w:footnote w:type="continuationNotice" w:id="1">
    <w:p w14:paraId="678A34CE" w14:textId="77777777" w:rsidR="00934FD1" w:rsidRDefault="00934FD1"/>
  </w:footnote>
  <w:footnote w:id="2">
    <w:p w14:paraId="65AB7660" w14:textId="1B292FEB" w:rsidR="00934FD1" w:rsidRDefault="00934FD1">
      <w:pPr>
        <w:pStyle w:val="FootnoteText"/>
      </w:pPr>
      <w:r>
        <w:rPr>
          <w:rStyle w:val="FootnoteReference"/>
        </w:rPr>
        <w:footnoteRef/>
      </w:r>
      <w:r>
        <w:t xml:space="preserve"> Daily new COVID-19 infection data sourced from </w:t>
      </w:r>
      <w:hyperlink r:id="rId1" w:history="1">
        <w:r w:rsidRPr="008E5A52">
          <w:rPr>
            <w:rStyle w:val="Hyperlink"/>
            <w:u w:val="single"/>
          </w:rPr>
          <w:t>Our World in Data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D1D4" w14:textId="0A9FACF2" w:rsidR="00934FD1" w:rsidRPr="00763EB8" w:rsidRDefault="00934FD1" w:rsidP="00763EB8">
    <w:pPr>
      <w:pStyle w:val="Header"/>
      <w:jc w:val="left"/>
      <w:rPr>
        <w:color w:val="002C47" w:themeColor="accent1"/>
      </w:rPr>
    </w:pPr>
    <w:r w:rsidRPr="00763EB8">
      <w:rPr>
        <w:color w:val="002C47" w:themeColor="accent1"/>
      </w:rPr>
      <w:t>Centre for Population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8A917" w14:textId="56568970" w:rsidR="00934FD1" w:rsidRPr="00763EB8" w:rsidRDefault="00934FD1" w:rsidP="00763EB8">
    <w:pPr>
      <w:pStyle w:val="HeaderOdd"/>
      <w:rPr>
        <w:b w:val="0"/>
        <w:bCs/>
        <w:i/>
        <w:iCs/>
      </w:rPr>
    </w:pPr>
    <w:r w:rsidRPr="005A394E">
      <w:rPr>
        <w:b w:val="0"/>
      </w:rPr>
      <w:t xml:space="preserve">Analysis of </w:t>
    </w:r>
    <w:r w:rsidRPr="001C1A91">
      <w:rPr>
        <w:b w:val="0"/>
        <w:i/>
        <w:iCs/>
      </w:rPr>
      <w:fldChar w:fldCharType="begin"/>
    </w:r>
    <w:r w:rsidRPr="001C1A91">
      <w:rPr>
        <w:b w:val="0"/>
        <w:i/>
        <w:iCs/>
      </w:rPr>
      <w:instrText xml:space="preserve"> REF _Ref75254943 \h  \* MERGEFORMAT </w:instrText>
    </w:r>
    <w:r w:rsidRPr="001C1A91">
      <w:rPr>
        <w:b w:val="0"/>
        <w:i/>
        <w:iCs/>
      </w:rPr>
    </w:r>
    <w:r w:rsidRPr="001C1A91">
      <w:rPr>
        <w:b w:val="0"/>
        <w:i/>
        <w:iCs/>
      </w:rPr>
      <w:fldChar w:fldCharType="separate"/>
    </w:r>
    <w:r w:rsidR="004033C9" w:rsidRPr="004033C9">
      <w:rPr>
        <w:b w:val="0"/>
        <w:i/>
        <w:iCs/>
      </w:rPr>
      <w:t>Provisional Mortality Statistics, October 2021</w:t>
    </w:r>
    <w:r w:rsidRPr="001C1A91">
      <w:rPr>
        <w:b w:val="0"/>
        <w:i/>
        <w:i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7CB3" w14:textId="5162B5A1" w:rsidR="00934FD1" w:rsidRPr="00725216" w:rsidRDefault="00934FD1" w:rsidP="00725216">
    <w:pPr>
      <w:pStyle w:val="Header"/>
    </w:pPr>
    <w:r>
      <w:rPr>
        <w:noProof/>
        <w:lang w:eastAsia="en-AU"/>
      </w:rPr>
      <w:drawing>
        <wp:anchor distT="0" distB="0" distL="114300" distR="114300" simplePos="0" relativeHeight="251658240" behindDoc="0" locked="0" layoutInCell="1" allowOverlap="1" wp14:anchorId="52DEB93A" wp14:editId="52D99F80">
          <wp:simplePos x="0" y="0"/>
          <wp:positionH relativeFrom="page">
            <wp:align>left</wp:align>
          </wp:positionH>
          <wp:positionV relativeFrom="paragraph">
            <wp:posOffset>-447675</wp:posOffset>
          </wp:positionV>
          <wp:extent cx="7559994" cy="144130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F430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8CD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E2B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2AA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5AB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82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24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D2A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707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20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4"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326A3C"/>
    <w:multiLevelType w:val="multilevel"/>
    <w:tmpl w:val="4EAEC0E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16"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7F6AB3"/>
    <w:multiLevelType w:val="hybridMultilevel"/>
    <w:tmpl w:val="E8D02006"/>
    <w:lvl w:ilvl="0" w:tplc="56DE09CA">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68013C"/>
    <w:multiLevelType w:val="hybridMultilevel"/>
    <w:tmpl w:val="3E24635E"/>
    <w:lvl w:ilvl="0" w:tplc="7C960E5A">
      <w:start w:val="1"/>
      <w:numFmt w:val="decimal"/>
      <w:pStyle w:val="Heading8"/>
      <w:lvlText w:val="Table %1."/>
      <w:lvlJc w:val="left"/>
      <w:pPr>
        <w:tabs>
          <w:tab w:val="num" w:pos="992"/>
        </w:tabs>
        <w:ind w:left="992"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0F57A5"/>
    <w:multiLevelType w:val="hybridMultilevel"/>
    <w:tmpl w:val="C5945306"/>
    <w:lvl w:ilvl="0" w:tplc="8A16F684">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5A02C0"/>
    <w:multiLevelType w:val="hybridMultilevel"/>
    <w:tmpl w:val="C52A4FF2"/>
    <w:lvl w:ilvl="0" w:tplc="5EFA26C2">
      <w:start w:val="1"/>
      <w:numFmt w:val="decimal"/>
      <w:pStyle w:val="ChartMainHeading"/>
      <w:lvlText w:val="Chart %1."/>
      <w:lvlJc w:val="left"/>
      <w:pPr>
        <w:tabs>
          <w:tab w:val="num" w:pos="992"/>
        </w:tabs>
        <w:ind w:left="992" w:hanging="99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6"/>
  </w:num>
  <w:num w:numId="17">
    <w:abstractNumId w:val="24"/>
  </w:num>
  <w:num w:numId="18">
    <w:abstractNumId w:val="17"/>
  </w:num>
  <w:num w:numId="19">
    <w:abstractNumId w:val="12"/>
  </w:num>
  <w:num w:numId="20">
    <w:abstractNumId w:val="20"/>
  </w:num>
  <w:num w:numId="21">
    <w:abstractNumId w:val="13"/>
  </w:num>
  <w:num w:numId="22">
    <w:abstractNumId w:val="18"/>
  </w:num>
  <w:num w:numId="23">
    <w:abstractNumId w:val="11"/>
  </w:num>
  <w:num w:numId="24">
    <w:abstractNumId w:val="14"/>
  </w:num>
  <w:num w:numId="25">
    <w:abstractNumId w:val="22"/>
  </w:num>
  <w:num w:numId="26">
    <w:abstractNumId w:val="19"/>
  </w:num>
  <w:num w:numId="27">
    <w:abstractNumId w:val="23"/>
  </w:num>
  <w:num w:numId="28">
    <w:abstractNumId w:val="26"/>
  </w:num>
  <w:num w:numId="29">
    <w:abstractNumId w:val="25"/>
  </w:num>
  <w:num w:numId="30">
    <w:abstractNumId w:val="21"/>
  </w:num>
  <w:num w:numId="31">
    <w:abstractNumId w:val="26"/>
  </w:num>
  <w:num w:numId="32">
    <w:abstractNumId w:val="15"/>
  </w:num>
  <w:num w:numId="33">
    <w:abstractNumId w:val="15"/>
  </w:num>
  <w:num w:numId="34">
    <w:abstractNumId w:val="15"/>
  </w:num>
  <w:num w:numId="35">
    <w:abstractNumId w:val="26"/>
  </w:num>
  <w:num w:numId="36">
    <w:abstractNumId w:val="26"/>
  </w:num>
  <w:num w:numId="37">
    <w:abstractNumId w:val="2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064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25C3"/>
    <w:rsid w:val="000037DE"/>
    <w:rsid w:val="00005552"/>
    <w:rsid w:val="00005C33"/>
    <w:rsid w:val="00005FDD"/>
    <w:rsid w:val="000075D6"/>
    <w:rsid w:val="00011E58"/>
    <w:rsid w:val="0001357F"/>
    <w:rsid w:val="000135AD"/>
    <w:rsid w:val="000138FE"/>
    <w:rsid w:val="00014B3E"/>
    <w:rsid w:val="00017247"/>
    <w:rsid w:val="000212AE"/>
    <w:rsid w:val="000219AA"/>
    <w:rsid w:val="00022B42"/>
    <w:rsid w:val="00022C7A"/>
    <w:rsid w:val="00023CBA"/>
    <w:rsid w:val="00024A4C"/>
    <w:rsid w:val="00024D0B"/>
    <w:rsid w:val="00027731"/>
    <w:rsid w:val="00027CE2"/>
    <w:rsid w:val="000321E4"/>
    <w:rsid w:val="00032A49"/>
    <w:rsid w:val="000330A2"/>
    <w:rsid w:val="00036886"/>
    <w:rsid w:val="00036CE7"/>
    <w:rsid w:val="0004038D"/>
    <w:rsid w:val="00040405"/>
    <w:rsid w:val="000405D3"/>
    <w:rsid w:val="000409F3"/>
    <w:rsid w:val="0004496F"/>
    <w:rsid w:val="00044A6C"/>
    <w:rsid w:val="00044BD0"/>
    <w:rsid w:val="00046DAC"/>
    <w:rsid w:val="0004718D"/>
    <w:rsid w:val="00047BA9"/>
    <w:rsid w:val="000507D3"/>
    <w:rsid w:val="00053DE3"/>
    <w:rsid w:val="00053FF1"/>
    <w:rsid w:val="0005424F"/>
    <w:rsid w:val="0005568F"/>
    <w:rsid w:val="00056E4C"/>
    <w:rsid w:val="00057787"/>
    <w:rsid w:val="00057D34"/>
    <w:rsid w:val="0006007C"/>
    <w:rsid w:val="00064D04"/>
    <w:rsid w:val="00065FAE"/>
    <w:rsid w:val="000702C0"/>
    <w:rsid w:val="00072387"/>
    <w:rsid w:val="00073631"/>
    <w:rsid w:val="000741B6"/>
    <w:rsid w:val="0007513C"/>
    <w:rsid w:val="0008139F"/>
    <w:rsid w:val="00081BE4"/>
    <w:rsid w:val="000833DC"/>
    <w:rsid w:val="00085F2A"/>
    <w:rsid w:val="000875E5"/>
    <w:rsid w:val="00093E21"/>
    <w:rsid w:val="00094A06"/>
    <w:rsid w:val="00096136"/>
    <w:rsid w:val="000967BC"/>
    <w:rsid w:val="000A130F"/>
    <w:rsid w:val="000A1BF3"/>
    <w:rsid w:val="000A26B6"/>
    <w:rsid w:val="000A2E8D"/>
    <w:rsid w:val="000A709B"/>
    <w:rsid w:val="000A77D4"/>
    <w:rsid w:val="000B065B"/>
    <w:rsid w:val="000B2BC3"/>
    <w:rsid w:val="000B43F7"/>
    <w:rsid w:val="000B4C4B"/>
    <w:rsid w:val="000B6715"/>
    <w:rsid w:val="000B69FB"/>
    <w:rsid w:val="000B7540"/>
    <w:rsid w:val="000C1DC4"/>
    <w:rsid w:val="000C2BBD"/>
    <w:rsid w:val="000C3FE1"/>
    <w:rsid w:val="000C5C34"/>
    <w:rsid w:val="000C761F"/>
    <w:rsid w:val="000D0233"/>
    <w:rsid w:val="000D0E89"/>
    <w:rsid w:val="000D1ADE"/>
    <w:rsid w:val="000D2084"/>
    <w:rsid w:val="000D4B22"/>
    <w:rsid w:val="000D63F6"/>
    <w:rsid w:val="000D7E77"/>
    <w:rsid w:val="000E0E24"/>
    <w:rsid w:val="000E1BCE"/>
    <w:rsid w:val="000E283D"/>
    <w:rsid w:val="000E2FED"/>
    <w:rsid w:val="000E3CD8"/>
    <w:rsid w:val="000E3E0C"/>
    <w:rsid w:val="000E68E6"/>
    <w:rsid w:val="000F0031"/>
    <w:rsid w:val="000F04C1"/>
    <w:rsid w:val="000F1A5D"/>
    <w:rsid w:val="000F1F16"/>
    <w:rsid w:val="000F5DB3"/>
    <w:rsid w:val="000F60AE"/>
    <w:rsid w:val="000F60CF"/>
    <w:rsid w:val="000F6912"/>
    <w:rsid w:val="00100C55"/>
    <w:rsid w:val="001039A8"/>
    <w:rsid w:val="001140DF"/>
    <w:rsid w:val="00116FB0"/>
    <w:rsid w:val="00120861"/>
    <w:rsid w:val="001211DA"/>
    <w:rsid w:val="00122466"/>
    <w:rsid w:val="00122485"/>
    <w:rsid w:val="00125CDB"/>
    <w:rsid w:val="00126350"/>
    <w:rsid w:val="00133E61"/>
    <w:rsid w:val="00135022"/>
    <w:rsid w:val="001412F0"/>
    <w:rsid w:val="001418C5"/>
    <w:rsid w:val="00142FC9"/>
    <w:rsid w:val="0014336B"/>
    <w:rsid w:val="001452FF"/>
    <w:rsid w:val="0014580B"/>
    <w:rsid w:val="00150047"/>
    <w:rsid w:val="00150552"/>
    <w:rsid w:val="00152C52"/>
    <w:rsid w:val="00153143"/>
    <w:rsid w:val="00153E9E"/>
    <w:rsid w:val="001540C3"/>
    <w:rsid w:val="00154658"/>
    <w:rsid w:val="001548EE"/>
    <w:rsid w:val="00157EB6"/>
    <w:rsid w:val="0016052C"/>
    <w:rsid w:val="001605A0"/>
    <w:rsid w:val="00160A10"/>
    <w:rsid w:val="001648F5"/>
    <w:rsid w:val="00164BB5"/>
    <w:rsid w:val="00165611"/>
    <w:rsid w:val="00166D3E"/>
    <w:rsid w:val="00167034"/>
    <w:rsid w:val="00167155"/>
    <w:rsid w:val="0016769B"/>
    <w:rsid w:val="00170425"/>
    <w:rsid w:val="00171B99"/>
    <w:rsid w:val="0017330F"/>
    <w:rsid w:val="001737E2"/>
    <w:rsid w:val="00174442"/>
    <w:rsid w:val="0017622D"/>
    <w:rsid w:val="0017717F"/>
    <w:rsid w:val="00180671"/>
    <w:rsid w:val="001831C2"/>
    <w:rsid w:val="00184350"/>
    <w:rsid w:val="001844D9"/>
    <w:rsid w:val="00186406"/>
    <w:rsid w:val="001869A8"/>
    <w:rsid w:val="00187C81"/>
    <w:rsid w:val="00187E5F"/>
    <w:rsid w:val="00187EAE"/>
    <w:rsid w:val="00190A0A"/>
    <w:rsid w:val="0019258B"/>
    <w:rsid w:val="00192757"/>
    <w:rsid w:val="00192C8E"/>
    <w:rsid w:val="00193324"/>
    <w:rsid w:val="00194E8F"/>
    <w:rsid w:val="00194F0E"/>
    <w:rsid w:val="00197182"/>
    <w:rsid w:val="001A0533"/>
    <w:rsid w:val="001A1254"/>
    <w:rsid w:val="001A24B0"/>
    <w:rsid w:val="001B0934"/>
    <w:rsid w:val="001B0EDA"/>
    <w:rsid w:val="001B0EE4"/>
    <w:rsid w:val="001B275D"/>
    <w:rsid w:val="001B2923"/>
    <w:rsid w:val="001B5B2D"/>
    <w:rsid w:val="001B690A"/>
    <w:rsid w:val="001C0224"/>
    <w:rsid w:val="001C0F70"/>
    <w:rsid w:val="001C1A91"/>
    <w:rsid w:val="001C2DAA"/>
    <w:rsid w:val="001C379B"/>
    <w:rsid w:val="001C38B5"/>
    <w:rsid w:val="001C6454"/>
    <w:rsid w:val="001C6A41"/>
    <w:rsid w:val="001C6E25"/>
    <w:rsid w:val="001D0043"/>
    <w:rsid w:val="001D205A"/>
    <w:rsid w:val="001D259D"/>
    <w:rsid w:val="001D4EE0"/>
    <w:rsid w:val="001D5A3A"/>
    <w:rsid w:val="001D76C7"/>
    <w:rsid w:val="001E17A9"/>
    <w:rsid w:val="001E20B9"/>
    <w:rsid w:val="001E2E52"/>
    <w:rsid w:val="001F4A6E"/>
    <w:rsid w:val="001F5C62"/>
    <w:rsid w:val="001F62EA"/>
    <w:rsid w:val="001F65F9"/>
    <w:rsid w:val="001F67C7"/>
    <w:rsid w:val="001F6AFA"/>
    <w:rsid w:val="001F7C99"/>
    <w:rsid w:val="00201F7A"/>
    <w:rsid w:val="002046A2"/>
    <w:rsid w:val="002065FF"/>
    <w:rsid w:val="0021002C"/>
    <w:rsid w:val="0021212C"/>
    <w:rsid w:val="0021232B"/>
    <w:rsid w:val="002123E7"/>
    <w:rsid w:val="002156B8"/>
    <w:rsid w:val="00215C3B"/>
    <w:rsid w:val="00220979"/>
    <w:rsid w:val="00221231"/>
    <w:rsid w:val="002237C5"/>
    <w:rsid w:val="00223EE9"/>
    <w:rsid w:val="002240CA"/>
    <w:rsid w:val="0022536D"/>
    <w:rsid w:val="00230525"/>
    <w:rsid w:val="00230721"/>
    <w:rsid w:val="00230EB4"/>
    <w:rsid w:val="0023398A"/>
    <w:rsid w:val="00233AC7"/>
    <w:rsid w:val="00233BBC"/>
    <w:rsid w:val="00235115"/>
    <w:rsid w:val="0023583C"/>
    <w:rsid w:val="00235CD5"/>
    <w:rsid w:val="002367ED"/>
    <w:rsid w:val="00236C31"/>
    <w:rsid w:val="0023709A"/>
    <w:rsid w:val="00237879"/>
    <w:rsid w:val="0023795B"/>
    <w:rsid w:val="002406D2"/>
    <w:rsid w:val="0024076E"/>
    <w:rsid w:val="00242910"/>
    <w:rsid w:val="00242C07"/>
    <w:rsid w:val="00244526"/>
    <w:rsid w:val="0024484D"/>
    <w:rsid w:val="00245B70"/>
    <w:rsid w:val="00245C98"/>
    <w:rsid w:val="0024662A"/>
    <w:rsid w:val="0024753F"/>
    <w:rsid w:val="00247742"/>
    <w:rsid w:val="0025079E"/>
    <w:rsid w:val="00250DCD"/>
    <w:rsid w:val="00251AE8"/>
    <w:rsid w:val="002526C9"/>
    <w:rsid w:val="0025289F"/>
    <w:rsid w:val="00256CAD"/>
    <w:rsid w:val="00257970"/>
    <w:rsid w:val="00257D71"/>
    <w:rsid w:val="00261323"/>
    <w:rsid w:val="002622FF"/>
    <w:rsid w:val="002668C3"/>
    <w:rsid w:val="00275740"/>
    <w:rsid w:val="00275A41"/>
    <w:rsid w:val="00275C6D"/>
    <w:rsid w:val="00277157"/>
    <w:rsid w:val="00277DCD"/>
    <w:rsid w:val="002830CF"/>
    <w:rsid w:val="00283A37"/>
    <w:rsid w:val="00284FDF"/>
    <w:rsid w:val="0028692E"/>
    <w:rsid w:val="00287D12"/>
    <w:rsid w:val="002919A7"/>
    <w:rsid w:val="00291D22"/>
    <w:rsid w:val="00291D2F"/>
    <w:rsid w:val="002929EF"/>
    <w:rsid w:val="00292A6B"/>
    <w:rsid w:val="00292EFE"/>
    <w:rsid w:val="00293C4B"/>
    <w:rsid w:val="00294212"/>
    <w:rsid w:val="002950F4"/>
    <w:rsid w:val="002A051B"/>
    <w:rsid w:val="002A28A2"/>
    <w:rsid w:val="002A2AB7"/>
    <w:rsid w:val="002A4563"/>
    <w:rsid w:val="002A6D22"/>
    <w:rsid w:val="002A7BB1"/>
    <w:rsid w:val="002B09EB"/>
    <w:rsid w:val="002B0CAC"/>
    <w:rsid w:val="002B16A3"/>
    <w:rsid w:val="002B19D4"/>
    <w:rsid w:val="002B1DF1"/>
    <w:rsid w:val="002B40ED"/>
    <w:rsid w:val="002B5824"/>
    <w:rsid w:val="002B684F"/>
    <w:rsid w:val="002B6A32"/>
    <w:rsid w:val="002C03D9"/>
    <w:rsid w:val="002C0D7D"/>
    <w:rsid w:val="002C184C"/>
    <w:rsid w:val="002C2D5A"/>
    <w:rsid w:val="002C33B3"/>
    <w:rsid w:val="002D01D9"/>
    <w:rsid w:val="002D0D59"/>
    <w:rsid w:val="002D1DDD"/>
    <w:rsid w:val="002D4BDD"/>
    <w:rsid w:val="002D4EB4"/>
    <w:rsid w:val="002D5196"/>
    <w:rsid w:val="002D5D79"/>
    <w:rsid w:val="002E1020"/>
    <w:rsid w:val="002E1867"/>
    <w:rsid w:val="002E1EF3"/>
    <w:rsid w:val="002E1FDA"/>
    <w:rsid w:val="002E290A"/>
    <w:rsid w:val="002E2FAA"/>
    <w:rsid w:val="002E57F5"/>
    <w:rsid w:val="002E5932"/>
    <w:rsid w:val="002E6DD2"/>
    <w:rsid w:val="002F0ECB"/>
    <w:rsid w:val="002F1DE2"/>
    <w:rsid w:val="002F225C"/>
    <w:rsid w:val="002F291C"/>
    <w:rsid w:val="002F323C"/>
    <w:rsid w:val="002F77A5"/>
    <w:rsid w:val="0030289A"/>
    <w:rsid w:val="00302A94"/>
    <w:rsid w:val="0030553F"/>
    <w:rsid w:val="00313A9B"/>
    <w:rsid w:val="00314767"/>
    <w:rsid w:val="00317D6E"/>
    <w:rsid w:val="00320430"/>
    <w:rsid w:val="003207E9"/>
    <w:rsid w:val="00323571"/>
    <w:rsid w:val="00325741"/>
    <w:rsid w:val="003266FB"/>
    <w:rsid w:val="00330482"/>
    <w:rsid w:val="003348F5"/>
    <w:rsid w:val="003369A9"/>
    <w:rsid w:val="00336E85"/>
    <w:rsid w:val="0033789B"/>
    <w:rsid w:val="003413C9"/>
    <w:rsid w:val="00341522"/>
    <w:rsid w:val="00341E00"/>
    <w:rsid w:val="003442E6"/>
    <w:rsid w:val="0034464F"/>
    <w:rsid w:val="00344B69"/>
    <w:rsid w:val="00347177"/>
    <w:rsid w:val="003478BF"/>
    <w:rsid w:val="00347F56"/>
    <w:rsid w:val="00351A5B"/>
    <w:rsid w:val="00351A82"/>
    <w:rsid w:val="00354BA3"/>
    <w:rsid w:val="003558C3"/>
    <w:rsid w:val="0035639A"/>
    <w:rsid w:val="0035677A"/>
    <w:rsid w:val="00357348"/>
    <w:rsid w:val="003600B6"/>
    <w:rsid w:val="00362537"/>
    <w:rsid w:val="00362D33"/>
    <w:rsid w:val="00364843"/>
    <w:rsid w:val="00365126"/>
    <w:rsid w:val="00365E78"/>
    <w:rsid w:val="00366737"/>
    <w:rsid w:val="0036737E"/>
    <w:rsid w:val="0037217C"/>
    <w:rsid w:val="0037393C"/>
    <w:rsid w:val="003770CC"/>
    <w:rsid w:val="0038054F"/>
    <w:rsid w:val="00380D07"/>
    <w:rsid w:val="00381B77"/>
    <w:rsid w:val="00381C48"/>
    <w:rsid w:val="003826CF"/>
    <w:rsid w:val="00393ABA"/>
    <w:rsid w:val="00394E0D"/>
    <w:rsid w:val="00394F6D"/>
    <w:rsid w:val="003A06BD"/>
    <w:rsid w:val="003A0CFF"/>
    <w:rsid w:val="003A1707"/>
    <w:rsid w:val="003A3A41"/>
    <w:rsid w:val="003A3DD6"/>
    <w:rsid w:val="003A5CFB"/>
    <w:rsid w:val="003A748B"/>
    <w:rsid w:val="003A7FFE"/>
    <w:rsid w:val="003B06DE"/>
    <w:rsid w:val="003B3658"/>
    <w:rsid w:val="003B47F5"/>
    <w:rsid w:val="003B486C"/>
    <w:rsid w:val="003B702A"/>
    <w:rsid w:val="003C01A4"/>
    <w:rsid w:val="003C3E27"/>
    <w:rsid w:val="003C63DE"/>
    <w:rsid w:val="003C759F"/>
    <w:rsid w:val="003D148A"/>
    <w:rsid w:val="003D3445"/>
    <w:rsid w:val="003D4110"/>
    <w:rsid w:val="003D4771"/>
    <w:rsid w:val="003D5324"/>
    <w:rsid w:val="003D7915"/>
    <w:rsid w:val="003E1B45"/>
    <w:rsid w:val="003E4BCD"/>
    <w:rsid w:val="003E5E43"/>
    <w:rsid w:val="003F00FC"/>
    <w:rsid w:val="003F1886"/>
    <w:rsid w:val="003F2541"/>
    <w:rsid w:val="003F3B05"/>
    <w:rsid w:val="003F3F0B"/>
    <w:rsid w:val="003F4900"/>
    <w:rsid w:val="003F5859"/>
    <w:rsid w:val="003F5DC8"/>
    <w:rsid w:val="003F60A7"/>
    <w:rsid w:val="00400285"/>
    <w:rsid w:val="00400C70"/>
    <w:rsid w:val="00400E17"/>
    <w:rsid w:val="00401FAD"/>
    <w:rsid w:val="00402BBA"/>
    <w:rsid w:val="004033C9"/>
    <w:rsid w:val="004033FC"/>
    <w:rsid w:val="00403CA5"/>
    <w:rsid w:val="0040438A"/>
    <w:rsid w:val="00404954"/>
    <w:rsid w:val="00405536"/>
    <w:rsid w:val="004056DC"/>
    <w:rsid w:val="00405AD5"/>
    <w:rsid w:val="00405D49"/>
    <w:rsid w:val="00410B21"/>
    <w:rsid w:val="004168AC"/>
    <w:rsid w:val="004173AB"/>
    <w:rsid w:val="004175A1"/>
    <w:rsid w:val="004201D3"/>
    <w:rsid w:val="00420363"/>
    <w:rsid w:val="00423191"/>
    <w:rsid w:val="00425BF0"/>
    <w:rsid w:val="0042650B"/>
    <w:rsid w:val="0042763C"/>
    <w:rsid w:val="00431FE2"/>
    <w:rsid w:val="00432A34"/>
    <w:rsid w:val="004331C1"/>
    <w:rsid w:val="00437458"/>
    <w:rsid w:val="0043774A"/>
    <w:rsid w:val="00437AEF"/>
    <w:rsid w:val="0044091A"/>
    <w:rsid w:val="00441873"/>
    <w:rsid w:val="00441AEB"/>
    <w:rsid w:val="004431B7"/>
    <w:rsid w:val="00445817"/>
    <w:rsid w:val="00445CD9"/>
    <w:rsid w:val="004464EF"/>
    <w:rsid w:val="00447B0D"/>
    <w:rsid w:val="00447EDC"/>
    <w:rsid w:val="00450BCE"/>
    <w:rsid w:val="00450F6E"/>
    <w:rsid w:val="00451C6F"/>
    <w:rsid w:val="00453087"/>
    <w:rsid w:val="00453822"/>
    <w:rsid w:val="004547F8"/>
    <w:rsid w:val="00455273"/>
    <w:rsid w:val="00456891"/>
    <w:rsid w:val="0045794D"/>
    <w:rsid w:val="00457B33"/>
    <w:rsid w:val="0046058D"/>
    <w:rsid w:val="0046136D"/>
    <w:rsid w:val="00461D8E"/>
    <w:rsid w:val="00463005"/>
    <w:rsid w:val="0046456E"/>
    <w:rsid w:val="00465C90"/>
    <w:rsid w:val="00466FB4"/>
    <w:rsid w:val="004671F2"/>
    <w:rsid w:val="004711B6"/>
    <w:rsid w:val="0047532A"/>
    <w:rsid w:val="00477318"/>
    <w:rsid w:val="0047768D"/>
    <w:rsid w:val="00481185"/>
    <w:rsid w:val="004820B2"/>
    <w:rsid w:val="00482FE6"/>
    <w:rsid w:val="0048321B"/>
    <w:rsid w:val="00484CB6"/>
    <w:rsid w:val="0048560C"/>
    <w:rsid w:val="00487CB6"/>
    <w:rsid w:val="00490182"/>
    <w:rsid w:val="004901F9"/>
    <w:rsid w:val="00491076"/>
    <w:rsid w:val="00491E2A"/>
    <w:rsid w:val="004927CF"/>
    <w:rsid w:val="00493780"/>
    <w:rsid w:val="004A1D45"/>
    <w:rsid w:val="004A6A96"/>
    <w:rsid w:val="004A6BC4"/>
    <w:rsid w:val="004A6ECE"/>
    <w:rsid w:val="004A6FE6"/>
    <w:rsid w:val="004A7907"/>
    <w:rsid w:val="004B31F7"/>
    <w:rsid w:val="004B32ED"/>
    <w:rsid w:val="004B50BF"/>
    <w:rsid w:val="004B523D"/>
    <w:rsid w:val="004B5358"/>
    <w:rsid w:val="004B53AF"/>
    <w:rsid w:val="004B590F"/>
    <w:rsid w:val="004C1FAD"/>
    <w:rsid w:val="004C38EA"/>
    <w:rsid w:val="004C6AEA"/>
    <w:rsid w:val="004D06C2"/>
    <w:rsid w:val="004D1E83"/>
    <w:rsid w:val="004D39B1"/>
    <w:rsid w:val="004D5E45"/>
    <w:rsid w:val="004E1632"/>
    <w:rsid w:val="004E1C71"/>
    <w:rsid w:val="004E2245"/>
    <w:rsid w:val="004E4C07"/>
    <w:rsid w:val="004E6D11"/>
    <w:rsid w:val="004E7EAB"/>
    <w:rsid w:val="004F0C24"/>
    <w:rsid w:val="004F34F6"/>
    <w:rsid w:val="004F427D"/>
    <w:rsid w:val="004F4E43"/>
    <w:rsid w:val="004F4FDD"/>
    <w:rsid w:val="004F55F6"/>
    <w:rsid w:val="004F5E06"/>
    <w:rsid w:val="00500E7E"/>
    <w:rsid w:val="00504F21"/>
    <w:rsid w:val="005060E0"/>
    <w:rsid w:val="00507E46"/>
    <w:rsid w:val="00513619"/>
    <w:rsid w:val="0051477F"/>
    <w:rsid w:val="0051509F"/>
    <w:rsid w:val="005152E5"/>
    <w:rsid w:val="00515427"/>
    <w:rsid w:val="00516060"/>
    <w:rsid w:val="005163B4"/>
    <w:rsid w:val="00516F2E"/>
    <w:rsid w:val="00517F9D"/>
    <w:rsid w:val="005211B9"/>
    <w:rsid w:val="00523E0B"/>
    <w:rsid w:val="005267A9"/>
    <w:rsid w:val="00527E02"/>
    <w:rsid w:val="00527FAF"/>
    <w:rsid w:val="0053040C"/>
    <w:rsid w:val="00532145"/>
    <w:rsid w:val="00532725"/>
    <w:rsid w:val="00532759"/>
    <w:rsid w:val="00532BEE"/>
    <w:rsid w:val="005330EA"/>
    <w:rsid w:val="0053664F"/>
    <w:rsid w:val="00540F12"/>
    <w:rsid w:val="005433F9"/>
    <w:rsid w:val="005461A1"/>
    <w:rsid w:val="00552451"/>
    <w:rsid w:val="00553293"/>
    <w:rsid w:val="0055406A"/>
    <w:rsid w:val="00555C4A"/>
    <w:rsid w:val="00556113"/>
    <w:rsid w:val="005567EB"/>
    <w:rsid w:val="00556908"/>
    <w:rsid w:val="005579B8"/>
    <w:rsid w:val="0056128B"/>
    <w:rsid w:val="0056171F"/>
    <w:rsid w:val="0056226B"/>
    <w:rsid w:val="00562946"/>
    <w:rsid w:val="00562A8F"/>
    <w:rsid w:val="005630EA"/>
    <w:rsid w:val="00563395"/>
    <w:rsid w:val="0056611C"/>
    <w:rsid w:val="00570E42"/>
    <w:rsid w:val="0057167F"/>
    <w:rsid w:val="00572ADF"/>
    <w:rsid w:val="005731BE"/>
    <w:rsid w:val="00581D1C"/>
    <w:rsid w:val="00583823"/>
    <w:rsid w:val="00583A6A"/>
    <w:rsid w:val="00583B2D"/>
    <w:rsid w:val="0058746B"/>
    <w:rsid w:val="00590175"/>
    <w:rsid w:val="00591A94"/>
    <w:rsid w:val="00592F47"/>
    <w:rsid w:val="0059471F"/>
    <w:rsid w:val="00595444"/>
    <w:rsid w:val="00596A22"/>
    <w:rsid w:val="005A1C64"/>
    <w:rsid w:val="005A272D"/>
    <w:rsid w:val="005A2937"/>
    <w:rsid w:val="005A2F15"/>
    <w:rsid w:val="005A394E"/>
    <w:rsid w:val="005A3A4F"/>
    <w:rsid w:val="005A56FC"/>
    <w:rsid w:val="005A5838"/>
    <w:rsid w:val="005A6AAB"/>
    <w:rsid w:val="005A74B5"/>
    <w:rsid w:val="005B1EB3"/>
    <w:rsid w:val="005B2A7E"/>
    <w:rsid w:val="005B347F"/>
    <w:rsid w:val="005B3D7F"/>
    <w:rsid w:val="005B74A2"/>
    <w:rsid w:val="005C0D05"/>
    <w:rsid w:val="005C0DCD"/>
    <w:rsid w:val="005C15BD"/>
    <w:rsid w:val="005C2132"/>
    <w:rsid w:val="005C2327"/>
    <w:rsid w:val="005C4011"/>
    <w:rsid w:val="005C4800"/>
    <w:rsid w:val="005C606E"/>
    <w:rsid w:val="005C6849"/>
    <w:rsid w:val="005C6A65"/>
    <w:rsid w:val="005C6E7A"/>
    <w:rsid w:val="005C7473"/>
    <w:rsid w:val="005D04BB"/>
    <w:rsid w:val="005D06AA"/>
    <w:rsid w:val="005D5CC8"/>
    <w:rsid w:val="005D6768"/>
    <w:rsid w:val="005D6939"/>
    <w:rsid w:val="005D75B6"/>
    <w:rsid w:val="005D798F"/>
    <w:rsid w:val="005D7E76"/>
    <w:rsid w:val="005E58EF"/>
    <w:rsid w:val="005E6F5E"/>
    <w:rsid w:val="005E7E57"/>
    <w:rsid w:val="005F1051"/>
    <w:rsid w:val="005F1701"/>
    <w:rsid w:val="005F55A2"/>
    <w:rsid w:val="005F5ABA"/>
    <w:rsid w:val="005F63FE"/>
    <w:rsid w:val="005F6B5A"/>
    <w:rsid w:val="006001CF"/>
    <w:rsid w:val="00601733"/>
    <w:rsid w:val="00606F89"/>
    <w:rsid w:val="00610743"/>
    <w:rsid w:val="006110E2"/>
    <w:rsid w:val="006129E0"/>
    <w:rsid w:val="00616494"/>
    <w:rsid w:val="006177B9"/>
    <w:rsid w:val="00621790"/>
    <w:rsid w:val="00621F9E"/>
    <w:rsid w:val="00622667"/>
    <w:rsid w:val="0062490B"/>
    <w:rsid w:val="00624B5A"/>
    <w:rsid w:val="00626060"/>
    <w:rsid w:val="006263EE"/>
    <w:rsid w:val="006264E9"/>
    <w:rsid w:val="00630CC8"/>
    <w:rsid w:val="006317B5"/>
    <w:rsid w:val="00633548"/>
    <w:rsid w:val="006351DC"/>
    <w:rsid w:val="00635BCC"/>
    <w:rsid w:val="006403A5"/>
    <w:rsid w:val="00640B92"/>
    <w:rsid w:val="00641342"/>
    <w:rsid w:val="00641A0F"/>
    <w:rsid w:val="00643E14"/>
    <w:rsid w:val="00645F4A"/>
    <w:rsid w:val="006466E2"/>
    <w:rsid w:val="006528FC"/>
    <w:rsid w:val="006579A0"/>
    <w:rsid w:val="00660B67"/>
    <w:rsid w:val="0066337D"/>
    <w:rsid w:val="00663FE2"/>
    <w:rsid w:val="0066539C"/>
    <w:rsid w:val="006669AF"/>
    <w:rsid w:val="00671AC6"/>
    <w:rsid w:val="00671AFD"/>
    <w:rsid w:val="00672963"/>
    <w:rsid w:val="00675B6D"/>
    <w:rsid w:val="006834DE"/>
    <w:rsid w:val="00685EE6"/>
    <w:rsid w:val="00690549"/>
    <w:rsid w:val="00690D8D"/>
    <w:rsid w:val="006910AB"/>
    <w:rsid w:val="006912A0"/>
    <w:rsid w:val="00691847"/>
    <w:rsid w:val="00692645"/>
    <w:rsid w:val="00692720"/>
    <w:rsid w:val="00692771"/>
    <w:rsid w:val="00692B90"/>
    <w:rsid w:val="006945A0"/>
    <w:rsid w:val="00694A0F"/>
    <w:rsid w:val="00694C37"/>
    <w:rsid w:val="006A1463"/>
    <w:rsid w:val="006A298B"/>
    <w:rsid w:val="006A3DBE"/>
    <w:rsid w:val="006A4861"/>
    <w:rsid w:val="006A5224"/>
    <w:rsid w:val="006B0A79"/>
    <w:rsid w:val="006B1110"/>
    <w:rsid w:val="006B257F"/>
    <w:rsid w:val="006B5086"/>
    <w:rsid w:val="006B533A"/>
    <w:rsid w:val="006B5943"/>
    <w:rsid w:val="006C4875"/>
    <w:rsid w:val="006C761C"/>
    <w:rsid w:val="006D19E6"/>
    <w:rsid w:val="006D1E27"/>
    <w:rsid w:val="006D66A4"/>
    <w:rsid w:val="006D78FA"/>
    <w:rsid w:val="006E12FF"/>
    <w:rsid w:val="006E2A16"/>
    <w:rsid w:val="006E2D65"/>
    <w:rsid w:val="006E32B5"/>
    <w:rsid w:val="006E39D4"/>
    <w:rsid w:val="006E5451"/>
    <w:rsid w:val="006E54BA"/>
    <w:rsid w:val="006F2478"/>
    <w:rsid w:val="006F3A88"/>
    <w:rsid w:val="006F3F34"/>
    <w:rsid w:val="006F541E"/>
    <w:rsid w:val="0070296C"/>
    <w:rsid w:val="0070388B"/>
    <w:rsid w:val="00704125"/>
    <w:rsid w:val="007042F6"/>
    <w:rsid w:val="00704F10"/>
    <w:rsid w:val="00706F04"/>
    <w:rsid w:val="00706FDC"/>
    <w:rsid w:val="00707C5B"/>
    <w:rsid w:val="00710466"/>
    <w:rsid w:val="00711D07"/>
    <w:rsid w:val="0071214F"/>
    <w:rsid w:val="007137D3"/>
    <w:rsid w:val="00715440"/>
    <w:rsid w:val="007168FE"/>
    <w:rsid w:val="007171AE"/>
    <w:rsid w:val="00721B21"/>
    <w:rsid w:val="00721E28"/>
    <w:rsid w:val="007222AC"/>
    <w:rsid w:val="00722C5A"/>
    <w:rsid w:val="0072327E"/>
    <w:rsid w:val="00723D5E"/>
    <w:rsid w:val="00723DB1"/>
    <w:rsid w:val="00724625"/>
    <w:rsid w:val="00725216"/>
    <w:rsid w:val="0072526C"/>
    <w:rsid w:val="00725985"/>
    <w:rsid w:val="00725EFC"/>
    <w:rsid w:val="00725F91"/>
    <w:rsid w:val="007261C9"/>
    <w:rsid w:val="00727476"/>
    <w:rsid w:val="007321EE"/>
    <w:rsid w:val="00732299"/>
    <w:rsid w:val="00732D37"/>
    <w:rsid w:val="00732E1E"/>
    <w:rsid w:val="007331FC"/>
    <w:rsid w:val="00734CC6"/>
    <w:rsid w:val="0073520B"/>
    <w:rsid w:val="00735369"/>
    <w:rsid w:val="00737787"/>
    <w:rsid w:val="00742228"/>
    <w:rsid w:val="00742B87"/>
    <w:rsid w:val="00743156"/>
    <w:rsid w:val="00745D22"/>
    <w:rsid w:val="00745F3D"/>
    <w:rsid w:val="007464C1"/>
    <w:rsid w:val="00747370"/>
    <w:rsid w:val="00747C31"/>
    <w:rsid w:val="00750348"/>
    <w:rsid w:val="00751B0F"/>
    <w:rsid w:val="0075220D"/>
    <w:rsid w:val="007522A2"/>
    <w:rsid w:val="00753DE7"/>
    <w:rsid w:val="0075511A"/>
    <w:rsid w:val="007553B9"/>
    <w:rsid w:val="007553F0"/>
    <w:rsid w:val="00756761"/>
    <w:rsid w:val="00760EC7"/>
    <w:rsid w:val="00761231"/>
    <w:rsid w:val="00761B9D"/>
    <w:rsid w:val="0076249E"/>
    <w:rsid w:val="007634BF"/>
    <w:rsid w:val="00763CD0"/>
    <w:rsid w:val="00763EB8"/>
    <w:rsid w:val="007704EB"/>
    <w:rsid w:val="00771E73"/>
    <w:rsid w:val="00772B52"/>
    <w:rsid w:val="00775370"/>
    <w:rsid w:val="00775DE1"/>
    <w:rsid w:val="00780A47"/>
    <w:rsid w:val="00780A59"/>
    <w:rsid w:val="00781150"/>
    <w:rsid w:val="0078330F"/>
    <w:rsid w:val="0078346F"/>
    <w:rsid w:val="007835B6"/>
    <w:rsid w:val="007847A7"/>
    <w:rsid w:val="00787BD7"/>
    <w:rsid w:val="00791A7A"/>
    <w:rsid w:val="00792B9D"/>
    <w:rsid w:val="00792C05"/>
    <w:rsid w:val="00793EB3"/>
    <w:rsid w:val="00794734"/>
    <w:rsid w:val="007A1AB1"/>
    <w:rsid w:val="007C116A"/>
    <w:rsid w:val="007C3E5F"/>
    <w:rsid w:val="007C4E46"/>
    <w:rsid w:val="007C5639"/>
    <w:rsid w:val="007D1BB6"/>
    <w:rsid w:val="007D37D3"/>
    <w:rsid w:val="007D48D4"/>
    <w:rsid w:val="007D4C47"/>
    <w:rsid w:val="007E0422"/>
    <w:rsid w:val="007E0789"/>
    <w:rsid w:val="007E21C1"/>
    <w:rsid w:val="007E2901"/>
    <w:rsid w:val="007E2D43"/>
    <w:rsid w:val="007E4C4E"/>
    <w:rsid w:val="007E50DE"/>
    <w:rsid w:val="007E74A1"/>
    <w:rsid w:val="007E765D"/>
    <w:rsid w:val="007F31EF"/>
    <w:rsid w:val="007F7CB0"/>
    <w:rsid w:val="00800B84"/>
    <w:rsid w:val="00801461"/>
    <w:rsid w:val="00804227"/>
    <w:rsid w:val="00804C84"/>
    <w:rsid w:val="00805622"/>
    <w:rsid w:val="008125C8"/>
    <w:rsid w:val="00812992"/>
    <w:rsid w:val="008144E1"/>
    <w:rsid w:val="00815D89"/>
    <w:rsid w:val="00815FD8"/>
    <w:rsid w:val="00816A93"/>
    <w:rsid w:val="0082060D"/>
    <w:rsid w:val="0082230F"/>
    <w:rsid w:val="008253F3"/>
    <w:rsid w:val="00825A1C"/>
    <w:rsid w:val="00826B87"/>
    <w:rsid w:val="0082762B"/>
    <w:rsid w:val="00831ED3"/>
    <w:rsid w:val="00834409"/>
    <w:rsid w:val="008348BA"/>
    <w:rsid w:val="00845DF0"/>
    <w:rsid w:val="00846AD4"/>
    <w:rsid w:val="00846F85"/>
    <w:rsid w:val="0084773F"/>
    <w:rsid w:val="00850D87"/>
    <w:rsid w:val="00852284"/>
    <w:rsid w:val="008534E3"/>
    <w:rsid w:val="008537F6"/>
    <w:rsid w:val="00854DF4"/>
    <w:rsid w:val="00854FFD"/>
    <w:rsid w:val="00856E74"/>
    <w:rsid w:val="008579FA"/>
    <w:rsid w:val="0086127A"/>
    <w:rsid w:val="00862857"/>
    <w:rsid w:val="008657D5"/>
    <w:rsid w:val="00867744"/>
    <w:rsid w:val="00870C89"/>
    <w:rsid w:val="0087108A"/>
    <w:rsid w:val="0087207B"/>
    <w:rsid w:val="00876539"/>
    <w:rsid w:val="0088375A"/>
    <w:rsid w:val="008852F9"/>
    <w:rsid w:val="00885AD0"/>
    <w:rsid w:val="00886DCF"/>
    <w:rsid w:val="00887B7F"/>
    <w:rsid w:val="00887FC5"/>
    <w:rsid w:val="00894841"/>
    <w:rsid w:val="00894A5B"/>
    <w:rsid w:val="00896C7B"/>
    <w:rsid w:val="008A12DF"/>
    <w:rsid w:val="008A1AED"/>
    <w:rsid w:val="008A21C0"/>
    <w:rsid w:val="008A3ADA"/>
    <w:rsid w:val="008A4660"/>
    <w:rsid w:val="008A55A7"/>
    <w:rsid w:val="008A5B6C"/>
    <w:rsid w:val="008A6100"/>
    <w:rsid w:val="008A7180"/>
    <w:rsid w:val="008B12A5"/>
    <w:rsid w:val="008B2390"/>
    <w:rsid w:val="008B4A6F"/>
    <w:rsid w:val="008B5AF4"/>
    <w:rsid w:val="008B76FB"/>
    <w:rsid w:val="008C0026"/>
    <w:rsid w:val="008C31B7"/>
    <w:rsid w:val="008C321C"/>
    <w:rsid w:val="008C3336"/>
    <w:rsid w:val="008C5B10"/>
    <w:rsid w:val="008C60D2"/>
    <w:rsid w:val="008C6B04"/>
    <w:rsid w:val="008C6C1B"/>
    <w:rsid w:val="008C7635"/>
    <w:rsid w:val="008C76FC"/>
    <w:rsid w:val="008C7FFA"/>
    <w:rsid w:val="008D36E2"/>
    <w:rsid w:val="008D3F5B"/>
    <w:rsid w:val="008D4AB5"/>
    <w:rsid w:val="008D5237"/>
    <w:rsid w:val="008D57DD"/>
    <w:rsid w:val="008D5CD8"/>
    <w:rsid w:val="008D5F1B"/>
    <w:rsid w:val="008D7C09"/>
    <w:rsid w:val="008D7CA9"/>
    <w:rsid w:val="008E0014"/>
    <w:rsid w:val="008E016E"/>
    <w:rsid w:val="008E0F4C"/>
    <w:rsid w:val="008E1539"/>
    <w:rsid w:val="008E2FAB"/>
    <w:rsid w:val="008E41C6"/>
    <w:rsid w:val="008E4B5F"/>
    <w:rsid w:val="008E58A4"/>
    <w:rsid w:val="008E5A52"/>
    <w:rsid w:val="008E71A6"/>
    <w:rsid w:val="008F0885"/>
    <w:rsid w:val="008F245F"/>
    <w:rsid w:val="008F24C6"/>
    <w:rsid w:val="008F38FB"/>
    <w:rsid w:val="008F3E7F"/>
    <w:rsid w:val="008F3EEE"/>
    <w:rsid w:val="008F58C6"/>
    <w:rsid w:val="008F6A37"/>
    <w:rsid w:val="009009C2"/>
    <w:rsid w:val="00900E15"/>
    <w:rsid w:val="00900E6C"/>
    <w:rsid w:val="00901055"/>
    <w:rsid w:val="009010C2"/>
    <w:rsid w:val="00901CF0"/>
    <w:rsid w:val="00902539"/>
    <w:rsid w:val="009033F7"/>
    <w:rsid w:val="00905D7E"/>
    <w:rsid w:val="0090605A"/>
    <w:rsid w:val="009064B8"/>
    <w:rsid w:val="009064D6"/>
    <w:rsid w:val="00910EB7"/>
    <w:rsid w:val="00912B87"/>
    <w:rsid w:val="00913488"/>
    <w:rsid w:val="00913F02"/>
    <w:rsid w:val="00916CCF"/>
    <w:rsid w:val="009171FE"/>
    <w:rsid w:val="0092086C"/>
    <w:rsid w:val="009220D8"/>
    <w:rsid w:val="00922FB5"/>
    <w:rsid w:val="00924741"/>
    <w:rsid w:val="009255A7"/>
    <w:rsid w:val="00925CF8"/>
    <w:rsid w:val="00931D70"/>
    <w:rsid w:val="00933C47"/>
    <w:rsid w:val="00934FD1"/>
    <w:rsid w:val="009351C8"/>
    <w:rsid w:val="00935940"/>
    <w:rsid w:val="0093776F"/>
    <w:rsid w:val="0094175A"/>
    <w:rsid w:val="0094181A"/>
    <w:rsid w:val="009433EE"/>
    <w:rsid w:val="00943626"/>
    <w:rsid w:val="00944DFA"/>
    <w:rsid w:val="00945AA7"/>
    <w:rsid w:val="00945E30"/>
    <w:rsid w:val="00946672"/>
    <w:rsid w:val="009467B9"/>
    <w:rsid w:val="00947956"/>
    <w:rsid w:val="00947CE6"/>
    <w:rsid w:val="00950F36"/>
    <w:rsid w:val="00953A4F"/>
    <w:rsid w:val="00953BFB"/>
    <w:rsid w:val="00956EC0"/>
    <w:rsid w:val="00957951"/>
    <w:rsid w:val="00962C6B"/>
    <w:rsid w:val="00966184"/>
    <w:rsid w:val="00966FC9"/>
    <w:rsid w:val="0096704E"/>
    <w:rsid w:val="00975BC4"/>
    <w:rsid w:val="0097778D"/>
    <w:rsid w:val="00977D3C"/>
    <w:rsid w:val="00977DC6"/>
    <w:rsid w:val="009820F8"/>
    <w:rsid w:val="0098238E"/>
    <w:rsid w:val="00984A49"/>
    <w:rsid w:val="00987C1E"/>
    <w:rsid w:val="00993D9B"/>
    <w:rsid w:val="009947E7"/>
    <w:rsid w:val="00994B07"/>
    <w:rsid w:val="00995774"/>
    <w:rsid w:val="00997D47"/>
    <w:rsid w:val="009A0C58"/>
    <w:rsid w:val="009A1D36"/>
    <w:rsid w:val="009A2AFF"/>
    <w:rsid w:val="009A6918"/>
    <w:rsid w:val="009A71C9"/>
    <w:rsid w:val="009B3992"/>
    <w:rsid w:val="009B6516"/>
    <w:rsid w:val="009B6D04"/>
    <w:rsid w:val="009B777C"/>
    <w:rsid w:val="009C180E"/>
    <w:rsid w:val="009C2B09"/>
    <w:rsid w:val="009C3C53"/>
    <w:rsid w:val="009C41F9"/>
    <w:rsid w:val="009C6C28"/>
    <w:rsid w:val="009C7802"/>
    <w:rsid w:val="009D0275"/>
    <w:rsid w:val="009D3AF8"/>
    <w:rsid w:val="009D3B86"/>
    <w:rsid w:val="009D3FBE"/>
    <w:rsid w:val="009D46EF"/>
    <w:rsid w:val="009D4EBA"/>
    <w:rsid w:val="009E166B"/>
    <w:rsid w:val="009E1BE5"/>
    <w:rsid w:val="009E5E56"/>
    <w:rsid w:val="009E70CE"/>
    <w:rsid w:val="009F05B9"/>
    <w:rsid w:val="009F0D56"/>
    <w:rsid w:val="009F17A9"/>
    <w:rsid w:val="009F2865"/>
    <w:rsid w:val="009F2887"/>
    <w:rsid w:val="009F2977"/>
    <w:rsid w:val="009F2BC9"/>
    <w:rsid w:val="009F3160"/>
    <w:rsid w:val="009F4B8B"/>
    <w:rsid w:val="009F4CD9"/>
    <w:rsid w:val="009F6670"/>
    <w:rsid w:val="00A006AD"/>
    <w:rsid w:val="00A018DF"/>
    <w:rsid w:val="00A05AE0"/>
    <w:rsid w:val="00A05B9B"/>
    <w:rsid w:val="00A0663C"/>
    <w:rsid w:val="00A07A65"/>
    <w:rsid w:val="00A11A2E"/>
    <w:rsid w:val="00A11D2A"/>
    <w:rsid w:val="00A14612"/>
    <w:rsid w:val="00A150C6"/>
    <w:rsid w:val="00A152DC"/>
    <w:rsid w:val="00A15F83"/>
    <w:rsid w:val="00A1708A"/>
    <w:rsid w:val="00A17C8F"/>
    <w:rsid w:val="00A20107"/>
    <w:rsid w:val="00A21A3E"/>
    <w:rsid w:val="00A235AE"/>
    <w:rsid w:val="00A26589"/>
    <w:rsid w:val="00A268EF"/>
    <w:rsid w:val="00A26B26"/>
    <w:rsid w:val="00A27E10"/>
    <w:rsid w:val="00A30592"/>
    <w:rsid w:val="00A325A5"/>
    <w:rsid w:val="00A32BC3"/>
    <w:rsid w:val="00A34F3B"/>
    <w:rsid w:val="00A36A25"/>
    <w:rsid w:val="00A37451"/>
    <w:rsid w:val="00A37C09"/>
    <w:rsid w:val="00A40FCB"/>
    <w:rsid w:val="00A43EFE"/>
    <w:rsid w:val="00A44BFB"/>
    <w:rsid w:val="00A45BD3"/>
    <w:rsid w:val="00A462B2"/>
    <w:rsid w:val="00A46483"/>
    <w:rsid w:val="00A468B5"/>
    <w:rsid w:val="00A46D50"/>
    <w:rsid w:val="00A47833"/>
    <w:rsid w:val="00A50BB2"/>
    <w:rsid w:val="00A50D2F"/>
    <w:rsid w:val="00A511D0"/>
    <w:rsid w:val="00A537A5"/>
    <w:rsid w:val="00A543AD"/>
    <w:rsid w:val="00A54E21"/>
    <w:rsid w:val="00A55E81"/>
    <w:rsid w:val="00A57D21"/>
    <w:rsid w:val="00A60A84"/>
    <w:rsid w:val="00A615B2"/>
    <w:rsid w:val="00A62B45"/>
    <w:rsid w:val="00A647E5"/>
    <w:rsid w:val="00A666D2"/>
    <w:rsid w:val="00A669D8"/>
    <w:rsid w:val="00A70534"/>
    <w:rsid w:val="00A711D0"/>
    <w:rsid w:val="00A711E0"/>
    <w:rsid w:val="00A728CD"/>
    <w:rsid w:val="00A76C65"/>
    <w:rsid w:val="00A82BB9"/>
    <w:rsid w:val="00A85A5B"/>
    <w:rsid w:val="00A90FA0"/>
    <w:rsid w:val="00A92B32"/>
    <w:rsid w:val="00A951DC"/>
    <w:rsid w:val="00A95B50"/>
    <w:rsid w:val="00A95F73"/>
    <w:rsid w:val="00A97ADB"/>
    <w:rsid w:val="00A97C3E"/>
    <w:rsid w:val="00A97CBF"/>
    <w:rsid w:val="00AA0DAF"/>
    <w:rsid w:val="00AA49BC"/>
    <w:rsid w:val="00AA635F"/>
    <w:rsid w:val="00AA6B25"/>
    <w:rsid w:val="00AA6C45"/>
    <w:rsid w:val="00AB12DE"/>
    <w:rsid w:val="00AB2E11"/>
    <w:rsid w:val="00AB557E"/>
    <w:rsid w:val="00AB6652"/>
    <w:rsid w:val="00AB6D0A"/>
    <w:rsid w:val="00AB7A16"/>
    <w:rsid w:val="00AB7C17"/>
    <w:rsid w:val="00AC28E2"/>
    <w:rsid w:val="00AC2D06"/>
    <w:rsid w:val="00AC4BD4"/>
    <w:rsid w:val="00AC6243"/>
    <w:rsid w:val="00AD00CE"/>
    <w:rsid w:val="00AD1299"/>
    <w:rsid w:val="00AD343E"/>
    <w:rsid w:val="00AD39F4"/>
    <w:rsid w:val="00AD4AB7"/>
    <w:rsid w:val="00AD4D1D"/>
    <w:rsid w:val="00AE0060"/>
    <w:rsid w:val="00AE11D3"/>
    <w:rsid w:val="00AE18E7"/>
    <w:rsid w:val="00AE1BF4"/>
    <w:rsid w:val="00AE213D"/>
    <w:rsid w:val="00AE290E"/>
    <w:rsid w:val="00AE3249"/>
    <w:rsid w:val="00AE436C"/>
    <w:rsid w:val="00AE446A"/>
    <w:rsid w:val="00AE4F75"/>
    <w:rsid w:val="00AE5C6D"/>
    <w:rsid w:val="00AE5E6A"/>
    <w:rsid w:val="00AE6BF9"/>
    <w:rsid w:val="00AF097C"/>
    <w:rsid w:val="00AF27D8"/>
    <w:rsid w:val="00AF3E5D"/>
    <w:rsid w:val="00AF405A"/>
    <w:rsid w:val="00AF64FF"/>
    <w:rsid w:val="00AF6645"/>
    <w:rsid w:val="00B00596"/>
    <w:rsid w:val="00B02A26"/>
    <w:rsid w:val="00B05480"/>
    <w:rsid w:val="00B068F8"/>
    <w:rsid w:val="00B07A8E"/>
    <w:rsid w:val="00B14ECA"/>
    <w:rsid w:val="00B16EF4"/>
    <w:rsid w:val="00B17212"/>
    <w:rsid w:val="00B20CF5"/>
    <w:rsid w:val="00B2115F"/>
    <w:rsid w:val="00B21AA3"/>
    <w:rsid w:val="00B21D19"/>
    <w:rsid w:val="00B21D49"/>
    <w:rsid w:val="00B230F7"/>
    <w:rsid w:val="00B2322B"/>
    <w:rsid w:val="00B236FA"/>
    <w:rsid w:val="00B26556"/>
    <w:rsid w:val="00B27D10"/>
    <w:rsid w:val="00B34BBD"/>
    <w:rsid w:val="00B35F1C"/>
    <w:rsid w:val="00B3615E"/>
    <w:rsid w:val="00B36E6D"/>
    <w:rsid w:val="00B40DD0"/>
    <w:rsid w:val="00B42261"/>
    <w:rsid w:val="00B4333E"/>
    <w:rsid w:val="00B43F11"/>
    <w:rsid w:val="00B44BF7"/>
    <w:rsid w:val="00B44DF1"/>
    <w:rsid w:val="00B45D09"/>
    <w:rsid w:val="00B47917"/>
    <w:rsid w:val="00B47C4B"/>
    <w:rsid w:val="00B51CC3"/>
    <w:rsid w:val="00B52C44"/>
    <w:rsid w:val="00B52D42"/>
    <w:rsid w:val="00B5343C"/>
    <w:rsid w:val="00B54E66"/>
    <w:rsid w:val="00B54F83"/>
    <w:rsid w:val="00B57359"/>
    <w:rsid w:val="00B6079A"/>
    <w:rsid w:val="00B627AC"/>
    <w:rsid w:val="00B63885"/>
    <w:rsid w:val="00B63FA7"/>
    <w:rsid w:val="00B64A02"/>
    <w:rsid w:val="00B671CF"/>
    <w:rsid w:val="00B67962"/>
    <w:rsid w:val="00B70CAC"/>
    <w:rsid w:val="00B70D16"/>
    <w:rsid w:val="00B71763"/>
    <w:rsid w:val="00B77BDC"/>
    <w:rsid w:val="00B80B96"/>
    <w:rsid w:val="00B80EF2"/>
    <w:rsid w:val="00B830D8"/>
    <w:rsid w:val="00B83BEA"/>
    <w:rsid w:val="00B853D0"/>
    <w:rsid w:val="00B85825"/>
    <w:rsid w:val="00B8733E"/>
    <w:rsid w:val="00B87814"/>
    <w:rsid w:val="00B90504"/>
    <w:rsid w:val="00B907AC"/>
    <w:rsid w:val="00B91E74"/>
    <w:rsid w:val="00B938EC"/>
    <w:rsid w:val="00B96D10"/>
    <w:rsid w:val="00BA0D0C"/>
    <w:rsid w:val="00BA1883"/>
    <w:rsid w:val="00BA39C7"/>
    <w:rsid w:val="00BB0282"/>
    <w:rsid w:val="00BB308B"/>
    <w:rsid w:val="00BB473C"/>
    <w:rsid w:val="00BB473D"/>
    <w:rsid w:val="00BB5ACD"/>
    <w:rsid w:val="00BB5D58"/>
    <w:rsid w:val="00BB5D8E"/>
    <w:rsid w:val="00BC0851"/>
    <w:rsid w:val="00BC14D8"/>
    <w:rsid w:val="00BC45ED"/>
    <w:rsid w:val="00BC5BB6"/>
    <w:rsid w:val="00BC636A"/>
    <w:rsid w:val="00BC720A"/>
    <w:rsid w:val="00BD20D7"/>
    <w:rsid w:val="00BD21F3"/>
    <w:rsid w:val="00BD2317"/>
    <w:rsid w:val="00BD35A0"/>
    <w:rsid w:val="00BD3A1F"/>
    <w:rsid w:val="00BD4845"/>
    <w:rsid w:val="00BD6BBE"/>
    <w:rsid w:val="00BE1677"/>
    <w:rsid w:val="00BE34B2"/>
    <w:rsid w:val="00BE643A"/>
    <w:rsid w:val="00BF094C"/>
    <w:rsid w:val="00BF2E06"/>
    <w:rsid w:val="00BF3EAA"/>
    <w:rsid w:val="00BF6177"/>
    <w:rsid w:val="00BF7CAE"/>
    <w:rsid w:val="00C03D14"/>
    <w:rsid w:val="00C04849"/>
    <w:rsid w:val="00C10BA2"/>
    <w:rsid w:val="00C1149E"/>
    <w:rsid w:val="00C127E6"/>
    <w:rsid w:val="00C131A4"/>
    <w:rsid w:val="00C1582D"/>
    <w:rsid w:val="00C226FF"/>
    <w:rsid w:val="00C2347B"/>
    <w:rsid w:val="00C2486B"/>
    <w:rsid w:val="00C24C23"/>
    <w:rsid w:val="00C2591B"/>
    <w:rsid w:val="00C25AB6"/>
    <w:rsid w:val="00C26F04"/>
    <w:rsid w:val="00C315B9"/>
    <w:rsid w:val="00C32CD0"/>
    <w:rsid w:val="00C3453B"/>
    <w:rsid w:val="00C34D4D"/>
    <w:rsid w:val="00C36281"/>
    <w:rsid w:val="00C36A62"/>
    <w:rsid w:val="00C37489"/>
    <w:rsid w:val="00C4005D"/>
    <w:rsid w:val="00C40097"/>
    <w:rsid w:val="00C40A17"/>
    <w:rsid w:val="00C40EC1"/>
    <w:rsid w:val="00C4288D"/>
    <w:rsid w:val="00C441C0"/>
    <w:rsid w:val="00C4623A"/>
    <w:rsid w:val="00C47491"/>
    <w:rsid w:val="00C531FE"/>
    <w:rsid w:val="00C533D6"/>
    <w:rsid w:val="00C56F5E"/>
    <w:rsid w:val="00C572F2"/>
    <w:rsid w:val="00C5750E"/>
    <w:rsid w:val="00C575C2"/>
    <w:rsid w:val="00C6193B"/>
    <w:rsid w:val="00C6197C"/>
    <w:rsid w:val="00C64F0E"/>
    <w:rsid w:val="00C657C5"/>
    <w:rsid w:val="00C661D7"/>
    <w:rsid w:val="00C67BC4"/>
    <w:rsid w:val="00C707DB"/>
    <w:rsid w:val="00C71259"/>
    <w:rsid w:val="00C717E8"/>
    <w:rsid w:val="00C73072"/>
    <w:rsid w:val="00C73E53"/>
    <w:rsid w:val="00C74212"/>
    <w:rsid w:val="00C757B6"/>
    <w:rsid w:val="00C76C98"/>
    <w:rsid w:val="00C76FCA"/>
    <w:rsid w:val="00C77BFF"/>
    <w:rsid w:val="00C80F13"/>
    <w:rsid w:val="00C84C42"/>
    <w:rsid w:val="00C84C4B"/>
    <w:rsid w:val="00C859DC"/>
    <w:rsid w:val="00C863A8"/>
    <w:rsid w:val="00C86822"/>
    <w:rsid w:val="00C878BA"/>
    <w:rsid w:val="00C87D89"/>
    <w:rsid w:val="00C9332E"/>
    <w:rsid w:val="00C942F3"/>
    <w:rsid w:val="00C95707"/>
    <w:rsid w:val="00C957A7"/>
    <w:rsid w:val="00C97DFC"/>
    <w:rsid w:val="00CA128B"/>
    <w:rsid w:val="00CA1F09"/>
    <w:rsid w:val="00CA2965"/>
    <w:rsid w:val="00CA39CD"/>
    <w:rsid w:val="00CA3C73"/>
    <w:rsid w:val="00CA4A4C"/>
    <w:rsid w:val="00CA5A13"/>
    <w:rsid w:val="00CA63A0"/>
    <w:rsid w:val="00CA6BAA"/>
    <w:rsid w:val="00CB0D90"/>
    <w:rsid w:val="00CB1136"/>
    <w:rsid w:val="00CB2E3E"/>
    <w:rsid w:val="00CB3341"/>
    <w:rsid w:val="00CB41AF"/>
    <w:rsid w:val="00CB4FAC"/>
    <w:rsid w:val="00CB6665"/>
    <w:rsid w:val="00CC384F"/>
    <w:rsid w:val="00CC3A04"/>
    <w:rsid w:val="00CC3F37"/>
    <w:rsid w:val="00CC4995"/>
    <w:rsid w:val="00CC5E84"/>
    <w:rsid w:val="00CC7A3B"/>
    <w:rsid w:val="00CD0899"/>
    <w:rsid w:val="00CD44E5"/>
    <w:rsid w:val="00CD4C9A"/>
    <w:rsid w:val="00CD70A7"/>
    <w:rsid w:val="00CE0946"/>
    <w:rsid w:val="00CE0C4B"/>
    <w:rsid w:val="00CE21AC"/>
    <w:rsid w:val="00CE2E3B"/>
    <w:rsid w:val="00CE4489"/>
    <w:rsid w:val="00CE7048"/>
    <w:rsid w:val="00CE7E13"/>
    <w:rsid w:val="00CF0D2F"/>
    <w:rsid w:val="00CF1000"/>
    <w:rsid w:val="00CF3A80"/>
    <w:rsid w:val="00D00033"/>
    <w:rsid w:val="00D00095"/>
    <w:rsid w:val="00D006FC"/>
    <w:rsid w:val="00D025C8"/>
    <w:rsid w:val="00D04755"/>
    <w:rsid w:val="00D05994"/>
    <w:rsid w:val="00D07E1B"/>
    <w:rsid w:val="00D1182D"/>
    <w:rsid w:val="00D1406D"/>
    <w:rsid w:val="00D14E2C"/>
    <w:rsid w:val="00D164AE"/>
    <w:rsid w:val="00D2209B"/>
    <w:rsid w:val="00D22A12"/>
    <w:rsid w:val="00D231BE"/>
    <w:rsid w:val="00D23F6A"/>
    <w:rsid w:val="00D24DBE"/>
    <w:rsid w:val="00D264B5"/>
    <w:rsid w:val="00D26946"/>
    <w:rsid w:val="00D26B53"/>
    <w:rsid w:val="00D27732"/>
    <w:rsid w:val="00D27A24"/>
    <w:rsid w:val="00D27C88"/>
    <w:rsid w:val="00D30817"/>
    <w:rsid w:val="00D32A7F"/>
    <w:rsid w:val="00D33FF5"/>
    <w:rsid w:val="00D3445F"/>
    <w:rsid w:val="00D3694E"/>
    <w:rsid w:val="00D36999"/>
    <w:rsid w:val="00D36A32"/>
    <w:rsid w:val="00D36F10"/>
    <w:rsid w:val="00D40621"/>
    <w:rsid w:val="00D40FBF"/>
    <w:rsid w:val="00D41C90"/>
    <w:rsid w:val="00D45BA9"/>
    <w:rsid w:val="00D539EF"/>
    <w:rsid w:val="00D53CC9"/>
    <w:rsid w:val="00D54939"/>
    <w:rsid w:val="00D567A0"/>
    <w:rsid w:val="00D601FC"/>
    <w:rsid w:val="00D623C3"/>
    <w:rsid w:val="00D63032"/>
    <w:rsid w:val="00D63CAE"/>
    <w:rsid w:val="00D65302"/>
    <w:rsid w:val="00D65D4B"/>
    <w:rsid w:val="00D66535"/>
    <w:rsid w:val="00D67FCF"/>
    <w:rsid w:val="00D71FDA"/>
    <w:rsid w:val="00D723BE"/>
    <w:rsid w:val="00D72693"/>
    <w:rsid w:val="00D735CC"/>
    <w:rsid w:val="00D739EF"/>
    <w:rsid w:val="00D73D5A"/>
    <w:rsid w:val="00D74D30"/>
    <w:rsid w:val="00D759FD"/>
    <w:rsid w:val="00D827F9"/>
    <w:rsid w:val="00D82DD9"/>
    <w:rsid w:val="00D84026"/>
    <w:rsid w:val="00D87101"/>
    <w:rsid w:val="00D9354F"/>
    <w:rsid w:val="00D9655E"/>
    <w:rsid w:val="00D971C5"/>
    <w:rsid w:val="00D97356"/>
    <w:rsid w:val="00D97789"/>
    <w:rsid w:val="00D9782C"/>
    <w:rsid w:val="00D97D3A"/>
    <w:rsid w:val="00DA0706"/>
    <w:rsid w:val="00DA0987"/>
    <w:rsid w:val="00DA55BE"/>
    <w:rsid w:val="00DA5649"/>
    <w:rsid w:val="00DA5CB9"/>
    <w:rsid w:val="00DB124C"/>
    <w:rsid w:val="00DB2622"/>
    <w:rsid w:val="00DB266A"/>
    <w:rsid w:val="00DB50AB"/>
    <w:rsid w:val="00DC5081"/>
    <w:rsid w:val="00DC62D9"/>
    <w:rsid w:val="00DD063F"/>
    <w:rsid w:val="00DD1224"/>
    <w:rsid w:val="00DD23B1"/>
    <w:rsid w:val="00DD3237"/>
    <w:rsid w:val="00DD57EE"/>
    <w:rsid w:val="00DD7BA5"/>
    <w:rsid w:val="00DE0171"/>
    <w:rsid w:val="00DE0AC2"/>
    <w:rsid w:val="00DE3394"/>
    <w:rsid w:val="00DE37D8"/>
    <w:rsid w:val="00DE3C40"/>
    <w:rsid w:val="00DE465F"/>
    <w:rsid w:val="00DE5C34"/>
    <w:rsid w:val="00DE5C82"/>
    <w:rsid w:val="00DE5E22"/>
    <w:rsid w:val="00DE693E"/>
    <w:rsid w:val="00DE6F79"/>
    <w:rsid w:val="00DE70C4"/>
    <w:rsid w:val="00DE7648"/>
    <w:rsid w:val="00DE7E1C"/>
    <w:rsid w:val="00DF65DC"/>
    <w:rsid w:val="00DF7589"/>
    <w:rsid w:val="00E02EF7"/>
    <w:rsid w:val="00E03D34"/>
    <w:rsid w:val="00E03DEA"/>
    <w:rsid w:val="00E059FA"/>
    <w:rsid w:val="00E05AB9"/>
    <w:rsid w:val="00E06B2E"/>
    <w:rsid w:val="00E07196"/>
    <w:rsid w:val="00E073D6"/>
    <w:rsid w:val="00E07A10"/>
    <w:rsid w:val="00E108FF"/>
    <w:rsid w:val="00E10D99"/>
    <w:rsid w:val="00E17B4A"/>
    <w:rsid w:val="00E21E8D"/>
    <w:rsid w:val="00E23819"/>
    <w:rsid w:val="00E24284"/>
    <w:rsid w:val="00E2787C"/>
    <w:rsid w:val="00E27EDC"/>
    <w:rsid w:val="00E30550"/>
    <w:rsid w:val="00E3055C"/>
    <w:rsid w:val="00E36B42"/>
    <w:rsid w:val="00E36C8E"/>
    <w:rsid w:val="00E40677"/>
    <w:rsid w:val="00E43609"/>
    <w:rsid w:val="00E4504F"/>
    <w:rsid w:val="00E45E0D"/>
    <w:rsid w:val="00E466F4"/>
    <w:rsid w:val="00E467E8"/>
    <w:rsid w:val="00E50386"/>
    <w:rsid w:val="00E52C87"/>
    <w:rsid w:val="00E52CC2"/>
    <w:rsid w:val="00E53111"/>
    <w:rsid w:val="00E56C41"/>
    <w:rsid w:val="00E63B9B"/>
    <w:rsid w:val="00E63BEA"/>
    <w:rsid w:val="00E641D6"/>
    <w:rsid w:val="00E675E2"/>
    <w:rsid w:val="00E679EC"/>
    <w:rsid w:val="00E7374B"/>
    <w:rsid w:val="00E73D5B"/>
    <w:rsid w:val="00E81CCC"/>
    <w:rsid w:val="00E8218D"/>
    <w:rsid w:val="00E82DC3"/>
    <w:rsid w:val="00E85477"/>
    <w:rsid w:val="00E857CC"/>
    <w:rsid w:val="00E86659"/>
    <w:rsid w:val="00E86FE5"/>
    <w:rsid w:val="00E87C5F"/>
    <w:rsid w:val="00E9016D"/>
    <w:rsid w:val="00E9144E"/>
    <w:rsid w:val="00E91460"/>
    <w:rsid w:val="00E91824"/>
    <w:rsid w:val="00E93E5D"/>
    <w:rsid w:val="00E979E3"/>
    <w:rsid w:val="00EA01E9"/>
    <w:rsid w:val="00EA1D52"/>
    <w:rsid w:val="00EA244C"/>
    <w:rsid w:val="00EA322E"/>
    <w:rsid w:val="00EA3499"/>
    <w:rsid w:val="00EA43A5"/>
    <w:rsid w:val="00EA60D3"/>
    <w:rsid w:val="00EA6DED"/>
    <w:rsid w:val="00EB40A1"/>
    <w:rsid w:val="00EB7027"/>
    <w:rsid w:val="00EC0A48"/>
    <w:rsid w:val="00EC100F"/>
    <w:rsid w:val="00EC3E6C"/>
    <w:rsid w:val="00EC5223"/>
    <w:rsid w:val="00EC646E"/>
    <w:rsid w:val="00ED1AF6"/>
    <w:rsid w:val="00ED45CE"/>
    <w:rsid w:val="00ED5877"/>
    <w:rsid w:val="00ED7B46"/>
    <w:rsid w:val="00EE0155"/>
    <w:rsid w:val="00EE1538"/>
    <w:rsid w:val="00EE28D3"/>
    <w:rsid w:val="00EE571E"/>
    <w:rsid w:val="00EE660F"/>
    <w:rsid w:val="00EE66AA"/>
    <w:rsid w:val="00EF0326"/>
    <w:rsid w:val="00EF04A4"/>
    <w:rsid w:val="00EF0A78"/>
    <w:rsid w:val="00EF26AA"/>
    <w:rsid w:val="00EF3965"/>
    <w:rsid w:val="00EF4C0F"/>
    <w:rsid w:val="00EF6CFF"/>
    <w:rsid w:val="00EF6EA4"/>
    <w:rsid w:val="00EF7DCC"/>
    <w:rsid w:val="00F01530"/>
    <w:rsid w:val="00F01CFC"/>
    <w:rsid w:val="00F0590E"/>
    <w:rsid w:val="00F0626A"/>
    <w:rsid w:val="00F11E82"/>
    <w:rsid w:val="00F12D4A"/>
    <w:rsid w:val="00F13BFE"/>
    <w:rsid w:val="00F155B0"/>
    <w:rsid w:val="00F164A2"/>
    <w:rsid w:val="00F21FAB"/>
    <w:rsid w:val="00F31639"/>
    <w:rsid w:val="00F31EDA"/>
    <w:rsid w:val="00F3311B"/>
    <w:rsid w:val="00F342FD"/>
    <w:rsid w:val="00F344E2"/>
    <w:rsid w:val="00F34B2B"/>
    <w:rsid w:val="00F35C1D"/>
    <w:rsid w:val="00F36D22"/>
    <w:rsid w:val="00F377EC"/>
    <w:rsid w:val="00F37DC6"/>
    <w:rsid w:val="00F404CA"/>
    <w:rsid w:val="00F40638"/>
    <w:rsid w:val="00F40CF7"/>
    <w:rsid w:val="00F40D86"/>
    <w:rsid w:val="00F421BD"/>
    <w:rsid w:val="00F43BD4"/>
    <w:rsid w:val="00F43E8A"/>
    <w:rsid w:val="00F464FC"/>
    <w:rsid w:val="00F50EFD"/>
    <w:rsid w:val="00F51FD7"/>
    <w:rsid w:val="00F55052"/>
    <w:rsid w:val="00F5608A"/>
    <w:rsid w:val="00F563B6"/>
    <w:rsid w:val="00F565FB"/>
    <w:rsid w:val="00F608E1"/>
    <w:rsid w:val="00F63D8F"/>
    <w:rsid w:val="00F644EA"/>
    <w:rsid w:val="00F64A52"/>
    <w:rsid w:val="00F64D0B"/>
    <w:rsid w:val="00F65387"/>
    <w:rsid w:val="00F65D1B"/>
    <w:rsid w:val="00F66CE9"/>
    <w:rsid w:val="00F718C9"/>
    <w:rsid w:val="00F73591"/>
    <w:rsid w:val="00F75275"/>
    <w:rsid w:val="00F75DA9"/>
    <w:rsid w:val="00F76C50"/>
    <w:rsid w:val="00F812D7"/>
    <w:rsid w:val="00F81B1C"/>
    <w:rsid w:val="00F8353E"/>
    <w:rsid w:val="00F842D1"/>
    <w:rsid w:val="00F8475C"/>
    <w:rsid w:val="00F84A12"/>
    <w:rsid w:val="00F854A1"/>
    <w:rsid w:val="00F856C2"/>
    <w:rsid w:val="00F873F5"/>
    <w:rsid w:val="00F9057E"/>
    <w:rsid w:val="00F91541"/>
    <w:rsid w:val="00F91BCE"/>
    <w:rsid w:val="00F91C3E"/>
    <w:rsid w:val="00F92416"/>
    <w:rsid w:val="00F92649"/>
    <w:rsid w:val="00F92929"/>
    <w:rsid w:val="00F92F61"/>
    <w:rsid w:val="00F9368C"/>
    <w:rsid w:val="00F94C79"/>
    <w:rsid w:val="00F9551B"/>
    <w:rsid w:val="00F95D43"/>
    <w:rsid w:val="00F961E8"/>
    <w:rsid w:val="00FA03F1"/>
    <w:rsid w:val="00FA0C9A"/>
    <w:rsid w:val="00FA0D48"/>
    <w:rsid w:val="00FA3347"/>
    <w:rsid w:val="00FA35CB"/>
    <w:rsid w:val="00FA3ADA"/>
    <w:rsid w:val="00FA3E27"/>
    <w:rsid w:val="00FA67B9"/>
    <w:rsid w:val="00FA68B9"/>
    <w:rsid w:val="00FB46F8"/>
    <w:rsid w:val="00FB74A3"/>
    <w:rsid w:val="00FC15F6"/>
    <w:rsid w:val="00FC20BD"/>
    <w:rsid w:val="00FC29A7"/>
    <w:rsid w:val="00FC45D4"/>
    <w:rsid w:val="00FC5735"/>
    <w:rsid w:val="00FC6034"/>
    <w:rsid w:val="00FC7B44"/>
    <w:rsid w:val="00FD19C7"/>
    <w:rsid w:val="00FD45DF"/>
    <w:rsid w:val="00FD4915"/>
    <w:rsid w:val="00FD4B42"/>
    <w:rsid w:val="00FD7E05"/>
    <w:rsid w:val="00FE106B"/>
    <w:rsid w:val="00FE3E28"/>
    <w:rsid w:val="00FE4092"/>
    <w:rsid w:val="00FE4DF8"/>
    <w:rsid w:val="00FE57CB"/>
    <w:rsid w:val="00FE627E"/>
    <w:rsid w:val="00FE63E5"/>
    <w:rsid w:val="00FF29AA"/>
    <w:rsid w:val="00FF2C6E"/>
    <w:rsid w:val="00FF3F89"/>
    <w:rsid w:val="00FF4428"/>
    <w:rsid w:val="00FF4CC4"/>
    <w:rsid w:val="00FF5AC5"/>
    <w:rsid w:val="00FF5AC6"/>
    <w:rsid w:val="00FF5E41"/>
    <w:rsid w:val="00FF7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E03A18A"/>
  <w15:docId w15:val="{E12C9B5E-4157-41B4-BB61-E128615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85"/>
    <w:pPr>
      <w:keepLines/>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463005"/>
    <w:pPr>
      <w:keepNext/>
      <w:spacing w:before="20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hAnsi="Calibri" w:cs="Times New Roman"/>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rsid w:val="009F6670"/>
    <w:pPr>
      <w:numPr>
        <w:ilvl w:val="2"/>
        <w:numId w:val="1"/>
      </w:numPr>
    </w:pPr>
  </w:style>
  <w:style w:type="character" w:customStyle="1" w:styleId="DoubleDotChar">
    <w:name w:val="Double Dot Char"/>
    <w:basedOn w:val="DefaultParagraphFont"/>
    <w:link w:val="DoubleDot"/>
    <w:rsid w:val="009F6670"/>
    <w:rPr>
      <w:rFonts w:ascii="Calibri" w:hAnsi="Calibri" w:cs="Times New Roman"/>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463005"/>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Theme="minorEastAsia" w:hAnsi="Calibri"/>
      <w:b/>
      <w:color w:val="002C47" w:themeColor="accent1"/>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A468B5"/>
    <w:pPr>
      <w:numPr>
        <w:numId w:val="15"/>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FA35CB"/>
    <w:pPr>
      <w:spacing w:before="40" w:after="40" w:line="276" w:lineRule="auto"/>
      <w:jc w:val="center"/>
    </w:pPr>
    <w:rPr>
      <w:rFonts w:asciiTheme="minorHAnsi" w:eastAsia="Times New Roman" w:hAnsiTheme="minorHAnsi" w:cstheme="minorHAnsi"/>
      <w:b/>
      <w:bCs/>
      <w:color w:val="002C47" w:themeColor="accent1"/>
      <w:sz w:val="18"/>
      <w:szCs w:val="18"/>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FA35CB"/>
    <w:pPr>
      <w:spacing w:after="120"/>
      <w:ind w:left="992" w:hanging="992"/>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A468B5"/>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057787"/>
    <w:pPr>
      <w:numPr>
        <w:ilvl w:val="0"/>
        <w:numId w:val="0"/>
      </w:numPr>
      <w:pBdr>
        <w:bottom w:val="dashed" w:sz="4" w:space="1" w:color="002C47" w:themeColor="accent1"/>
      </w:pBdr>
      <w:tabs>
        <w:tab w:val="left" w:pos="596"/>
      </w:tabs>
      <w:ind w:left="596" w:hanging="567"/>
    </w:pPr>
    <w:rPr>
      <w:sz w:val="18"/>
      <w:bdr w:val="none" w:sz="0" w:space="0" w:color="auto" w:frame="1"/>
    </w:rPr>
  </w:style>
  <w:style w:type="character" w:customStyle="1" w:styleId="SourceChar">
    <w:name w:val="Source Char"/>
    <w:basedOn w:val="NormaldashChar"/>
    <w:link w:val="Source"/>
    <w:rsid w:val="00815D89"/>
    <w:rPr>
      <w:rFonts w:ascii="Calibri" w:eastAsiaTheme="minorEastAsia" w:hAnsi="Calibri"/>
      <w:sz w:val="18"/>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eastAsiaTheme="minorEastAsia"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 w:type="paragraph" w:customStyle="1" w:styleId="Chartheading">
    <w:name w:val="Chart heading"/>
    <w:basedOn w:val="Heading9"/>
    <w:link w:val="ChartheadingChar"/>
    <w:qFormat/>
    <w:rsid w:val="00057787"/>
  </w:style>
  <w:style w:type="character" w:customStyle="1" w:styleId="ChartheadingChar">
    <w:name w:val="Chart heading Char"/>
    <w:basedOn w:val="Heading9Char"/>
    <w:link w:val="Chartheading"/>
    <w:rsid w:val="00FA35CB"/>
    <w:rPr>
      <w:rFonts w:ascii="Calibri" w:eastAsia="Calibri" w:hAnsi="Calibri"/>
      <w:b/>
      <w:bCs/>
      <w:smallCaps/>
      <w:color w:val="002C47" w:themeColor="accent1"/>
      <w:sz w:val="20"/>
      <w:szCs w:val="20"/>
    </w:rPr>
  </w:style>
  <w:style w:type="character" w:styleId="FollowedHyperlink">
    <w:name w:val="FollowedHyperlink"/>
    <w:basedOn w:val="DefaultParagraphFont"/>
    <w:uiPriority w:val="99"/>
    <w:semiHidden/>
    <w:unhideWhenUsed/>
    <w:rsid w:val="00ED7B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www.abs.gov.au/statistics/health/causes-death/provisional-mortality-statistics/latest-relea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urworldindata.org/coronavirus/country/australi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source\Workgroup%20Template%202020\Centre%20for%20Population\Centre%20for%20Population%20Internal.dotx" TargetMode="External"/></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403</Value>
      <Value>298</Value>
      <Value>1350</Value>
      <Value>23</Value>
      <Value>309</Value>
      <Value>1468</Value>
      <Value>1480</Value>
    </TaxCatchAll>
    <_dlc_DocId xmlns="0f563589-9cf9-4143-b1eb-fb0534803d38">2021JWJ6HQSX-1422168352-6591</_dlc_DocId>
    <_dlc_DocIdUrl xmlns="0f563589-9cf9-4143-b1eb-fb0534803d38">
      <Url>http://tweb/sites/pop/cfp/_layouts/15/DocIdRedir.aspx?ID=2021JWJ6HQSX-1422168352-6591</Url>
      <Description>2021JWJ6HQSX-1422168352-6591</Description>
    </_dlc_DocIdUrl>
    <cpopDue_x0020_Date xmlns="d496f99b-b1db-4f49-ba6b-7f936f7bb1fd" xsi:nil="true"/>
    <b01cfe90be52474b8e18e3381839b0e5 xmlns="0f563589-9cf9-4143-b1eb-fb0534803d38">
      <Terms xmlns="http://schemas.microsoft.com/office/infopath/2007/PartnerControls">
        <TermInfo xmlns="http://schemas.microsoft.com/office/infopath/2007/PartnerControls">
          <TermName xmlns="http://schemas.microsoft.com/office/infopath/2007/PartnerControls">Economic note</TermName>
          <TermId xmlns="http://schemas.microsoft.com/office/infopath/2007/PartnerControls">9da9dffc-b8ed-4512-88c8-d09b5325e551</TermId>
        </TermInfo>
      </Terms>
    </b01cfe90be52474b8e18e3381839b0e5>
    <o46f31d2a77f450686730c449e7761c5 xmlns="d496f99b-b1db-4f49-ba6b-7f936f7bb1fd">
      <Terms xmlns="http://schemas.microsoft.com/office/infopath/2007/PartnerControls">
        <TermInfo xmlns="http://schemas.microsoft.com/office/infopath/2007/PartnerControls">
          <TermName xmlns="http://schemas.microsoft.com/office/infopath/2007/PartnerControls">Internal CPoP</TermName>
          <TermId xmlns="http://schemas.microsoft.com/office/infopath/2007/PartnerControls">9c8644cd-0fe8-421b-9fd7-a2b593f5db96</TermId>
        </TermInfo>
      </Terms>
    </o46f31d2a77f450686730c449e7761c5>
    <bd15a34e52e3468a87b49920a3b7dd6b xmlns="0f563589-9cf9-4143-b1eb-fb0534803d38">
      <Terms xmlns="http://schemas.microsoft.com/office/infopath/2007/PartnerControls">
        <TermInfo xmlns="http://schemas.microsoft.com/office/infopath/2007/PartnerControls">
          <TermName xmlns="http://schemas.microsoft.com/office/infopath/2007/PartnerControls">Natural increase - mortality</TermName>
          <TermId xmlns="http://schemas.microsoft.com/office/infopath/2007/PartnerControls">5318a4f3-c83c-4903-9171-a49e65bd6c24</TermId>
        </TermInfo>
      </Terms>
    </bd15a34e52e3468a87b49920a3b7dd6b>
    <f3486d5f7e7540d7aac4d0eb58bc535f xmlns="d496f99b-b1db-4f49-ba6b-7f936f7bb1fd">
      <Terms xmlns="http://schemas.microsoft.com/office/infopath/2007/PartnerControls"/>
    </f3486d5f7e7540d7aac4d0eb58bc535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7b7a547-5880-464f-83f8-cefe583c3af4" ContentTypeId="0x01010079842B7BE5DD8E409B7EECD6B050253D" PreviousValue="false"/>
</file>

<file path=customXml/item6.xml><?xml version="1.0" encoding="utf-8"?>
<ct:contentTypeSchema xmlns:ct="http://schemas.microsoft.com/office/2006/metadata/contentType" xmlns:ma="http://schemas.microsoft.com/office/2006/metadata/properties/metaAttributes" ct:_="" ma:_="" ma:contentTypeName="​Treasury Enterprise Document" ma:contentTypeID="0x01010079842B7BE5DD8E409B7EECD6B050253D009384E8F4D1D5034693D13589CA0F0E07" ma:contentTypeVersion="21646" ma:contentTypeDescription="" ma:contentTypeScope="" ma:versionID="ab3572be796cb868a7d6449b26247f4a">
  <xsd:schema xmlns:xsd="http://www.w3.org/2001/XMLSchema" xmlns:xs="http://www.w3.org/2001/XMLSchema" xmlns:p="http://schemas.microsoft.com/office/2006/metadata/properties" xmlns:ns2="0f563589-9cf9-4143-b1eb-fb0534803d38" xmlns:ns3="d496f99b-b1db-4f49-ba6b-7f936f7bb1fd" targetNamespace="http://schemas.microsoft.com/office/2006/metadata/properties" ma:root="true" ma:fieldsID="8d91dbf93dd4d817b6042c9eaaaee7b3" ns2:_="" ns3:_="">
    <xsd:import namespace="0f563589-9cf9-4143-b1eb-fb0534803d38"/>
    <xsd:import namespace="d496f99b-b1db-4f49-ba6b-7f936f7bb1f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01cfe90be52474b8e18e3381839b0e5" minOccurs="0"/>
                <xsd:element ref="ns2:bd15a34e52e3468a87b49920a3b7dd6b" minOccurs="0"/>
                <xsd:element ref="ns3:f3486d5f7e7540d7aac4d0eb58bc535f" minOccurs="0"/>
                <xsd:element ref="ns3:o46f31d2a77f450686730c449e7761c5" minOccurs="0"/>
                <xsd:element ref="ns3:cpop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f8a8e69-a481-4a32-8574-a60cf19e510f}" ma:internalName="TaxCatchAll" ma:showField="CatchAllData"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f8a8e69-a481-4a32-8574-a60cf19e510f}" ma:internalName="TaxCatchAllLabel" ma:readOnly="true" ma:showField="CatchAllDataLabel"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b01cfe90be52474b8e18e3381839b0e5" ma:index="13" ma:taxonomy="true" ma:internalName="b01cfe90be52474b8e18e3381839b0e5" ma:taxonomyFieldName="eTheme_x002F_Activity_x002F_Document_x0020_Type" ma:displayName="Theme/Activity/Document Type" ma:readOnly="false" ma:default="" ma:fieldId="{b01cfe90-be52-474b-8e18-e3381839b0e5}" ma:sspId="77b7a547-5880-464f-83f8-cefe583c3af4" ma:termSetId="3c0d1693-3b42-49b7-bddf-28e823765e04" ma:anchorId="6dccd8e5-96e6-4ded-89e4-8f53d9e55129" ma:open="false" ma:isKeyword="false">
      <xsd:complexType>
        <xsd:sequence>
          <xsd:element ref="pc:Terms" minOccurs="0" maxOccurs="1"/>
        </xsd:sequence>
      </xsd:complexType>
    </xsd:element>
    <xsd:element name="bd15a34e52e3468a87b49920a3b7dd6b" ma:index="15" ma:taxonomy="true" ma:internalName="bd15a34e52e3468a87b49920a3b7dd6b" ma:taxonomyFieldName="eTheme_x002F_Topic" ma:displayName="Theme/Topic" ma:readOnly="false" ma:default="" ma:fieldId="{bd15a34e-52e3-468a-87b4-9920a3b7dd6b}" ma:taxonomyMulti="true" ma:sspId="77b7a547-5880-464f-83f8-cefe583c3af4" ma:termSetId="fe275d3b-acbf-4477-98d4-b06bbe13079d" ma:anchorId="768f1f5f-dad2-496f-809e-500fb57d74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96f99b-b1db-4f49-ba6b-7f936f7bb1fd" elementFormDefault="qualified">
    <xsd:import namespace="http://schemas.microsoft.com/office/2006/documentManagement/types"/>
    <xsd:import namespace="http://schemas.microsoft.com/office/infopath/2007/PartnerControls"/>
    <xsd:element name="f3486d5f7e7540d7aac4d0eb58bc535f" ma:index="17" nillable="true" ma:taxonomy="true" ma:internalName="f3486d5f7e7540d7aac4d0eb58bc535f" ma:taxonomyFieldName="Project" ma:displayName="Project" ma:default="" ma:fieldId="{f3486d5f-7e75-40d7-aac4-d0eb58bc535f}" ma:taxonomyMulti="true" ma:sspId="77b7a547-5880-464f-83f8-cefe583c3af4" ma:termSetId="6b4b8051-62e7-47ed-a8bb-37ac7ed2047d" ma:anchorId="00000000-0000-0000-0000-000000000000" ma:open="false" ma:isKeyword="false">
      <xsd:complexType>
        <xsd:sequence>
          <xsd:element ref="pc:Terms" minOccurs="0" maxOccurs="1"/>
        </xsd:sequence>
      </xsd:complexType>
    </xsd:element>
    <xsd:element name="o46f31d2a77f450686730c449e7761c5" ma:index="19" nillable="true" ma:taxonomy="true" ma:internalName="o46f31d2a77f450686730c449e7761c5" ma:taxonomyFieldName="Client" ma:displayName="Client" ma:readOnly="false" ma:default="" ma:fieldId="{846f31d2-a77f-4506-8673-0c449e7761c5}" ma:taxonomyMulti="true" ma:sspId="77b7a547-5880-464f-83f8-cefe583c3af4" ma:termSetId="eac17a8e-5ff2-4694-bfcd-02f97bea9008" ma:anchorId="00000000-0000-0000-0000-000000000000" ma:open="false" ma:isKeyword="false">
      <xsd:complexType>
        <xsd:sequence>
          <xsd:element ref="pc:Terms" minOccurs="0" maxOccurs="1"/>
        </xsd:sequence>
      </xsd:complexType>
    </xsd:element>
    <xsd:element name="cpopDue_x0020_Date" ma:index="21" nillable="true" ma:displayName="cpopDue Date" ma:format="DateOnly" ma:internalName="cpop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F7C61-34C1-4EF2-9128-B9B8458ED656}">
  <ds:schemaRefs>
    <ds:schemaRef ds:uri="0f563589-9cf9-4143-b1eb-fb0534803d38"/>
    <ds:schemaRef ds:uri="http://purl.org/dc/elements/1.1/"/>
    <ds:schemaRef ds:uri="http://schemas.microsoft.com/office/2006/metadata/properties"/>
    <ds:schemaRef ds:uri="d496f99b-b1db-4f49-ba6b-7f936f7bb1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customXml/itemProps3.xml><?xml version="1.0" encoding="utf-8"?>
<ds:datastoreItem xmlns:ds="http://schemas.openxmlformats.org/officeDocument/2006/customXml" ds:itemID="{0EE93E8D-AB01-4862-A841-FD59545D2F27}">
  <ds:schemaRefs>
    <ds:schemaRef ds:uri="http://schemas.microsoft.com/sharepoint/events"/>
  </ds:schemaRefs>
</ds:datastoreItem>
</file>

<file path=customXml/itemProps4.xml><?xml version="1.0" encoding="utf-8"?>
<ds:datastoreItem xmlns:ds="http://schemas.openxmlformats.org/officeDocument/2006/customXml" ds:itemID="{4229F43C-3A89-4C23-8D39-92D8839E10CA}">
  <ds:schemaRefs>
    <ds:schemaRef ds:uri="http://schemas.microsoft.com/sharepoint/v3/contenttype/forms"/>
  </ds:schemaRefs>
</ds:datastoreItem>
</file>

<file path=customXml/itemProps5.xml><?xml version="1.0" encoding="utf-8"?>
<ds:datastoreItem xmlns:ds="http://schemas.openxmlformats.org/officeDocument/2006/customXml" ds:itemID="{89FF8C04-32F3-4BC3-BA15-708541BB13FE}">
  <ds:schemaRefs>
    <ds:schemaRef ds:uri="Microsoft.SharePoint.Taxonomy.ContentTypeSync"/>
  </ds:schemaRefs>
</ds:datastoreItem>
</file>

<file path=customXml/itemProps6.xml><?xml version="1.0" encoding="utf-8"?>
<ds:datastoreItem xmlns:ds="http://schemas.openxmlformats.org/officeDocument/2006/customXml" ds:itemID="{648EDA44-8219-483A-8137-372F297DE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d496f99b-b1db-4f49-ba6b-7f936f7bb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Centre for Population Internal.dotx</Template>
  <TotalTime>4</TotalTime>
  <Pages>5</Pages>
  <Words>890</Words>
  <Characters>4736</Characters>
  <Application>Microsoft Office Word</Application>
  <DocSecurity>0</DocSecurity>
  <Lines>94</Lines>
  <Paragraphs>48</Paragraphs>
  <ScaleCrop>false</ScaleCrop>
  <HeadingPairs>
    <vt:vector size="2" baseType="variant">
      <vt:variant>
        <vt:lpstr>Title</vt:lpstr>
      </vt:variant>
      <vt:variant>
        <vt:i4>1</vt:i4>
      </vt:variant>
    </vt:vector>
  </HeadingPairs>
  <TitlesOfParts>
    <vt:vector size="1" baseType="lpstr">
      <vt:lpstr>Provisional Mortality Statistics, September 2021</vt:lpstr>
    </vt:vector>
  </TitlesOfParts>
  <Company>Australian Government - The Treasury</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Mortality Statistics, September 2021</dc:title>
  <dc:subject>Key Data Release</dc:subject>
  <dc:creator>Centre for Population</dc:creator>
  <cp:lastModifiedBy>Thomas, Deborah</cp:lastModifiedBy>
  <cp:revision>4</cp:revision>
  <cp:lastPrinted>2021-12-22T03:54:00Z</cp:lastPrinted>
  <dcterms:created xsi:type="dcterms:W3CDTF">2021-12-22T03:52:00Z</dcterms:created>
  <dcterms:modified xsi:type="dcterms:W3CDTF">2021-12-22T04:22:00Z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0x01010079842B7BE5DD8E409B7EECD6B050253D009384E8F4D1D5034693D13589CA0F0E07</vt:lpwstr>
  </property>
  <property fmtid="{D5CDD505-2E9C-101B-9397-08002B2CF9AE}" pid="4" name="Client">
    <vt:lpwstr>23;#Internal CPoP|9c8644cd-0fe8-421b-9fd7-a2b593f5db96</vt:lpwstr>
  </property>
  <property fmtid="{D5CDD505-2E9C-101B-9397-08002B2CF9AE}" pid="5" name="Project">
    <vt:lpwstr/>
  </property>
  <property fmtid="{D5CDD505-2E9C-101B-9397-08002B2CF9AE}" pid="6" name="TaxKeyword">
    <vt:lpwstr/>
  </property>
  <property fmtid="{D5CDD505-2E9C-101B-9397-08002B2CF9AE}" pid="7" name="cpopDocument Type">
    <vt:lpwstr>104;#Economic note|6e616825-84b5-4d2a-9459-a9ccfa0e8dca</vt:lpwstr>
  </property>
  <property fmtid="{D5CDD505-2E9C-101B-9397-08002B2CF9AE}" pid="8" name="cpopProcess/Activity">
    <vt:lpwstr>48;#Analysis|4d6350c2-cb79-4ad5-a73e-09ced580562a</vt:lpwstr>
  </property>
  <property fmtid="{D5CDD505-2E9C-101B-9397-08002B2CF9AE}" pid="9" name="CpopTopic">
    <vt:lpwstr>21;#Population - general|e78774f9-7fe8-4c9c-991f-a3ff79dac6ff</vt:lpwstr>
  </property>
  <property fmtid="{D5CDD505-2E9C-101B-9397-08002B2CF9AE}" pid="10" name="cpopTheme">
    <vt:lpwstr>2;#Population|48b7fe81-37e0-414b-a384-8c1c3228e96f</vt:lpwstr>
  </property>
  <property fmtid="{D5CDD505-2E9C-101B-9397-08002B2CF9AE}" pid="11" name="ceb8c4f4647046198a38a633d14483c1">
    <vt:lpwstr>Population|dfc189bb-46ec-4771-b471-77807c301c0c</vt:lpwstr>
  </property>
  <property fmtid="{D5CDD505-2E9C-101B-9397-08002B2CF9AE}" pid="12" name="aec7340661804c61a5c6d3d18e9a3b44">
    <vt:lpwstr>Population - general|b3bccaee-76db-409f-8cf3-b4377472cc13</vt:lpwstr>
  </property>
  <property fmtid="{D5CDD505-2E9C-101B-9397-08002B2CF9AE}" pid="13" name="n5b5f1cefb2e4f15823921d1c3115a95">
    <vt:lpwstr>Analysis|1c05f84f-a96d-4b64-970a-14a4c22445cc</vt:lpwstr>
  </property>
  <property fmtid="{D5CDD505-2E9C-101B-9397-08002B2CF9AE}" pid="14" name="eActivity">
    <vt:lpwstr>309;#Analysis|1c05f84f-a96d-4b64-970a-14a4c22445cc</vt:lpwstr>
  </property>
  <property fmtid="{D5CDD505-2E9C-101B-9397-08002B2CF9AE}" pid="15" name="eDocument Type">
    <vt:lpwstr>403;#Economic note|e1f04c8c-4290-4b29-8ab8-31a9d0ce335c</vt:lpwstr>
  </property>
  <property fmtid="{D5CDD505-2E9C-101B-9397-08002B2CF9AE}" pid="16" name="eDocument_x0020_Type">
    <vt:lpwstr>403;#Economic note|e1f04c8c-4290-4b29-8ab8-31a9d0ce335c</vt:lpwstr>
  </property>
  <property fmtid="{D5CDD505-2E9C-101B-9397-08002B2CF9AE}" pid="17" name="eTheme/Activity/Document Type">
    <vt:lpwstr>1468;#Economic note|9da9dffc-b8ed-4512-88c8-d09b5325e551</vt:lpwstr>
  </property>
  <property fmtid="{D5CDD505-2E9C-101B-9397-08002B2CF9AE}" pid="18" name="eTheme">
    <vt:lpwstr>298;#Population|dfc189bb-46ec-4771-b471-77807c301c0c</vt:lpwstr>
  </property>
  <property fmtid="{D5CDD505-2E9C-101B-9397-08002B2CF9AE}" pid="19" name="eTheme/Topic">
    <vt:lpwstr>1480;#Natural increase - mortality|5318a4f3-c83c-4903-9171-a49e65bd6c24</vt:lpwstr>
  </property>
  <property fmtid="{D5CDD505-2E9C-101B-9397-08002B2CF9AE}" pid="20" name="n0adeebb38644e3a8c7de3f8fea0418e">
    <vt:lpwstr>Economic note|e1f04c8c-4290-4b29-8ab8-31a9d0ce335c</vt:lpwstr>
  </property>
  <property fmtid="{D5CDD505-2E9C-101B-9397-08002B2CF9AE}" pid="21" name="eTopic">
    <vt:lpwstr>1361;#Natural increase - mortality|b4bced38-4a57-4efc-9a39-507510b67dc8</vt:lpwstr>
  </property>
  <property fmtid="{D5CDD505-2E9C-101B-9397-08002B2CF9AE}" pid="22" name="_dlc_DocIdItemGuid">
    <vt:lpwstr>288f9455-182d-441b-a2aa-235fcc344d46</vt:lpwstr>
  </property>
</Properties>
</file>