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7EB3D" w14:textId="663D0B20" w:rsidR="00725216" w:rsidRPr="00463005" w:rsidRDefault="0069520E" w:rsidP="00463005">
      <w:pPr>
        <w:spacing w:before="240" w:after="360"/>
        <w:jc w:val="right"/>
        <w:rPr>
          <w:b/>
          <w:bCs/>
          <w:i/>
          <w:iCs/>
          <w:color w:val="FFFFFF" w:themeColor="background1"/>
          <w:sz w:val="28"/>
          <w:szCs w:val="28"/>
        </w:rPr>
      </w:pPr>
      <w:bookmarkStart w:id="0" w:name="_Hlk74846628"/>
      <w:r>
        <w:rPr>
          <w:b/>
          <w:bCs/>
          <w:i/>
          <w:iCs/>
          <w:color w:val="FFFFFF" w:themeColor="background1"/>
          <w:sz w:val="28"/>
          <w:szCs w:val="28"/>
        </w:rPr>
        <w:t>16 December 2021</w:t>
      </w:r>
    </w:p>
    <w:tbl>
      <w:tblPr>
        <w:tblW w:w="9185" w:type="dxa"/>
        <w:tblLook w:val="04A0" w:firstRow="1" w:lastRow="0" w:firstColumn="1" w:lastColumn="0" w:noHBand="0" w:noVBand="1"/>
      </w:tblPr>
      <w:tblGrid>
        <w:gridCol w:w="9185"/>
      </w:tblGrid>
      <w:tr w:rsidR="00725216" w:rsidRPr="00F21FAB" w14:paraId="57BC2909" w14:textId="77777777" w:rsidTr="004522C0">
        <w:trPr>
          <w:trHeight w:val="300"/>
        </w:trPr>
        <w:tc>
          <w:tcPr>
            <w:tcW w:w="5000" w:type="pct"/>
            <w:shd w:val="clear" w:color="auto" w:fill="auto"/>
            <w:vAlign w:val="center"/>
          </w:tcPr>
          <w:bookmarkEnd w:id="0"/>
          <w:p w14:paraId="2DED5F05" w14:textId="71CE61B7" w:rsidR="0069520E" w:rsidRDefault="0069520E" w:rsidP="0069520E">
            <w:pPr>
              <w:pStyle w:val="Heading2"/>
              <w:spacing w:after="0"/>
            </w:pPr>
            <w:r>
              <w:t xml:space="preserve">National, state and territory population, June 2021 </w:t>
            </w:r>
          </w:p>
          <w:p w14:paraId="0EB52E41" w14:textId="066302F5" w:rsidR="00725216" w:rsidRPr="003A7FFE" w:rsidRDefault="0069520E" w:rsidP="0069520E">
            <w:pPr>
              <w:pStyle w:val="Heading2"/>
              <w:spacing w:before="0"/>
            </w:pPr>
            <w:r>
              <w:t>(Australian Bureau of Statistics)</w:t>
            </w:r>
          </w:p>
        </w:tc>
      </w:tr>
      <w:tr w:rsidR="00725216" w:rsidRPr="0023709A" w14:paraId="37605938" w14:textId="77777777" w:rsidTr="004522C0">
        <w:trPr>
          <w:trHeight w:val="300"/>
        </w:trPr>
        <w:tc>
          <w:tcPr>
            <w:tcW w:w="5000" w:type="pct"/>
            <w:shd w:val="clear" w:color="auto" w:fill="CCE3F6" w:themeFill="accent2" w:themeFillTint="33"/>
            <w:vAlign w:val="center"/>
          </w:tcPr>
          <w:p w14:paraId="5CC550E2" w14:textId="7F88F38A" w:rsidR="0019481A" w:rsidRPr="004522C0" w:rsidRDefault="0019481A" w:rsidP="0019481A">
            <w:pPr>
              <w:pStyle w:val="BoxText"/>
              <w:rPr>
                <w:sz w:val="20"/>
              </w:rPr>
            </w:pPr>
            <w:r w:rsidRPr="004522C0">
              <w:rPr>
                <w:sz w:val="20"/>
              </w:rPr>
              <w:t xml:space="preserve">The Estimated Resident Population (ERP) of Australia was 25.7 million people </w:t>
            </w:r>
            <w:proofErr w:type="gramStart"/>
            <w:r w:rsidRPr="004522C0">
              <w:rPr>
                <w:sz w:val="20"/>
              </w:rPr>
              <w:t>at</w:t>
            </w:r>
            <w:proofErr w:type="gramEnd"/>
            <w:r w:rsidRPr="004522C0">
              <w:rPr>
                <w:sz w:val="20"/>
              </w:rPr>
              <w:t xml:space="preserve"> 3</w:t>
            </w:r>
            <w:r w:rsidR="0039159A" w:rsidRPr="004522C0">
              <w:rPr>
                <w:sz w:val="20"/>
              </w:rPr>
              <w:t>0</w:t>
            </w:r>
            <w:r w:rsidRPr="004522C0">
              <w:rPr>
                <w:sz w:val="20"/>
              </w:rPr>
              <w:t xml:space="preserve"> </w:t>
            </w:r>
            <w:r w:rsidR="0039159A" w:rsidRPr="004522C0">
              <w:rPr>
                <w:sz w:val="20"/>
              </w:rPr>
              <w:t>June</w:t>
            </w:r>
            <w:r w:rsidRPr="004522C0">
              <w:rPr>
                <w:sz w:val="20"/>
              </w:rPr>
              <w:t xml:space="preserve"> 2021, around </w:t>
            </w:r>
            <w:r w:rsidR="00733961" w:rsidRPr="004522C0">
              <w:rPr>
                <w:sz w:val="20"/>
              </w:rPr>
              <w:t>34,</w:t>
            </w:r>
            <w:r w:rsidR="001C0964" w:rsidRPr="004522C0">
              <w:rPr>
                <w:sz w:val="20"/>
              </w:rPr>
              <w:t>3</w:t>
            </w:r>
            <w:r w:rsidR="00733961" w:rsidRPr="004522C0">
              <w:rPr>
                <w:sz w:val="20"/>
              </w:rPr>
              <w:t>00</w:t>
            </w:r>
            <w:r w:rsidRPr="004522C0">
              <w:rPr>
                <w:sz w:val="20"/>
              </w:rPr>
              <w:t xml:space="preserve"> people larger than at </w:t>
            </w:r>
            <w:r w:rsidR="009B1ACF">
              <w:rPr>
                <w:sz w:val="20"/>
              </w:rPr>
              <w:t>3</w:t>
            </w:r>
            <w:r w:rsidR="009B1ACF">
              <w:t xml:space="preserve">1 </w:t>
            </w:r>
            <w:r w:rsidR="00CF11F0" w:rsidRPr="004522C0">
              <w:rPr>
                <w:sz w:val="20"/>
              </w:rPr>
              <w:t>March</w:t>
            </w:r>
            <w:r w:rsidRPr="004522C0">
              <w:rPr>
                <w:sz w:val="20"/>
              </w:rPr>
              <w:t xml:space="preserve"> 202</w:t>
            </w:r>
            <w:r w:rsidR="00CF11F0" w:rsidRPr="004522C0">
              <w:rPr>
                <w:sz w:val="20"/>
              </w:rPr>
              <w:t>1</w:t>
            </w:r>
            <w:r w:rsidRPr="004522C0">
              <w:rPr>
                <w:sz w:val="20"/>
              </w:rPr>
              <w:t xml:space="preserve">. Population growth for the year ending </w:t>
            </w:r>
            <w:r w:rsidR="00E95384">
              <w:rPr>
                <w:sz w:val="20"/>
              </w:rPr>
              <w:t xml:space="preserve">30 </w:t>
            </w:r>
            <w:r w:rsidR="0039159A" w:rsidRPr="004522C0">
              <w:rPr>
                <w:sz w:val="20"/>
              </w:rPr>
              <w:t>June</w:t>
            </w:r>
            <w:r w:rsidRPr="004522C0">
              <w:rPr>
                <w:sz w:val="20"/>
              </w:rPr>
              <w:t xml:space="preserve"> 2021 was around 0.</w:t>
            </w:r>
            <w:r w:rsidR="00733961" w:rsidRPr="004522C0">
              <w:rPr>
                <w:sz w:val="20"/>
              </w:rPr>
              <w:t>2</w:t>
            </w:r>
            <w:r w:rsidR="00295FCF">
              <w:rPr>
                <w:sz w:val="20"/>
              </w:rPr>
              <w:t> </w:t>
            </w:r>
            <w:r w:rsidRPr="004522C0">
              <w:rPr>
                <w:sz w:val="20"/>
              </w:rPr>
              <w:t>per</w:t>
            </w:r>
            <w:r w:rsidR="00295FCF">
              <w:rPr>
                <w:sz w:val="20"/>
              </w:rPr>
              <w:t> </w:t>
            </w:r>
            <w:r w:rsidRPr="004522C0">
              <w:rPr>
                <w:sz w:val="20"/>
              </w:rPr>
              <w:t>cent (</w:t>
            </w:r>
            <w:r w:rsidR="00733961" w:rsidRPr="004522C0">
              <w:rPr>
                <w:sz w:val="20"/>
              </w:rPr>
              <w:t>46,000</w:t>
            </w:r>
            <w:r w:rsidRPr="004522C0">
              <w:rPr>
                <w:sz w:val="20"/>
              </w:rPr>
              <w:t xml:space="preserve"> people), down from </w:t>
            </w:r>
            <w:r w:rsidR="00733961" w:rsidRPr="004522C0">
              <w:rPr>
                <w:sz w:val="20"/>
              </w:rPr>
              <w:t>1.3</w:t>
            </w:r>
            <w:r w:rsidRPr="004522C0">
              <w:rPr>
                <w:sz w:val="20"/>
              </w:rPr>
              <w:t xml:space="preserve"> per cent for the year ending </w:t>
            </w:r>
            <w:r w:rsidR="00E95384">
              <w:rPr>
                <w:sz w:val="20"/>
              </w:rPr>
              <w:t xml:space="preserve">30 </w:t>
            </w:r>
            <w:r w:rsidR="00CF11F0" w:rsidRPr="004522C0">
              <w:rPr>
                <w:sz w:val="20"/>
              </w:rPr>
              <w:t>June</w:t>
            </w:r>
            <w:r w:rsidRPr="004522C0">
              <w:rPr>
                <w:sz w:val="20"/>
              </w:rPr>
              <w:t xml:space="preserve"> 2020</w:t>
            </w:r>
            <w:r w:rsidRPr="001B5029">
              <w:rPr>
                <w:sz w:val="20"/>
              </w:rPr>
              <w:t xml:space="preserve">. </w:t>
            </w:r>
            <w:r w:rsidRPr="00EC61DC">
              <w:rPr>
                <w:sz w:val="20"/>
              </w:rPr>
              <w:t xml:space="preserve">This is the lowest recorded </w:t>
            </w:r>
            <w:r w:rsidR="009B1ACF" w:rsidRPr="00EC61DC">
              <w:rPr>
                <w:sz w:val="20"/>
              </w:rPr>
              <w:t>f</w:t>
            </w:r>
            <w:r w:rsidR="009B1ACF" w:rsidRPr="00F35070">
              <w:rPr>
                <w:sz w:val="20"/>
              </w:rPr>
              <w:t xml:space="preserve">inancial year </w:t>
            </w:r>
            <w:r w:rsidRPr="00EC61DC">
              <w:rPr>
                <w:sz w:val="20"/>
              </w:rPr>
              <w:t>growth since 1916-17 when growth was 0.0 per cent.</w:t>
            </w:r>
          </w:p>
          <w:p w14:paraId="18BCD3DB" w14:textId="5BCDEC91" w:rsidR="0019481A" w:rsidRPr="004522C0" w:rsidRDefault="00451FF6" w:rsidP="0019481A">
            <w:pPr>
              <w:pStyle w:val="BoxText"/>
              <w:rPr>
                <w:sz w:val="20"/>
              </w:rPr>
            </w:pPr>
            <w:r w:rsidRPr="004522C0">
              <w:rPr>
                <w:sz w:val="20"/>
              </w:rPr>
              <w:t>Quarterly n</w:t>
            </w:r>
            <w:r w:rsidR="0019481A" w:rsidRPr="004522C0">
              <w:rPr>
                <w:sz w:val="20"/>
              </w:rPr>
              <w:t xml:space="preserve">et overseas migration (NOM) of </w:t>
            </w:r>
            <w:r w:rsidRPr="004522C0">
              <w:rPr>
                <w:sz w:val="20"/>
              </w:rPr>
              <w:t>-2,300</w:t>
            </w:r>
            <w:r w:rsidR="0019481A" w:rsidRPr="004522C0">
              <w:rPr>
                <w:sz w:val="20"/>
              </w:rPr>
              <w:t xml:space="preserve"> was around </w:t>
            </w:r>
            <w:r w:rsidRPr="004522C0">
              <w:rPr>
                <w:sz w:val="20"/>
              </w:rPr>
              <w:t>12,100</w:t>
            </w:r>
            <w:r w:rsidR="0019481A" w:rsidRPr="004522C0">
              <w:rPr>
                <w:sz w:val="20"/>
              </w:rPr>
              <w:t xml:space="preserve"> higher than the previous quarter, but </w:t>
            </w:r>
            <w:r w:rsidR="00890083">
              <w:rPr>
                <w:sz w:val="20"/>
              </w:rPr>
              <w:t xml:space="preserve">the </w:t>
            </w:r>
            <w:r w:rsidRPr="004522C0">
              <w:rPr>
                <w:sz w:val="20"/>
              </w:rPr>
              <w:t xml:space="preserve">fifth </w:t>
            </w:r>
            <w:r w:rsidR="0019481A" w:rsidRPr="004522C0">
              <w:rPr>
                <w:sz w:val="20"/>
              </w:rPr>
              <w:t xml:space="preserve">consecutive quarter </w:t>
            </w:r>
            <w:r w:rsidR="009B1ACF">
              <w:rPr>
                <w:sz w:val="20"/>
              </w:rPr>
              <w:t>o</w:t>
            </w:r>
            <w:r w:rsidR="009B1ACF" w:rsidRPr="00F35070">
              <w:rPr>
                <w:sz w:val="20"/>
              </w:rPr>
              <w:t>f negative NOM</w:t>
            </w:r>
            <w:r w:rsidR="00890083" w:rsidRPr="00F35070">
              <w:rPr>
                <w:sz w:val="20"/>
              </w:rPr>
              <w:t xml:space="preserve">. NOM was </w:t>
            </w:r>
            <w:r w:rsidR="00890083" w:rsidRPr="00F35070">
              <w:rPr>
                <w:sz w:val="20"/>
              </w:rPr>
              <w:noBreakHyphen/>
              <w:t>88,</w:t>
            </w:r>
            <w:r w:rsidR="00E95384" w:rsidRPr="00F35070">
              <w:rPr>
                <w:sz w:val="20"/>
              </w:rPr>
              <w:t>8</w:t>
            </w:r>
            <w:r w:rsidR="00890083" w:rsidRPr="00F35070">
              <w:rPr>
                <w:sz w:val="20"/>
              </w:rPr>
              <w:t>00 over the year ending 30 June 2021, which was a slight improvement compared to the year</w:t>
            </w:r>
            <w:r w:rsidR="00A37F00" w:rsidRPr="00F35070">
              <w:rPr>
                <w:sz w:val="20"/>
              </w:rPr>
              <w:t xml:space="preserve"> </w:t>
            </w:r>
            <w:r w:rsidR="00890083" w:rsidRPr="00F35070">
              <w:rPr>
                <w:sz w:val="20"/>
              </w:rPr>
              <w:t>ending 31 March 2021.</w:t>
            </w:r>
            <w:r w:rsidR="0019481A" w:rsidRPr="004522C0">
              <w:rPr>
                <w:sz w:val="20"/>
              </w:rPr>
              <w:t xml:space="preserve"> Natural increase over the year ending </w:t>
            </w:r>
            <w:r w:rsidR="00890083">
              <w:rPr>
                <w:sz w:val="20"/>
              </w:rPr>
              <w:t>30</w:t>
            </w:r>
            <w:r w:rsidR="00295FCF">
              <w:rPr>
                <w:sz w:val="20"/>
              </w:rPr>
              <w:t> </w:t>
            </w:r>
            <w:r w:rsidR="0039159A" w:rsidRPr="004522C0">
              <w:rPr>
                <w:sz w:val="20"/>
              </w:rPr>
              <w:t>June</w:t>
            </w:r>
            <w:r w:rsidR="00295FCF">
              <w:rPr>
                <w:sz w:val="20"/>
              </w:rPr>
              <w:t> </w:t>
            </w:r>
            <w:r w:rsidR="0019481A" w:rsidRPr="004522C0">
              <w:rPr>
                <w:sz w:val="20"/>
              </w:rPr>
              <w:t xml:space="preserve">2021 was relatively stable, </w:t>
            </w:r>
            <w:r w:rsidR="001225FF">
              <w:rPr>
                <w:sz w:val="20"/>
              </w:rPr>
              <w:t>with</w:t>
            </w:r>
            <w:r w:rsidR="0019481A" w:rsidRPr="004522C0">
              <w:rPr>
                <w:sz w:val="20"/>
              </w:rPr>
              <w:t xml:space="preserve"> </w:t>
            </w:r>
            <w:r w:rsidR="0029648A">
              <w:rPr>
                <w:sz w:val="20"/>
              </w:rPr>
              <w:t>1</w:t>
            </w:r>
            <w:r w:rsidR="00960079" w:rsidRPr="004522C0">
              <w:rPr>
                <w:sz w:val="20"/>
              </w:rPr>
              <w:t>,</w:t>
            </w:r>
            <w:r w:rsidR="0029648A">
              <w:rPr>
                <w:sz w:val="20"/>
              </w:rPr>
              <w:t>4</w:t>
            </w:r>
            <w:r w:rsidR="00960079" w:rsidRPr="004522C0">
              <w:rPr>
                <w:sz w:val="20"/>
              </w:rPr>
              <w:t>00</w:t>
            </w:r>
            <w:r w:rsidR="0019481A" w:rsidRPr="004522C0">
              <w:rPr>
                <w:sz w:val="20"/>
              </w:rPr>
              <w:t xml:space="preserve"> </w:t>
            </w:r>
            <w:r w:rsidR="00B31F4C">
              <w:rPr>
                <w:sz w:val="20"/>
              </w:rPr>
              <w:t>fewer</w:t>
            </w:r>
            <w:r w:rsidR="0019481A" w:rsidRPr="004522C0">
              <w:rPr>
                <w:sz w:val="20"/>
              </w:rPr>
              <w:t xml:space="preserve"> births over the year</w:t>
            </w:r>
            <w:r w:rsidR="001225FF">
              <w:rPr>
                <w:sz w:val="20"/>
              </w:rPr>
              <w:t xml:space="preserve"> and 1,300 fewer deaths</w:t>
            </w:r>
            <w:r w:rsidR="0019481A" w:rsidRPr="004522C0">
              <w:rPr>
                <w:sz w:val="20"/>
              </w:rPr>
              <w:t>.</w:t>
            </w:r>
          </w:p>
          <w:p w14:paraId="2D191C53" w14:textId="026F1153" w:rsidR="00725216" w:rsidRPr="00FA35CB" w:rsidRDefault="0019481A" w:rsidP="0019481A">
            <w:pPr>
              <w:pStyle w:val="BoxText"/>
            </w:pPr>
            <w:r w:rsidRPr="004522C0">
              <w:rPr>
                <w:sz w:val="20"/>
              </w:rPr>
              <w:t>Annual population growth was positive in all states and territories</w:t>
            </w:r>
            <w:r w:rsidR="00E95384">
              <w:rPr>
                <w:sz w:val="20"/>
              </w:rPr>
              <w:t xml:space="preserve"> except for Victoria</w:t>
            </w:r>
            <w:r w:rsidRPr="004522C0">
              <w:rPr>
                <w:sz w:val="20"/>
              </w:rPr>
              <w:t xml:space="preserve">, </w:t>
            </w:r>
            <w:r w:rsidR="00E95384">
              <w:rPr>
                <w:sz w:val="20"/>
              </w:rPr>
              <w:t>however</w:t>
            </w:r>
            <w:r w:rsidR="00E02757">
              <w:rPr>
                <w:sz w:val="20"/>
              </w:rPr>
              <w:t>,</w:t>
            </w:r>
            <w:r w:rsidR="00E95384">
              <w:rPr>
                <w:sz w:val="20"/>
              </w:rPr>
              <w:t xml:space="preserve"> was</w:t>
            </w:r>
            <w:r w:rsidR="00E95384" w:rsidRPr="004522C0">
              <w:rPr>
                <w:sz w:val="20"/>
              </w:rPr>
              <w:t xml:space="preserve"> </w:t>
            </w:r>
            <w:r w:rsidRPr="004522C0">
              <w:rPr>
                <w:sz w:val="20"/>
              </w:rPr>
              <w:t>lower compared to the previous year</w:t>
            </w:r>
            <w:r w:rsidR="00960079" w:rsidRPr="004522C0">
              <w:rPr>
                <w:sz w:val="20"/>
              </w:rPr>
              <w:t xml:space="preserve"> in all states</w:t>
            </w:r>
            <w:r w:rsidR="0029648A">
              <w:rPr>
                <w:sz w:val="20"/>
              </w:rPr>
              <w:t xml:space="preserve"> ex</w:t>
            </w:r>
            <w:r w:rsidR="00E95384">
              <w:rPr>
                <w:sz w:val="20"/>
              </w:rPr>
              <w:t>cept the</w:t>
            </w:r>
            <w:r w:rsidR="0029648A">
              <w:rPr>
                <w:sz w:val="20"/>
              </w:rPr>
              <w:t xml:space="preserve"> Northern Territory</w:t>
            </w:r>
            <w:r w:rsidRPr="004522C0">
              <w:rPr>
                <w:sz w:val="20"/>
              </w:rPr>
              <w:t xml:space="preserve">. Victoria, which was the </w:t>
            </w:r>
            <w:r w:rsidR="00960079" w:rsidRPr="004522C0">
              <w:rPr>
                <w:sz w:val="20"/>
              </w:rPr>
              <w:t xml:space="preserve">third </w:t>
            </w:r>
            <w:r w:rsidRPr="004522C0">
              <w:rPr>
                <w:sz w:val="20"/>
              </w:rPr>
              <w:t xml:space="preserve">fastest growing state over the year ending </w:t>
            </w:r>
            <w:r w:rsidR="00890083">
              <w:rPr>
                <w:sz w:val="20"/>
              </w:rPr>
              <w:t xml:space="preserve">30 </w:t>
            </w:r>
            <w:r w:rsidR="00CF11F0" w:rsidRPr="004522C0">
              <w:rPr>
                <w:sz w:val="20"/>
              </w:rPr>
              <w:t>June</w:t>
            </w:r>
            <w:r w:rsidRPr="004522C0">
              <w:rPr>
                <w:sz w:val="20"/>
              </w:rPr>
              <w:t xml:space="preserve"> 2020, recorded a population decline of -0.</w:t>
            </w:r>
            <w:r w:rsidR="00960079" w:rsidRPr="004522C0">
              <w:rPr>
                <w:sz w:val="20"/>
              </w:rPr>
              <w:t>7</w:t>
            </w:r>
            <w:r w:rsidRPr="004522C0">
              <w:rPr>
                <w:sz w:val="20"/>
              </w:rPr>
              <w:t xml:space="preserve"> per cent for the year </w:t>
            </w:r>
            <w:r w:rsidR="00890083">
              <w:rPr>
                <w:sz w:val="20"/>
              </w:rPr>
              <w:t xml:space="preserve">ending 30 June 2021 </w:t>
            </w:r>
            <w:r w:rsidR="00E221ED">
              <w:rPr>
                <w:sz w:val="20"/>
              </w:rPr>
              <w:t>with its fifth</w:t>
            </w:r>
            <w:r w:rsidRPr="004522C0">
              <w:rPr>
                <w:sz w:val="20"/>
              </w:rPr>
              <w:t xml:space="preserve"> consecutive quarter of negative net overseas and interstate migration.</w:t>
            </w:r>
            <w:r w:rsidR="00E221ED">
              <w:rPr>
                <w:sz w:val="20"/>
              </w:rPr>
              <w:t xml:space="preserve"> T</w:t>
            </w:r>
            <w:r w:rsidRPr="004522C0">
              <w:rPr>
                <w:sz w:val="20"/>
              </w:rPr>
              <w:t xml:space="preserve">he negative net interstate migration </w:t>
            </w:r>
            <w:r w:rsidR="00E221ED">
              <w:rPr>
                <w:sz w:val="20"/>
              </w:rPr>
              <w:t xml:space="preserve">(NIM) </w:t>
            </w:r>
            <w:r w:rsidRPr="004522C0">
              <w:rPr>
                <w:sz w:val="20"/>
              </w:rPr>
              <w:t xml:space="preserve">to Victoria over this period </w:t>
            </w:r>
            <w:r w:rsidR="00E221ED">
              <w:rPr>
                <w:sz w:val="20"/>
              </w:rPr>
              <w:t xml:space="preserve">largely corresponded with </w:t>
            </w:r>
            <w:r w:rsidRPr="004522C0">
              <w:rPr>
                <w:sz w:val="20"/>
              </w:rPr>
              <w:t xml:space="preserve">positive </w:t>
            </w:r>
            <w:r w:rsidR="00E221ED">
              <w:rPr>
                <w:sz w:val="20"/>
              </w:rPr>
              <w:t>NIM</w:t>
            </w:r>
            <w:r w:rsidRPr="004522C0">
              <w:rPr>
                <w:sz w:val="20"/>
              </w:rPr>
              <w:t xml:space="preserve"> </w:t>
            </w:r>
            <w:r w:rsidR="00E77607">
              <w:rPr>
                <w:sz w:val="20"/>
              </w:rPr>
              <w:t>to</w:t>
            </w:r>
            <w:r w:rsidR="00096E22">
              <w:rPr>
                <w:sz w:val="20"/>
              </w:rPr>
              <w:t xml:space="preserve"> </w:t>
            </w:r>
            <w:r w:rsidRPr="004522C0">
              <w:rPr>
                <w:sz w:val="20"/>
              </w:rPr>
              <w:t xml:space="preserve">South Australia, Western Australia, and </w:t>
            </w:r>
            <w:r w:rsidR="00835272" w:rsidRPr="004522C0">
              <w:rPr>
                <w:sz w:val="20"/>
              </w:rPr>
              <w:t xml:space="preserve">the </w:t>
            </w:r>
            <w:r w:rsidRPr="004522C0">
              <w:rPr>
                <w:sz w:val="20"/>
              </w:rPr>
              <w:t xml:space="preserve">Australian Capital Territory, and lower than recently recorded net interstate outflows from </w:t>
            </w:r>
            <w:r w:rsidR="00E221ED">
              <w:rPr>
                <w:sz w:val="20"/>
              </w:rPr>
              <w:t xml:space="preserve">the </w:t>
            </w:r>
            <w:r w:rsidRPr="004522C0">
              <w:rPr>
                <w:sz w:val="20"/>
              </w:rPr>
              <w:t xml:space="preserve">Northern Territory. </w:t>
            </w:r>
            <w:r w:rsidR="00835272" w:rsidRPr="004522C0">
              <w:rPr>
                <w:sz w:val="20"/>
              </w:rPr>
              <w:t xml:space="preserve">The </w:t>
            </w:r>
            <w:r w:rsidRPr="004522C0">
              <w:rPr>
                <w:sz w:val="20"/>
              </w:rPr>
              <w:t>Northern Territory was the only jurisdiction that experienced a</w:t>
            </w:r>
            <w:r w:rsidR="00835272" w:rsidRPr="004522C0">
              <w:rPr>
                <w:sz w:val="20"/>
              </w:rPr>
              <w:t xml:space="preserve">n equal rate of </w:t>
            </w:r>
            <w:r w:rsidRPr="004522C0">
              <w:rPr>
                <w:sz w:val="20"/>
              </w:rPr>
              <w:t>population growth compared to the previous year.</w:t>
            </w:r>
          </w:p>
        </w:tc>
      </w:tr>
      <w:tr w:rsidR="00725216" w:rsidRPr="0023709A" w14:paraId="6484E700" w14:textId="77777777" w:rsidTr="004522C0">
        <w:trPr>
          <w:trHeight w:val="300"/>
        </w:trPr>
        <w:tc>
          <w:tcPr>
            <w:tcW w:w="5000" w:type="pct"/>
            <w:shd w:val="clear" w:color="auto" w:fill="auto"/>
            <w:vAlign w:val="center"/>
          </w:tcPr>
          <w:p w14:paraId="064B949C" w14:textId="4EEB5F16" w:rsidR="00725216" w:rsidRPr="004C38EA" w:rsidRDefault="0069520E" w:rsidP="00167155">
            <w:pPr>
              <w:pStyle w:val="Heading3"/>
              <w:keepNext w:val="0"/>
            </w:pPr>
            <w:r>
              <w:t>National Outcomes</w:t>
            </w:r>
          </w:p>
          <w:p w14:paraId="7A3DA6D1" w14:textId="69A4F204" w:rsidR="00167155" w:rsidRDefault="00E32F5A" w:rsidP="00F21FAB">
            <w:r w:rsidRPr="00E32F5A">
              <w:t xml:space="preserve">Australia’s population grew by </w:t>
            </w:r>
            <w:r w:rsidRPr="001C0964">
              <w:t xml:space="preserve">around </w:t>
            </w:r>
            <w:r w:rsidR="001C0964" w:rsidRPr="001C0964">
              <w:t>34,300</w:t>
            </w:r>
            <w:r w:rsidRPr="001C0964">
              <w:t xml:space="preserve"> people in the </w:t>
            </w:r>
            <w:r w:rsidR="00EF4F80" w:rsidRPr="001C0964">
              <w:t>June</w:t>
            </w:r>
            <w:r w:rsidRPr="001C0964">
              <w:t xml:space="preserve"> 2021 quarter (0.1 per cent). This was entirely due to natural increase of </w:t>
            </w:r>
            <w:r w:rsidR="001C0964" w:rsidRPr="001C0964">
              <w:t>36,700</w:t>
            </w:r>
            <w:r w:rsidRPr="001C0964">
              <w:t xml:space="preserve"> for the quarter, </w:t>
            </w:r>
            <w:r w:rsidR="002D63FB">
              <w:t xml:space="preserve">slightly </w:t>
            </w:r>
            <w:r w:rsidRPr="001C0964">
              <w:t xml:space="preserve">offset by </w:t>
            </w:r>
            <w:r w:rsidR="00F35070">
              <w:t>NOM</w:t>
            </w:r>
            <w:r w:rsidRPr="001C0964">
              <w:t xml:space="preserve"> of </w:t>
            </w:r>
            <w:r w:rsidR="001C0964" w:rsidRPr="001C0964">
              <w:t>-2,300</w:t>
            </w:r>
            <w:r w:rsidRPr="001C0964">
              <w:t xml:space="preserve"> (Chart</w:t>
            </w:r>
            <w:r w:rsidR="002D63FB">
              <w:t> </w:t>
            </w:r>
            <w:r w:rsidRPr="001C0964">
              <w:t>1).</w:t>
            </w:r>
          </w:p>
          <w:p w14:paraId="377F1EA7" w14:textId="7483A67A" w:rsidR="00E32F5A" w:rsidRPr="00E32F5A" w:rsidRDefault="00E32F5A" w:rsidP="00E32F5A">
            <w:pPr>
              <w:keepNext/>
              <w:numPr>
                <w:ilvl w:val="0"/>
                <w:numId w:val="28"/>
              </w:numPr>
              <w:pBdr>
                <w:top w:val="dashed" w:sz="4" w:space="1" w:color="002C47" w:themeColor="accent1"/>
              </w:pBdr>
              <w:outlineLvl w:val="8"/>
              <w:rPr>
                <w:rFonts w:eastAsia="Calibri"/>
                <w:b/>
                <w:bCs/>
                <w:smallCaps/>
                <w:color w:val="002C47" w:themeColor="accent1"/>
              </w:rPr>
            </w:pPr>
            <w:r>
              <w:rPr>
                <w:rFonts w:eastAsia="Calibri"/>
                <w:b/>
                <w:bCs/>
                <w:smallCaps/>
                <w:color w:val="002C47" w:themeColor="accent1"/>
              </w:rPr>
              <w:t>Q</w:t>
            </w:r>
            <w:r w:rsidRPr="00E32F5A">
              <w:rPr>
                <w:rFonts w:eastAsia="Calibri"/>
                <w:b/>
                <w:bCs/>
                <w:smallCaps/>
                <w:color w:val="002C47" w:themeColor="accent1"/>
              </w:rPr>
              <w:t>uarterly national population growth and components, number of people</w:t>
            </w:r>
          </w:p>
          <w:p w14:paraId="430AC75F" w14:textId="7E3242D8" w:rsidR="00725216" w:rsidRDefault="001C0964" w:rsidP="00F21FAB">
            <w:r w:rsidRPr="001C0964">
              <w:rPr>
                <w:noProof/>
              </w:rPr>
              <w:drawing>
                <wp:inline distT="0" distB="0" distL="0" distR="0" wp14:anchorId="2B80F669" wp14:editId="1515BE4D">
                  <wp:extent cx="5581650" cy="2514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2514600"/>
                          </a:xfrm>
                          <a:prstGeom prst="rect">
                            <a:avLst/>
                          </a:prstGeom>
                          <a:noFill/>
                          <a:ln>
                            <a:noFill/>
                          </a:ln>
                        </pic:spPr>
                      </pic:pic>
                    </a:graphicData>
                  </a:graphic>
                </wp:inline>
              </w:drawing>
            </w:r>
          </w:p>
          <w:p w14:paraId="0349E9D1" w14:textId="69E60901" w:rsidR="00DE4105" w:rsidRDefault="00DE4105" w:rsidP="00F21FAB">
            <w:r w:rsidRPr="004522C0">
              <w:t>Quarterly</w:t>
            </w:r>
            <w:r>
              <w:t xml:space="preserve"> </w:t>
            </w:r>
            <w:r w:rsidRPr="004522C0">
              <w:t>NOM</w:t>
            </w:r>
            <w:r w:rsidR="00B172A1">
              <w:t xml:space="preserve"> </w:t>
            </w:r>
            <w:r w:rsidRPr="004522C0">
              <w:t>was around 12,100 higher than the previous quarter</w:t>
            </w:r>
            <w:r>
              <w:t>.</w:t>
            </w:r>
            <w:r w:rsidRPr="00E32F5A">
              <w:t xml:space="preserve"> </w:t>
            </w:r>
            <w:r>
              <w:t>T</w:t>
            </w:r>
            <w:r w:rsidRPr="00E32F5A">
              <w:t>his</w:t>
            </w:r>
            <w:r w:rsidR="00B172A1">
              <w:t xml:space="preserve"> was</w:t>
            </w:r>
            <w:r w:rsidRPr="00E32F5A">
              <w:t xml:space="preserve"> the </w:t>
            </w:r>
            <w:r>
              <w:t>fif</w:t>
            </w:r>
            <w:r w:rsidRPr="00E32F5A">
              <w:t>th consecutive quarter of negative NOM since the beginning of the COVID-19 pandemic.</w:t>
            </w:r>
          </w:p>
          <w:p w14:paraId="68C0D4F2" w14:textId="6B75DC4B" w:rsidR="00E32F5A" w:rsidRDefault="00EF4F80" w:rsidP="00F21FAB">
            <w:r>
              <w:t>In the June 2021 quar</w:t>
            </w:r>
            <w:r w:rsidRPr="00556E65">
              <w:t xml:space="preserve">ter, </w:t>
            </w:r>
            <w:r w:rsidR="00556E65" w:rsidRPr="00556E65">
              <w:t>47,400</w:t>
            </w:r>
            <w:r w:rsidR="00E32F5A" w:rsidRPr="00556E65">
              <w:t xml:space="preserve"> people emigrated from Australia compared to </w:t>
            </w:r>
            <w:r w:rsidR="00556E65" w:rsidRPr="00556E65">
              <w:t>45,000</w:t>
            </w:r>
            <w:r w:rsidR="00E32F5A" w:rsidRPr="00556E65">
              <w:t xml:space="preserve"> arriving immigrants. </w:t>
            </w:r>
            <w:r w:rsidR="00E32F5A" w:rsidRPr="00E32F5A">
              <w:t xml:space="preserve"> Annual NOM over the year ending </w:t>
            </w:r>
            <w:r w:rsidR="001225FF">
              <w:t xml:space="preserve">30 </w:t>
            </w:r>
            <w:r>
              <w:t>June</w:t>
            </w:r>
            <w:r w:rsidR="00E32F5A" w:rsidRPr="00E32F5A">
              <w:t xml:space="preserve"> 20</w:t>
            </w:r>
            <w:r w:rsidR="00E32F5A" w:rsidRPr="00B20F8A">
              <w:t>21 was -</w:t>
            </w:r>
            <w:r w:rsidR="00556E65" w:rsidRPr="00B20F8A">
              <w:t>88,800</w:t>
            </w:r>
            <w:r w:rsidR="002D63FB">
              <w:t>. This was</w:t>
            </w:r>
            <w:r w:rsidR="00E32F5A" w:rsidRPr="00B20F8A">
              <w:t xml:space="preserve"> a decrease of </w:t>
            </w:r>
            <w:r w:rsidR="00556E65" w:rsidRPr="00B20F8A">
              <w:t>281,000</w:t>
            </w:r>
            <w:r w:rsidR="00E32F5A" w:rsidRPr="00B20F8A">
              <w:t xml:space="preserve"> compared to the year ending </w:t>
            </w:r>
            <w:r w:rsidR="000E2C7E">
              <w:t xml:space="preserve">30 </w:t>
            </w:r>
            <w:r w:rsidRPr="00B20F8A">
              <w:t>June</w:t>
            </w:r>
            <w:r w:rsidR="00E32F5A" w:rsidRPr="00B20F8A">
              <w:t xml:space="preserve"> 2020</w:t>
            </w:r>
            <w:r w:rsidR="002D63FB">
              <w:t xml:space="preserve">, but slightly higher than </w:t>
            </w:r>
            <w:r w:rsidR="00E95384">
              <w:t>NOM of</w:t>
            </w:r>
            <w:r w:rsidR="002D63FB">
              <w:t xml:space="preserve"> </w:t>
            </w:r>
            <w:r w:rsidR="00B172A1">
              <w:t>-94,800</w:t>
            </w:r>
            <w:r w:rsidR="00E95384">
              <w:t xml:space="preserve"> </w:t>
            </w:r>
            <w:r w:rsidR="002D63FB">
              <w:t xml:space="preserve">for the year ending </w:t>
            </w:r>
            <w:r w:rsidR="000E2C7E">
              <w:t xml:space="preserve">31 </w:t>
            </w:r>
            <w:r w:rsidR="002D63FB">
              <w:t>March 2021</w:t>
            </w:r>
            <w:r w:rsidR="00E32F5A" w:rsidRPr="00B20F8A">
              <w:t xml:space="preserve"> (Chart</w:t>
            </w:r>
            <w:r w:rsidR="002D63FB">
              <w:t> </w:t>
            </w:r>
            <w:r w:rsidR="00E32F5A" w:rsidRPr="00B20F8A">
              <w:t>2).</w:t>
            </w:r>
          </w:p>
          <w:p w14:paraId="501924F0" w14:textId="77777777" w:rsidR="007700BD" w:rsidRPr="0044695E" w:rsidRDefault="007700BD" w:rsidP="007700BD">
            <w:pPr>
              <w:pStyle w:val="Heading9"/>
            </w:pPr>
            <w:r w:rsidRPr="0044695E">
              <w:lastRenderedPageBreak/>
              <w:t>Net overseas migration, year ending</w:t>
            </w:r>
            <w:r>
              <w:t xml:space="preserve"> quarterly</w:t>
            </w:r>
          </w:p>
          <w:p w14:paraId="4E3992BB" w14:textId="152B889A" w:rsidR="00E32F5A" w:rsidRDefault="00B20F8A" w:rsidP="00E02757">
            <w:pPr>
              <w:spacing w:after="60"/>
            </w:pPr>
            <w:r w:rsidRPr="00B20F8A">
              <w:rPr>
                <w:noProof/>
              </w:rPr>
              <w:drawing>
                <wp:inline distT="0" distB="0" distL="0" distR="0" wp14:anchorId="24212848" wp14:editId="1DFD301D">
                  <wp:extent cx="5581650" cy="2524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385BB8BD" w14:textId="3ADEE328" w:rsidR="001A534F" w:rsidRDefault="001A534F" w:rsidP="00E02757">
            <w:pPr>
              <w:spacing w:before="100" w:after="100"/>
            </w:pPr>
            <w:r w:rsidRPr="001A534F">
              <w:t xml:space="preserve">Natural increase over the </w:t>
            </w:r>
            <w:r w:rsidRPr="0025672B">
              <w:t>year ending</w:t>
            </w:r>
            <w:r w:rsidR="00EF4F80" w:rsidRPr="0025672B">
              <w:t xml:space="preserve"> </w:t>
            </w:r>
            <w:r w:rsidR="000E2C7E">
              <w:t xml:space="preserve">30 </w:t>
            </w:r>
            <w:r w:rsidR="00EF4F80" w:rsidRPr="0025672B">
              <w:t>June</w:t>
            </w:r>
            <w:r w:rsidRPr="0025672B">
              <w:t xml:space="preserve"> 2021 was 13</w:t>
            </w:r>
            <w:r w:rsidR="00B20F8A" w:rsidRPr="0025672B">
              <w:t>5</w:t>
            </w:r>
            <w:r w:rsidRPr="0025672B">
              <w:t xml:space="preserve">,000 people, comprising </w:t>
            </w:r>
            <w:r w:rsidR="00B20F8A" w:rsidRPr="0025672B">
              <w:t>298,000</w:t>
            </w:r>
            <w:r w:rsidRPr="0025672B">
              <w:t xml:space="preserve"> births less </w:t>
            </w:r>
            <w:r w:rsidR="00B20F8A" w:rsidRPr="0025672B">
              <w:t>163,000</w:t>
            </w:r>
            <w:r w:rsidRPr="0025672B">
              <w:t xml:space="preserve"> deaths. Annual births decreased slightly, down </w:t>
            </w:r>
            <w:r w:rsidR="00B20F8A" w:rsidRPr="0025672B">
              <w:t>1,400</w:t>
            </w:r>
            <w:r w:rsidRPr="0025672B">
              <w:t xml:space="preserve"> from the year ending </w:t>
            </w:r>
            <w:r w:rsidR="000E2C7E">
              <w:t xml:space="preserve">30 </w:t>
            </w:r>
            <w:r w:rsidR="00EF4F80" w:rsidRPr="0025672B">
              <w:t>June</w:t>
            </w:r>
            <w:r w:rsidRPr="0025672B">
              <w:t xml:space="preserve"> 2020, although births for the </w:t>
            </w:r>
            <w:r w:rsidR="00B20F8A" w:rsidRPr="0025672B">
              <w:t xml:space="preserve">June </w:t>
            </w:r>
            <w:r w:rsidRPr="0025672B">
              <w:t>2021 quarter itself were higher than for the March 202</w:t>
            </w:r>
            <w:r w:rsidR="00B20F8A" w:rsidRPr="0025672B">
              <w:t>1</w:t>
            </w:r>
            <w:r w:rsidRPr="0025672B">
              <w:t xml:space="preserve"> quarter </w:t>
            </w:r>
            <w:r w:rsidR="00855928" w:rsidRPr="0025672B">
              <w:t>with around 1,700 more births across Australia</w:t>
            </w:r>
            <w:r w:rsidRPr="0025672B">
              <w:t>. This</w:t>
            </w:r>
            <w:r w:rsidRPr="001A534F">
              <w:t xml:space="preserve"> is the</w:t>
            </w:r>
            <w:r w:rsidR="00855928">
              <w:t xml:space="preserve"> </w:t>
            </w:r>
            <w:r w:rsidR="00610280">
              <w:t>second</w:t>
            </w:r>
            <w:r w:rsidRPr="001A534F">
              <w:t xml:space="preserve"> quarter where all the births are the result of conceptions that would have taken place following the outbreak of the COVID</w:t>
            </w:r>
            <w:r w:rsidR="00855928">
              <w:t>-</w:t>
            </w:r>
            <w:r w:rsidRPr="001A534F">
              <w:t>19 pandemic in Australia.</w:t>
            </w:r>
          </w:p>
          <w:p w14:paraId="0FDA11E5" w14:textId="1FBCF78B" w:rsidR="00E32F5A" w:rsidRPr="0025672B" w:rsidRDefault="00E32F5A" w:rsidP="00E02757">
            <w:pPr>
              <w:spacing w:before="100" w:after="100"/>
            </w:pPr>
            <w:r w:rsidRPr="0044695E">
              <w:t xml:space="preserve">The number of </w:t>
            </w:r>
            <w:r w:rsidRPr="0025672B">
              <w:t xml:space="preserve">deaths in Australia decreased slightly to </w:t>
            </w:r>
            <w:r w:rsidR="00855928" w:rsidRPr="0025672B">
              <w:t>163,000</w:t>
            </w:r>
            <w:r w:rsidRPr="0025672B">
              <w:t xml:space="preserve"> people in the year ending </w:t>
            </w:r>
            <w:r w:rsidR="00EF4F80" w:rsidRPr="0025672B">
              <w:t>June</w:t>
            </w:r>
            <w:r w:rsidRPr="0025672B">
              <w:t xml:space="preserve"> 2021, </w:t>
            </w:r>
            <w:r w:rsidR="002D63FB">
              <w:t xml:space="preserve">this was </w:t>
            </w:r>
            <w:r w:rsidR="00855928" w:rsidRPr="0025672B">
              <w:t>1,300</w:t>
            </w:r>
            <w:r w:rsidRPr="0025672B">
              <w:t xml:space="preserve"> </w:t>
            </w:r>
            <w:r w:rsidR="00855928" w:rsidRPr="0025672B">
              <w:t xml:space="preserve">fewer deaths </w:t>
            </w:r>
            <w:r w:rsidRPr="0025672B">
              <w:t xml:space="preserve">compared to the year ending </w:t>
            </w:r>
            <w:r w:rsidR="00EF4F80" w:rsidRPr="0025672B">
              <w:t>June</w:t>
            </w:r>
            <w:r w:rsidRPr="0025672B">
              <w:t xml:space="preserve"> 2020. This decrease could in part be a result of pandemic-related restrictions, social distancing, and better hygiene practices (also see analysis of the Australian Bureau Statistics’</w:t>
            </w:r>
            <w:r w:rsidR="00B172A1">
              <w:t xml:space="preserve"> </w:t>
            </w:r>
            <w:hyperlink r:id="rId15" w:history="1">
              <w:r w:rsidR="00B172A1" w:rsidRPr="00DB2661">
                <w:rPr>
                  <w:rStyle w:val="Hyperlink"/>
                  <w:i/>
                  <w:iCs/>
                  <w:u w:val="single"/>
                </w:rPr>
                <w:t>Provisional Mortality Statistics, Jan 2020 - Aug 2021</w:t>
              </w:r>
            </w:hyperlink>
            <w:r w:rsidR="00F35070" w:rsidRPr="00F35070">
              <w:t>).</w:t>
            </w:r>
            <w:r w:rsidRPr="0025672B">
              <w:t xml:space="preserve"> </w:t>
            </w:r>
          </w:p>
          <w:p w14:paraId="55084397" w14:textId="4F8A5B84" w:rsidR="00E32F5A" w:rsidRPr="007700BD" w:rsidRDefault="00E32F5A" w:rsidP="00E02757">
            <w:pPr>
              <w:spacing w:before="100" w:after="100"/>
              <w:rPr>
                <w:rFonts w:eastAsia="Calibri" w:cs="Calibri"/>
              </w:rPr>
            </w:pPr>
            <w:r w:rsidRPr="001D5713">
              <w:rPr>
                <w:rFonts w:eastAsia="Calibri" w:cs="Calibri"/>
              </w:rPr>
              <w:t xml:space="preserve">The number of </w:t>
            </w:r>
            <w:r w:rsidR="0025672B" w:rsidRPr="001D5713">
              <w:rPr>
                <w:rFonts w:eastAsia="Calibri" w:cs="Calibri"/>
              </w:rPr>
              <w:t xml:space="preserve">total quarterly </w:t>
            </w:r>
            <w:r w:rsidRPr="001D5713">
              <w:rPr>
                <w:rFonts w:eastAsia="Calibri" w:cs="Calibri"/>
              </w:rPr>
              <w:t>interstate moves in</w:t>
            </w:r>
            <w:r w:rsidR="00EF4F80" w:rsidRPr="001D5713">
              <w:rPr>
                <w:rFonts w:eastAsia="Calibri" w:cs="Calibri"/>
              </w:rPr>
              <w:t xml:space="preserve"> </w:t>
            </w:r>
            <w:r w:rsidR="00855928" w:rsidRPr="001D5713">
              <w:rPr>
                <w:rFonts w:eastAsia="Calibri" w:cs="Calibri"/>
              </w:rPr>
              <w:t xml:space="preserve">the </w:t>
            </w:r>
            <w:r w:rsidR="00EF4F80" w:rsidRPr="001D5713">
              <w:rPr>
                <w:rFonts w:eastAsia="Calibri" w:cs="Calibri"/>
              </w:rPr>
              <w:t>June</w:t>
            </w:r>
            <w:r w:rsidRPr="001D5713">
              <w:rPr>
                <w:rFonts w:eastAsia="Calibri" w:cs="Calibri"/>
              </w:rPr>
              <w:t xml:space="preserve"> 2021 quarter </w:t>
            </w:r>
            <w:r w:rsidR="0025672B" w:rsidRPr="001D5713">
              <w:rPr>
                <w:rFonts w:eastAsia="Calibri" w:cs="Calibri"/>
              </w:rPr>
              <w:t>increased substantially to 127,000 moves</w:t>
            </w:r>
            <w:r w:rsidRPr="001D5713">
              <w:rPr>
                <w:rFonts w:eastAsia="Calibri" w:cs="Calibri"/>
              </w:rPr>
              <w:t xml:space="preserve"> </w:t>
            </w:r>
            <w:r w:rsidR="002D63FB">
              <w:rPr>
                <w:rFonts w:eastAsia="Calibri" w:cs="Calibri"/>
              </w:rPr>
              <w:t xml:space="preserve">which was </w:t>
            </w:r>
            <w:r w:rsidR="0025672B" w:rsidRPr="001D5713">
              <w:rPr>
                <w:rFonts w:eastAsia="Calibri" w:cs="Calibri"/>
              </w:rPr>
              <w:t xml:space="preserve">28,700 more moves </w:t>
            </w:r>
            <w:r w:rsidR="002D63FB">
              <w:rPr>
                <w:rFonts w:eastAsia="Calibri" w:cs="Calibri"/>
              </w:rPr>
              <w:t xml:space="preserve">than </w:t>
            </w:r>
            <w:r w:rsidRPr="001D5713">
              <w:rPr>
                <w:rFonts w:eastAsia="Calibri" w:cs="Calibri"/>
              </w:rPr>
              <w:t>the previous quarter.</w:t>
            </w:r>
            <w:r w:rsidR="00380633">
              <w:rPr>
                <w:rFonts w:eastAsia="Calibri" w:cs="Calibri"/>
              </w:rPr>
              <w:t xml:space="preserve"> The NIM estimates have been revised for the past three quarters in this release. </w:t>
            </w:r>
            <w:r w:rsidR="007F42E2">
              <w:rPr>
                <w:rFonts w:eastAsia="Calibri" w:cs="Calibri"/>
              </w:rPr>
              <w:t xml:space="preserve">For more information on these revisions please see the </w:t>
            </w:r>
            <w:r w:rsidR="007F42E2" w:rsidRPr="007F42E2">
              <w:rPr>
                <w:rFonts w:eastAsia="Calibri" w:cs="Calibri"/>
                <w:i/>
                <w:iCs/>
              </w:rPr>
              <w:t>Notes</w:t>
            </w:r>
            <w:r w:rsidR="007F42E2">
              <w:rPr>
                <w:rFonts w:eastAsia="Calibri" w:cs="Calibri"/>
              </w:rPr>
              <w:t xml:space="preserve"> section below and also the </w:t>
            </w:r>
            <w:hyperlink r:id="rId16" w:history="1">
              <w:r w:rsidR="007F42E2" w:rsidRPr="00943963">
                <w:rPr>
                  <w:rStyle w:val="Hyperlink"/>
                  <w:rFonts w:eastAsia="Calibri" w:cs="Calibri"/>
                  <w:u w:val="single"/>
                </w:rPr>
                <w:t>ABS website</w:t>
              </w:r>
            </w:hyperlink>
            <w:r w:rsidR="00370607">
              <w:rPr>
                <w:rFonts w:eastAsia="Calibri" w:cs="Calibri"/>
              </w:rPr>
              <w:t>.</w:t>
            </w:r>
            <w:r w:rsidRPr="0044695E">
              <w:rPr>
                <w:rFonts w:eastAsia="Calibri" w:cs="Calibri"/>
              </w:rPr>
              <w:t xml:space="preserve"> </w:t>
            </w:r>
          </w:p>
          <w:p w14:paraId="4B884037" w14:textId="1276E2D0" w:rsidR="00167155" w:rsidRDefault="007700BD" w:rsidP="00E02757">
            <w:pPr>
              <w:pStyle w:val="Heading3"/>
              <w:spacing w:before="100" w:after="100"/>
            </w:pPr>
            <w:r>
              <w:t>State and territory outcomes</w:t>
            </w:r>
          </w:p>
          <w:p w14:paraId="2E695536" w14:textId="336DB522" w:rsidR="004C7F2B" w:rsidRDefault="00D930C9" w:rsidP="00E02757">
            <w:pPr>
              <w:spacing w:before="100" w:after="100"/>
            </w:pPr>
            <w:r>
              <w:t>A</w:t>
            </w:r>
            <w:r w:rsidR="004C7F2B" w:rsidRPr="00373B30">
              <w:t>ll states and territories recorded low but positive population growth over the year ending June 2021</w:t>
            </w:r>
            <w:r>
              <w:t>, except for Victoria</w:t>
            </w:r>
            <w:r w:rsidR="004C7F2B" w:rsidRPr="00373B30">
              <w:t xml:space="preserve"> (Chart </w:t>
            </w:r>
            <w:r w:rsidR="000E2C7E">
              <w:t>3</w:t>
            </w:r>
            <w:r w:rsidR="004C7F2B" w:rsidRPr="00373B30">
              <w:t>).</w:t>
            </w:r>
            <w:r w:rsidR="004C7F2B" w:rsidRPr="00ED4B33">
              <w:t xml:space="preserve"> </w:t>
            </w:r>
            <w:r w:rsidR="004C7F2B" w:rsidRPr="00373B30">
              <w:t>Queensland had the highest annual growth (0.9 per cent)</w:t>
            </w:r>
            <w:r w:rsidR="00562190">
              <w:t>,</w:t>
            </w:r>
            <w:r w:rsidR="004C7F2B" w:rsidRPr="00373B30">
              <w:t xml:space="preserve"> </w:t>
            </w:r>
            <w:r w:rsidR="00562190">
              <w:t xml:space="preserve">while </w:t>
            </w:r>
            <w:r w:rsidR="004C7F2B" w:rsidRPr="00373B30">
              <w:t xml:space="preserve">Victoria had the lowest (-0.7 per cent). Victoria recorded its fourth consecutive quarterly </w:t>
            </w:r>
            <w:r>
              <w:t xml:space="preserve">population </w:t>
            </w:r>
            <w:r w:rsidR="004C7F2B" w:rsidRPr="00373B30">
              <w:t>decline, falling by 282</w:t>
            </w:r>
            <w:r>
              <w:t> </w:t>
            </w:r>
            <w:r w:rsidR="004C7F2B" w:rsidRPr="00373B30">
              <w:t>people over the quarter. All the states recorded negative NOM for the year ending June 2021.</w:t>
            </w:r>
          </w:p>
          <w:p w14:paraId="39D2F0B4" w14:textId="73321965" w:rsidR="007700BD" w:rsidRDefault="007700BD" w:rsidP="004522C0">
            <w:pPr>
              <w:keepNext/>
              <w:numPr>
                <w:ilvl w:val="0"/>
                <w:numId w:val="28"/>
              </w:numPr>
              <w:pBdr>
                <w:top w:val="dashed" w:sz="4" w:space="1" w:color="002C47" w:themeColor="accent1"/>
              </w:pBdr>
              <w:outlineLvl w:val="8"/>
              <w:rPr>
                <w:rFonts w:eastAsia="Calibri"/>
                <w:b/>
                <w:bCs/>
                <w:smallCaps/>
                <w:color w:val="002C47" w:themeColor="accent1"/>
              </w:rPr>
            </w:pPr>
            <w:r w:rsidRPr="007700BD">
              <w:rPr>
                <w:rFonts w:eastAsia="Calibri"/>
                <w:b/>
                <w:bCs/>
                <w:smallCaps/>
                <w:color w:val="002C47" w:themeColor="accent1"/>
              </w:rPr>
              <w:t>State and territory population growth (per cent), year ending quarterly</w:t>
            </w:r>
          </w:p>
          <w:p w14:paraId="640532A6" w14:textId="3A62EE68" w:rsidR="00C32B99" w:rsidRPr="007700BD" w:rsidRDefault="002B598F" w:rsidP="00E02757">
            <w:pPr>
              <w:pBdr>
                <w:top w:val="dashed" w:sz="4" w:space="1" w:color="002C47" w:themeColor="accent1"/>
              </w:pBdr>
              <w:outlineLvl w:val="8"/>
              <w:rPr>
                <w:rFonts w:eastAsia="Calibri"/>
                <w:b/>
                <w:bCs/>
                <w:smallCaps/>
                <w:color w:val="002C47" w:themeColor="accent1"/>
              </w:rPr>
            </w:pPr>
            <w:r w:rsidRPr="002B598F">
              <w:rPr>
                <w:rFonts w:eastAsia="Calibri"/>
                <w:b/>
                <w:bCs/>
                <w:smallCaps/>
                <w:noProof/>
                <w:color w:val="002C47" w:themeColor="accent1"/>
              </w:rPr>
              <w:drawing>
                <wp:inline distT="0" distB="0" distL="0" distR="0" wp14:anchorId="3BA2DBBA" wp14:editId="4D29099F">
                  <wp:extent cx="5581650" cy="2524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24C6C2D7" w14:textId="45C3A5B4" w:rsidR="004C7F2B" w:rsidRPr="00ED4B33" w:rsidRDefault="001B5029" w:rsidP="004C7F2B">
            <w:pPr>
              <w:rPr>
                <w:rFonts w:eastAsia="Calibri" w:cs="Calibri"/>
              </w:rPr>
            </w:pPr>
            <w:r w:rsidRPr="00AA57B2">
              <w:rPr>
                <w:rFonts w:eastAsia="Calibri" w:cs="Calibri"/>
              </w:rPr>
              <w:lastRenderedPageBreak/>
              <w:t xml:space="preserve">Following national trends, population growth for the quarter in all states and territories was mainly driven by natural increase. </w:t>
            </w:r>
            <w:r w:rsidRPr="00373B30">
              <w:rPr>
                <w:rFonts w:eastAsia="Calibri" w:cs="Calibri"/>
              </w:rPr>
              <w:t xml:space="preserve">Compared to the previous year there were more births in all jurisdictions except for Victoria and </w:t>
            </w:r>
            <w:r w:rsidR="00A37F00">
              <w:rPr>
                <w:rFonts w:eastAsia="Calibri" w:cs="Calibri"/>
              </w:rPr>
              <w:t xml:space="preserve">the Australian Capital Territory and </w:t>
            </w:r>
            <w:r>
              <w:rPr>
                <w:rFonts w:eastAsia="Calibri" w:cs="Calibri"/>
              </w:rPr>
              <w:t xml:space="preserve">slightly fewer </w:t>
            </w:r>
            <w:r w:rsidRPr="00373B30">
              <w:rPr>
                <w:rFonts w:eastAsia="Calibri" w:cs="Calibri"/>
              </w:rPr>
              <w:t xml:space="preserve">deaths over the same period in all states except in </w:t>
            </w:r>
            <w:r>
              <w:rPr>
                <w:rFonts w:eastAsia="Calibri" w:cs="Calibri"/>
              </w:rPr>
              <w:t>Western Australia, Tasmania and the Northern Territory.</w:t>
            </w:r>
          </w:p>
          <w:p w14:paraId="4E0570E9" w14:textId="35AAA075" w:rsidR="00D76690" w:rsidRDefault="00D76690" w:rsidP="00D76690">
            <w:pPr>
              <w:pStyle w:val="Heading9"/>
            </w:pPr>
            <w:r w:rsidRPr="0044695E">
              <w:t xml:space="preserve">State and territory population growth (no. people), quarterly, </w:t>
            </w:r>
            <w:r>
              <w:t>June 2021</w:t>
            </w:r>
          </w:p>
          <w:p w14:paraId="6DDA8710" w14:textId="7CE14488" w:rsidR="00C32B99" w:rsidRPr="00C32B99" w:rsidRDefault="00C32B99" w:rsidP="00C32B99">
            <w:r w:rsidRPr="00C32B99">
              <w:rPr>
                <w:noProof/>
              </w:rPr>
              <w:drawing>
                <wp:inline distT="0" distB="0" distL="0" distR="0" wp14:anchorId="044D41F3" wp14:editId="2B65D676">
                  <wp:extent cx="5581650" cy="2524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081EA38E" w14:textId="567BF85E" w:rsidR="00D76690" w:rsidRDefault="004C7F2B" w:rsidP="004C7F2B">
            <w:pPr>
              <w:pStyle w:val="Bullet"/>
            </w:pPr>
            <w:r w:rsidRPr="00DB2661">
              <w:rPr>
                <w:b/>
                <w:bCs/>
              </w:rPr>
              <w:t xml:space="preserve">Victoria’s </w:t>
            </w:r>
            <w:r w:rsidRPr="00ED4B33">
              <w:t xml:space="preserve">annual population growth of -0.7 per cent is the lowest for the state in over one hundred years. This has taken Victoria from the </w:t>
            </w:r>
            <w:r w:rsidRPr="00373B30">
              <w:t xml:space="preserve">third </w:t>
            </w:r>
            <w:r w:rsidRPr="00ED4B33">
              <w:t>fastest growing state for the year ending June</w:t>
            </w:r>
            <w:r w:rsidR="00562190">
              <w:t> </w:t>
            </w:r>
            <w:r w:rsidRPr="00ED4B33">
              <w:t xml:space="preserve">2020 to </w:t>
            </w:r>
            <w:r w:rsidR="00562190">
              <w:t>now be</w:t>
            </w:r>
            <w:r w:rsidR="00B76189">
              <w:t>ing</w:t>
            </w:r>
            <w:r w:rsidR="00562190">
              <w:t xml:space="preserve"> </w:t>
            </w:r>
            <w:r w:rsidRPr="00ED4B33">
              <w:t xml:space="preserve">the slowest. The state’s low growth was caused by large net outflows of both overseas and interstate migrants, only partially offset by positive natural increase. Most significantly, NOM to Victoria was -56,100 over the year ending June 2021, a decrease of </w:t>
            </w:r>
            <w:r w:rsidRPr="00373B30">
              <w:t>116,700</w:t>
            </w:r>
            <w:r w:rsidR="00562190">
              <w:t xml:space="preserve"> </w:t>
            </w:r>
            <w:r w:rsidRPr="00ED4B33">
              <w:t>from the year ending</w:t>
            </w:r>
            <w:r>
              <w:t xml:space="preserve"> June 2020.</w:t>
            </w:r>
          </w:p>
          <w:p w14:paraId="7D86EE7C" w14:textId="508B535D" w:rsidR="00562190" w:rsidRDefault="004C7F2B" w:rsidP="004C7F2B">
            <w:pPr>
              <w:pStyle w:val="Bullet"/>
            </w:pPr>
            <w:r w:rsidRPr="00DB2661">
              <w:rPr>
                <w:b/>
                <w:bCs/>
              </w:rPr>
              <w:t>New South Wales’</w:t>
            </w:r>
            <w:r>
              <w:t xml:space="preserve"> annual population growth fell to 0.3 per cent in the year ending June 2021 compared to 1.0 per cent in the year ending June 2020. The lower population growth was driven by lower than usual NOM</w:t>
            </w:r>
            <w:r w:rsidR="00562190">
              <w:t xml:space="preserve">, which </w:t>
            </w:r>
            <w:r>
              <w:t xml:space="preserve">was -5,500 for the year ending June 2021. </w:t>
            </w:r>
            <w:r w:rsidR="00562190">
              <w:t xml:space="preserve">Although </w:t>
            </w:r>
            <w:r>
              <w:t xml:space="preserve">NSW </w:t>
            </w:r>
            <w:r w:rsidR="00562190">
              <w:t>NOM improved in the June 2021 quarter to record a net inflow of 4,500</w:t>
            </w:r>
            <w:r>
              <w:t>.</w:t>
            </w:r>
          </w:p>
          <w:p w14:paraId="1F89A4E8" w14:textId="0B19F2DE" w:rsidR="00D76690" w:rsidRDefault="004C7F2B" w:rsidP="004C7F2B">
            <w:pPr>
              <w:pStyle w:val="Bullet"/>
            </w:pPr>
            <w:r w:rsidRPr="00DB2661">
              <w:rPr>
                <w:b/>
                <w:bCs/>
              </w:rPr>
              <w:t>Queensland’s</w:t>
            </w:r>
            <w:r>
              <w:t xml:space="preserve"> annual population growth slowed to 0.9 per cent compared to 1.6 per cent over the year ending June 2020. This slowdown was driven by negative NOM for the year. While this is the lowest recorded rate of growth for the state since 1943, Queensland was the fastest growing jurisdiction over the year ending June 2021, mainly due to continuing net inflows of interstate migrants.</w:t>
            </w:r>
          </w:p>
          <w:p w14:paraId="1C3DD219" w14:textId="77777777" w:rsidR="00B76189" w:rsidRDefault="004C7F2B" w:rsidP="00B76189">
            <w:pPr>
              <w:pStyle w:val="Bullet"/>
            </w:pPr>
            <w:r w:rsidRPr="00DB2661">
              <w:rPr>
                <w:b/>
                <w:bCs/>
              </w:rPr>
              <w:t>South Australia’s</w:t>
            </w:r>
            <w:r>
              <w:t xml:space="preserve"> </w:t>
            </w:r>
            <w:r w:rsidR="00B76189">
              <w:t>annual population growth dropped to 0.2 per cent from 1.0 per cent over the year ending June 2020. This lower growth is attributable to negative NOM in the year ending June 2021, as natural increase remained positive and South Australia recorded its first financial year of positive NIM since 1990-91. The positive NIM recorded in South Australia for the year was likely due to some people who might normally move to Victoria remaining in South Australia.</w:t>
            </w:r>
          </w:p>
          <w:p w14:paraId="48542AAE" w14:textId="4CC8B981" w:rsidR="009C665E" w:rsidRDefault="004C7F2B" w:rsidP="004C7F2B">
            <w:pPr>
              <w:pStyle w:val="Bullet"/>
            </w:pPr>
            <w:r w:rsidRPr="00DB2661">
              <w:rPr>
                <w:b/>
                <w:bCs/>
              </w:rPr>
              <w:t>Western Australia’s</w:t>
            </w:r>
            <w:r>
              <w:t xml:space="preserve"> annual population growth decreased to 0.7 per cent compared to 1.6 per cent in the year ending June 2020.</w:t>
            </w:r>
            <w:r w:rsidR="009E76AE">
              <w:t xml:space="preserve"> </w:t>
            </w:r>
            <w:r>
              <w:t xml:space="preserve">The state’s growth was primarily driven by natural increase and </w:t>
            </w:r>
            <w:r w:rsidR="00B76189">
              <w:t>positive annual NIM, the first financial year of positive NIM since 2012-13.</w:t>
            </w:r>
          </w:p>
          <w:p w14:paraId="2EAA8A92" w14:textId="6195BBD8" w:rsidR="004C7F2B" w:rsidRDefault="004C7F2B" w:rsidP="004C7F2B">
            <w:pPr>
              <w:pStyle w:val="Bullet"/>
            </w:pPr>
            <w:r w:rsidRPr="00DB2661">
              <w:rPr>
                <w:b/>
                <w:bCs/>
              </w:rPr>
              <w:t>Tasmania’s</w:t>
            </w:r>
            <w:r>
              <w:t xml:space="preserve"> annual population growth dropped to 0.2 per cent compared to 1.1 per cent </w:t>
            </w:r>
            <w:r w:rsidR="00A20910">
              <w:t xml:space="preserve">over the </w:t>
            </w:r>
            <w:r>
              <w:t xml:space="preserve">year ending June 2020. Natural increase made the largest positive contribution to growth, while </w:t>
            </w:r>
            <w:r w:rsidR="00A20910">
              <w:t xml:space="preserve">negative </w:t>
            </w:r>
            <w:r>
              <w:t xml:space="preserve">NOM </w:t>
            </w:r>
            <w:r w:rsidR="00A20910">
              <w:t>detracted from growth.</w:t>
            </w:r>
          </w:p>
          <w:p w14:paraId="5F92E1F9" w14:textId="6165064D" w:rsidR="004C7F2B" w:rsidRDefault="004C7F2B" w:rsidP="004C7F2B">
            <w:pPr>
              <w:pStyle w:val="Bullet"/>
            </w:pPr>
            <w:r w:rsidRPr="00DB2661">
              <w:rPr>
                <w:b/>
                <w:bCs/>
              </w:rPr>
              <w:t>The Northern Territory</w:t>
            </w:r>
            <w:r w:rsidR="009E76AE">
              <w:rPr>
                <w:b/>
                <w:bCs/>
              </w:rPr>
              <w:t>’s</w:t>
            </w:r>
            <w:r>
              <w:t xml:space="preserve"> </w:t>
            </w:r>
            <w:r w:rsidR="00A20910">
              <w:t xml:space="preserve">population growth was 0.0 per cent, which made it </w:t>
            </w:r>
            <w:r>
              <w:t xml:space="preserve">the only jurisdiction to </w:t>
            </w:r>
            <w:r w:rsidR="00A20910">
              <w:t xml:space="preserve">not </w:t>
            </w:r>
            <w:r>
              <w:t xml:space="preserve">experience </w:t>
            </w:r>
            <w:r w:rsidR="00A20910">
              <w:t xml:space="preserve">falling </w:t>
            </w:r>
            <w:r>
              <w:t xml:space="preserve">population growth compared to a year ago. </w:t>
            </w:r>
            <w:r w:rsidR="00A20910">
              <w:t>N</w:t>
            </w:r>
            <w:r>
              <w:t xml:space="preserve">egative NIM and NOM entirely </w:t>
            </w:r>
            <w:r w:rsidR="00922D4A">
              <w:t xml:space="preserve">offset </w:t>
            </w:r>
            <w:r>
              <w:t>the positive contribution of natural increase.</w:t>
            </w:r>
          </w:p>
          <w:p w14:paraId="10D453B4" w14:textId="5A718583" w:rsidR="004522C0" w:rsidRPr="009C665E" w:rsidRDefault="004C7F2B" w:rsidP="009C665E">
            <w:pPr>
              <w:pStyle w:val="Bullet"/>
            </w:pPr>
            <w:r w:rsidRPr="009C665E">
              <w:rPr>
                <w:b/>
                <w:bCs/>
              </w:rPr>
              <w:t>The Australian Capital Territory’s</w:t>
            </w:r>
            <w:r w:rsidRPr="009C665E">
              <w:t xml:space="preserve"> annual population growth slowed from 1.2 per cent in the year ending June 2020 to 0.2 per cent. The lower population growth was mainly due to negative NOM of 3</w:t>
            </w:r>
            <w:r w:rsidR="00A20910" w:rsidRPr="009C665E">
              <w:t>,</w:t>
            </w:r>
            <w:r w:rsidRPr="009C665E">
              <w:t xml:space="preserve">100 </w:t>
            </w:r>
            <w:r w:rsidRPr="009C665E">
              <w:lastRenderedPageBreak/>
              <w:t>people for the year</w:t>
            </w:r>
            <w:r w:rsidR="002E540B" w:rsidRPr="009C665E">
              <w:t xml:space="preserve"> as natural increase of 3,300 and NIM of 900 made a positive contribution to the population growth</w:t>
            </w:r>
            <w:r w:rsidRPr="009C665E">
              <w:t xml:space="preserve">. </w:t>
            </w:r>
          </w:p>
          <w:p w14:paraId="7ABFB21A" w14:textId="2083E218" w:rsidR="00167155" w:rsidRDefault="00D76690" w:rsidP="00167155">
            <w:pPr>
              <w:pStyle w:val="TableHeadingContinued"/>
            </w:pPr>
            <w:r>
              <w:t>Population and population growth across Australia</w:t>
            </w:r>
          </w:p>
          <w:tbl>
            <w:tblPr>
              <w:tblW w:w="8969" w:type="dxa"/>
              <w:jc w:val="center"/>
              <w:tblBorders>
                <w:top w:val="single" w:sz="4" w:space="0" w:color="auto"/>
                <w:bottom w:val="single" w:sz="4" w:space="0" w:color="auto"/>
              </w:tblBorders>
              <w:tblLook w:val="04A0" w:firstRow="1" w:lastRow="0" w:firstColumn="1" w:lastColumn="0" w:noHBand="0" w:noVBand="1"/>
            </w:tblPr>
            <w:tblGrid>
              <w:gridCol w:w="977"/>
              <w:gridCol w:w="1333"/>
              <w:gridCol w:w="1333"/>
              <w:gridCol w:w="1326"/>
              <w:gridCol w:w="1333"/>
              <w:gridCol w:w="1333"/>
              <w:gridCol w:w="1334"/>
            </w:tblGrid>
            <w:tr w:rsidR="001E641B" w:rsidRPr="0044695E" w14:paraId="2A7967B4" w14:textId="77777777" w:rsidTr="004522C0">
              <w:trPr>
                <w:trHeight w:val="612"/>
                <w:jc w:val="center"/>
              </w:trPr>
              <w:tc>
                <w:tcPr>
                  <w:tcW w:w="969" w:type="dxa"/>
                  <w:tcBorders>
                    <w:top w:val="single" w:sz="4" w:space="0" w:color="002C47" w:themeColor="accent1"/>
                    <w:bottom w:val="single" w:sz="4" w:space="0" w:color="002C47" w:themeColor="accent1"/>
                  </w:tcBorders>
                  <w:shd w:val="clear" w:color="auto" w:fill="auto"/>
                  <w:noWrap/>
                  <w:tcMar>
                    <w:left w:w="28" w:type="dxa"/>
                    <w:right w:w="0" w:type="dxa"/>
                  </w:tcMar>
                  <w:hideMark/>
                </w:tcPr>
                <w:p w14:paraId="163C4F93" w14:textId="77777777" w:rsidR="001E641B" w:rsidRPr="0044695E" w:rsidRDefault="001E641B" w:rsidP="001E641B">
                  <w:pPr>
                    <w:spacing w:before="40" w:after="40" w:line="276" w:lineRule="auto"/>
                    <w:rPr>
                      <w:rFonts w:asciiTheme="minorHAnsi" w:eastAsia="Times New Roman" w:hAnsiTheme="minorHAnsi" w:cstheme="minorHAnsi"/>
                      <w:b/>
                      <w:bCs/>
                      <w:color w:val="002C47" w:themeColor="accent1"/>
                      <w:sz w:val="18"/>
                      <w:szCs w:val="18"/>
                      <w:lang w:eastAsia="en-AU"/>
                    </w:rPr>
                  </w:pPr>
                  <w:r w:rsidRPr="0044695E">
                    <w:rPr>
                      <w:rFonts w:asciiTheme="minorHAnsi" w:eastAsia="Times New Roman" w:hAnsiTheme="minorHAnsi" w:cstheme="minorHAnsi"/>
                      <w:b/>
                      <w:bCs/>
                      <w:color w:val="002C47" w:themeColor="accent1"/>
                      <w:sz w:val="18"/>
                      <w:szCs w:val="18"/>
                      <w:lang w:eastAsia="en-AU"/>
                    </w:rPr>
                    <w:t>State</w:t>
                  </w:r>
                </w:p>
              </w:tc>
              <w:tc>
                <w:tcPr>
                  <w:tcW w:w="1333" w:type="dxa"/>
                  <w:tcBorders>
                    <w:top w:val="single" w:sz="4" w:space="0" w:color="002C47" w:themeColor="accent1"/>
                    <w:bottom w:val="single" w:sz="4" w:space="0" w:color="002C47" w:themeColor="accent1"/>
                  </w:tcBorders>
                  <w:shd w:val="clear" w:color="auto" w:fill="auto"/>
                  <w:tcMar>
                    <w:left w:w="28" w:type="dxa"/>
                    <w:right w:w="0" w:type="dxa"/>
                  </w:tcMar>
                  <w:hideMark/>
                </w:tcPr>
                <w:p w14:paraId="22C574A0" w14:textId="77777777" w:rsidR="001E641B" w:rsidRPr="0044695E" w:rsidRDefault="001E641B" w:rsidP="001E641B">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44695E">
                    <w:rPr>
                      <w:rFonts w:asciiTheme="minorHAnsi" w:eastAsia="Times New Roman" w:hAnsiTheme="minorHAnsi" w:cstheme="minorHAnsi"/>
                      <w:b/>
                      <w:bCs/>
                      <w:color w:val="002C47" w:themeColor="accent1"/>
                      <w:sz w:val="18"/>
                      <w:szCs w:val="18"/>
                      <w:lang w:eastAsia="en-AU"/>
                    </w:rPr>
                    <w:t>ERP</w:t>
                  </w:r>
                </w:p>
                <w:p w14:paraId="0C17D6C6" w14:textId="04713F90" w:rsidR="001E641B" w:rsidRPr="0044695E" w:rsidRDefault="004522C0" w:rsidP="001E641B">
                  <w:pPr>
                    <w:spacing w:before="40" w:after="40" w:line="276" w:lineRule="auto"/>
                    <w:jc w:val="center"/>
                    <w:rPr>
                      <w:rFonts w:asciiTheme="minorHAnsi" w:eastAsia="Times New Roman" w:hAnsiTheme="minorHAnsi" w:cstheme="minorHAnsi"/>
                      <w:bCs/>
                      <w:color w:val="002C47" w:themeColor="accent1"/>
                      <w:sz w:val="18"/>
                      <w:szCs w:val="18"/>
                      <w:lang w:eastAsia="en-AU"/>
                    </w:rPr>
                  </w:pPr>
                  <w:r>
                    <w:rPr>
                      <w:rFonts w:asciiTheme="minorHAnsi" w:eastAsia="Times New Roman" w:hAnsiTheme="minorHAnsi" w:cstheme="minorHAnsi"/>
                      <w:bCs/>
                      <w:color w:val="000000" w:themeColor="text1"/>
                      <w:sz w:val="18"/>
                      <w:szCs w:val="18"/>
                      <w:lang w:eastAsia="en-AU"/>
                    </w:rPr>
                    <w:t>3</w:t>
                  </w:r>
                  <w:r w:rsidR="00BF33DB">
                    <w:rPr>
                      <w:rFonts w:asciiTheme="minorHAnsi" w:eastAsia="Times New Roman" w:hAnsiTheme="minorHAnsi" w:cstheme="minorHAnsi"/>
                      <w:bCs/>
                      <w:color w:val="000000" w:themeColor="text1"/>
                      <w:sz w:val="18"/>
                      <w:szCs w:val="18"/>
                      <w:lang w:eastAsia="en-AU"/>
                    </w:rPr>
                    <w:t>0</w:t>
                  </w:r>
                  <w:r>
                    <w:rPr>
                      <w:rFonts w:asciiTheme="minorHAnsi" w:eastAsia="Times New Roman" w:hAnsiTheme="minorHAnsi" w:cstheme="minorHAnsi"/>
                      <w:bCs/>
                      <w:color w:val="000000" w:themeColor="text1"/>
                      <w:sz w:val="18"/>
                      <w:szCs w:val="18"/>
                      <w:lang w:eastAsia="en-AU"/>
                    </w:rPr>
                    <w:t xml:space="preserve"> June</w:t>
                  </w:r>
                  <w:r w:rsidR="001E641B" w:rsidRPr="0044695E">
                    <w:rPr>
                      <w:rFonts w:asciiTheme="minorHAnsi" w:eastAsia="Times New Roman" w:hAnsiTheme="minorHAnsi" w:cstheme="minorHAnsi"/>
                      <w:bCs/>
                      <w:color w:val="000000" w:themeColor="text1"/>
                      <w:sz w:val="18"/>
                      <w:szCs w:val="18"/>
                      <w:lang w:eastAsia="en-AU"/>
                    </w:rPr>
                    <w:t xml:space="preserve"> 2021</w:t>
                  </w:r>
                </w:p>
              </w:tc>
              <w:tc>
                <w:tcPr>
                  <w:tcW w:w="1333" w:type="dxa"/>
                  <w:tcBorders>
                    <w:top w:val="single" w:sz="4" w:space="0" w:color="002C47" w:themeColor="accent1"/>
                    <w:bottom w:val="single" w:sz="4" w:space="0" w:color="002C47" w:themeColor="accent1"/>
                  </w:tcBorders>
                  <w:shd w:val="clear" w:color="auto" w:fill="auto"/>
                  <w:tcMar>
                    <w:left w:w="28" w:type="dxa"/>
                    <w:right w:w="0" w:type="dxa"/>
                  </w:tcMar>
                  <w:hideMark/>
                </w:tcPr>
                <w:p w14:paraId="099729B3" w14:textId="77777777" w:rsidR="001E641B" w:rsidRPr="0044695E" w:rsidRDefault="001E641B" w:rsidP="001E641B">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44695E">
                    <w:rPr>
                      <w:rFonts w:asciiTheme="minorHAnsi" w:eastAsia="Times New Roman" w:hAnsiTheme="minorHAnsi" w:cstheme="minorHAnsi"/>
                      <w:b/>
                      <w:bCs/>
                      <w:color w:val="002C47" w:themeColor="accent1"/>
                      <w:sz w:val="18"/>
                      <w:szCs w:val="18"/>
                      <w:lang w:eastAsia="en-AU"/>
                    </w:rPr>
                    <w:t>ERP Increase</w:t>
                  </w:r>
                </w:p>
                <w:p w14:paraId="07275B3F" w14:textId="068DF891" w:rsidR="001E641B" w:rsidRPr="0044695E" w:rsidRDefault="001E641B" w:rsidP="001E641B">
                  <w:pPr>
                    <w:spacing w:before="40" w:after="40" w:line="276" w:lineRule="auto"/>
                    <w:jc w:val="center"/>
                    <w:rPr>
                      <w:rFonts w:asciiTheme="minorHAnsi" w:eastAsia="Times New Roman" w:hAnsiTheme="minorHAnsi" w:cstheme="minorHAnsi"/>
                      <w:bCs/>
                      <w:color w:val="002C47" w:themeColor="accent1"/>
                      <w:sz w:val="18"/>
                      <w:szCs w:val="18"/>
                      <w:lang w:eastAsia="en-AU"/>
                    </w:rPr>
                  </w:pPr>
                  <w:r w:rsidRPr="0044695E">
                    <w:rPr>
                      <w:rFonts w:asciiTheme="minorHAnsi" w:eastAsia="Times New Roman" w:hAnsiTheme="minorHAnsi" w:cstheme="minorHAnsi"/>
                      <w:bCs/>
                      <w:color w:val="000000" w:themeColor="text1"/>
                      <w:sz w:val="18"/>
                      <w:szCs w:val="18"/>
                      <w:lang w:eastAsia="en-AU"/>
                    </w:rPr>
                    <w:t xml:space="preserve">Since </w:t>
                  </w:r>
                  <w:r w:rsidR="004522C0">
                    <w:rPr>
                      <w:rFonts w:asciiTheme="minorHAnsi" w:eastAsia="Times New Roman" w:hAnsiTheme="minorHAnsi" w:cstheme="minorHAnsi"/>
                      <w:bCs/>
                      <w:color w:val="000000" w:themeColor="text1"/>
                      <w:sz w:val="18"/>
                      <w:szCs w:val="18"/>
                      <w:lang w:eastAsia="en-AU"/>
                    </w:rPr>
                    <w:t>June</w:t>
                  </w:r>
                  <w:r w:rsidRPr="0044695E">
                    <w:rPr>
                      <w:rFonts w:asciiTheme="minorHAnsi" w:eastAsia="Times New Roman" w:hAnsiTheme="minorHAnsi" w:cstheme="minorHAnsi"/>
                      <w:bCs/>
                      <w:color w:val="000000" w:themeColor="text1"/>
                      <w:sz w:val="18"/>
                      <w:szCs w:val="18"/>
                      <w:lang w:eastAsia="en-AU"/>
                    </w:rPr>
                    <w:t xml:space="preserve"> 2020</w:t>
                  </w:r>
                </w:p>
              </w:tc>
              <w:tc>
                <w:tcPr>
                  <w:tcW w:w="1334" w:type="dxa"/>
                  <w:tcBorders>
                    <w:top w:val="single" w:sz="4" w:space="0" w:color="002C47" w:themeColor="accent1"/>
                    <w:bottom w:val="single" w:sz="4" w:space="0" w:color="002C47" w:themeColor="accent1"/>
                  </w:tcBorders>
                  <w:tcMar>
                    <w:left w:w="28" w:type="dxa"/>
                    <w:right w:w="0" w:type="dxa"/>
                  </w:tcMar>
                </w:tcPr>
                <w:p w14:paraId="0BE4419A" w14:textId="77777777" w:rsidR="001E641B" w:rsidRPr="0044695E" w:rsidRDefault="001E641B" w:rsidP="001E641B">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44695E">
                    <w:rPr>
                      <w:rFonts w:asciiTheme="minorHAnsi" w:eastAsia="Times New Roman" w:hAnsiTheme="minorHAnsi" w:cstheme="minorHAnsi"/>
                      <w:b/>
                      <w:bCs/>
                      <w:color w:val="002C47" w:themeColor="accent1"/>
                      <w:sz w:val="18"/>
                      <w:szCs w:val="18"/>
                      <w:lang w:eastAsia="en-AU"/>
                    </w:rPr>
                    <w:t>ERP Increase</w:t>
                  </w:r>
                </w:p>
                <w:p w14:paraId="4EB56FE2" w14:textId="77777777" w:rsidR="001E641B" w:rsidRPr="0044695E" w:rsidDel="00306224" w:rsidRDefault="001E641B" w:rsidP="001E641B">
                  <w:pPr>
                    <w:spacing w:before="40" w:after="40" w:line="276" w:lineRule="auto"/>
                    <w:jc w:val="center"/>
                    <w:rPr>
                      <w:rFonts w:asciiTheme="minorHAnsi" w:eastAsia="Times New Roman" w:hAnsiTheme="minorHAnsi" w:cstheme="minorHAnsi"/>
                      <w:bCs/>
                      <w:color w:val="002C47" w:themeColor="accent1"/>
                      <w:sz w:val="18"/>
                      <w:szCs w:val="18"/>
                      <w:lang w:eastAsia="en-AU"/>
                    </w:rPr>
                  </w:pPr>
                  <w:r w:rsidRPr="0044695E">
                    <w:rPr>
                      <w:rFonts w:asciiTheme="minorHAnsi" w:eastAsia="Times New Roman" w:hAnsiTheme="minorHAnsi" w:cstheme="minorHAnsi"/>
                      <w:bCs/>
                      <w:color w:val="000000" w:themeColor="text1"/>
                      <w:sz w:val="18"/>
                      <w:szCs w:val="18"/>
                      <w:lang w:eastAsia="en-AU"/>
                    </w:rPr>
                    <w:t>annual %</w:t>
                  </w:r>
                </w:p>
              </w:tc>
              <w:tc>
                <w:tcPr>
                  <w:tcW w:w="1333" w:type="dxa"/>
                  <w:tcBorders>
                    <w:top w:val="single" w:sz="4" w:space="0" w:color="002C47" w:themeColor="accent1"/>
                    <w:bottom w:val="single" w:sz="4" w:space="0" w:color="002C47" w:themeColor="accent1"/>
                  </w:tcBorders>
                  <w:shd w:val="clear" w:color="auto" w:fill="auto"/>
                  <w:tcMar>
                    <w:left w:w="28" w:type="dxa"/>
                    <w:right w:w="0" w:type="dxa"/>
                  </w:tcMar>
                  <w:hideMark/>
                </w:tcPr>
                <w:p w14:paraId="2192211F" w14:textId="77777777" w:rsidR="001E641B" w:rsidRPr="0044695E" w:rsidRDefault="001E641B" w:rsidP="001E641B">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44695E">
                    <w:rPr>
                      <w:rFonts w:asciiTheme="minorHAnsi" w:eastAsia="Times New Roman" w:hAnsiTheme="minorHAnsi" w:cstheme="minorHAnsi"/>
                      <w:b/>
                      <w:bCs/>
                      <w:color w:val="002C47" w:themeColor="accent1"/>
                      <w:sz w:val="18"/>
                      <w:szCs w:val="18"/>
                      <w:lang w:eastAsia="en-AU"/>
                    </w:rPr>
                    <w:t>Natural Increase</w:t>
                  </w:r>
                </w:p>
                <w:p w14:paraId="7E0D6AF0" w14:textId="77777777" w:rsidR="001E641B" w:rsidRPr="0044695E" w:rsidRDefault="001E641B" w:rsidP="001E641B">
                  <w:pPr>
                    <w:spacing w:before="40" w:after="40" w:line="276" w:lineRule="auto"/>
                    <w:jc w:val="center"/>
                    <w:rPr>
                      <w:rFonts w:asciiTheme="minorHAnsi" w:eastAsia="Times New Roman" w:hAnsiTheme="minorHAnsi" w:cstheme="minorHAnsi"/>
                      <w:bCs/>
                      <w:color w:val="002C47" w:themeColor="accent1"/>
                      <w:sz w:val="18"/>
                      <w:szCs w:val="18"/>
                      <w:lang w:eastAsia="en-AU"/>
                    </w:rPr>
                  </w:pPr>
                  <w:r w:rsidRPr="0044695E">
                    <w:rPr>
                      <w:rFonts w:asciiTheme="minorHAnsi" w:eastAsia="Times New Roman" w:hAnsiTheme="minorHAnsi" w:cstheme="minorHAnsi"/>
                      <w:bCs/>
                      <w:color w:val="000000" w:themeColor="text1"/>
                      <w:sz w:val="18"/>
                      <w:szCs w:val="18"/>
                      <w:lang w:eastAsia="en-AU"/>
                    </w:rPr>
                    <w:t>annual contribution</w:t>
                  </w:r>
                </w:p>
              </w:tc>
              <w:tc>
                <w:tcPr>
                  <w:tcW w:w="1333" w:type="dxa"/>
                  <w:tcBorders>
                    <w:top w:val="single" w:sz="4" w:space="0" w:color="002C47" w:themeColor="accent1"/>
                    <w:bottom w:val="single" w:sz="4" w:space="0" w:color="002C47" w:themeColor="accent1"/>
                  </w:tcBorders>
                  <w:shd w:val="clear" w:color="auto" w:fill="auto"/>
                  <w:tcMar>
                    <w:left w:w="28" w:type="dxa"/>
                    <w:right w:w="0" w:type="dxa"/>
                  </w:tcMar>
                  <w:hideMark/>
                </w:tcPr>
                <w:p w14:paraId="63CC80BB" w14:textId="77777777" w:rsidR="001E641B" w:rsidRPr="0044695E" w:rsidRDefault="001E641B" w:rsidP="001E641B">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44695E">
                    <w:rPr>
                      <w:rFonts w:asciiTheme="minorHAnsi" w:eastAsia="Times New Roman" w:hAnsiTheme="minorHAnsi" w:cstheme="minorHAnsi"/>
                      <w:b/>
                      <w:bCs/>
                      <w:color w:val="002C47" w:themeColor="accent1"/>
                      <w:sz w:val="18"/>
                      <w:szCs w:val="18"/>
                      <w:lang w:eastAsia="en-AU"/>
                    </w:rPr>
                    <w:t>NIM</w:t>
                  </w:r>
                </w:p>
                <w:p w14:paraId="37737667" w14:textId="77777777" w:rsidR="001E641B" w:rsidRPr="0044695E" w:rsidRDefault="001E641B" w:rsidP="001E641B">
                  <w:pPr>
                    <w:spacing w:before="40" w:after="40" w:line="276" w:lineRule="auto"/>
                    <w:jc w:val="center"/>
                    <w:rPr>
                      <w:rFonts w:asciiTheme="minorHAnsi" w:eastAsia="Times New Roman" w:hAnsiTheme="minorHAnsi" w:cstheme="minorHAnsi"/>
                      <w:bCs/>
                      <w:color w:val="002C47" w:themeColor="accent1"/>
                      <w:sz w:val="18"/>
                      <w:szCs w:val="18"/>
                      <w:lang w:eastAsia="en-AU"/>
                    </w:rPr>
                  </w:pPr>
                  <w:r w:rsidRPr="0044695E">
                    <w:rPr>
                      <w:rFonts w:asciiTheme="minorHAnsi" w:eastAsia="Times New Roman" w:hAnsiTheme="minorHAnsi" w:cstheme="minorHAnsi"/>
                      <w:bCs/>
                      <w:color w:val="000000" w:themeColor="text1"/>
                      <w:sz w:val="18"/>
                      <w:szCs w:val="18"/>
                      <w:lang w:eastAsia="en-AU"/>
                    </w:rPr>
                    <w:t>annual contribution</w:t>
                  </w:r>
                </w:p>
              </w:tc>
              <w:tc>
                <w:tcPr>
                  <w:tcW w:w="1334" w:type="dxa"/>
                  <w:tcBorders>
                    <w:top w:val="single" w:sz="4" w:space="0" w:color="002C47" w:themeColor="accent1"/>
                    <w:bottom w:val="single" w:sz="4" w:space="0" w:color="002C47" w:themeColor="accent1"/>
                  </w:tcBorders>
                  <w:shd w:val="clear" w:color="auto" w:fill="auto"/>
                  <w:tcMar>
                    <w:left w:w="28" w:type="dxa"/>
                    <w:right w:w="0" w:type="dxa"/>
                  </w:tcMar>
                  <w:hideMark/>
                </w:tcPr>
                <w:p w14:paraId="6392198B" w14:textId="77777777" w:rsidR="001E641B" w:rsidRPr="0044695E" w:rsidRDefault="001E641B" w:rsidP="001E641B">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44695E">
                    <w:rPr>
                      <w:rFonts w:asciiTheme="minorHAnsi" w:eastAsia="Times New Roman" w:hAnsiTheme="minorHAnsi" w:cstheme="minorHAnsi"/>
                      <w:b/>
                      <w:bCs/>
                      <w:color w:val="002C47" w:themeColor="accent1"/>
                      <w:sz w:val="18"/>
                      <w:szCs w:val="18"/>
                      <w:lang w:eastAsia="en-AU"/>
                    </w:rPr>
                    <w:t>NOM</w:t>
                  </w:r>
                </w:p>
                <w:p w14:paraId="76EAD850" w14:textId="77777777" w:rsidR="001E641B" w:rsidRPr="0044695E" w:rsidRDefault="001E641B" w:rsidP="001E641B">
                  <w:pPr>
                    <w:spacing w:before="40" w:after="40" w:line="276" w:lineRule="auto"/>
                    <w:jc w:val="center"/>
                    <w:rPr>
                      <w:rFonts w:asciiTheme="minorHAnsi" w:eastAsia="Times New Roman" w:hAnsiTheme="minorHAnsi" w:cstheme="minorHAnsi"/>
                      <w:bCs/>
                      <w:color w:val="002C47" w:themeColor="accent1"/>
                      <w:sz w:val="18"/>
                      <w:szCs w:val="18"/>
                      <w:lang w:eastAsia="en-AU"/>
                    </w:rPr>
                  </w:pPr>
                  <w:r w:rsidRPr="0044695E">
                    <w:rPr>
                      <w:rFonts w:asciiTheme="minorHAnsi" w:eastAsia="Times New Roman" w:hAnsiTheme="minorHAnsi" w:cstheme="minorHAnsi"/>
                      <w:bCs/>
                      <w:color w:val="000000" w:themeColor="text1"/>
                      <w:sz w:val="18"/>
                      <w:szCs w:val="18"/>
                      <w:lang w:eastAsia="en-AU"/>
                    </w:rPr>
                    <w:t>annual contribution</w:t>
                  </w:r>
                </w:p>
              </w:tc>
            </w:tr>
            <w:tr w:rsidR="00824A42" w:rsidRPr="0044695E" w14:paraId="7C73C4A0" w14:textId="77777777" w:rsidTr="004522C0">
              <w:trPr>
                <w:trHeight w:val="204"/>
                <w:jc w:val="center"/>
              </w:trPr>
              <w:tc>
                <w:tcPr>
                  <w:tcW w:w="969" w:type="dxa"/>
                  <w:tcBorders>
                    <w:top w:val="single" w:sz="4" w:space="0" w:color="002C47" w:themeColor="accent1"/>
                  </w:tcBorders>
                  <w:shd w:val="clear" w:color="auto" w:fill="auto"/>
                  <w:noWrap/>
                  <w:tcMar>
                    <w:left w:w="28" w:type="dxa"/>
                  </w:tcMar>
                  <w:vAlign w:val="bottom"/>
                  <w:hideMark/>
                </w:tcPr>
                <w:p w14:paraId="0E8C3AF0" w14:textId="77777777" w:rsidR="00824A42" w:rsidRPr="0044695E" w:rsidRDefault="00824A42" w:rsidP="00824A42">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NSW</w:t>
                  </w:r>
                </w:p>
              </w:tc>
              <w:tc>
                <w:tcPr>
                  <w:tcW w:w="1333" w:type="dxa"/>
                  <w:tcBorders>
                    <w:top w:val="single" w:sz="4" w:space="0" w:color="002C47" w:themeColor="accent1"/>
                    <w:left w:val="nil"/>
                    <w:bottom w:val="nil"/>
                    <w:right w:val="nil"/>
                  </w:tcBorders>
                  <w:shd w:val="clear" w:color="auto" w:fill="auto"/>
                  <w:noWrap/>
                  <w:vAlign w:val="bottom"/>
                </w:tcPr>
                <w:p w14:paraId="34BDB4CC" w14:textId="539F7653" w:rsidR="00824A42" w:rsidRPr="00824A42" w:rsidRDefault="00824A42" w:rsidP="00824A42">
                  <w:pPr>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8,189,266</w:t>
                  </w:r>
                </w:p>
              </w:tc>
              <w:tc>
                <w:tcPr>
                  <w:tcW w:w="1333" w:type="dxa"/>
                  <w:tcBorders>
                    <w:top w:val="single" w:sz="4" w:space="0" w:color="002C47" w:themeColor="accent1"/>
                    <w:left w:val="nil"/>
                    <w:bottom w:val="nil"/>
                    <w:right w:val="nil"/>
                  </w:tcBorders>
                  <w:shd w:val="clear" w:color="auto" w:fill="auto"/>
                  <w:noWrap/>
                  <w:vAlign w:val="bottom"/>
                </w:tcPr>
                <w:p w14:paraId="6CCDC502" w14:textId="402B3844" w:rsidR="00824A42" w:rsidRPr="00824A42" w:rsidRDefault="00824A42" w:rsidP="00824A42">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22,242</w:t>
                  </w:r>
                </w:p>
              </w:tc>
              <w:tc>
                <w:tcPr>
                  <w:tcW w:w="1334" w:type="dxa"/>
                  <w:tcBorders>
                    <w:top w:val="single" w:sz="4" w:space="0" w:color="002C47" w:themeColor="accent1"/>
                    <w:left w:val="nil"/>
                    <w:bottom w:val="nil"/>
                    <w:right w:val="nil"/>
                  </w:tcBorders>
                  <w:shd w:val="clear" w:color="auto" w:fill="auto"/>
                  <w:vAlign w:val="bottom"/>
                </w:tcPr>
                <w:p w14:paraId="2D0BC1D5" w14:textId="1A0D5C8C" w:rsidR="00824A42" w:rsidRPr="00824A42" w:rsidRDefault="00824A42" w:rsidP="00824A42">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0.27</w:t>
                  </w:r>
                </w:p>
              </w:tc>
              <w:tc>
                <w:tcPr>
                  <w:tcW w:w="1333" w:type="dxa"/>
                  <w:tcBorders>
                    <w:top w:val="single" w:sz="4" w:space="0" w:color="002C47" w:themeColor="accent1"/>
                    <w:left w:val="nil"/>
                    <w:bottom w:val="nil"/>
                    <w:right w:val="nil"/>
                  </w:tcBorders>
                  <w:shd w:val="clear" w:color="auto" w:fill="auto"/>
                  <w:noWrap/>
                  <w:vAlign w:val="bottom"/>
                </w:tcPr>
                <w:p w14:paraId="3717D5A1" w14:textId="5CA7D3F5" w:rsidR="00824A42" w:rsidRPr="00824A42" w:rsidRDefault="00824A42" w:rsidP="00824A42">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44,389</w:t>
                  </w:r>
                </w:p>
              </w:tc>
              <w:tc>
                <w:tcPr>
                  <w:tcW w:w="1333" w:type="dxa"/>
                  <w:tcBorders>
                    <w:top w:val="single" w:sz="4" w:space="0" w:color="002C47" w:themeColor="accent1"/>
                    <w:left w:val="nil"/>
                    <w:bottom w:val="nil"/>
                    <w:right w:val="nil"/>
                  </w:tcBorders>
                  <w:shd w:val="clear" w:color="auto" w:fill="auto"/>
                  <w:noWrap/>
                  <w:vAlign w:val="bottom"/>
                </w:tcPr>
                <w:p w14:paraId="286B65BE" w14:textId="3F30A2C6" w:rsidR="00824A42" w:rsidRPr="00824A42" w:rsidRDefault="00824A42" w:rsidP="00824A42">
                  <w:pPr>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-16,676</w:t>
                  </w:r>
                </w:p>
              </w:tc>
              <w:tc>
                <w:tcPr>
                  <w:tcW w:w="1334" w:type="dxa"/>
                  <w:tcBorders>
                    <w:top w:val="single" w:sz="4" w:space="0" w:color="002C47" w:themeColor="accent1"/>
                    <w:left w:val="nil"/>
                    <w:bottom w:val="nil"/>
                    <w:right w:val="nil"/>
                  </w:tcBorders>
                  <w:shd w:val="clear" w:color="auto" w:fill="auto"/>
                  <w:noWrap/>
                  <w:vAlign w:val="bottom"/>
                </w:tcPr>
                <w:p w14:paraId="3B2B0536" w14:textId="5A6B5127" w:rsidR="00824A42" w:rsidRPr="00824A42" w:rsidRDefault="00824A42" w:rsidP="00824A42">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-5,471</w:t>
                  </w:r>
                </w:p>
              </w:tc>
            </w:tr>
            <w:tr w:rsidR="00824A42" w:rsidRPr="0044695E" w14:paraId="5AD41725" w14:textId="77777777" w:rsidTr="004522C0">
              <w:trPr>
                <w:trHeight w:val="204"/>
                <w:jc w:val="center"/>
              </w:trPr>
              <w:tc>
                <w:tcPr>
                  <w:tcW w:w="969" w:type="dxa"/>
                  <w:shd w:val="clear" w:color="auto" w:fill="auto"/>
                  <w:noWrap/>
                  <w:tcMar>
                    <w:left w:w="28" w:type="dxa"/>
                  </w:tcMar>
                  <w:vAlign w:val="bottom"/>
                  <w:hideMark/>
                </w:tcPr>
                <w:p w14:paraId="004B306E" w14:textId="77777777" w:rsidR="00824A42" w:rsidRPr="0044695E" w:rsidRDefault="00824A42" w:rsidP="00824A42">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VIC</w:t>
                  </w:r>
                </w:p>
              </w:tc>
              <w:tc>
                <w:tcPr>
                  <w:tcW w:w="1333" w:type="dxa"/>
                  <w:tcBorders>
                    <w:top w:val="nil"/>
                    <w:left w:val="nil"/>
                    <w:bottom w:val="nil"/>
                    <w:right w:val="nil"/>
                  </w:tcBorders>
                  <w:shd w:val="clear" w:color="auto" w:fill="auto"/>
                  <w:noWrap/>
                  <w:vAlign w:val="bottom"/>
                </w:tcPr>
                <w:p w14:paraId="5F8D9AA4" w14:textId="1F33FC56" w:rsidR="00824A42" w:rsidRPr="00824A42" w:rsidRDefault="00824A42" w:rsidP="00824A42">
                  <w:pPr>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6,649,159</w:t>
                  </w:r>
                </w:p>
              </w:tc>
              <w:tc>
                <w:tcPr>
                  <w:tcW w:w="1333" w:type="dxa"/>
                  <w:tcBorders>
                    <w:top w:val="nil"/>
                    <w:left w:val="nil"/>
                    <w:bottom w:val="nil"/>
                    <w:right w:val="nil"/>
                  </w:tcBorders>
                  <w:shd w:val="clear" w:color="auto" w:fill="auto"/>
                  <w:noWrap/>
                  <w:vAlign w:val="bottom"/>
                </w:tcPr>
                <w:p w14:paraId="567265A3" w14:textId="551A60AB" w:rsidR="00824A42" w:rsidRPr="00824A42" w:rsidRDefault="00824A42" w:rsidP="00824A42">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-44,699</w:t>
                  </w:r>
                </w:p>
              </w:tc>
              <w:tc>
                <w:tcPr>
                  <w:tcW w:w="1334" w:type="dxa"/>
                  <w:tcBorders>
                    <w:top w:val="nil"/>
                    <w:left w:val="nil"/>
                    <w:bottom w:val="nil"/>
                    <w:right w:val="nil"/>
                  </w:tcBorders>
                  <w:shd w:val="clear" w:color="auto" w:fill="auto"/>
                  <w:vAlign w:val="bottom"/>
                </w:tcPr>
                <w:p w14:paraId="7DB20131" w14:textId="01C730C3" w:rsidR="00824A42" w:rsidRPr="00824A42" w:rsidRDefault="00824A42" w:rsidP="00824A42">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-0.67</w:t>
                  </w:r>
                </w:p>
              </w:tc>
              <w:tc>
                <w:tcPr>
                  <w:tcW w:w="1333" w:type="dxa"/>
                  <w:tcBorders>
                    <w:top w:val="nil"/>
                    <w:left w:val="nil"/>
                    <w:bottom w:val="nil"/>
                    <w:right w:val="nil"/>
                  </w:tcBorders>
                  <w:shd w:val="clear" w:color="auto" w:fill="auto"/>
                  <w:noWrap/>
                  <w:vAlign w:val="bottom"/>
                </w:tcPr>
                <w:p w14:paraId="30E4B2FB" w14:textId="2D7B44BB" w:rsidR="00824A42" w:rsidRPr="00824A42" w:rsidRDefault="00824A42" w:rsidP="00824A42">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29,689</w:t>
                  </w:r>
                </w:p>
              </w:tc>
              <w:tc>
                <w:tcPr>
                  <w:tcW w:w="1333" w:type="dxa"/>
                  <w:tcBorders>
                    <w:top w:val="nil"/>
                    <w:left w:val="nil"/>
                    <w:bottom w:val="nil"/>
                    <w:right w:val="nil"/>
                  </w:tcBorders>
                  <w:shd w:val="clear" w:color="auto" w:fill="auto"/>
                  <w:noWrap/>
                  <w:vAlign w:val="bottom"/>
                </w:tcPr>
                <w:p w14:paraId="50B31C87" w14:textId="47E1497A" w:rsidR="00824A42" w:rsidRPr="00824A42" w:rsidRDefault="00824A42" w:rsidP="00824A42">
                  <w:pPr>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-18,300</w:t>
                  </w:r>
                </w:p>
              </w:tc>
              <w:tc>
                <w:tcPr>
                  <w:tcW w:w="1334" w:type="dxa"/>
                  <w:tcBorders>
                    <w:top w:val="nil"/>
                    <w:left w:val="nil"/>
                    <w:bottom w:val="nil"/>
                    <w:right w:val="nil"/>
                  </w:tcBorders>
                  <w:shd w:val="clear" w:color="auto" w:fill="auto"/>
                  <w:noWrap/>
                  <w:vAlign w:val="bottom"/>
                </w:tcPr>
                <w:p w14:paraId="025A3C9D" w14:textId="62151E08" w:rsidR="00824A42" w:rsidRPr="00824A42" w:rsidRDefault="00824A42" w:rsidP="00824A42">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-56,088</w:t>
                  </w:r>
                </w:p>
              </w:tc>
            </w:tr>
            <w:tr w:rsidR="00824A42" w:rsidRPr="0044695E" w14:paraId="3C24853D" w14:textId="77777777" w:rsidTr="004522C0">
              <w:trPr>
                <w:trHeight w:val="204"/>
                <w:jc w:val="center"/>
              </w:trPr>
              <w:tc>
                <w:tcPr>
                  <w:tcW w:w="969" w:type="dxa"/>
                  <w:shd w:val="clear" w:color="auto" w:fill="auto"/>
                  <w:noWrap/>
                  <w:tcMar>
                    <w:left w:w="28" w:type="dxa"/>
                  </w:tcMar>
                  <w:vAlign w:val="bottom"/>
                  <w:hideMark/>
                </w:tcPr>
                <w:p w14:paraId="1588C48E" w14:textId="77777777" w:rsidR="00824A42" w:rsidRPr="0044695E" w:rsidRDefault="00824A42" w:rsidP="00824A42">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QLD</w:t>
                  </w:r>
                </w:p>
              </w:tc>
              <w:tc>
                <w:tcPr>
                  <w:tcW w:w="1333" w:type="dxa"/>
                  <w:tcBorders>
                    <w:top w:val="nil"/>
                    <w:left w:val="nil"/>
                    <w:bottom w:val="nil"/>
                    <w:right w:val="nil"/>
                  </w:tcBorders>
                  <w:shd w:val="clear" w:color="auto" w:fill="auto"/>
                  <w:noWrap/>
                  <w:vAlign w:val="bottom"/>
                </w:tcPr>
                <w:p w14:paraId="3AE94B76" w14:textId="29042B6F" w:rsidR="00824A42" w:rsidRPr="00824A42" w:rsidRDefault="00824A42" w:rsidP="00824A42">
                  <w:pPr>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5,221,170</w:t>
                  </w:r>
                </w:p>
              </w:tc>
              <w:tc>
                <w:tcPr>
                  <w:tcW w:w="1333" w:type="dxa"/>
                  <w:tcBorders>
                    <w:top w:val="nil"/>
                    <w:left w:val="nil"/>
                    <w:bottom w:val="nil"/>
                    <w:right w:val="nil"/>
                  </w:tcBorders>
                  <w:shd w:val="clear" w:color="auto" w:fill="auto"/>
                  <w:noWrap/>
                  <w:vAlign w:val="bottom"/>
                </w:tcPr>
                <w:p w14:paraId="2300B979" w14:textId="6FFB6366" w:rsidR="00824A42" w:rsidRPr="00824A42" w:rsidRDefault="00824A42" w:rsidP="00824A42">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45,925</w:t>
                  </w:r>
                </w:p>
              </w:tc>
              <w:tc>
                <w:tcPr>
                  <w:tcW w:w="1334" w:type="dxa"/>
                  <w:tcBorders>
                    <w:top w:val="nil"/>
                    <w:left w:val="nil"/>
                    <w:bottom w:val="nil"/>
                    <w:right w:val="nil"/>
                  </w:tcBorders>
                  <w:shd w:val="clear" w:color="auto" w:fill="auto"/>
                  <w:vAlign w:val="bottom"/>
                </w:tcPr>
                <w:p w14:paraId="6DD814FF" w14:textId="3E09833B" w:rsidR="00824A42" w:rsidRPr="00824A42" w:rsidRDefault="00824A42" w:rsidP="00824A42">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0.89</w:t>
                  </w:r>
                </w:p>
              </w:tc>
              <w:tc>
                <w:tcPr>
                  <w:tcW w:w="1333" w:type="dxa"/>
                  <w:tcBorders>
                    <w:top w:val="nil"/>
                    <w:left w:val="nil"/>
                    <w:bottom w:val="nil"/>
                    <w:right w:val="nil"/>
                  </w:tcBorders>
                  <w:shd w:val="clear" w:color="auto" w:fill="auto"/>
                  <w:noWrap/>
                  <w:vAlign w:val="bottom"/>
                </w:tcPr>
                <w:p w14:paraId="15AA63C4" w14:textId="6D0894E5" w:rsidR="00824A42" w:rsidRPr="00824A42" w:rsidRDefault="00824A42" w:rsidP="00824A42">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29,352</w:t>
                  </w:r>
                </w:p>
              </w:tc>
              <w:tc>
                <w:tcPr>
                  <w:tcW w:w="1333" w:type="dxa"/>
                  <w:tcBorders>
                    <w:top w:val="nil"/>
                    <w:left w:val="nil"/>
                    <w:bottom w:val="nil"/>
                    <w:right w:val="nil"/>
                  </w:tcBorders>
                  <w:shd w:val="clear" w:color="auto" w:fill="auto"/>
                  <w:noWrap/>
                  <w:vAlign w:val="bottom"/>
                </w:tcPr>
                <w:p w14:paraId="44C203AF" w14:textId="28CCB0AD" w:rsidR="00824A42" w:rsidRPr="00824A42" w:rsidRDefault="00824A42" w:rsidP="00824A42">
                  <w:pPr>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30,939</w:t>
                  </w:r>
                </w:p>
              </w:tc>
              <w:tc>
                <w:tcPr>
                  <w:tcW w:w="1334" w:type="dxa"/>
                  <w:tcBorders>
                    <w:top w:val="nil"/>
                    <w:left w:val="nil"/>
                    <w:bottom w:val="nil"/>
                    <w:right w:val="nil"/>
                  </w:tcBorders>
                  <w:shd w:val="clear" w:color="auto" w:fill="auto"/>
                  <w:noWrap/>
                  <w:vAlign w:val="bottom"/>
                </w:tcPr>
                <w:p w14:paraId="6214343A" w14:textId="5F2E0314" w:rsidR="00824A42" w:rsidRPr="00824A42" w:rsidRDefault="00824A42" w:rsidP="00824A42">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-14,366</w:t>
                  </w:r>
                </w:p>
              </w:tc>
            </w:tr>
            <w:tr w:rsidR="00824A42" w:rsidRPr="0044695E" w14:paraId="20AD9CB7" w14:textId="77777777" w:rsidTr="004522C0">
              <w:trPr>
                <w:trHeight w:val="204"/>
                <w:jc w:val="center"/>
              </w:trPr>
              <w:tc>
                <w:tcPr>
                  <w:tcW w:w="969" w:type="dxa"/>
                  <w:shd w:val="clear" w:color="auto" w:fill="auto"/>
                  <w:noWrap/>
                  <w:tcMar>
                    <w:left w:w="28" w:type="dxa"/>
                  </w:tcMar>
                  <w:vAlign w:val="bottom"/>
                  <w:hideMark/>
                </w:tcPr>
                <w:p w14:paraId="60184BC7" w14:textId="77777777" w:rsidR="00824A42" w:rsidRPr="0044695E" w:rsidRDefault="00824A42" w:rsidP="00824A42">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SA</w:t>
                  </w:r>
                </w:p>
              </w:tc>
              <w:tc>
                <w:tcPr>
                  <w:tcW w:w="1333" w:type="dxa"/>
                  <w:tcBorders>
                    <w:top w:val="nil"/>
                    <w:left w:val="nil"/>
                    <w:bottom w:val="nil"/>
                    <w:right w:val="nil"/>
                  </w:tcBorders>
                  <w:shd w:val="clear" w:color="auto" w:fill="auto"/>
                  <w:noWrap/>
                  <w:vAlign w:val="bottom"/>
                </w:tcPr>
                <w:p w14:paraId="1F1FEA3C" w14:textId="2FA9694A" w:rsidR="00824A42" w:rsidRPr="00824A42" w:rsidRDefault="00824A42" w:rsidP="00824A42">
                  <w:pPr>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1,773,243</w:t>
                  </w:r>
                </w:p>
              </w:tc>
              <w:tc>
                <w:tcPr>
                  <w:tcW w:w="1333" w:type="dxa"/>
                  <w:tcBorders>
                    <w:top w:val="nil"/>
                    <w:left w:val="nil"/>
                    <w:bottom w:val="nil"/>
                    <w:right w:val="nil"/>
                  </w:tcBorders>
                  <w:shd w:val="clear" w:color="auto" w:fill="auto"/>
                  <w:noWrap/>
                  <w:vAlign w:val="bottom"/>
                </w:tcPr>
                <w:p w14:paraId="2669CA94" w14:textId="1A2133BF" w:rsidR="00824A42" w:rsidRPr="00824A42" w:rsidRDefault="00824A42" w:rsidP="00824A42">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2,966</w:t>
                  </w:r>
                </w:p>
              </w:tc>
              <w:tc>
                <w:tcPr>
                  <w:tcW w:w="1334" w:type="dxa"/>
                  <w:tcBorders>
                    <w:top w:val="nil"/>
                    <w:left w:val="nil"/>
                    <w:bottom w:val="nil"/>
                    <w:right w:val="nil"/>
                  </w:tcBorders>
                  <w:shd w:val="clear" w:color="auto" w:fill="auto"/>
                  <w:vAlign w:val="bottom"/>
                </w:tcPr>
                <w:p w14:paraId="438D4DE2" w14:textId="2610B205" w:rsidR="00824A42" w:rsidRPr="00824A42" w:rsidRDefault="00824A42" w:rsidP="00824A42">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0.17</w:t>
                  </w:r>
                </w:p>
              </w:tc>
              <w:tc>
                <w:tcPr>
                  <w:tcW w:w="1333" w:type="dxa"/>
                  <w:tcBorders>
                    <w:top w:val="nil"/>
                    <w:left w:val="nil"/>
                    <w:bottom w:val="nil"/>
                    <w:right w:val="nil"/>
                  </w:tcBorders>
                  <w:shd w:val="clear" w:color="auto" w:fill="auto"/>
                  <w:noWrap/>
                  <w:vAlign w:val="bottom"/>
                </w:tcPr>
                <w:p w14:paraId="1EF1A0D5" w14:textId="7D4502A9" w:rsidR="00824A42" w:rsidRPr="00824A42" w:rsidRDefault="00824A42" w:rsidP="00824A42">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5,540</w:t>
                  </w:r>
                </w:p>
              </w:tc>
              <w:tc>
                <w:tcPr>
                  <w:tcW w:w="1333" w:type="dxa"/>
                  <w:tcBorders>
                    <w:top w:val="nil"/>
                    <w:left w:val="nil"/>
                    <w:bottom w:val="nil"/>
                    <w:right w:val="nil"/>
                  </w:tcBorders>
                  <w:shd w:val="clear" w:color="auto" w:fill="auto"/>
                  <w:noWrap/>
                  <w:vAlign w:val="bottom"/>
                </w:tcPr>
                <w:p w14:paraId="36B3DB07" w14:textId="6B833CCB" w:rsidR="00824A42" w:rsidRPr="00824A42" w:rsidRDefault="00824A42" w:rsidP="00824A42">
                  <w:pPr>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704</w:t>
                  </w:r>
                </w:p>
              </w:tc>
              <w:tc>
                <w:tcPr>
                  <w:tcW w:w="1334" w:type="dxa"/>
                  <w:tcBorders>
                    <w:top w:val="nil"/>
                    <w:left w:val="nil"/>
                    <w:bottom w:val="nil"/>
                    <w:right w:val="nil"/>
                  </w:tcBorders>
                  <w:shd w:val="clear" w:color="auto" w:fill="auto"/>
                  <w:noWrap/>
                  <w:vAlign w:val="bottom"/>
                </w:tcPr>
                <w:p w14:paraId="2CE6789B" w14:textId="0338FEDF" w:rsidR="00824A42" w:rsidRPr="00824A42" w:rsidRDefault="00824A42" w:rsidP="00824A42">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-3,278</w:t>
                  </w:r>
                </w:p>
              </w:tc>
            </w:tr>
            <w:tr w:rsidR="00824A42" w:rsidRPr="0044695E" w14:paraId="5EB26A1E" w14:textId="77777777" w:rsidTr="004522C0">
              <w:trPr>
                <w:trHeight w:val="204"/>
                <w:jc w:val="center"/>
              </w:trPr>
              <w:tc>
                <w:tcPr>
                  <w:tcW w:w="969" w:type="dxa"/>
                  <w:shd w:val="clear" w:color="auto" w:fill="auto"/>
                  <w:noWrap/>
                  <w:tcMar>
                    <w:left w:w="28" w:type="dxa"/>
                  </w:tcMar>
                  <w:vAlign w:val="bottom"/>
                  <w:hideMark/>
                </w:tcPr>
                <w:p w14:paraId="3F61DA1E" w14:textId="77777777" w:rsidR="00824A42" w:rsidRPr="0044695E" w:rsidRDefault="00824A42" w:rsidP="00824A42">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WA</w:t>
                  </w:r>
                </w:p>
              </w:tc>
              <w:tc>
                <w:tcPr>
                  <w:tcW w:w="1333" w:type="dxa"/>
                  <w:tcBorders>
                    <w:top w:val="nil"/>
                    <w:left w:val="nil"/>
                    <w:bottom w:val="nil"/>
                    <w:right w:val="nil"/>
                  </w:tcBorders>
                  <w:shd w:val="clear" w:color="auto" w:fill="auto"/>
                  <w:noWrap/>
                  <w:vAlign w:val="bottom"/>
                </w:tcPr>
                <w:p w14:paraId="27F98F3C" w14:textId="52687564" w:rsidR="00824A42" w:rsidRPr="00824A42" w:rsidRDefault="00824A42" w:rsidP="00824A42">
                  <w:pPr>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2,681,633</w:t>
                  </w:r>
                </w:p>
              </w:tc>
              <w:tc>
                <w:tcPr>
                  <w:tcW w:w="1333" w:type="dxa"/>
                  <w:tcBorders>
                    <w:top w:val="nil"/>
                    <w:left w:val="nil"/>
                    <w:bottom w:val="nil"/>
                    <w:right w:val="nil"/>
                  </w:tcBorders>
                  <w:shd w:val="clear" w:color="auto" w:fill="auto"/>
                  <w:noWrap/>
                  <w:vAlign w:val="bottom"/>
                </w:tcPr>
                <w:p w14:paraId="2BF8BE93" w14:textId="06CAEB40" w:rsidR="00824A42" w:rsidRPr="00824A42" w:rsidRDefault="00824A42" w:rsidP="00824A42">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17,421</w:t>
                  </w:r>
                </w:p>
              </w:tc>
              <w:tc>
                <w:tcPr>
                  <w:tcW w:w="1334" w:type="dxa"/>
                  <w:tcBorders>
                    <w:top w:val="nil"/>
                    <w:left w:val="nil"/>
                    <w:bottom w:val="nil"/>
                    <w:right w:val="nil"/>
                  </w:tcBorders>
                  <w:shd w:val="clear" w:color="auto" w:fill="auto"/>
                  <w:vAlign w:val="bottom"/>
                </w:tcPr>
                <w:p w14:paraId="00B3D5B6" w14:textId="2A1A8745" w:rsidR="00824A42" w:rsidRPr="00824A42" w:rsidRDefault="00824A42" w:rsidP="00824A42">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0.65</w:t>
                  </w:r>
                </w:p>
              </w:tc>
              <w:tc>
                <w:tcPr>
                  <w:tcW w:w="1333" w:type="dxa"/>
                  <w:tcBorders>
                    <w:top w:val="nil"/>
                    <w:left w:val="nil"/>
                    <w:bottom w:val="nil"/>
                    <w:right w:val="nil"/>
                  </w:tcBorders>
                  <w:shd w:val="clear" w:color="auto" w:fill="auto"/>
                  <w:noWrap/>
                  <w:vAlign w:val="bottom"/>
                </w:tcPr>
                <w:p w14:paraId="0E1A6576" w14:textId="5B83F5C5" w:rsidR="00824A42" w:rsidRPr="00824A42" w:rsidRDefault="00824A42" w:rsidP="00824A42">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18,470</w:t>
                  </w:r>
                </w:p>
              </w:tc>
              <w:tc>
                <w:tcPr>
                  <w:tcW w:w="1333" w:type="dxa"/>
                  <w:tcBorders>
                    <w:top w:val="nil"/>
                    <w:left w:val="nil"/>
                    <w:bottom w:val="nil"/>
                    <w:right w:val="nil"/>
                  </w:tcBorders>
                  <w:shd w:val="clear" w:color="auto" w:fill="auto"/>
                  <w:noWrap/>
                  <w:vAlign w:val="bottom"/>
                </w:tcPr>
                <w:p w14:paraId="25B31824" w14:textId="4FA2B124" w:rsidR="00824A42" w:rsidRPr="00824A42" w:rsidRDefault="00824A42" w:rsidP="00824A42">
                  <w:pPr>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4,592</w:t>
                  </w:r>
                </w:p>
              </w:tc>
              <w:tc>
                <w:tcPr>
                  <w:tcW w:w="1334" w:type="dxa"/>
                  <w:tcBorders>
                    <w:top w:val="nil"/>
                    <w:left w:val="nil"/>
                    <w:bottom w:val="nil"/>
                    <w:right w:val="nil"/>
                  </w:tcBorders>
                  <w:shd w:val="clear" w:color="auto" w:fill="auto"/>
                  <w:noWrap/>
                  <w:vAlign w:val="bottom"/>
                </w:tcPr>
                <w:p w14:paraId="62B1EBDD" w14:textId="3C965401" w:rsidR="00824A42" w:rsidRPr="00824A42" w:rsidRDefault="00824A42" w:rsidP="00824A42">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-5,641</w:t>
                  </w:r>
                </w:p>
              </w:tc>
            </w:tr>
            <w:tr w:rsidR="00824A42" w:rsidRPr="0044695E" w14:paraId="5C0B806D" w14:textId="77777777" w:rsidTr="004522C0">
              <w:trPr>
                <w:trHeight w:val="204"/>
                <w:jc w:val="center"/>
              </w:trPr>
              <w:tc>
                <w:tcPr>
                  <w:tcW w:w="969" w:type="dxa"/>
                  <w:shd w:val="clear" w:color="auto" w:fill="auto"/>
                  <w:noWrap/>
                  <w:tcMar>
                    <w:left w:w="28" w:type="dxa"/>
                  </w:tcMar>
                  <w:vAlign w:val="bottom"/>
                  <w:hideMark/>
                </w:tcPr>
                <w:p w14:paraId="7D9DE78C" w14:textId="77777777" w:rsidR="00824A42" w:rsidRPr="0044695E" w:rsidRDefault="00824A42" w:rsidP="00824A42">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TAS</w:t>
                  </w:r>
                </w:p>
              </w:tc>
              <w:tc>
                <w:tcPr>
                  <w:tcW w:w="1333" w:type="dxa"/>
                  <w:tcBorders>
                    <w:top w:val="nil"/>
                    <w:left w:val="nil"/>
                    <w:bottom w:val="nil"/>
                    <w:right w:val="nil"/>
                  </w:tcBorders>
                  <w:shd w:val="clear" w:color="auto" w:fill="auto"/>
                  <w:noWrap/>
                  <w:vAlign w:val="bottom"/>
                </w:tcPr>
                <w:p w14:paraId="2DC8E038" w14:textId="0C6C693A" w:rsidR="00824A42" w:rsidRPr="00824A42" w:rsidRDefault="00824A42" w:rsidP="00824A42">
                  <w:pPr>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541,479</w:t>
                  </w:r>
                </w:p>
              </w:tc>
              <w:tc>
                <w:tcPr>
                  <w:tcW w:w="1333" w:type="dxa"/>
                  <w:tcBorders>
                    <w:top w:val="nil"/>
                    <w:left w:val="nil"/>
                    <w:bottom w:val="nil"/>
                    <w:right w:val="nil"/>
                  </w:tcBorders>
                  <w:shd w:val="clear" w:color="auto" w:fill="auto"/>
                  <w:noWrap/>
                  <w:vAlign w:val="bottom"/>
                </w:tcPr>
                <w:p w14:paraId="0E4E8FA6" w14:textId="0614B29C" w:rsidR="00824A42" w:rsidRPr="00824A42" w:rsidRDefault="00824A42" w:rsidP="00824A42">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943</w:t>
                  </w:r>
                </w:p>
              </w:tc>
              <w:tc>
                <w:tcPr>
                  <w:tcW w:w="1334" w:type="dxa"/>
                  <w:tcBorders>
                    <w:top w:val="nil"/>
                    <w:left w:val="nil"/>
                    <w:bottom w:val="nil"/>
                    <w:right w:val="nil"/>
                  </w:tcBorders>
                  <w:shd w:val="clear" w:color="auto" w:fill="auto"/>
                  <w:vAlign w:val="bottom"/>
                </w:tcPr>
                <w:p w14:paraId="76E99BD5" w14:textId="2E8D40F1" w:rsidR="00824A42" w:rsidRPr="00824A42" w:rsidRDefault="00824A42" w:rsidP="00824A42">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0.17</w:t>
                  </w:r>
                </w:p>
              </w:tc>
              <w:tc>
                <w:tcPr>
                  <w:tcW w:w="1333" w:type="dxa"/>
                  <w:tcBorders>
                    <w:top w:val="nil"/>
                    <w:left w:val="nil"/>
                    <w:bottom w:val="nil"/>
                    <w:right w:val="nil"/>
                  </w:tcBorders>
                  <w:shd w:val="clear" w:color="auto" w:fill="auto"/>
                  <w:noWrap/>
                  <w:vAlign w:val="bottom"/>
                </w:tcPr>
                <w:p w14:paraId="7B0C33FC" w14:textId="70786174" w:rsidR="00824A42" w:rsidRPr="00824A42" w:rsidRDefault="00824A42" w:rsidP="00824A42">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1,338</w:t>
                  </w:r>
                </w:p>
              </w:tc>
              <w:tc>
                <w:tcPr>
                  <w:tcW w:w="1333" w:type="dxa"/>
                  <w:tcBorders>
                    <w:top w:val="nil"/>
                    <w:left w:val="nil"/>
                    <w:bottom w:val="nil"/>
                    <w:right w:val="nil"/>
                  </w:tcBorders>
                  <w:shd w:val="clear" w:color="auto" w:fill="auto"/>
                  <w:noWrap/>
                  <w:vAlign w:val="bottom"/>
                </w:tcPr>
                <w:p w14:paraId="1E334342" w14:textId="616AE5C0" w:rsidR="00824A42" w:rsidRPr="00824A42" w:rsidRDefault="00824A42" w:rsidP="00824A42">
                  <w:pPr>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49</w:t>
                  </w:r>
                </w:p>
              </w:tc>
              <w:tc>
                <w:tcPr>
                  <w:tcW w:w="1334" w:type="dxa"/>
                  <w:tcBorders>
                    <w:top w:val="nil"/>
                    <w:left w:val="nil"/>
                    <w:bottom w:val="nil"/>
                    <w:right w:val="nil"/>
                  </w:tcBorders>
                  <w:shd w:val="clear" w:color="auto" w:fill="auto"/>
                  <w:noWrap/>
                  <w:vAlign w:val="bottom"/>
                </w:tcPr>
                <w:p w14:paraId="2FA8066E" w14:textId="6AFA7598" w:rsidR="00824A42" w:rsidRPr="00824A42" w:rsidRDefault="00824A42" w:rsidP="00824A42">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-444</w:t>
                  </w:r>
                </w:p>
              </w:tc>
            </w:tr>
            <w:tr w:rsidR="00824A42" w:rsidRPr="0044695E" w14:paraId="656E3B72" w14:textId="77777777" w:rsidTr="004522C0">
              <w:trPr>
                <w:trHeight w:val="204"/>
                <w:jc w:val="center"/>
              </w:trPr>
              <w:tc>
                <w:tcPr>
                  <w:tcW w:w="969" w:type="dxa"/>
                  <w:shd w:val="clear" w:color="auto" w:fill="auto"/>
                  <w:noWrap/>
                  <w:tcMar>
                    <w:left w:w="28" w:type="dxa"/>
                  </w:tcMar>
                  <w:vAlign w:val="bottom"/>
                  <w:hideMark/>
                </w:tcPr>
                <w:p w14:paraId="404AC6F7" w14:textId="77777777" w:rsidR="00824A42" w:rsidRPr="0044695E" w:rsidRDefault="00824A42" w:rsidP="00824A42">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NT</w:t>
                  </w:r>
                </w:p>
              </w:tc>
              <w:tc>
                <w:tcPr>
                  <w:tcW w:w="1333" w:type="dxa"/>
                  <w:tcBorders>
                    <w:top w:val="nil"/>
                    <w:left w:val="nil"/>
                    <w:bottom w:val="nil"/>
                    <w:right w:val="nil"/>
                  </w:tcBorders>
                  <w:shd w:val="clear" w:color="auto" w:fill="auto"/>
                  <w:noWrap/>
                  <w:vAlign w:val="bottom"/>
                </w:tcPr>
                <w:p w14:paraId="0FBFC4C1" w14:textId="360D9F20" w:rsidR="00824A42" w:rsidRPr="00824A42" w:rsidRDefault="00824A42" w:rsidP="00824A42">
                  <w:pPr>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246,338</w:t>
                  </w:r>
                </w:p>
              </w:tc>
              <w:tc>
                <w:tcPr>
                  <w:tcW w:w="1333" w:type="dxa"/>
                  <w:tcBorders>
                    <w:top w:val="nil"/>
                    <w:left w:val="nil"/>
                    <w:bottom w:val="nil"/>
                    <w:right w:val="nil"/>
                  </w:tcBorders>
                  <w:shd w:val="clear" w:color="auto" w:fill="auto"/>
                  <w:noWrap/>
                  <w:vAlign w:val="bottom"/>
                </w:tcPr>
                <w:p w14:paraId="4AEBDD7B" w14:textId="70728154" w:rsidR="00824A42" w:rsidRPr="00824A42" w:rsidRDefault="00824A42" w:rsidP="00824A42">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103</w:t>
                  </w:r>
                </w:p>
              </w:tc>
              <w:tc>
                <w:tcPr>
                  <w:tcW w:w="1334" w:type="dxa"/>
                  <w:tcBorders>
                    <w:top w:val="nil"/>
                    <w:left w:val="nil"/>
                    <w:bottom w:val="nil"/>
                    <w:right w:val="nil"/>
                  </w:tcBorders>
                  <w:shd w:val="clear" w:color="auto" w:fill="auto"/>
                  <w:vAlign w:val="bottom"/>
                </w:tcPr>
                <w:p w14:paraId="559C8875" w14:textId="524C469F" w:rsidR="00824A42" w:rsidRPr="00824A42" w:rsidRDefault="00824A42" w:rsidP="00824A42">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0.04</w:t>
                  </w:r>
                </w:p>
              </w:tc>
              <w:tc>
                <w:tcPr>
                  <w:tcW w:w="1333" w:type="dxa"/>
                  <w:tcBorders>
                    <w:top w:val="nil"/>
                    <w:left w:val="nil"/>
                    <w:bottom w:val="nil"/>
                    <w:right w:val="nil"/>
                  </w:tcBorders>
                  <w:shd w:val="clear" w:color="auto" w:fill="auto"/>
                  <w:noWrap/>
                  <w:vAlign w:val="bottom"/>
                </w:tcPr>
                <w:p w14:paraId="712BC2FF" w14:textId="553F85A4" w:rsidR="00824A42" w:rsidRPr="00824A42" w:rsidRDefault="00824A42" w:rsidP="00824A42">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2,645</w:t>
                  </w:r>
                </w:p>
              </w:tc>
              <w:tc>
                <w:tcPr>
                  <w:tcW w:w="1333" w:type="dxa"/>
                  <w:tcBorders>
                    <w:top w:val="nil"/>
                    <w:left w:val="nil"/>
                    <w:bottom w:val="nil"/>
                    <w:right w:val="nil"/>
                  </w:tcBorders>
                  <w:shd w:val="clear" w:color="auto" w:fill="auto"/>
                  <w:noWrap/>
                  <w:vAlign w:val="bottom"/>
                </w:tcPr>
                <w:p w14:paraId="36E4B051" w14:textId="2F72992E" w:rsidR="00824A42" w:rsidRPr="00824A42" w:rsidRDefault="00824A42" w:rsidP="00824A42">
                  <w:pPr>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-2,159</w:t>
                  </w:r>
                </w:p>
              </w:tc>
              <w:tc>
                <w:tcPr>
                  <w:tcW w:w="1334" w:type="dxa"/>
                  <w:tcBorders>
                    <w:top w:val="nil"/>
                    <w:left w:val="nil"/>
                    <w:bottom w:val="nil"/>
                    <w:right w:val="nil"/>
                  </w:tcBorders>
                  <w:shd w:val="clear" w:color="auto" w:fill="auto"/>
                  <w:noWrap/>
                  <w:vAlign w:val="bottom"/>
                </w:tcPr>
                <w:p w14:paraId="7E4CDAAE" w14:textId="285A8EB8" w:rsidR="00824A42" w:rsidRPr="00824A42" w:rsidRDefault="00824A42" w:rsidP="00824A42">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-383</w:t>
                  </w:r>
                </w:p>
              </w:tc>
            </w:tr>
            <w:tr w:rsidR="00824A42" w:rsidRPr="0044695E" w14:paraId="2F4CAA32" w14:textId="77777777" w:rsidTr="004522C0">
              <w:trPr>
                <w:trHeight w:val="204"/>
                <w:jc w:val="center"/>
              </w:trPr>
              <w:tc>
                <w:tcPr>
                  <w:tcW w:w="969" w:type="dxa"/>
                  <w:tcBorders>
                    <w:bottom w:val="nil"/>
                  </w:tcBorders>
                  <w:shd w:val="clear" w:color="auto" w:fill="auto"/>
                  <w:noWrap/>
                  <w:tcMar>
                    <w:left w:w="28" w:type="dxa"/>
                  </w:tcMar>
                  <w:vAlign w:val="bottom"/>
                  <w:hideMark/>
                </w:tcPr>
                <w:p w14:paraId="50EB7687" w14:textId="77777777" w:rsidR="00824A42" w:rsidRPr="0044695E" w:rsidRDefault="00824A42" w:rsidP="00824A42">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ACT</w:t>
                  </w:r>
                </w:p>
              </w:tc>
              <w:tc>
                <w:tcPr>
                  <w:tcW w:w="1333" w:type="dxa"/>
                  <w:tcBorders>
                    <w:top w:val="nil"/>
                    <w:left w:val="nil"/>
                    <w:bottom w:val="nil"/>
                    <w:right w:val="nil"/>
                  </w:tcBorders>
                  <w:shd w:val="clear" w:color="auto" w:fill="auto"/>
                  <w:noWrap/>
                  <w:vAlign w:val="bottom"/>
                </w:tcPr>
                <w:p w14:paraId="742F0B61" w14:textId="439E6C49" w:rsidR="00824A42" w:rsidRPr="00824A42" w:rsidRDefault="00824A42" w:rsidP="00824A42">
                  <w:pPr>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432,266</w:t>
                  </w:r>
                </w:p>
              </w:tc>
              <w:tc>
                <w:tcPr>
                  <w:tcW w:w="1333" w:type="dxa"/>
                  <w:tcBorders>
                    <w:top w:val="nil"/>
                    <w:left w:val="nil"/>
                    <w:bottom w:val="nil"/>
                    <w:right w:val="nil"/>
                  </w:tcBorders>
                  <w:shd w:val="clear" w:color="auto" w:fill="auto"/>
                  <w:noWrap/>
                  <w:vAlign w:val="bottom"/>
                </w:tcPr>
                <w:p w14:paraId="4BD48F7C" w14:textId="31AFA6F4" w:rsidR="00824A42" w:rsidRPr="00824A42" w:rsidRDefault="00824A42" w:rsidP="00824A42">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1,053</w:t>
                  </w:r>
                </w:p>
              </w:tc>
              <w:tc>
                <w:tcPr>
                  <w:tcW w:w="1334" w:type="dxa"/>
                  <w:tcBorders>
                    <w:top w:val="nil"/>
                    <w:left w:val="nil"/>
                    <w:bottom w:val="nil"/>
                    <w:right w:val="nil"/>
                  </w:tcBorders>
                  <w:shd w:val="clear" w:color="auto" w:fill="auto"/>
                  <w:vAlign w:val="bottom"/>
                </w:tcPr>
                <w:p w14:paraId="34915CA4" w14:textId="46A23CF6" w:rsidR="00824A42" w:rsidRPr="00824A42" w:rsidRDefault="00824A42" w:rsidP="00824A42">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0.24</w:t>
                  </w:r>
                </w:p>
              </w:tc>
              <w:tc>
                <w:tcPr>
                  <w:tcW w:w="1333" w:type="dxa"/>
                  <w:tcBorders>
                    <w:top w:val="nil"/>
                    <w:left w:val="nil"/>
                    <w:bottom w:val="nil"/>
                    <w:right w:val="nil"/>
                  </w:tcBorders>
                  <w:shd w:val="clear" w:color="auto" w:fill="auto"/>
                  <w:noWrap/>
                  <w:vAlign w:val="bottom"/>
                </w:tcPr>
                <w:p w14:paraId="479BDC30" w14:textId="00F6D101" w:rsidR="00824A42" w:rsidRPr="00824A42" w:rsidRDefault="00824A42" w:rsidP="00824A42">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3,318</w:t>
                  </w:r>
                </w:p>
              </w:tc>
              <w:tc>
                <w:tcPr>
                  <w:tcW w:w="1333" w:type="dxa"/>
                  <w:tcBorders>
                    <w:top w:val="nil"/>
                    <w:left w:val="nil"/>
                    <w:bottom w:val="nil"/>
                    <w:right w:val="nil"/>
                  </w:tcBorders>
                  <w:shd w:val="clear" w:color="auto" w:fill="auto"/>
                  <w:noWrap/>
                  <w:vAlign w:val="bottom"/>
                </w:tcPr>
                <w:p w14:paraId="415B0AC2" w14:textId="67A48F3A" w:rsidR="00824A42" w:rsidRPr="00824A42" w:rsidRDefault="00824A42" w:rsidP="00824A42">
                  <w:pPr>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851</w:t>
                  </w:r>
                </w:p>
              </w:tc>
              <w:tc>
                <w:tcPr>
                  <w:tcW w:w="1334" w:type="dxa"/>
                  <w:tcBorders>
                    <w:top w:val="nil"/>
                    <w:left w:val="nil"/>
                    <w:bottom w:val="nil"/>
                    <w:right w:val="nil"/>
                  </w:tcBorders>
                  <w:shd w:val="clear" w:color="auto" w:fill="auto"/>
                  <w:noWrap/>
                  <w:vAlign w:val="bottom"/>
                </w:tcPr>
                <w:p w14:paraId="5CB88ED7" w14:textId="6E217D89" w:rsidR="00824A42" w:rsidRPr="00824A42" w:rsidRDefault="00824A42" w:rsidP="00824A42">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-3,116</w:t>
                  </w:r>
                </w:p>
              </w:tc>
            </w:tr>
            <w:tr w:rsidR="00824A42" w:rsidRPr="0044695E" w14:paraId="66F9818D" w14:textId="77777777" w:rsidTr="004522C0">
              <w:trPr>
                <w:trHeight w:val="204"/>
                <w:jc w:val="center"/>
              </w:trPr>
              <w:tc>
                <w:tcPr>
                  <w:tcW w:w="969" w:type="dxa"/>
                  <w:tcBorders>
                    <w:top w:val="nil"/>
                    <w:bottom w:val="single" w:sz="4" w:space="0" w:color="002C47" w:themeColor="accent1"/>
                  </w:tcBorders>
                  <w:shd w:val="clear" w:color="auto" w:fill="D2EDFF" w:themeFill="accent1" w:themeFillTint="1A"/>
                  <w:noWrap/>
                  <w:tcMar>
                    <w:left w:w="28" w:type="dxa"/>
                  </w:tcMar>
                  <w:vAlign w:val="bottom"/>
                  <w:hideMark/>
                </w:tcPr>
                <w:p w14:paraId="2B29FCB5" w14:textId="77777777" w:rsidR="00824A42" w:rsidRPr="0044695E" w:rsidRDefault="00824A42" w:rsidP="00824A42">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Australia*</w:t>
                  </w:r>
                </w:p>
              </w:tc>
              <w:tc>
                <w:tcPr>
                  <w:tcW w:w="1333" w:type="dxa"/>
                  <w:tcBorders>
                    <w:top w:val="nil"/>
                    <w:left w:val="nil"/>
                    <w:bottom w:val="single" w:sz="4" w:space="0" w:color="002C47" w:themeColor="accent1"/>
                    <w:right w:val="nil"/>
                  </w:tcBorders>
                  <w:shd w:val="clear" w:color="auto" w:fill="D2EDFF" w:themeFill="accent1" w:themeFillTint="1A"/>
                  <w:noWrap/>
                  <w:vAlign w:val="bottom"/>
                </w:tcPr>
                <w:p w14:paraId="04D07C9B" w14:textId="1C2485BC" w:rsidR="00824A42" w:rsidRPr="00824A42" w:rsidRDefault="00824A42" w:rsidP="00824A42">
                  <w:pPr>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25,739,256</w:t>
                  </w:r>
                </w:p>
              </w:tc>
              <w:tc>
                <w:tcPr>
                  <w:tcW w:w="1333" w:type="dxa"/>
                  <w:tcBorders>
                    <w:top w:val="nil"/>
                    <w:left w:val="nil"/>
                    <w:bottom w:val="single" w:sz="4" w:space="0" w:color="002C47" w:themeColor="accent1"/>
                    <w:right w:val="nil"/>
                  </w:tcBorders>
                  <w:shd w:val="clear" w:color="auto" w:fill="D2EDFF" w:themeFill="accent1" w:themeFillTint="1A"/>
                  <w:noWrap/>
                  <w:vAlign w:val="bottom"/>
                </w:tcPr>
                <w:p w14:paraId="4D48F969" w14:textId="3AA4BB07" w:rsidR="00824A42" w:rsidRPr="00824A42" w:rsidRDefault="00824A42" w:rsidP="00824A42">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45,989</w:t>
                  </w:r>
                </w:p>
              </w:tc>
              <w:tc>
                <w:tcPr>
                  <w:tcW w:w="1334" w:type="dxa"/>
                  <w:tcBorders>
                    <w:top w:val="nil"/>
                    <w:left w:val="nil"/>
                    <w:bottom w:val="single" w:sz="4" w:space="0" w:color="002C47" w:themeColor="accent1"/>
                    <w:right w:val="nil"/>
                  </w:tcBorders>
                  <w:shd w:val="clear" w:color="auto" w:fill="D2EDFF" w:themeFill="accent1" w:themeFillTint="1A"/>
                  <w:vAlign w:val="bottom"/>
                </w:tcPr>
                <w:p w14:paraId="03950658" w14:textId="51565418" w:rsidR="00824A42" w:rsidRPr="00824A42" w:rsidRDefault="00824A42" w:rsidP="00824A42">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0.18</w:t>
                  </w:r>
                </w:p>
              </w:tc>
              <w:tc>
                <w:tcPr>
                  <w:tcW w:w="1333" w:type="dxa"/>
                  <w:tcBorders>
                    <w:top w:val="nil"/>
                    <w:left w:val="nil"/>
                    <w:bottom w:val="single" w:sz="4" w:space="0" w:color="002C47" w:themeColor="accent1"/>
                    <w:right w:val="nil"/>
                  </w:tcBorders>
                  <w:shd w:val="clear" w:color="auto" w:fill="D2EDFF" w:themeFill="accent1" w:themeFillTint="1A"/>
                  <w:noWrap/>
                  <w:vAlign w:val="bottom"/>
                </w:tcPr>
                <w:p w14:paraId="0720FF3E" w14:textId="17BCC079" w:rsidR="00824A42" w:rsidRPr="00824A42" w:rsidRDefault="00824A42" w:rsidP="00824A42">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134,752</w:t>
                  </w:r>
                </w:p>
              </w:tc>
              <w:tc>
                <w:tcPr>
                  <w:tcW w:w="1333" w:type="dxa"/>
                  <w:tcBorders>
                    <w:top w:val="nil"/>
                    <w:left w:val="nil"/>
                    <w:bottom w:val="single" w:sz="4" w:space="0" w:color="002C47" w:themeColor="accent1"/>
                    <w:right w:val="nil"/>
                  </w:tcBorders>
                  <w:shd w:val="clear" w:color="auto" w:fill="D2EDFF" w:themeFill="accent1" w:themeFillTint="1A"/>
                  <w:noWrap/>
                  <w:vAlign w:val="bottom"/>
                </w:tcPr>
                <w:p w14:paraId="17EC9384" w14:textId="2BE28B01" w:rsidR="00824A42" w:rsidRPr="00824A42" w:rsidRDefault="00824A42" w:rsidP="00824A42">
                  <w:pPr>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eastAsia="Times New Roman" w:hAnsiTheme="minorHAnsi" w:cstheme="minorHAnsi"/>
                      <w:color w:val="000000"/>
                      <w:sz w:val="18"/>
                      <w:szCs w:val="18"/>
                      <w:lang w:eastAsia="en-AU"/>
                    </w:rPr>
                    <w:t>NA</w:t>
                  </w:r>
                </w:p>
              </w:tc>
              <w:tc>
                <w:tcPr>
                  <w:tcW w:w="1334" w:type="dxa"/>
                  <w:tcBorders>
                    <w:top w:val="nil"/>
                    <w:left w:val="nil"/>
                    <w:bottom w:val="single" w:sz="4" w:space="0" w:color="002C47" w:themeColor="accent1"/>
                    <w:right w:val="nil"/>
                  </w:tcBorders>
                  <w:shd w:val="clear" w:color="auto" w:fill="D2EDFF" w:themeFill="accent1" w:themeFillTint="1A"/>
                  <w:noWrap/>
                  <w:vAlign w:val="bottom"/>
                </w:tcPr>
                <w:p w14:paraId="69E3E5F3" w14:textId="15D9D314" w:rsidR="00824A42" w:rsidRPr="00824A42" w:rsidRDefault="00824A42" w:rsidP="00824A42">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824A42">
                    <w:rPr>
                      <w:rFonts w:asciiTheme="minorHAnsi" w:hAnsiTheme="minorHAnsi" w:cstheme="minorHAnsi"/>
                      <w:color w:val="000000"/>
                      <w:sz w:val="18"/>
                      <w:szCs w:val="18"/>
                    </w:rPr>
                    <w:t>-88,763</w:t>
                  </w:r>
                </w:p>
              </w:tc>
            </w:tr>
          </w:tbl>
          <w:p w14:paraId="4D06A4ED" w14:textId="60550F91" w:rsidR="001E641B" w:rsidRPr="00DB2661" w:rsidRDefault="00096E22" w:rsidP="00DB2661">
            <w:pPr>
              <w:pStyle w:val="Bullet"/>
              <w:numPr>
                <w:ilvl w:val="0"/>
                <w:numId w:val="0"/>
              </w:numPr>
              <w:rPr>
                <w:sz w:val="18"/>
                <w:szCs w:val="18"/>
              </w:rPr>
            </w:pPr>
            <w:r w:rsidRPr="00DB2661">
              <w:rPr>
                <w:sz w:val="18"/>
                <w:szCs w:val="18"/>
              </w:rPr>
              <w:t xml:space="preserve">*Includes other </w:t>
            </w:r>
            <w:r w:rsidR="007334B1">
              <w:rPr>
                <w:sz w:val="18"/>
                <w:szCs w:val="18"/>
              </w:rPr>
              <w:t>t</w:t>
            </w:r>
            <w:r w:rsidRPr="00DB2661">
              <w:rPr>
                <w:sz w:val="18"/>
                <w:szCs w:val="18"/>
              </w:rPr>
              <w:t>erritories comprising J</w:t>
            </w:r>
            <w:r w:rsidR="007334B1">
              <w:rPr>
                <w:sz w:val="18"/>
                <w:szCs w:val="18"/>
              </w:rPr>
              <w:t>e</w:t>
            </w:r>
            <w:r w:rsidRPr="00DB2661">
              <w:rPr>
                <w:sz w:val="18"/>
                <w:szCs w:val="18"/>
              </w:rPr>
              <w:t>rvis Bay Territory, Christmas Island, the Cocos (Keeling) Islands and Norfolk Island</w:t>
            </w:r>
          </w:p>
          <w:p w14:paraId="75144DB0" w14:textId="77777777" w:rsidR="00167155" w:rsidRDefault="00167155" w:rsidP="00167155">
            <w:pPr>
              <w:pStyle w:val="TableHeadingContinued"/>
            </w:pPr>
            <w:r w:rsidRPr="00737787">
              <w:t>Upcoming major population releases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5477"/>
              <w:gridCol w:w="1650"/>
              <w:gridCol w:w="1842"/>
            </w:tblGrid>
            <w:tr w:rsidR="00167155" w:rsidRPr="009C2B09" w14:paraId="647D94ED" w14:textId="77777777" w:rsidTr="004522C0">
              <w:trPr>
                <w:trHeight w:val="271"/>
                <w:jc w:val="center"/>
              </w:trPr>
              <w:tc>
                <w:tcPr>
                  <w:tcW w:w="3053" w:type="pct"/>
                  <w:tcBorders>
                    <w:top w:val="single" w:sz="4" w:space="0" w:color="002C47" w:themeColor="accent1"/>
                    <w:bottom w:val="single" w:sz="4" w:space="0" w:color="002C47" w:themeColor="accent1"/>
                  </w:tcBorders>
                  <w:shd w:val="clear" w:color="auto" w:fill="auto"/>
                  <w:noWrap/>
                  <w:tcMar>
                    <w:left w:w="28" w:type="dxa"/>
                    <w:right w:w="0" w:type="dxa"/>
                  </w:tcMar>
                  <w:hideMark/>
                </w:tcPr>
                <w:p w14:paraId="26F53C38" w14:textId="77777777" w:rsidR="00167155" w:rsidRPr="00DC62D9" w:rsidRDefault="00167155" w:rsidP="00167155">
                  <w:pPr>
                    <w:spacing w:before="40" w:after="40" w:line="276" w:lineRule="auto"/>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Release</w:t>
                  </w:r>
                </w:p>
              </w:tc>
              <w:tc>
                <w:tcPr>
                  <w:tcW w:w="920" w:type="pct"/>
                  <w:tcBorders>
                    <w:top w:val="single" w:sz="4" w:space="0" w:color="002C47" w:themeColor="accent1"/>
                    <w:bottom w:val="single" w:sz="4" w:space="0" w:color="002C47" w:themeColor="accent1"/>
                  </w:tcBorders>
                  <w:shd w:val="clear" w:color="auto" w:fill="auto"/>
                  <w:tcMar>
                    <w:left w:w="28" w:type="dxa"/>
                    <w:right w:w="0" w:type="dxa"/>
                  </w:tcMar>
                  <w:hideMark/>
                </w:tcPr>
                <w:p w14:paraId="2913FDBF" w14:textId="77777777" w:rsidR="00167155" w:rsidRPr="00DC62D9" w:rsidRDefault="00167155" w:rsidP="00167155">
                  <w:pPr>
                    <w:spacing w:before="40" w:after="40" w:line="276" w:lineRule="auto"/>
                    <w:jc w:val="center"/>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Former catalogue</w:t>
                  </w:r>
                </w:p>
              </w:tc>
              <w:tc>
                <w:tcPr>
                  <w:tcW w:w="1027" w:type="pct"/>
                  <w:tcBorders>
                    <w:top w:val="single" w:sz="4" w:space="0" w:color="002C47" w:themeColor="accent1"/>
                    <w:bottom w:val="single" w:sz="4" w:space="0" w:color="002C47" w:themeColor="accent1"/>
                  </w:tcBorders>
                  <w:shd w:val="clear" w:color="auto" w:fill="auto"/>
                  <w:tcMar>
                    <w:left w:w="28" w:type="dxa"/>
                    <w:right w:w="0" w:type="dxa"/>
                  </w:tcMar>
                  <w:hideMark/>
                </w:tcPr>
                <w:p w14:paraId="7EFA5436" w14:textId="77777777" w:rsidR="00167155" w:rsidRPr="00DC62D9" w:rsidRDefault="00167155" w:rsidP="00167155">
                  <w:pPr>
                    <w:spacing w:before="40" w:after="40" w:line="276" w:lineRule="auto"/>
                    <w:jc w:val="center"/>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Release date</w:t>
                  </w:r>
                </w:p>
              </w:tc>
            </w:tr>
            <w:tr w:rsidR="005C4A89" w:rsidRPr="009C2B09" w14:paraId="124C6FAF" w14:textId="77777777" w:rsidTr="004522C0">
              <w:trPr>
                <w:trHeight w:val="204"/>
                <w:jc w:val="center"/>
              </w:trPr>
              <w:tc>
                <w:tcPr>
                  <w:tcW w:w="3053" w:type="pct"/>
                  <w:tcBorders>
                    <w:bottom w:val="nil"/>
                  </w:tcBorders>
                  <w:shd w:val="clear" w:color="auto" w:fill="auto"/>
                  <w:noWrap/>
                  <w:tcMar>
                    <w:left w:w="28" w:type="dxa"/>
                  </w:tcMar>
                  <w:vAlign w:val="bottom"/>
                </w:tcPr>
                <w:p w14:paraId="397F11A9" w14:textId="77D06960" w:rsidR="005C4A89" w:rsidRDefault="005C4A89" w:rsidP="00167155">
                  <w:pPr>
                    <w:spacing w:before="40" w:after="40" w:line="276" w:lineRule="auto"/>
                    <w:rPr>
                      <w:rFonts w:asciiTheme="minorHAnsi" w:eastAsia="Times New Roman" w:hAnsiTheme="minorHAnsi" w:cstheme="minorHAnsi"/>
                      <w:b/>
                      <w:bCs/>
                      <w:color w:val="000000"/>
                      <w:sz w:val="18"/>
                      <w:szCs w:val="18"/>
                      <w:lang w:eastAsia="en-AU"/>
                    </w:rPr>
                  </w:pPr>
                  <w:r w:rsidRPr="00513619">
                    <w:rPr>
                      <w:rFonts w:asciiTheme="minorHAnsi" w:eastAsia="Times New Roman" w:hAnsiTheme="minorHAnsi" w:cstheme="minorHAnsi"/>
                      <w:b/>
                      <w:bCs/>
                      <w:color w:val="000000"/>
                      <w:sz w:val="18"/>
                      <w:szCs w:val="18"/>
                      <w:lang w:eastAsia="en-AU"/>
                    </w:rPr>
                    <w:t>National, state and territory population</w:t>
                  </w:r>
                  <w:r>
                    <w:rPr>
                      <w:rFonts w:asciiTheme="minorHAnsi" w:eastAsia="Times New Roman" w:hAnsiTheme="minorHAnsi" w:cstheme="minorHAnsi"/>
                      <w:b/>
                      <w:bCs/>
                      <w:color w:val="000000"/>
                      <w:sz w:val="18"/>
                      <w:szCs w:val="18"/>
                      <w:lang w:eastAsia="en-AU"/>
                    </w:rPr>
                    <w:t xml:space="preserve"> September 2021</w:t>
                  </w:r>
                </w:p>
              </w:tc>
              <w:tc>
                <w:tcPr>
                  <w:tcW w:w="920" w:type="pct"/>
                  <w:tcBorders>
                    <w:top w:val="nil"/>
                    <w:left w:val="nil"/>
                    <w:bottom w:val="nil"/>
                    <w:right w:val="nil"/>
                  </w:tcBorders>
                  <w:shd w:val="clear" w:color="auto" w:fill="auto"/>
                  <w:noWrap/>
                  <w:vAlign w:val="bottom"/>
                </w:tcPr>
                <w:p w14:paraId="5AD55237" w14:textId="3A4645F3" w:rsidR="005C4A89" w:rsidRPr="00C86822" w:rsidRDefault="005C4A89" w:rsidP="00167155">
                  <w:pPr>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3101.0</w:t>
                  </w:r>
                </w:p>
              </w:tc>
              <w:tc>
                <w:tcPr>
                  <w:tcW w:w="1027" w:type="pct"/>
                  <w:tcBorders>
                    <w:top w:val="nil"/>
                    <w:left w:val="nil"/>
                    <w:bottom w:val="nil"/>
                    <w:right w:val="nil"/>
                  </w:tcBorders>
                  <w:shd w:val="clear" w:color="auto" w:fill="auto"/>
                  <w:noWrap/>
                  <w:vAlign w:val="bottom"/>
                </w:tcPr>
                <w:p w14:paraId="44BFEF4E" w14:textId="501BD0C6" w:rsidR="005C4A89" w:rsidRDefault="005C4A89" w:rsidP="00167155">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17/03/202</w:t>
                  </w:r>
                  <w:r w:rsidR="00AB712E">
                    <w:rPr>
                      <w:rFonts w:asciiTheme="minorHAnsi" w:eastAsia="Times New Roman" w:hAnsiTheme="minorHAnsi" w:cstheme="minorHAnsi"/>
                      <w:color w:val="000000"/>
                      <w:sz w:val="18"/>
                      <w:szCs w:val="18"/>
                      <w:lang w:eastAsia="en-AU"/>
                    </w:rPr>
                    <w:t>2</w:t>
                  </w:r>
                </w:p>
              </w:tc>
            </w:tr>
            <w:tr w:rsidR="00167155" w:rsidRPr="009C2B09" w14:paraId="40320B05" w14:textId="77777777" w:rsidTr="004522C0">
              <w:trPr>
                <w:trHeight w:val="204"/>
                <w:jc w:val="center"/>
              </w:trPr>
              <w:tc>
                <w:tcPr>
                  <w:tcW w:w="3053" w:type="pct"/>
                  <w:tcBorders>
                    <w:bottom w:val="nil"/>
                  </w:tcBorders>
                  <w:shd w:val="clear" w:color="auto" w:fill="auto"/>
                  <w:noWrap/>
                  <w:tcMar>
                    <w:left w:w="28" w:type="dxa"/>
                  </w:tcMar>
                  <w:vAlign w:val="bottom"/>
                </w:tcPr>
                <w:p w14:paraId="60B03A65" w14:textId="72444016" w:rsidR="00167155" w:rsidRPr="009C2B09" w:rsidRDefault="00167155" w:rsidP="00167155">
                  <w:pPr>
                    <w:spacing w:before="40" w:after="40" w:line="276" w:lineRule="auto"/>
                    <w:rPr>
                      <w:rFonts w:asciiTheme="minorHAnsi" w:eastAsia="Times New Roman" w:hAnsiTheme="minorHAnsi" w:cstheme="minorHAnsi"/>
                      <w:b/>
                      <w:bCs/>
                      <w:color w:val="000000"/>
                      <w:sz w:val="18"/>
                      <w:szCs w:val="18"/>
                      <w:lang w:eastAsia="en-AU"/>
                    </w:rPr>
                  </w:pPr>
                  <w:r>
                    <w:rPr>
                      <w:rFonts w:asciiTheme="minorHAnsi" w:eastAsia="Times New Roman" w:hAnsiTheme="minorHAnsi" w:cstheme="minorHAnsi"/>
                      <w:b/>
                      <w:bCs/>
                      <w:color w:val="000000"/>
                      <w:sz w:val="18"/>
                      <w:szCs w:val="18"/>
                      <w:lang w:eastAsia="en-AU"/>
                    </w:rPr>
                    <w:t>Regional population</w:t>
                  </w:r>
                </w:p>
              </w:tc>
              <w:tc>
                <w:tcPr>
                  <w:tcW w:w="920" w:type="pct"/>
                  <w:tcBorders>
                    <w:top w:val="nil"/>
                    <w:left w:val="nil"/>
                    <w:bottom w:val="nil"/>
                    <w:right w:val="nil"/>
                  </w:tcBorders>
                  <w:shd w:val="clear" w:color="auto" w:fill="auto"/>
                  <w:noWrap/>
                  <w:vAlign w:val="bottom"/>
                </w:tcPr>
                <w:p w14:paraId="63BD1473" w14:textId="487E70CF" w:rsidR="00167155" w:rsidRPr="009C2B09" w:rsidRDefault="00167155" w:rsidP="00167155">
                  <w:pPr>
                    <w:spacing w:before="40" w:after="40" w:line="276" w:lineRule="auto"/>
                    <w:jc w:val="right"/>
                    <w:rPr>
                      <w:rFonts w:asciiTheme="minorHAnsi" w:eastAsia="Times New Roman" w:hAnsiTheme="minorHAnsi" w:cstheme="minorHAnsi"/>
                      <w:color w:val="000000"/>
                      <w:sz w:val="18"/>
                      <w:szCs w:val="18"/>
                      <w:lang w:eastAsia="en-AU"/>
                    </w:rPr>
                  </w:pPr>
                  <w:r w:rsidRPr="00C86822">
                    <w:rPr>
                      <w:rFonts w:asciiTheme="minorHAnsi" w:eastAsia="Times New Roman" w:hAnsiTheme="minorHAnsi" w:cstheme="minorHAnsi"/>
                      <w:color w:val="000000"/>
                      <w:sz w:val="18"/>
                      <w:szCs w:val="18"/>
                      <w:lang w:eastAsia="en-AU"/>
                    </w:rPr>
                    <w:t>32</w:t>
                  </w:r>
                  <w:r w:rsidR="005C4A89">
                    <w:rPr>
                      <w:rFonts w:asciiTheme="minorHAnsi" w:eastAsia="Times New Roman" w:hAnsiTheme="minorHAnsi" w:cstheme="minorHAnsi"/>
                      <w:color w:val="000000"/>
                      <w:sz w:val="18"/>
                      <w:szCs w:val="18"/>
                      <w:lang w:eastAsia="en-AU"/>
                    </w:rPr>
                    <w:t>18</w:t>
                  </w:r>
                  <w:r w:rsidRPr="00513619">
                    <w:rPr>
                      <w:rFonts w:asciiTheme="minorHAnsi" w:eastAsia="Times New Roman" w:hAnsiTheme="minorHAnsi" w:cstheme="minorHAnsi"/>
                      <w:color w:val="000000"/>
                      <w:sz w:val="18"/>
                      <w:szCs w:val="18"/>
                      <w:lang w:eastAsia="en-AU"/>
                    </w:rPr>
                    <w:t>.0</w:t>
                  </w:r>
                </w:p>
              </w:tc>
              <w:tc>
                <w:tcPr>
                  <w:tcW w:w="1027" w:type="pct"/>
                  <w:tcBorders>
                    <w:top w:val="nil"/>
                    <w:left w:val="nil"/>
                    <w:bottom w:val="nil"/>
                    <w:right w:val="nil"/>
                  </w:tcBorders>
                  <w:shd w:val="clear" w:color="auto" w:fill="auto"/>
                  <w:noWrap/>
                  <w:vAlign w:val="bottom"/>
                </w:tcPr>
                <w:p w14:paraId="67C65EDC" w14:textId="26E8A875" w:rsidR="00167155" w:rsidRPr="009C2B09" w:rsidRDefault="005C4A89" w:rsidP="00167155">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29/03/2022</w:t>
                  </w:r>
                </w:p>
              </w:tc>
            </w:tr>
            <w:tr w:rsidR="00167155" w:rsidRPr="009C2B09" w14:paraId="6D273FCD" w14:textId="77777777" w:rsidTr="004522C0">
              <w:trPr>
                <w:trHeight w:val="204"/>
                <w:jc w:val="center"/>
              </w:trPr>
              <w:tc>
                <w:tcPr>
                  <w:tcW w:w="3053" w:type="pct"/>
                  <w:tcBorders>
                    <w:top w:val="nil"/>
                    <w:bottom w:val="single" w:sz="4" w:space="0" w:color="002C47" w:themeColor="accent1"/>
                  </w:tcBorders>
                  <w:shd w:val="clear" w:color="auto" w:fill="auto"/>
                  <w:noWrap/>
                  <w:tcMar>
                    <w:left w:w="28" w:type="dxa"/>
                  </w:tcMar>
                  <w:vAlign w:val="bottom"/>
                </w:tcPr>
                <w:p w14:paraId="5ADD8446" w14:textId="4DB82B90" w:rsidR="00167155" w:rsidRPr="009C2B09" w:rsidRDefault="00167155" w:rsidP="00167155">
                  <w:pPr>
                    <w:spacing w:before="40" w:after="40" w:line="276" w:lineRule="auto"/>
                    <w:rPr>
                      <w:rFonts w:asciiTheme="minorHAnsi" w:eastAsia="Times New Roman" w:hAnsiTheme="minorHAnsi" w:cstheme="minorHAnsi"/>
                      <w:b/>
                      <w:bCs/>
                      <w:color w:val="000000"/>
                      <w:sz w:val="18"/>
                      <w:szCs w:val="18"/>
                      <w:lang w:eastAsia="en-AU"/>
                    </w:rPr>
                  </w:pPr>
                  <w:r w:rsidRPr="00513619">
                    <w:rPr>
                      <w:rFonts w:asciiTheme="minorHAnsi" w:eastAsia="Times New Roman" w:hAnsiTheme="minorHAnsi" w:cstheme="minorHAnsi"/>
                      <w:b/>
                      <w:bCs/>
                      <w:color w:val="000000"/>
                      <w:sz w:val="18"/>
                      <w:szCs w:val="18"/>
                      <w:lang w:eastAsia="en-AU"/>
                    </w:rPr>
                    <w:t>National, state and territory population</w:t>
                  </w:r>
                  <w:r>
                    <w:rPr>
                      <w:rFonts w:asciiTheme="minorHAnsi" w:eastAsia="Times New Roman" w:hAnsiTheme="minorHAnsi" w:cstheme="minorHAnsi"/>
                      <w:b/>
                      <w:bCs/>
                      <w:color w:val="000000"/>
                      <w:sz w:val="18"/>
                      <w:szCs w:val="18"/>
                      <w:lang w:eastAsia="en-AU"/>
                    </w:rPr>
                    <w:t xml:space="preserve"> March 202</w:t>
                  </w:r>
                  <w:r w:rsidR="005C4A89">
                    <w:rPr>
                      <w:rFonts w:asciiTheme="minorHAnsi" w:eastAsia="Times New Roman" w:hAnsiTheme="minorHAnsi" w:cstheme="minorHAnsi"/>
                      <w:b/>
                      <w:bCs/>
                      <w:color w:val="000000"/>
                      <w:sz w:val="18"/>
                      <w:szCs w:val="18"/>
                      <w:lang w:eastAsia="en-AU"/>
                    </w:rPr>
                    <w:t>2</w:t>
                  </w:r>
                </w:p>
              </w:tc>
              <w:tc>
                <w:tcPr>
                  <w:tcW w:w="920" w:type="pct"/>
                  <w:tcBorders>
                    <w:top w:val="nil"/>
                    <w:left w:val="nil"/>
                    <w:bottom w:val="single" w:sz="4" w:space="0" w:color="002C47" w:themeColor="accent1"/>
                    <w:right w:val="nil"/>
                  </w:tcBorders>
                  <w:shd w:val="clear" w:color="auto" w:fill="auto"/>
                  <w:noWrap/>
                  <w:vAlign w:val="bottom"/>
                </w:tcPr>
                <w:p w14:paraId="7F2859E0" w14:textId="77777777" w:rsidR="00167155" w:rsidRPr="009C2B09" w:rsidRDefault="00167155" w:rsidP="00167155">
                  <w:pPr>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3101.0</w:t>
                  </w:r>
                </w:p>
              </w:tc>
              <w:tc>
                <w:tcPr>
                  <w:tcW w:w="1027" w:type="pct"/>
                  <w:tcBorders>
                    <w:top w:val="nil"/>
                    <w:left w:val="nil"/>
                    <w:bottom w:val="single" w:sz="4" w:space="0" w:color="002C47" w:themeColor="accent1"/>
                    <w:right w:val="nil"/>
                  </w:tcBorders>
                  <w:shd w:val="clear" w:color="auto" w:fill="auto"/>
                  <w:noWrap/>
                  <w:vAlign w:val="bottom"/>
                </w:tcPr>
                <w:p w14:paraId="4A0CEE85" w14:textId="79C3EE7F" w:rsidR="00167155" w:rsidRPr="009C2B09" w:rsidRDefault="005C4A89" w:rsidP="00167155">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22/09/2022</w:t>
                  </w:r>
                </w:p>
              </w:tc>
            </w:tr>
          </w:tbl>
          <w:p w14:paraId="2D0644AA" w14:textId="28C54279" w:rsidR="00725216" w:rsidRPr="00945E30" w:rsidRDefault="00725216" w:rsidP="00F21FAB"/>
        </w:tc>
      </w:tr>
      <w:tr w:rsidR="00725216" w:rsidRPr="0023709A" w14:paraId="5CA9948B" w14:textId="77777777" w:rsidTr="004522C0">
        <w:trPr>
          <w:trHeight w:val="300"/>
        </w:trPr>
        <w:tc>
          <w:tcPr>
            <w:tcW w:w="5000" w:type="pct"/>
            <w:shd w:val="clear" w:color="auto" w:fill="auto"/>
          </w:tcPr>
          <w:p w14:paraId="4B60D3C9" w14:textId="77777777" w:rsidR="00725216" w:rsidRPr="00834409" w:rsidRDefault="00725216" w:rsidP="00F21FAB"/>
        </w:tc>
      </w:tr>
      <w:tr w:rsidR="00725216" w:rsidRPr="00D24DBE" w14:paraId="4AB1EC6E" w14:textId="77777777" w:rsidTr="004522C0">
        <w:trPr>
          <w:trHeight w:val="300"/>
        </w:trPr>
        <w:tc>
          <w:tcPr>
            <w:tcW w:w="5000" w:type="pct"/>
            <w:tcBorders>
              <w:bottom w:val="single" w:sz="12" w:space="0" w:color="002C47" w:themeColor="accent1"/>
            </w:tcBorders>
            <w:shd w:val="clear" w:color="auto" w:fill="auto"/>
            <w:vAlign w:val="center"/>
          </w:tcPr>
          <w:p w14:paraId="70B4801F" w14:textId="77777777" w:rsidR="00725216" w:rsidRPr="006579A0" w:rsidRDefault="00725216" w:rsidP="00F21FAB">
            <w:pPr>
              <w:pStyle w:val="Heading3"/>
            </w:pPr>
            <w:r>
              <w:lastRenderedPageBreak/>
              <w:t>NOTES</w:t>
            </w:r>
          </w:p>
          <w:p w14:paraId="7FF9B33B" w14:textId="563C1918" w:rsidR="00725216" w:rsidRDefault="00725216" w:rsidP="00F21FAB">
            <w:pPr>
              <w:rPr>
                <w:rStyle w:val="Hyperlink"/>
              </w:rPr>
            </w:pPr>
            <w:r>
              <w:t xml:space="preserve">Further detail is available from the </w:t>
            </w:r>
            <w:hyperlink r:id="rId19" w:history="1">
              <w:r w:rsidRPr="00DB2661">
                <w:rPr>
                  <w:rStyle w:val="Hyperlink"/>
                </w:rPr>
                <w:t>Australian Bureau of Statistics</w:t>
              </w:r>
            </w:hyperlink>
            <w:r w:rsidR="00DB2661">
              <w:t>.</w:t>
            </w:r>
          </w:p>
          <w:p w14:paraId="5D03B1D1" w14:textId="12CAA029" w:rsidR="00380633" w:rsidRDefault="00380633" w:rsidP="009912F7">
            <w:r>
              <w:rPr>
                <w:rFonts w:eastAsia="Calibri" w:cs="Calibri"/>
              </w:rPr>
              <w:t>In this release, t</w:t>
            </w:r>
            <w:r w:rsidRPr="001D5713">
              <w:rPr>
                <w:rFonts w:eastAsia="Calibri" w:cs="Calibri"/>
              </w:rPr>
              <w:t>he</w:t>
            </w:r>
            <w:r w:rsidR="003B2EFD">
              <w:rPr>
                <w:rFonts w:eastAsia="Calibri" w:cs="Calibri"/>
              </w:rPr>
              <w:t xml:space="preserve"> </w:t>
            </w:r>
            <w:r w:rsidRPr="001D5713">
              <w:rPr>
                <w:rFonts w:eastAsia="Calibri" w:cs="Calibri"/>
              </w:rPr>
              <w:t>ABS</w:t>
            </w:r>
            <w:r w:rsidR="003B2EFD">
              <w:rPr>
                <w:rFonts w:eastAsia="Calibri" w:cs="Calibri"/>
              </w:rPr>
              <w:t xml:space="preserve"> revised its NIM estimates for the past three quarters. This was due to the</w:t>
            </w:r>
            <w:r w:rsidRPr="001D5713">
              <w:rPr>
                <w:rFonts w:eastAsia="Calibri" w:cs="Calibri"/>
              </w:rPr>
              <w:t xml:space="preserve"> Medicare change of address data, used to estimate internal migration</w:t>
            </w:r>
            <w:r w:rsidR="003B2EFD">
              <w:rPr>
                <w:rFonts w:eastAsia="Calibri" w:cs="Calibri"/>
              </w:rPr>
              <w:t xml:space="preserve"> which</w:t>
            </w:r>
            <w:r w:rsidRPr="001D5713">
              <w:rPr>
                <w:rFonts w:eastAsia="Calibri" w:cs="Calibri"/>
              </w:rPr>
              <w:t xml:space="preserve"> showed an implausibly high number of moves for this quarter due to widespread updating of Medicare records as people get vaccinated for COVID</w:t>
            </w:r>
            <w:r w:rsidR="000A599D">
              <w:rPr>
                <w:rFonts w:eastAsia="Calibri" w:cs="Calibri"/>
              </w:rPr>
              <w:noBreakHyphen/>
            </w:r>
            <w:r w:rsidRPr="001D5713">
              <w:rPr>
                <w:rFonts w:eastAsia="Calibri" w:cs="Calibri"/>
              </w:rPr>
              <w:t>19. Not all the address changes recorded in this quarter happened within this quarter. To treat for this, under-count adjustments in this quarter and those made in previous quarters have been revised.</w:t>
            </w:r>
          </w:p>
          <w:p w14:paraId="24000726" w14:textId="4B8178FB" w:rsidR="003B2EFD" w:rsidRPr="009912F7" w:rsidRDefault="009912F7" w:rsidP="009912F7">
            <w:r w:rsidRPr="009912F7">
              <w:t xml:space="preserve">Chart 5 </w:t>
            </w:r>
            <w:r>
              <w:t xml:space="preserve">below shows </w:t>
            </w:r>
            <w:r w:rsidR="00943963">
              <w:t xml:space="preserve">the difference between March 2021 unrevised data and June 2021 revised data for the September 2020, December </w:t>
            </w:r>
            <w:proofErr w:type="gramStart"/>
            <w:r w:rsidR="00943963">
              <w:t>2020</w:t>
            </w:r>
            <w:proofErr w:type="gramEnd"/>
            <w:r w:rsidR="00943963">
              <w:t xml:space="preserve"> and March 2021 quarters. </w:t>
            </w:r>
            <w:r w:rsidR="00A20910">
              <w:t>Both i</w:t>
            </w:r>
            <w:r w:rsidR="007225ED">
              <w:t>nterstate migration and overseas migration were revised</w:t>
            </w:r>
            <w:r w:rsidR="00A20910">
              <w:t xml:space="preserve">, while </w:t>
            </w:r>
            <w:r w:rsidR="007225ED">
              <w:t>natural increase was not. More information can be found in Table 3 which highlights the revision schedule of the data.</w:t>
            </w:r>
          </w:p>
          <w:p w14:paraId="0C75BF03" w14:textId="51E7F53D" w:rsidR="009912F7" w:rsidRPr="009912F7" w:rsidRDefault="00943963" w:rsidP="009912F7">
            <w:pPr>
              <w:pStyle w:val="Heading9"/>
            </w:pPr>
            <w:r>
              <w:t>Cumulative revisions for the September 2020 through March 2021 quarters</w:t>
            </w:r>
          </w:p>
          <w:p w14:paraId="5A40422F" w14:textId="410B1D56" w:rsidR="00C32B99" w:rsidRDefault="00C32B99" w:rsidP="00F21FAB">
            <w:r w:rsidRPr="00C32B99">
              <w:rPr>
                <w:noProof/>
              </w:rPr>
              <w:drawing>
                <wp:inline distT="0" distB="0" distL="0" distR="0" wp14:anchorId="167A80CA" wp14:editId="6D23D8B7">
                  <wp:extent cx="5581650" cy="2524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62713226" w14:textId="77777777" w:rsidR="009E76AE" w:rsidRDefault="009E76AE" w:rsidP="00F21FAB"/>
          <w:p w14:paraId="39960FC7" w14:textId="77777777" w:rsidR="007225ED" w:rsidRDefault="007225ED" w:rsidP="007225ED">
            <w:pPr>
              <w:pStyle w:val="TableHeadingContinued"/>
            </w:pPr>
            <w:r>
              <w:t>ABS revision schedule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791"/>
              <w:gridCol w:w="1792"/>
              <w:gridCol w:w="1792"/>
              <w:gridCol w:w="1792"/>
              <w:gridCol w:w="1792"/>
            </w:tblGrid>
            <w:tr w:rsidR="007225ED" w14:paraId="26CCA332" w14:textId="77777777" w:rsidTr="004522C0">
              <w:tc>
                <w:tcPr>
                  <w:tcW w:w="1793" w:type="dxa"/>
                </w:tcPr>
                <w:p w14:paraId="70F65028" w14:textId="545AD19B" w:rsidR="007225ED" w:rsidRDefault="007225ED" w:rsidP="005C4A89">
                  <w:pPr>
                    <w:spacing w:before="0" w:after="0"/>
                    <w:jc w:val="center"/>
                    <w:rPr>
                      <w:lang w:eastAsia="en-US"/>
                    </w:rPr>
                  </w:pPr>
                  <w:r w:rsidRPr="007225ED">
                    <w:rPr>
                      <w:rFonts w:asciiTheme="minorHAnsi" w:eastAsia="Times New Roman" w:hAnsiTheme="minorHAnsi" w:cstheme="minorHAnsi"/>
                      <w:b/>
                      <w:bCs/>
                      <w:color w:val="002C47" w:themeColor="accent1"/>
                      <w:sz w:val="18"/>
                      <w:szCs w:val="18"/>
                    </w:rPr>
                    <w:t>Quarters</w:t>
                  </w:r>
                </w:p>
              </w:tc>
              <w:tc>
                <w:tcPr>
                  <w:tcW w:w="1794" w:type="dxa"/>
                </w:tcPr>
                <w:p w14:paraId="346DF4F6" w14:textId="4EA378AA" w:rsidR="007225ED" w:rsidRPr="007225ED" w:rsidRDefault="007225ED" w:rsidP="005C4A89">
                  <w:pPr>
                    <w:spacing w:before="0" w:after="0"/>
                    <w:jc w:val="center"/>
                    <w:rPr>
                      <w:rFonts w:asciiTheme="minorHAnsi" w:eastAsia="Times New Roman" w:hAnsiTheme="minorHAnsi" w:cstheme="minorHAnsi"/>
                      <w:b/>
                      <w:bCs/>
                      <w:color w:val="002C47" w:themeColor="accent1"/>
                      <w:sz w:val="18"/>
                      <w:szCs w:val="18"/>
                    </w:rPr>
                  </w:pPr>
                  <w:r w:rsidRPr="007225ED">
                    <w:rPr>
                      <w:rFonts w:asciiTheme="minorHAnsi" w:eastAsia="Times New Roman" w:hAnsiTheme="minorHAnsi" w:cstheme="minorHAnsi"/>
                      <w:b/>
                      <w:bCs/>
                      <w:color w:val="002C47" w:themeColor="accent1"/>
                      <w:sz w:val="18"/>
                      <w:szCs w:val="18"/>
                    </w:rPr>
                    <w:t>Births and deaths</w:t>
                  </w:r>
                </w:p>
              </w:tc>
              <w:tc>
                <w:tcPr>
                  <w:tcW w:w="1794" w:type="dxa"/>
                </w:tcPr>
                <w:p w14:paraId="795B4087" w14:textId="4845B5D8" w:rsidR="007225ED" w:rsidRPr="007225ED" w:rsidRDefault="007225ED" w:rsidP="005C4A89">
                  <w:pPr>
                    <w:spacing w:before="0" w:after="0"/>
                    <w:jc w:val="center"/>
                    <w:rPr>
                      <w:rFonts w:asciiTheme="minorHAnsi" w:eastAsia="Times New Roman" w:hAnsiTheme="minorHAnsi" w:cstheme="minorHAnsi"/>
                      <w:b/>
                      <w:bCs/>
                      <w:color w:val="002C47" w:themeColor="accent1"/>
                      <w:sz w:val="18"/>
                      <w:szCs w:val="18"/>
                    </w:rPr>
                  </w:pPr>
                  <w:r w:rsidRPr="007225ED">
                    <w:rPr>
                      <w:rFonts w:asciiTheme="minorHAnsi" w:eastAsia="Times New Roman" w:hAnsiTheme="minorHAnsi" w:cstheme="minorHAnsi"/>
                      <w:b/>
                      <w:bCs/>
                      <w:color w:val="002C47" w:themeColor="accent1"/>
                      <w:sz w:val="18"/>
                      <w:szCs w:val="18"/>
                    </w:rPr>
                    <w:t>Overseas migration</w:t>
                  </w:r>
                </w:p>
              </w:tc>
              <w:tc>
                <w:tcPr>
                  <w:tcW w:w="1794" w:type="dxa"/>
                </w:tcPr>
                <w:p w14:paraId="3CC77FF7" w14:textId="0626DCFD" w:rsidR="007225ED" w:rsidRPr="007225ED" w:rsidRDefault="007225ED" w:rsidP="005C4A89">
                  <w:pPr>
                    <w:spacing w:before="0" w:after="0"/>
                    <w:jc w:val="center"/>
                    <w:rPr>
                      <w:rFonts w:asciiTheme="minorHAnsi" w:eastAsia="Times New Roman" w:hAnsiTheme="minorHAnsi" w:cstheme="minorHAnsi"/>
                      <w:b/>
                      <w:bCs/>
                      <w:color w:val="002C47" w:themeColor="accent1"/>
                      <w:sz w:val="18"/>
                      <w:szCs w:val="18"/>
                    </w:rPr>
                  </w:pPr>
                  <w:r w:rsidRPr="007225ED">
                    <w:rPr>
                      <w:rFonts w:asciiTheme="minorHAnsi" w:eastAsia="Times New Roman" w:hAnsiTheme="minorHAnsi" w:cstheme="minorHAnsi"/>
                      <w:b/>
                      <w:bCs/>
                      <w:color w:val="002C47" w:themeColor="accent1"/>
                      <w:sz w:val="18"/>
                      <w:szCs w:val="18"/>
                    </w:rPr>
                    <w:t>Interstate migration</w:t>
                  </w:r>
                </w:p>
              </w:tc>
              <w:tc>
                <w:tcPr>
                  <w:tcW w:w="1794" w:type="dxa"/>
                </w:tcPr>
                <w:p w14:paraId="4C85098F" w14:textId="4F761379" w:rsidR="007225ED" w:rsidRPr="007225ED" w:rsidRDefault="007225ED" w:rsidP="005C4A89">
                  <w:pPr>
                    <w:spacing w:before="0" w:after="0"/>
                    <w:jc w:val="center"/>
                    <w:rPr>
                      <w:rFonts w:asciiTheme="minorHAnsi" w:eastAsia="Times New Roman" w:hAnsiTheme="minorHAnsi" w:cstheme="minorHAnsi"/>
                      <w:b/>
                      <w:bCs/>
                      <w:color w:val="002C47" w:themeColor="accent1"/>
                      <w:sz w:val="18"/>
                      <w:szCs w:val="18"/>
                    </w:rPr>
                  </w:pPr>
                  <w:r w:rsidRPr="007225ED">
                    <w:rPr>
                      <w:rFonts w:asciiTheme="minorHAnsi" w:eastAsia="Times New Roman" w:hAnsiTheme="minorHAnsi" w:cstheme="minorHAnsi"/>
                      <w:b/>
                      <w:bCs/>
                      <w:color w:val="002C47" w:themeColor="accent1"/>
                      <w:sz w:val="18"/>
                      <w:szCs w:val="18"/>
                    </w:rPr>
                    <w:t>Estimated resident population</w:t>
                  </w:r>
                </w:p>
              </w:tc>
            </w:tr>
            <w:tr w:rsidR="00824A42" w14:paraId="065F5629" w14:textId="77777777" w:rsidTr="004522C0">
              <w:tc>
                <w:tcPr>
                  <w:tcW w:w="1793" w:type="dxa"/>
                  <w:vAlign w:val="center"/>
                </w:tcPr>
                <w:p w14:paraId="139D6C64" w14:textId="7C15EE3A" w:rsidR="007225ED" w:rsidRPr="007225ED" w:rsidRDefault="007225ED" w:rsidP="005C4A89">
                  <w:pPr>
                    <w:spacing w:before="0" w:after="0"/>
                    <w:jc w:val="left"/>
                    <w:rPr>
                      <w:rFonts w:asciiTheme="minorHAnsi" w:eastAsia="Times New Roman" w:hAnsiTheme="minorHAnsi" w:cstheme="minorHAnsi"/>
                      <w:b/>
                      <w:bCs/>
                      <w:color w:val="000000"/>
                      <w:sz w:val="18"/>
                      <w:szCs w:val="18"/>
                    </w:rPr>
                  </w:pPr>
                  <w:r w:rsidRPr="007225ED">
                    <w:rPr>
                      <w:rFonts w:asciiTheme="minorHAnsi" w:eastAsia="Times New Roman" w:hAnsiTheme="minorHAnsi" w:cstheme="minorHAnsi"/>
                      <w:b/>
                      <w:bCs/>
                      <w:color w:val="000000"/>
                      <w:sz w:val="18"/>
                      <w:szCs w:val="18"/>
                    </w:rPr>
                    <w:t>Sep. 1991</w:t>
                  </w:r>
                  <w:r>
                    <w:rPr>
                      <w:rFonts w:asciiTheme="minorHAnsi" w:eastAsia="Times New Roman" w:hAnsiTheme="minorHAnsi" w:cstheme="minorHAnsi"/>
                      <w:b/>
                      <w:bCs/>
                      <w:color w:val="000000"/>
                      <w:sz w:val="18"/>
                      <w:szCs w:val="18"/>
                    </w:rPr>
                    <w:t xml:space="preserve"> – </w:t>
                  </w:r>
                  <w:r w:rsidRPr="007225ED">
                    <w:rPr>
                      <w:rFonts w:asciiTheme="minorHAnsi" w:eastAsia="Times New Roman" w:hAnsiTheme="minorHAnsi" w:cstheme="minorHAnsi"/>
                      <w:b/>
                      <w:bCs/>
                      <w:color w:val="000000"/>
                      <w:sz w:val="18"/>
                      <w:szCs w:val="18"/>
                    </w:rPr>
                    <w:t>Jun 2016</w:t>
                  </w:r>
                </w:p>
              </w:tc>
              <w:tc>
                <w:tcPr>
                  <w:tcW w:w="1794" w:type="dxa"/>
                  <w:vAlign w:val="center"/>
                </w:tcPr>
                <w:p w14:paraId="1953E6C9" w14:textId="6E01DC92" w:rsidR="007225ED" w:rsidRPr="007225ED" w:rsidRDefault="007225ED" w:rsidP="005C4A89">
                  <w:pPr>
                    <w:pStyle w:val="TableGraphic"/>
                    <w:spacing w:before="0"/>
                    <w:jc w:val="left"/>
                    <w:rPr>
                      <w:sz w:val="20"/>
                      <w:szCs w:val="20"/>
                      <w:lang w:eastAsia="en-US"/>
                    </w:rPr>
                  </w:pPr>
                  <w:r w:rsidRPr="007225ED">
                    <w:rPr>
                      <w:sz w:val="20"/>
                      <w:szCs w:val="20"/>
                      <w:lang w:eastAsia="en-US"/>
                    </w:rPr>
                    <w:t>Final</w:t>
                  </w:r>
                </w:p>
              </w:tc>
              <w:tc>
                <w:tcPr>
                  <w:tcW w:w="1794" w:type="dxa"/>
                  <w:vAlign w:val="center"/>
                </w:tcPr>
                <w:p w14:paraId="42C9782C" w14:textId="5D9AD8A2" w:rsidR="007225ED" w:rsidRPr="007225ED" w:rsidRDefault="007225ED" w:rsidP="005C4A89">
                  <w:pPr>
                    <w:pStyle w:val="TableGraphic"/>
                    <w:spacing w:before="0"/>
                    <w:jc w:val="left"/>
                    <w:rPr>
                      <w:sz w:val="20"/>
                      <w:szCs w:val="20"/>
                      <w:lang w:eastAsia="en-US"/>
                    </w:rPr>
                  </w:pPr>
                  <w:r w:rsidRPr="007225ED">
                    <w:rPr>
                      <w:sz w:val="20"/>
                      <w:szCs w:val="20"/>
                      <w:lang w:eastAsia="en-US"/>
                    </w:rPr>
                    <w:t>Final</w:t>
                  </w:r>
                </w:p>
              </w:tc>
              <w:tc>
                <w:tcPr>
                  <w:tcW w:w="1794" w:type="dxa"/>
                  <w:vAlign w:val="center"/>
                </w:tcPr>
                <w:p w14:paraId="461410F1" w14:textId="7251615E" w:rsidR="007225ED" w:rsidRPr="007225ED" w:rsidRDefault="007225ED" w:rsidP="005C4A89">
                  <w:pPr>
                    <w:pStyle w:val="TableGraphic"/>
                    <w:spacing w:before="0"/>
                    <w:jc w:val="left"/>
                    <w:rPr>
                      <w:sz w:val="20"/>
                      <w:szCs w:val="20"/>
                      <w:lang w:eastAsia="en-US"/>
                    </w:rPr>
                  </w:pPr>
                  <w:r w:rsidRPr="007225ED">
                    <w:rPr>
                      <w:sz w:val="20"/>
                      <w:szCs w:val="20"/>
                      <w:lang w:eastAsia="en-US"/>
                    </w:rPr>
                    <w:t>Final</w:t>
                  </w:r>
                </w:p>
              </w:tc>
              <w:tc>
                <w:tcPr>
                  <w:tcW w:w="1794" w:type="dxa"/>
                  <w:vAlign w:val="center"/>
                </w:tcPr>
                <w:p w14:paraId="0ADAC90B" w14:textId="371134EE" w:rsidR="007225ED" w:rsidRPr="007225ED" w:rsidRDefault="007225ED" w:rsidP="005C4A89">
                  <w:pPr>
                    <w:pStyle w:val="TableGraphic"/>
                    <w:spacing w:before="0"/>
                    <w:jc w:val="left"/>
                    <w:rPr>
                      <w:sz w:val="20"/>
                      <w:szCs w:val="20"/>
                      <w:lang w:eastAsia="en-US"/>
                    </w:rPr>
                  </w:pPr>
                  <w:r w:rsidRPr="007225ED">
                    <w:rPr>
                      <w:sz w:val="20"/>
                      <w:szCs w:val="20"/>
                      <w:lang w:eastAsia="en-US"/>
                    </w:rPr>
                    <w:t>Final</w:t>
                  </w:r>
                </w:p>
              </w:tc>
            </w:tr>
            <w:tr w:rsidR="00824A42" w14:paraId="6AC340EA" w14:textId="77777777" w:rsidTr="004522C0">
              <w:tc>
                <w:tcPr>
                  <w:tcW w:w="1793" w:type="dxa"/>
                  <w:vAlign w:val="center"/>
                </w:tcPr>
                <w:p w14:paraId="127907FD" w14:textId="4D91DF6C" w:rsidR="007225ED" w:rsidRPr="007225ED" w:rsidRDefault="007225ED" w:rsidP="005C4A89">
                  <w:pPr>
                    <w:spacing w:before="0" w:after="0"/>
                    <w:jc w:val="left"/>
                    <w:rPr>
                      <w:rFonts w:asciiTheme="minorHAnsi" w:eastAsia="Times New Roman" w:hAnsiTheme="minorHAnsi" w:cstheme="minorHAnsi"/>
                      <w:b/>
                      <w:bCs/>
                      <w:color w:val="000000"/>
                      <w:sz w:val="18"/>
                      <w:szCs w:val="18"/>
                    </w:rPr>
                  </w:pPr>
                  <w:r w:rsidRPr="007225ED">
                    <w:rPr>
                      <w:rFonts w:asciiTheme="minorHAnsi" w:eastAsia="Times New Roman" w:hAnsiTheme="minorHAnsi" w:cstheme="minorHAnsi"/>
                      <w:b/>
                      <w:bCs/>
                      <w:color w:val="000000"/>
                      <w:sz w:val="18"/>
                      <w:szCs w:val="18"/>
                    </w:rPr>
                    <w:t xml:space="preserve">Sep. 2016 – </w:t>
                  </w:r>
                  <w:r w:rsidR="00301C62">
                    <w:rPr>
                      <w:rFonts w:asciiTheme="minorHAnsi" w:eastAsia="Times New Roman" w:hAnsiTheme="minorHAnsi" w:cstheme="minorHAnsi"/>
                      <w:b/>
                      <w:bCs/>
                      <w:color w:val="000000"/>
                      <w:sz w:val="18"/>
                      <w:szCs w:val="18"/>
                    </w:rPr>
                    <w:t>Jun</w:t>
                  </w:r>
                  <w:r w:rsidRPr="007225ED">
                    <w:rPr>
                      <w:rFonts w:asciiTheme="minorHAnsi" w:eastAsia="Times New Roman" w:hAnsiTheme="minorHAnsi" w:cstheme="minorHAnsi"/>
                      <w:b/>
                      <w:bCs/>
                      <w:color w:val="000000"/>
                      <w:sz w:val="18"/>
                      <w:szCs w:val="18"/>
                    </w:rPr>
                    <w:t>. 202</w:t>
                  </w:r>
                  <w:r w:rsidR="00301C62">
                    <w:rPr>
                      <w:rFonts w:asciiTheme="minorHAnsi" w:eastAsia="Times New Roman" w:hAnsiTheme="minorHAnsi" w:cstheme="minorHAnsi"/>
                      <w:b/>
                      <w:bCs/>
                      <w:color w:val="000000"/>
                      <w:sz w:val="18"/>
                      <w:szCs w:val="18"/>
                    </w:rPr>
                    <w:t>0</w:t>
                  </w:r>
                </w:p>
              </w:tc>
              <w:tc>
                <w:tcPr>
                  <w:tcW w:w="1794" w:type="dxa"/>
                  <w:vAlign w:val="center"/>
                </w:tcPr>
                <w:p w14:paraId="48342504" w14:textId="33E01F11" w:rsidR="007225ED" w:rsidRPr="007225ED" w:rsidRDefault="007225ED" w:rsidP="005C4A89">
                  <w:pPr>
                    <w:pStyle w:val="TableGraphic"/>
                    <w:spacing w:before="0"/>
                    <w:jc w:val="left"/>
                    <w:rPr>
                      <w:sz w:val="20"/>
                      <w:szCs w:val="20"/>
                      <w:lang w:eastAsia="en-US"/>
                    </w:rPr>
                  </w:pPr>
                  <w:r w:rsidRPr="007225ED">
                    <w:rPr>
                      <w:sz w:val="20"/>
                      <w:szCs w:val="20"/>
                      <w:lang w:eastAsia="en-US"/>
                    </w:rPr>
                    <w:t>Revised</w:t>
                  </w:r>
                </w:p>
              </w:tc>
              <w:tc>
                <w:tcPr>
                  <w:tcW w:w="1794" w:type="dxa"/>
                  <w:vAlign w:val="center"/>
                </w:tcPr>
                <w:p w14:paraId="137CD576" w14:textId="187597E8" w:rsidR="007225ED" w:rsidRPr="007225ED" w:rsidRDefault="007225ED" w:rsidP="005C4A89">
                  <w:pPr>
                    <w:pStyle w:val="TableGraphic"/>
                    <w:spacing w:before="0"/>
                    <w:jc w:val="left"/>
                    <w:rPr>
                      <w:sz w:val="20"/>
                      <w:szCs w:val="20"/>
                      <w:lang w:eastAsia="en-US"/>
                    </w:rPr>
                  </w:pPr>
                  <w:r w:rsidRPr="007225ED">
                    <w:rPr>
                      <w:sz w:val="20"/>
                      <w:szCs w:val="20"/>
                      <w:lang w:eastAsia="en-US"/>
                    </w:rPr>
                    <w:t>Final</w:t>
                  </w:r>
                </w:p>
              </w:tc>
              <w:tc>
                <w:tcPr>
                  <w:tcW w:w="1794" w:type="dxa"/>
                  <w:vAlign w:val="center"/>
                </w:tcPr>
                <w:p w14:paraId="3715BC86" w14:textId="68B3934C" w:rsidR="007225ED" w:rsidRPr="007225ED" w:rsidRDefault="007225ED" w:rsidP="005C4A89">
                  <w:pPr>
                    <w:pStyle w:val="TableGraphic"/>
                    <w:spacing w:before="0"/>
                    <w:jc w:val="left"/>
                    <w:rPr>
                      <w:sz w:val="20"/>
                      <w:szCs w:val="20"/>
                      <w:lang w:eastAsia="en-US"/>
                    </w:rPr>
                  </w:pPr>
                  <w:r w:rsidRPr="007225ED">
                    <w:rPr>
                      <w:sz w:val="20"/>
                      <w:szCs w:val="20"/>
                      <w:lang w:eastAsia="en-US"/>
                    </w:rPr>
                    <w:t>Preliminary</w:t>
                  </w:r>
                </w:p>
              </w:tc>
              <w:tc>
                <w:tcPr>
                  <w:tcW w:w="1794" w:type="dxa"/>
                  <w:vAlign w:val="center"/>
                </w:tcPr>
                <w:p w14:paraId="57EE4468" w14:textId="577F1020" w:rsidR="007225ED" w:rsidRPr="007225ED" w:rsidRDefault="007225ED" w:rsidP="005C4A89">
                  <w:pPr>
                    <w:pStyle w:val="TableGraphic"/>
                    <w:spacing w:before="0"/>
                    <w:jc w:val="left"/>
                    <w:rPr>
                      <w:sz w:val="20"/>
                      <w:szCs w:val="20"/>
                      <w:lang w:eastAsia="en-US"/>
                    </w:rPr>
                  </w:pPr>
                  <w:r w:rsidRPr="007225ED">
                    <w:rPr>
                      <w:sz w:val="20"/>
                      <w:szCs w:val="20"/>
                      <w:lang w:eastAsia="en-US"/>
                    </w:rPr>
                    <w:t>Revised</w:t>
                  </w:r>
                </w:p>
              </w:tc>
            </w:tr>
            <w:tr w:rsidR="00824A42" w14:paraId="581F2F2A" w14:textId="77777777" w:rsidTr="004522C0">
              <w:tc>
                <w:tcPr>
                  <w:tcW w:w="1793" w:type="dxa"/>
                  <w:vAlign w:val="center"/>
                </w:tcPr>
                <w:p w14:paraId="5F9E49DE" w14:textId="33E19637" w:rsidR="007225ED" w:rsidRPr="007225ED" w:rsidRDefault="007225ED" w:rsidP="005C4A89">
                  <w:pPr>
                    <w:spacing w:before="0" w:after="0"/>
                    <w:jc w:val="left"/>
                    <w:rPr>
                      <w:rFonts w:asciiTheme="minorHAnsi" w:eastAsia="Times New Roman" w:hAnsiTheme="minorHAnsi" w:cstheme="minorHAnsi"/>
                      <w:b/>
                      <w:bCs/>
                      <w:color w:val="000000"/>
                      <w:sz w:val="18"/>
                      <w:szCs w:val="18"/>
                    </w:rPr>
                  </w:pPr>
                  <w:r w:rsidRPr="007225ED">
                    <w:rPr>
                      <w:rFonts w:asciiTheme="minorHAnsi" w:eastAsia="Times New Roman" w:hAnsiTheme="minorHAnsi" w:cstheme="minorHAnsi"/>
                      <w:b/>
                      <w:bCs/>
                      <w:color w:val="000000"/>
                      <w:sz w:val="18"/>
                      <w:szCs w:val="18"/>
                    </w:rPr>
                    <w:t>Sep. 2020 – Mar. 2021</w:t>
                  </w:r>
                </w:p>
              </w:tc>
              <w:tc>
                <w:tcPr>
                  <w:tcW w:w="1794" w:type="dxa"/>
                  <w:vAlign w:val="center"/>
                </w:tcPr>
                <w:p w14:paraId="5684A2F6" w14:textId="16907DD4" w:rsidR="007225ED" w:rsidRPr="007225ED" w:rsidRDefault="007225ED" w:rsidP="005C4A89">
                  <w:pPr>
                    <w:pStyle w:val="TableGraphic"/>
                    <w:spacing w:before="0"/>
                    <w:jc w:val="left"/>
                    <w:rPr>
                      <w:sz w:val="20"/>
                      <w:szCs w:val="20"/>
                      <w:lang w:eastAsia="en-US"/>
                    </w:rPr>
                  </w:pPr>
                  <w:r w:rsidRPr="007225ED">
                    <w:rPr>
                      <w:sz w:val="20"/>
                      <w:szCs w:val="20"/>
                      <w:lang w:eastAsia="en-US"/>
                    </w:rPr>
                    <w:t>Preliminary</w:t>
                  </w:r>
                </w:p>
              </w:tc>
              <w:tc>
                <w:tcPr>
                  <w:tcW w:w="1794" w:type="dxa"/>
                  <w:vAlign w:val="center"/>
                </w:tcPr>
                <w:p w14:paraId="396CA4FD" w14:textId="7F9C574E" w:rsidR="007225ED" w:rsidRPr="007225ED" w:rsidRDefault="007225ED" w:rsidP="005C4A89">
                  <w:pPr>
                    <w:pStyle w:val="TableGraphic"/>
                    <w:spacing w:before="0"/>
                    <w:jc w:val="left"/>
                    <w:rPr>
                      <w:sz w:val="20"/>
                      <w:szCs w:val="20"/>
                      <w:lang w:eastAsia="en-US"/>
                    </w:rPr>
                  </w:pPr>
                  <w:r w:rsidRPr="007225ED">
                    <w:rPr>
                      <w:sz w:val="20"/>
                      <w:szCs w:val="20"/>
                      <w:lang w:eastAsia="en-US"/>
                    </w:rPr>
                    <w:t>Revised</w:t>
                  </w:r>
                </w:p>
              </w:tc>
              <w:tc>
                <w:tcPr>
                  <w:tcW w:w="1794" w:type="dxa"/>
                  <w:vAlign w:val="center"/>
                </w:tcPr>
                <w:p w14:paraId="18024DC9" w14:textId="32EA7C69" w:rsidR="007225ED" w:rsidRPr="007225ED" w:rsidRDefault="007225ED" w:rsidP="005C4A89">
                  <w:pPr>
                    <w:pStyle w:val="TableGraphic"/>
                    <w:spacing w:before="0"/>
                    <w:jc w:val="left"/>
                    <w:rPr>
                      <w:sz w:val="20"/>
                      <w:szCs w:val="20"/>
                      <w:lang w:eastAsia="en-US"/>
                    </w:rPr>
                  </w:pPr>
                  <w:r w:rsidRPr="007225ED">
                    <w:rPr>
                      <w:sz w:val="20"/>
                      <w:szCs w:val="20"/>
                      <w:lang w:eastAsia="en-US"/>
                    </w:rPr>
                    <w:t>Preliminary</w:t>
                  </w:r>
                </w:p>
              </w:tc>
              <w:tc>
                <w:tcPr>
                  <w:tcW w:w="1794" w:type="dxa"/>
                  <w:vAlign w:val="center"/>
                </w:tcPr>
                <w:p w14:paraId="2B6EE3A0" w14:textId="5F0130A0" w:rsidR="007225ED" w:rsidRPr="007225ED" w:rsidRDefault="007225ED" w:rsidP="005C4A89">
                  <w:pPr>
                    <w:pStyle w:val="TableGraphic"/>
                    <w:spacing w:before="0"/>
                    <w:jc w:val="left"/>
                    <w:rPr>
                      <w:sz w:val="20"/>
                      <w:szCs w:val="20"/>
                      <w:lang w:eastAsia="en-US"/>
                    </w:rPr>
                  </w:pPr>
                  <w:r w:rsidRPr="007225ED">
                    <w:rPr>
                      <w:sz w:val="20"/>
                      <w:szCs w:val="20"/>
                      <w:lang w:eastAsia="en-US"/>
                    </w:rPr>
                    <w:t>Preliminary – updated due to revised component data</w:t>
                  </w:r>
                </w:p>
              </w:tc>
            </w:tr>
            <w:tr w:rsidR="00824A42" w14:paraId="1B0A9111" w14:textId="77777777" w:rsidTr="004522C0">
              <w:tc>
                <w:tcPr>
                  <w:tcW w:w="1793" w:type="dxa"/>
                  <w:vAlign w:val="center"/>
                </w:tcPr>
                <w:p w14:paraId="3F614762" w14:textId="1E72CAB6" w:rsidR="007225ED" w:rsidRPr="007225ED" w:rsidRDefault="007225ED" w:rsidP="005C4A89">
                  <w:pPr>
                    <w:spacing w:before="0" w:after="0"/>
                    <w:jc w:val="left"/>
                    <w:rPr>
                      <w:rFonts w:asciiTheme="minorHAnsi" w:eastAsia="Times New Roman" w:hAnsiTheme="minorHAnsi" w:cstheme="minorHAnsi"/>
                      <w:b/>
                      <w:bCs/>
                      <w:color w:val="000000"/>
                      <w:sz w:val="18"/>
                      <w:szCs w:val="18"/>
                    </w:rPr>
                  </w:pPr>
                  <w:r w:rsidRPr="007225ED">
                    <w:rPr>
                      <w:rFonts w:asciiTheme="minorHAnsi" w:eastAsia="Times New Roman" w:hAnsiTheme="minorHAnsi" w:cstheme="minorHAnsi"/>
                      <w:b/>
                      <w:bCs/>
                      <w:color w:val="000000"/>
                      <w:sz w:val="18"/>
                      <w:szCs w:val="18"/>
                    </w:rPr>
                    <w:t>Jun. 2021</w:t>
                  </w:r>
                </w:p>
              </w:tc>
              <w:tc>
                <w:tcPr>
                  <w:tcW w:w="1794" w:type="dxa"/>
                  <w:vAlign w:val="center"/>
                </w:tcPr>
                <w:p w14:paraId="11FC4E60" w14:textId="6F1F69C0" w:rsidR="007225ED" w:rsidRPr="007225ED" w:rsidRDefault="007225ED" w:rsidP="005C4A89">
                  <w:pPr>
                    <w:pStyle w:val="TableGraphic"/>
                    <w:spacing w:before="0"/>
                    <w:jc w:val="left"/>
                    <w:rPr>
                      <w:sz w:val="20"/>
                      <w:szCs w:val="20"/>
                      <w:lang w:eastAsia="en-US"/>
                    </w:rPr>
                  </w:pPr>
                  <w:r w:rsidRPr="007225ED">
                    <w:rPr>
                      <w:sz w:val="20"/>
                      <w:szCs w:val="20"/>
                      <w:lang w:eastAsia="en-US"/>
                    </w:rPr>
                    <w:t>Preliminary</w:t>
                  </w:r>
                </w:p>
              </w:tc>
              <w:tc>
                <w:tcPr>
                  <w:tcW w:w="1794" w:type="dxa"/>
                  <w:vAlign w:val="center"/>
                </w:tcPr>
                <w:p w14:paraId="17576F33" w14:textId="2328DBD2" w:rsidR="007225ED" w:rsidRPr="007225ED" w:rsidRDefault="007225ED" w:rsidP="005C4A89">
                  <w:pPr>
                    <w:pStyle w:val="TableGraphic"/>
                    <w:spacing w:before="0"/>
                    <w:jc w:val="left"/>
                    <w:rPr>
                      <w:sz w:val="20"/>
                      <w:szCs w:val="20"/>
                      <w:lang w:eastAsia="en-US"/>
                    </w:rPr>
                  </w:pPr>
                  <w:r w:rsidRPr="007225ED">
                    <w:rPr>
                      <w:sz w:val="20"/>
                      <w:szCs w:val="20"/>
                      <w:lang w:eastAsia="en-US"/>
                    </w:rPr>
                    <w:t>Preliminary</w:t>
                  </w:r>
                </w:p>
              </w:tc>
              <w:tc>
                <w:tcPr>
                  <w:tcW w:w="1794" w:type="dxa"/>
                  <w:vAlign w:val="center"/>
                </w:tcPr>
                <w:p w14:paraId="1051C575" w14:textId="7185BE82" w:rsidR="007225ED" w:rsidRPr="007225ED" w:rsidRDefault="007225ED" w:rsidP="005C4A89">
                  <w:pPr>
                    <w:pStyle w:val="TableGraphic"/>
                    <w:spacing w:before="0"/>
                    <w:jc w:val="left"/>
                    <w:rPr>
                      <w:sz w:val="20"/>
                      <w:szCs w:val="20"/>
                      <w:lang w:eastAsia="en-US"/>
                    </w:rPr>
                  </w:pPr>
                  <w:r w:rsidRPr="007225ED">
                    <w:rPr>
                      <w:sz w:val="20"/>
                      <w:szCs w:val="20"/>
                      <w:lang w:eastAsia="en-US"/>
                    </w:rPr>
                    <w:t>Preliminary</w:t>
                  </w:r>
                </w:p>
              </w:tc>
              <w:tc>
                <w:tcPr>
                  <w:tcW w:w="1794" w:type="dxa"/>
                  <w:vAlign w:val="center"/>
                </w:tcPr>
                <w:p w14:paraId="2C10C962" w14:textId="0290B52B" w:rsidR="007225ED" w:rsidRPr="007225ED" w:rsidRDefault="007225ED" w:rsidP="005C4A89">
                  <w:pPr>
                    <w:pStyle w:val="TableGraphic"/>
                    <w:spacing w:before="0"/>
                    <w:jc w:val="left"/>
                    <w:rPr>
                      <w:sz w:val="20"/>
                      <w:szCs w:val="20"/>
                      <w:lang w:eastAsia="en-US"/>
                    </w:rPr>
                  </w:pPr>
                  <w:r w:rsidRPr="007225ED">
                    <w:rPr>
                      <w:sz w:val="20"/>
                      <w:szCs w:val="20"/>
                      <w:lang w:eastAsia="en-US"/>
                    </w:rPr>
                    <w:t>Preliminary</w:t>
                  </w:r>
                </w:p>
              </w:tc>
            </w:tr>
          </w:tbl>
          <w:p w14:paraId="57A4071E" w14:textId="4E1FEB63" w:rsidR="007225ED" w:rsidRPr="007225ED" w:rsidRDefault="007225ED" w:rsidP="007225ED">
            <w:pPr>
              <w:pStyle w:val="TableGraphic"/>
              <w:rPr>
                <w:lang w:eastAsia="en-US"/>
              </w:rPr>
            </w:pPr>
          </w:p>
        </w:tc>
      </w:tr>
    </w:tbl>
    <w:p w14:paraId="475E7B83" w14:textId="3582D1BA" w:rsidR="00763EB8" w:rsidRDefault="00763EB8" w:rsidP="00A43EFE">
      <w:pPr>
        <w:rPr>
          <w:color w:val="000000"/>
        </w:rPr>
      </w:pPr>
    </w:p>
    <w:p w14:paraId="2748F8F0" w14:textId="04952F86" w:rsidR="00725216" w:rsidRDefault="00725216" w:rsidP="009C6FA2">
      <w:pPr>
        <w:spacing w:before="0" w:after="200" w:line="276" w:lineRule="auto"/>
        <w:rPr>
          <w:color w:val="000000"/>
        </w:rPr>
      </w:pPr>
    </w:p>
    <w:sectPr w:rsidR="00725216" w:rsidSect="00763EB8">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535D8" w14:textId="77777777" w:rsidR="0069520E" w:rsidRDefault="0069520E" w:rsidP="008F6A37">
      <w:r>
        <w:separator/>
      </w:r>
    </w:p>
  </w:endnote>
  <w:endnote w:type="continuationSeparator" w:id="0">
    <w:p w14:paraId="16C69E69" w14:textId="77777777" w:rsidR="0069520E" w:rsidRDefault="0069520E" w:rsidP="008F6A37">
      <w:r>
        <w:continuationSeparator/>
      </w:r>
    </w:p>
  </w:endnote>
  <w:endnote w:type="continuationNotice" w:id="1">
    <w:p w14:paraId="12AAD086" w14:textId="77777777" w:rsidR="0069520E" w:rsidRDefault="00695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91A5" w14:textId="75752A09" w:rsidR="0069520E" w:rsidRDefault="0069520E">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3</w:t>
    </w:r>
    <w:r w:rsidRPr="004B535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27CF" w14:textId="4DDB57AF" w:rsidR="0069520E" w:rsidRDefault="0069520E"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06305" w14:textId="7B5B23E0" w:rsidR="0069520E" w:rsidRDefault="0069520E"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9D8BF" w14:textId="77777777" w:rsidR="0069520E" w:rsidRDefault="0069520E" w:rsidP="008F6A37">
      <w:r>
        <w:separator/>
      </w:r>
    </w:p>
  </w:footnote>
  <w:footnote w:type="continuationSeparator" w:id="0">
    <w:p w14:paraId="389798A6" w14:textId="77777777" w:rsidR="0069520E" w:rsidRDefault="0069520E" w:rsidP="008F6A37">
      <w:r>
        <w:continuationSeparator/>
      </w:r>
    </w:p>
  </w:footnote>
  <w:footnote w:type="continuationNotice" w:id="1">
    <w:p w14:paraId="54EEB81C" w14:textId="77777777" w:rsidR="0069520E" w:rsidRDefault="006952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8D1D4" w14:textId="0A9FACF2" w:rsidR="0069520E" w:rsidRPr="00763EB8" w:rsidRDefault="0069520E" w:rsidP="00763EB8">
    <w:pPr>
      <w:pStyle w:val="Header"/>
      <w:jc w:val="left"/>
      <w:rPr>
        <w:color w:val="002C47" w:themeColor="accent1"/>
      </w:rPr>
    </w:pPr>
    <w:r w:rsidRPr="00763EB8">
      <w:rPr>
        <w:color w:val="002C47" w:themeColor="accent1"/>
      </w:rPr>
      <w:t>Centre for Population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8A917" w14:textId="20EB0ACC" w:rsidR="0069520E" w:rsidRPr="00F3063C" w:rsidRDefault="00F3063C" w:rsidP="00F3063C">
    <w:pPr>
      <w:pStyle w:val="Header"/>
    </w:pPr>
    <w:r w:rsidRPr="00F3063C">
      <w:rPr>
        <w:bCs/>
        <w:color w:val="002C47" w:themeColor="accent1"/>
        <w:sz w:val="18"/>
      </w:rPr>
      <w:t xml:space="preserve">Analysis of National, state and territory population, </w:t>
    </w:r>
    <w:r>
      <w:rPr>
        <w:bCs/>
        <w:color w:val="002C47" w:themeColor="accent1"/>
        <w:sz w:val="18"/>
      </w:rPr>
      <w:t>June</w:t>
    </w:r>
    <w:r w:rsidRPr="00F3063C">
      <w:rPr>
        <w:bCs/>
        <w:color w:val="002C47" w:themeColor="accent1"/>
        <w:sz w:val="18"/>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7CB3" w14:textId="5162B5A1" w:rsidR="0069520E" w:rsidRPr="00725216" w:rsidRDefault="0069520E" w:rsidP="00725216">
    <w:pPr>
      <w:pStyle w:val="Header"/>
    </w:pPr>
    <w:r>
      <w:rPr>
        <w:noProof/>
        <w:lang w:eastAsia="en-AU"/>
      </w:rPr>
      <w:drawing>
        <wp:anchor distT="0" distB="0" distL="114300" distR="114300" simplePos="0" relativeHeight="251658240" behindDoc="0" locked="0" layoutInCell="1" allowOverlap="1" wp14:anchorId="52DEB93A" wp14:editId="52D99F80">
          <wp:simplePos x="0" y="0"/>
          <wp:positionH relativeFrom="page">
            <wp:align>left</wp:align>
          </wp:positionH>
          <wp:positionV relativeFrom="paragraph">
            <wp:posOffset>-447675</wp:posOffset>
          </wp:positionV>
          <wp:extent cx="7559994" cy="1441305"/>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994" cy="1441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F430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8CD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E2B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2AA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5AB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82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24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D2A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707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20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507B"/>
    <w:multiLevelType w:val="hybridMultilevel"/>
    <w:tmpl w:val="CEF897D6"/>
    <w:lvl w:ilvl="0" w:tplc="F8149FB0">
      <w:start w:val="310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ED3FC7"/>
    <w:multiLevelType w:val="multilevel"/>
    <w:tmpl w:val="88BE7110"/>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4A0461"/>
    <w:multiLevelType w:val="hybridMultilevel"/>
    <w:tmpl w:val="91260442"/>
    <w:lvl w:ilvl="0" w:tplc="B49A184C">
      <w:start w:val="1"/>
      <w:numFmt w:val="decimal"/>
      <w:lvlText w:val="Chart %1."/>
      <w:lvlJc w:val="left"/>
      <w:pPr>
        <w:ind w:left="5038"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15"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326A3C"/>
    <w:multiLevelType w:val="multilevel"/>
    <w:tmpl w:val="5AEA1E4C"/>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17"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60C37C0"/>
    <w:multiLevelType w:val="hybridMultilevel"/>
    <w:tmpl w:val="7E4EFDA8"/>
    <w:lvl w:ilvl="0" w:tplc="BD6EB0BC">
      <w:start w:val="1"/>
      <w:numFmt w:val="decimal"/>
      <w:lvlText w:val="Chart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7F6AB3"/>
    <w:multiLevelType w:val="hybridMultilevel"/>
    <w:tmpl w:val="E8D02006"/>
    <w:lvl w:ilvl="0" w:tplc="56DE09CA">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68013C"/>
    <w:multiLevelType w:val="hybridMultilevel"/>
    <w:tmpl w:val="3E24635E"/>
    <w:lvl w:ilvl="0" w:tplc="7C960E5A">
      <w:start w:val="1"/>
      <w:numFmt w:val="decimal"/>
      <w:pStyle w:val="Heading8"/>
      <w:lvlText w:val="Table %1."/>
      <w:lvlJc w:val="left"/>
      <w:pPr>
        <w:tabs>
          <w:tab w:val="num" w:pos="992"/>
        </w:tabs>
        <w:ind w:left="992"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B20637"/>
    <w:multiLevelType w:val="hybridMultilevel"/>
    <w:tmpl w:val="E57A028C"/>
    <w:lvl w:ilvl="0" w:tplc="345E5FF0">
      <w:start w:val="1"/>
      <w:numFmt w:val="decimal"/>
      <w:lvlText w:val="Table %1."/>
      <w:lvlJc w:val="left"/>
      <w:pPr>
        <w:ind w:left="720"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0F57A5"/>
    <w:multiLevelType w:val="hybridMultilevel"/>
    <w:tmpl w:val="C5945306"/>
    <w:lvl w:ilvl="0" w:tplc="8A16F684">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7508C2"/>
    <w:multiLevelType w:val="hybridMultilevel"/>
    <w:tmpl w:val="76307676"/>
    <w:lvl w:ilvl="0" w:tplc="E162F2F0">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5A02C0"/>
    <w:multiLevelType w:val="hybridMultilevel"/>
    <w:tmpl w:val="CB224C8E"/>
    <w:lvl w:ilvl="0" w:tplc="70DACDBC">
      <w:start w:val="1"/>
      <w:numFmt w:val="decimal"/>
      <w:pStyle w:val="ChartMainHeading"/>
      <w:lvlText w:val="Chart %1."/>
      <w:lvlJc w:val="left"/>
      <w:pPr>
        <w:tabs>
          <w:tab w:val="num" w:pos="992"/>
        </w:tabs>
        <w:ind w:left="992" w:hanging="99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C040BD"/>
    <w:multiLevelType w:val="hybridMultilevel"/>
    <w:tmpl w:val="0274866E"/>
    <w:lvl w:ilvl="0" w:tplc="79726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7"/>
  </w:num>
  <w:num w:numId="17">
    <w:abstractNumId w:val="25"/>
  </w:num>
  <w:num w:numId="18">
    <w:abstractNumId w:val="18"/>
  </w:num>
  <w:num w:numId="19">
    <w:abstractNumId w:val="13"/>
  </w:num>
  <w:num w:numId="20">
    <w:abstractNumId w:val="21"/>
  </w:num>
  <w:num w:numId="21">
    <w:abstractNumId w:val="14"/>
  </w:num>
  <w:num w:numId="22">
    <w:abstractNumId w:val="19"/>
  </w:num>
  <w:num w:numId="23">
    <w:abstractNumId w:val="12"/>
  </w:num>
  <w:num w:numId="24">
    <w:abstractNumId w:val="15"/>
  </w:num>
  <w:num w:numId="25">
    <w:abstractNumId w:val="23"/>
  </w:num>
  <w:num w:numId="26">
    <w:abstractNumId w:val="20"/>
  </w:num>
  <w:num w:numId="27">
    <w:abstractNumId w:val="24"/>
  </w:num>
  <w:num w:numId="28">
    <w:abstractNumId w:val="27"/>
  </w:num>
  <w:num w:numId="29">
    <w:abstractNumId w:val="26"/>
  </w:num>
  <w:num w:numId="30">
    <w:abstractNumId w:val="22"/>
  </w:num>
  <w:num w:numId="31">
    <w:abstractNumId w:val="27"/>
  </w:num>
  <w:num w:numId="32">
    <w:abstractNumId w:val="16"/>
  </w:num>
  <w:num w:numId="33">
    <w:abstractNumId w:val="16"/>
  </w:num>
  <w:num w:numId="34">
    <w:abstractNumId w:val="16"/>
  </w:num>
  <w:num w:numId="35">
    <w:abstractNumId w:val="27"/>
  </w:num>
  <w:num w:numId="36">
    <w:abstractNumId w:val="27"/>
  </w:num>
  <w:num w:numId="37">
    <w:abstractNumId w:val="27"/>
  </w:num>
  <w:num w:numId="38">
    <w:abstractNumId w:val="16"/>
  </w:num>
  <w:num w:numId="39">
    <w:abstractNumId w:val="27"/>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F"/>
    <w:rsid w:val="000025C3"/>
    <w:rsid w:val="00005552"/>
    <w:rsid w:val="00005C33"/>
    <w:rsid w:val="00005FDD"/>
    <w:rsid w:val="000075D6"/>
    <w:rsid w:val="00011E58"/>
    <w:rsid w:val="00012FAE"/>
    <w:rsid w:val="0001357F"/>
    <w:rsid w:val="000135AD"/>
    <w:rsid w:val="000138FE"/>
    <w:rsid w:val="00014B3E"/>
    <w:rsid w:val="00017247"/>
    <w:rsid w:val="000212AE"/>
    <w:rsid w:val="000219AA"/>
    <w:rsid w:val="00022B42"/>
    <w:rsid w:val="00022C7A"/>
    <w:rsid w:val="00023A43"/>
    <w:rsid w:val="00023CBA"/>
    <w:rsid w:val="00024A4C"/>
    <w:rsid w:val="00024D0B"/>
    <w:rsid w:val="00027731"/>
    <w:rsid w:val="00027CE2"/>
    <w:rsid w:val="000321E4"/>
    <w:rsid w:val="000330A2"/>
    <w:rsid w:val="00036886"/>
    <w:rsid w:val="0004038D"/>
    <w:rsid w:val="00040405"/>
    <w:rsid w:val="000405D3"/>
    <w:rsid w:val="000409F3"/>
    <w:rsid w:val="0004496F"/>
    <w:rsid w:val="00044A6C"/>
    <w:rsid w:val="00044BD0"/>
    <w:rsid w:val="00046DAC"/>
    <w:rsid w:val="0004718D"/>
    <w:rsid w:val="00047BA9"/>
    <w:rsid w:val="000507D3"/>
    <w:rsid w:val="0005310A"/>
    <w:rsid w:val="00053DE3"/>
    <w:rsid w:val="00053FF1"/>
    <w:rsid w:val="0005424F"/>
    <w:rsid w:val="0005568F"/>
    <w:rsid w:val="00056E4C"/>
    <w:rsid w:val="00057D34"/>
    <w:rsid w:val="0006007C"/>
    <w:rsid w:val="00064D04"/>
    <w:rsid w:val="00065FAE"/>
    <w:rsid w:val="000702C0"/>
    <w:rsid w:val="00073631"/>
    <w:rsid w:val="000741B6"/>
    <w:rsid w:val="0007513C"/>
    <w:rsid w:val="0008139F"/>
    <w:rsid w:val="00081BE4"/>
    <w:rsid w:val="000833DC"/>
    <w:rsid w:val="00085F2A"/>
    <w:rsid w:val="00093E21"/>
    <w:rsid w:val="00094A06"/>
    <w:rsid w:val="00096136"/>
    <w:rsid w:val="000967BC"/>
    <w:rsid w:val="00096E22"/>
    <w:rsid w:val="000A130F"/>
    <w:rsid w:val="000A2E8D"/>
    <w:rsid w:val="000A599D"/>
    <w:rsid w:val="000A709B"/>
    <w:rsid w:val="000A77D4"/>
    <w:rsid w:val="000B065B"/>
    <w:rsid w:val="000B2BC3"/>
    <w:rsid w:val="000B43F7"/>
    <w:rsid w:val="000B4C4B"/>
    <w:rsid w:val="000B6715"/>
    <w:rsid w:val="000B7540"/>
    <w:rsid w:val="000C1DC4"/>
    <w:rsid w:val="000C2BBD"/>
    <w:rsid w:val="000C57F7"/>
    <w:rsid w:val="000C5C34"/>
    <w:rsid w:val="000D0233"/>
    <w:rsid w:val="000D0E89"/>
    <w:rsid w:val="000D1ADE"/>
    <w:rsid w:val="000D2084"/>
    <w:rsid w:val="000D4B22"/>
    <w:rsid w:val="000D63F6"/>
    <w:rsid w:val="000D7E77"/>
    <w:rsid w:val="000E1BCE"/>
    <w:rsid w:val="000E283D"/>
    <w:rsid w:val="000E2C7E"/>
    <w:rsid w:val="000E3CD8"/>
    <w:rsid w:val="000E3E0C"/>
    <w:rsid w:val="000E68E6"/>
    <w:rsid w:val="000F0031"/>
    <w:rsid w:val="000F04C1"/>
    <w:rsid w:val="000F1A5D"/>
    <w:rsid w:val="000F1F16"/>
    <w:rsid w:val="000F60AE"/>
    <w:rsid w:val="000F60CF"/>
    <w:rsid w:val="000F6912"/>
    <w:rsid w:val="001039A8"/>
    <w:rsid w:val="001140DF"/>
    <w:rsid w:val="00116FB0"/>
    <w:rsid w:val="00120861"/>
    <w:rsid w:val="001211DA"/>
    <w:rsid w:val="00122466"/>
    <w:rsid w:val="00122485"/>
    <w:rsid w:val="001225FF"/>
    <w:rsid w:val="00126350"/>
    <w:rsid w:val="00133E61"/>
    <w:rsid w:val="00135022"/>
    <w:rsid w:val="001418C5"/>
    <w:rsid w:val="00142FC9"/>
    <w:rsid w:val="0014336B"/>
    <w:rsid w:val="001452FF"/>
    <w:rsid w:val="0014580B"/>
    <w:rsid w:val="00150047"/>
    <w:rsid w:val="00150552"/>
    <w:rsid w:val="00153143"/>
    <w:rsid w:val="00153E9E"/>
    <w:rsid w:val="001540C3"/>
    <w:rsid w:val="00154658"/>
    <w:rsid w:val="001548EE"/>
    <w:rsid w:val="00157EB6"/>
    <w:rsid w:val="0016052C"/>
    <w:rsid w:val="00160A10"/>
    <w:rsid w:val="00164BB5"/>
    <w:rsid w:val="00166D3E"/>
    <w:rsid w:val="00167034"/>
    <w:rsid w:val="00167155"/>
    <w:rsid w:val="0016769B"/>
    <w:rsid w:val="00170425"/>
    <w:rsid w:val="00171B99"/>
    <w:rsid w:val="0017330F"/>
    <w:rsid w:val="001737E2"/>
    <w:rsid w:val="00174442"/>
    <w:rsid w:val="0017622D"/>
    <w:rsid w:val="0017717F"/>
    <w:rsid w:val="00180671"/>
    <w:rsid w:val="001831C2"/>
    <w:rsid w:val="00184350"/>
    <w:rsid w:val="001844D9"/>
    <w:rsid w:val="00186406"/>
    <w:rsid w:val="001869A8"/>
    <w:rsid w:val="00187C81"/>
    <w:rsid w:val="00187E5F"/>
    <w:rsid w:val="00187EAE"/>
    <w:rsid w:val="00190A0A"/>
    <w:rsid w:val="00192757"/>
    <w:rsid w:val="0019481A"/>
    <w:rsid w:val="00194E8F"/>
    <w:rsid w:val="00197182"/>
    <w:rsid w:val="001A1254"/>
    <w:rsid w:val="001A24B0"/>
    <w:rsid w:val="001A534F"/>
    <w:rsid w:val="001B0934"/>
    <w:rsid w:val="001B0EDA"/>
    <w:rsid w:val="001B0EE4"/>
    <w:rsid w:val="001B275D"/>
    <w:rsid w:val="001B2923"/>
    <w:rsid w:val="001B5029"/>
    <w:rsid w:val="001B690A"/>
    <w:rsid w:val="001C0224"/>
    <w:rsid w:val="001C0964"/>
    <w:rsid w:val="001C0A7C"/>
    <w:rsid w:val="001C0F70"/>
    <w:rsid w:val="001C2DAA"/>
    <w:rsid w:val="001C38B5"/>
    <w:rsid w:val="001C6454"/>
    <w:rsid w:val="001C6A41"/>
    <w:rsid w:val="001C6E25"/>
    <w:rsid w:val="001D0043"/>
    <w:rsid w:val="001D259D"/>
    <w:rsid w:val="001D5713"/>
    <w:rsid w:val="001D5A3A"/>
    <w:rsid w:val="001D76C7"/>
    <w:rsid w:val="001E17A9"/>
    <w:rsid w:val="001E20B9"/>
    <w:rsid w:val="001E2E52"/>
    <w:rsid w:val="001E641B"/>
    <w:rsid w:val="001E7B9B"/>
    <w:rsid w:val="001F5C62"/>
    <w:rsid w:val="001F62EA"/>
    <w:rsid w:val="001F67C7"/>
    <w:rsid w:val="001F6AFA"/>
    <w:rsid w:val="001F7C99"/>
    <w:rsid w:val="00201F7A"/>
    <w:rsid w:val="002046A2"/>
    <w:rsid w:val="002065FF"/>
    <w:rsid w:val="0021002C"/>
    <w:rsid w:val="0021212C"/>
    <w:rsid w:val="0021232B"/>
    <w:rsid w:val="002123E7"/>
    <w:rsid w:val="00215C3B"/>
    <w:rsid w:val="00216791"/>
    <w:rsid w:val="00220979"/>
    <w:rsid w:val="00221231"/>
    <w:rsid w:val="002237C5"/>
    <w:rsid w:val="00223EE9"/>
    <w:rsid w:val="002240CA"/>
    <w:rsid w:val="00230525"/>
    <w:rsid w:val="00230721"/>
    <w:rsid w:val="00230EB4"/>
    <w:rsid w:val="00232104"/>
    <w:rsid w:val="0023398A"/>
    <w:rsid w:val="00233AC7"/>
    <w:rsid w:val="00233BBC"/>
    <w:rsid w:val="00235115"/>
    <w:rsid w:val="0023583C"/>
    <w:rsid w:val="00235CD5"/>
    <w:rsid w:val="00236C31"/>
    <w:rsid w:val="0023709A"/>
    <w:rsid w:val="00237879"/>
    <w:rsid w:val="0023795B"/>
    <w:rsid w:val="002406D2"/>
    <w:rsid w:val="0024076E"/>
    <w:rsid w:val="00242910"/>
    <w:rsid w:val="00244526"/>
    <w:rsid w:val="00245B70"/>
    <w:rsid w:val="00245C98"/>
    <w:rsid w:val="0024662A"/>
    <w:rsid w:val="0024753F"/>
    <w:rsid w:val="00247742"/>
    <w:rsid w:val="0025079E"/>
    <w:rsid w:val="00250DCD"/>
    <w:rsid w:val="002526C9"/>
    <w:rsid w:val="0025672B"/>
    <w:rsid w:val="00256CAD"/>
    <w:rsid w:val="00257970"/>
    <w:rsid w:val="00257D71"/>
    <w:rsid w:val="002622FF"/>
    <w:rsid w:val="002668C3"/>
    <w:rsid w:val="00275740"/>
    <w:rsid w:val="00275A41"/>
    <w:rsid w:val="00275C6D"/>
    <w:rsid w:val="00277157"/>
    <w:rsid w:val="00277DCD"/>
    <w:rsid w:val="002830CF"/>
    <w:rsid w:val="00283A37"/>
    <w:rsid w:val="00284FDF"/>
    <w:rsid w:val="0028692E"/>
    <w:rsid w:val="00287D12"/>
    <w:rsid w:val="002919A7"/>
    <w:rsid w:val="00291D2F"/>
    <w:rsid w:val="002929EF"/>
    <w:rsid w:val="00292EFE"/>
    <w:rsid w:val="00293C4B"/>
    <w:rsid w:val="002950F4"/>
    <w:rsid w:val="00295FCF"/>
    <w:rsid w:val="0029648A"/>
    <w:rsid w:val="002A2AB7"/>
    <w:rsid w:val="002A4563"/>
    <w:rsid w:val="002A7BB1"/>
    <w:rsid w:val="002B09EB"/>
    <w:rsid w:val="002B0CAC"/>
    <w:rsid w:val="002B1DF1"/>
    <w:rsid w:val="002B40ED"/>
    <w:rsid w:val="002B5824"/>
    <w:rsid w:val="002B598F"/>
    <w:rsid w:val="002B684F"/>
    <w:rsid w:val="002B6A32"/>
    <w:rsid w:val="002C03D9"/>
    <w:rsid w:val="002C0D7D"/>
    <w:rsid w:val="002C2D5A"/>
    <w:rsid w:val="002D01D9"/>
    <w:rsid w:val="002D0D59"/>
    <w:rsid w:val="002D1DDD"/>
    <w:rsid w:val="002D4BDD"/>
    <w:rsid w:val="002D4EB4"/>
    <w:rsid w:val="002D5196"/>
    <w:rsid w:val="002D5D79"/>
    <w:rsid w:val="002D63FB"/>
    <w:rsid w:val="002E1020"/>
    <w:rsid w:val="002E1867"/>
    <w:rsid w:val="002E290A"/>
    <w:rsid w:val="002E2FAA"/>
    <w:rsid w:val="002E540B"/>
    <w:rsid w:val="002E57F5"/>
    <w:rsid w:val="002E5932"/>
    <w:rsid w:val="002E6DD2"/>
    <w:rsid w:val="002F0ECB"/>
    <w:rsid w:val="002F1DE2"/>
    <w:rsid w:val="002F323C"/>
    <w:rsid w:val="002F77A5"/>
    <w:rsid w:val="00301C62"/>
    <w:rsid w:val="0030289A"/>
    <w:rsid w:val="00302A94"/>
    <w:rsid w:val="0030553F"/>
    <w:rsid w:val="0031558E"/>
    <w:rsid w:val="00317D6E"/>
    <w:rsid w:val="003207E9"/>
    <w:rsid w:val="00323571"/>
    <w:rsid w:val="00325741"/>
    <w:rsid w:val="003266FB"/>
    <w:rsid w:val="00330482"/>
    <w:rsid w:val="003348F5"/>
    <w:rsid w:val="003369A9"/>
    <w:rsid w:val="00336E85"/>
    <w:rsid w:val="003413C9"/>
    <w:rsid w:val="00341522"/>
    <w:rsid w:val="00341E00"/>
    <w:rsid w:val="0034464F"/>
    <w:rsid w:val="00344B69"/>
    <w:rsid w:val="003478BF"/>
    <w:rsid w:val="00347F56"/>
    <w:rsid w:val="00351A5B"/>
    <w:rsid w:val="00354BA3"/>
    <w:rsid w:val="003558C3"/>
    <w:rsid w:val="0035639A"/>
    <w:rsid w:val="00357348"/>
    <w:rsid w:val="003600B6"/>
    <w:rsid w:val="00362537"/>
    <w:rsid w:val="00364843"/>
    <w:rsid w:val="00365126"/>
    <w:rsid w:val="00365E78"/>
    <w:rsid w:val="00366737"/>
    <w:rsid w:val="003675AD"/>
    <w:rsid w:val="00370607"/>
    <w:rsid w:val="0037217C"/>
    <w:rsid w:val="0037393C"/>
    <w:rsid w:val="003770CC"/>
    <w:rsid w:val="0038054F"/>
    <w:rsid w:val="00380633"/>
    <w:rsid w:val="00381B77"/>
    <w:rsid w:val="00381C48"/>
    <w:rsid w:val="003826CF"/>
    <w:rsid w:val="0039159A"/>
    <w:rsid w:val="00393ABA"/>
    <w:rsid w:val="00394E0D"/>
    <w:rsid w:val="003A06BD"/>
    <w:rsid w:val="003A1707"/>
    <w:rsid w:val="003A3DD6"/>
    <w:rsid w:val="003A5CFB"/>
    <w:rsid w:val="003A748B"/>
    <w:rsid w:val="003A7FFE"/>
    <w:rsid w:val="003B06DE"/>
    <w:rsid w:val="003B2EFD"/>
    <w:rsid w:val="003B47F5"/>
    <w:rsid w:val="003B702A"/>
    <w:rsid w:val="003C01A4"/>
    <w:rsid w:val="003C3E27"/>
    <w:rsid w:val="003C63DE"/>
    <w:rsid w:val="003C759F"/>
    <w:rsid w:val="003D148A"/>
    <w:rsid w:val="003D3445"/>
    <w:rsid w:val="003D3941"/>
    <w:rsid w:val="003D4110"/>
    <w:rsid w:val="003D4771"/>
    <w:rsid w:val="003D5324"/>
    <w:rsid w:val="003D7915"/>
    <w:rsid w:val="003E1B45"/>
    <w:rsid w:val="003E5E43"/>
    <w:rsid w:val="003F00FC"/>
    <w:rsid w:val="003F1886"/>
    <w:rsid w:val="003F2541"/>
    <w:rsid w:val="003F3B05"/>
    <w:rsid w:val="003F3F0B"/>
    <w:rsid w:val="003F4900"/>
    <w:rsid w:val="003F5859"/>
    <w:rsid w:val="003F5DC8"/>
    <w:rsid w:val="003F60A7"/>
    <w:rsid w:val="00400285"/>
    <w:rsid w:val="00400C70"/>
    <w:rsid w:val="00401FAD"/>
    <w:rsid w:val="00402BBA"/>
    <w:rsid w:val="004033FC"/>
    <w:rsid w:val="00403CA5"/>
    <w:rsid w:val="0040438A"/>
    <w:rsid w:val="00404954"/>
    <w:rsid w:val="00405536"/>
    <w:rsid w:val="004056DC"/>
    <w:rsid w:val="00405AD5"/>
    <w:rsid w:val="00410B21"/>
    <w:rsid w:val="004175A1"/>
    <w:rsid w:val="00420363"/>
    <w:rsid w:val="00423191"/>
    <w:rsid w:val="0042650B"/>
    <w:rsid w:val="0042763C"/>
    <w:rsid w:val="00431FE2"/>
    <w:rsid w:val="00432A34"/>
    <w:rsid w:val="004331C1"/>
    <w:rsid w:val="0043774A"/>
    <w:rsid w:val="0044091A"/>
    <w:rsid w:val="00441AEB"/>
    <w:rsid w:val="004431B7"/>
    <w:rsid w:val="00445CD9"/>
    <w:rsid w:val="004464EF"/>
    <w:rsid w:val="00447B0D"/>
    <w:rsid w:val="00447EDC"/>
    <w:rsid w:val="00450BCE"/>
    <w:rsid w:val="00451C6F"/>
    <w:rsid w:val="00451FF6"/>
    <w:rsid w:val="004522C0"/>
    <w:rsid w:val="00453087"/>
    <w:rsid w:val="004547F8"/>
    <w:rsid w:val="0045794D"/>
    <w:rsid w:val="0046058D"/>
    <w:rsid w:val="0046136D"/>
    <w:rsid w:val="00461D8E"/>
    <w:rsid w:val="00463005"/>
    <w:rsid w:val="0046456E"/>
    <w:rsid w:val="00465C90"/>
    <w:rsid w:val="004671F2"/>
    <w:rsid w:val="004711B6"/>
    <w:rsid w:val="0047306C"/>
    <w:rsid w:val="0047532A"/>
    <w:rsid w:val="0047768D"/>
    <w:rsid w:val="004820B2"/>
    <w:rsid w:val="00482FE6"/>
    <w:rsid w:val="0048321B"/>
    <w:rsid w:val="00484CB6"/>
    <w:rsid w:val="0048560C"/>
    <w:rsid w:val="00487CB6"/>
    <w:rsid w:val="00490182"/>
    <w:rsid w:val="00491076"/>
    <w:rsid w:val="00491E2A"/>
    <w:rsid w:val="004927CF"/>
    <w:rsid w:val="00493780"/>
    <w:rsid w:val="004A1D45"/>
    <w:rsid w:val="004A6A96"/>
    <w:rsid w:val="004A6BC4"/>
    <w:rsid w:val="004A6ECE"/>
    <w:rsid w:val="004A6FE6"/>
    <w:rsid w:val="004A7907"/>
    <w:rsid w:val="004B31F7"/>
    <w:rsid w:val="004B32ED"/>
    <w:rsid w:val="004B523D"/>
    <w:rsid w:val="004B5358"/>
    <w:rsid w:val="004B53AF"/>
    <w:rsid w:val="004C38EA"/>
    <w:rsid w:val="004C6AEA"/>
    <w:rsid w:val="004C7F2B"/>
    <w:rsid w:val="004D06C2"/>
    <w:rsid w:val="004D1E83"/>
    <w:rsid w:val="004D5E45"/>
    <w:rsid w:val="004E1632"/>
    <w:rsid w:val="004E1C71"/>
    <w:rsid w:val="004E2245"/>
    <w:rsid w:val="004E6D11"/>
    <w:rsid w:val="004F0C24"/>
    <w:rsid w:val="004F34F6"/>
    <w:rsid w:val="004F427D"/>
    <w:rsid w:val="004F4E43"/>
    <w:rsid w:val="004F4FDD"/>
    <w:rsid w:val="004F55F6"/>
    <w:rsid w:val="00500E7E"/>
    <w:rsid w:val="00504F21"/>
    <w:rsid w:val="005060E0"/>
    <w:rsid w:val="00507E46"/>
    <w:rsid w:val="00513619"/>
    <w:rsid w:val="0051477F"/>
    <w:rsid w:val="0051509F"/>
    <w:rsid w:val="005152E5"/>
    <w:rsid w:val="00515427"/>
    <w:rsid w:val="00516060"/>
    <w:rsid w:val="005163B4"/>
    <w:rsid w:val="00516F2E"/>
    <w:rsid w:val="00517F9D"/>
    <w:rsid w:val="005211B9"/>
    <w:rsid w:val="00523E0B"/>
    <w:rsid w:val="00526238"/>
    <w:rsid w:val="00526B87"/>
    <w:rsid w:val="00527E02"/>
    <w:rsid w:val="00527FAF"/>
    <w:rsid w:val="0053040C"/>
    <w:rsid w:val="00532145"/>
    <w:rsid w:val="00532759"/>
    <w:rsid w:val="00532BEE"/>
    <w:rsid w:val="005330EA"/>
    <w:rsid w:val="0053664F"/>
    <w:rsid w:val="00540F12"/>
    <w:rsid w:val="005433F9"/>
    <w:rsid w:val="005461A1"/>
    <w:rsid w:val="00552451"/>
    <w:rsid w:val="00553293"/>
    <w:rsid w:val="0055406A"/>
    <w:rsid w:val="00555C4A"/>
    <w:rsid w:val="00556113"/>
    <w:rsid w:val="00556908"/>
    <w:rsid w:val="00556E65"/>
    <w:rsid w:val="005579B8"/>
    <w:rsid w:val="0056128B"/>
    <w:rsid w:val="0056171F"/>
    <w:rsid w:val="00562190"/>
    <w:rsid w:val="0056226B"/>
    <w:rsid w:val="00562946"/>
    <w:rsid w:val="00562A8F"/>
    <w:rsid w:val="005630EA"/>
    <w:rsid w:val="00563395"/>
    <w:rsid w:val="0056611C"/>
    <w:rsid w:val="0057167F"/>
    <w:rsid w:val="00581D1C"/>
    <w:rsid w:val="00583823"/>
    <w:rsid w:val="00583A6A"/>
    <w:rsid w:val="00583B2D"/>
    <w:rsid w:val="0058746B"/>
    <w:rsid w:val="00590175"/>
    <w:rsid w:val="00591A94"/>
    <w:rsid w:val="00592F47"/>
    <w:rsid w:val="0059471F"/>
    <w:rsid w:val="00595444"/>
    <w:rsid w:val="00596A22"/>
    <w:rsid w:val="005A272D"/>
    <w:rsid w:val="005A2937"/>
    <w:rsid w:val="005A2F15"/>
    <w:rsid w:val="005A3A4F"/>
    <w:rsid w:val="005A56FC"/>
    <w:rsid w:val="005A5838"/>
    <w:rsid w:val="005A74B5"/>
    <w:rsid w:val="005B1EB3"/>
    <w:rsid w:val="005B2A7E"/>
    <w:rsid w:val="005B347F"/>
    <w:rsid w:val="005B74A2"/>
    <w:rsid w:val="005C0D05"/>
    <w:rsid w:val="005C0DCD"/>
    <w:rsid w:val="005C15BD"/>
    <w:rsid w:val="005C2132"/>
    <w:rsid w:val="005C2327"/>
    <w:rsid w:val="005C4011"/>
    <w:rsid w:val="005C4800"/>
    <w:rsid w:val="005C4A89"/>
    <w:rsid w:val="005C606E"/>
    <w:rsid w:val="005C6849"/>
    <w:rsid w:val="005C6A65"/>
    <w:rsid w:val="005C6E7A"/>
    <w:rsid w:val="005C7473"/>
    <w:rsid w:val="005D04BB"/>
    <w:rsid w:val="005D06AA"/>
    <w:rsid w:val="005D5CC8"/>
    <w:rsid w:val="005D6768"/>
    <w:rsid w:val="005D6939"/>
    <w:rsid w:val="005D75B6"/>
    <w:rsid w:val="005D798F"/>
    <w:rsid w:val="005D7E76"/>
    <w:rsid w:val="005E58EF"/>
    <w:rsid w:val="005E6F5E"/>
    <w:rsid w:val="005E7E57"/>
    <w:rsid w:val="005F1051"/>
    <w:rsid w:val="005F1701"/>
    <w:rsid w:val="005F55A2"/>
    <w:rsid w:val="005F5ABA"/>
    <w:rsid w:val="005F63FE"/>
    <w:rsid w:val="006001CF"/>
    <w:rsid w:val="00601733"/>
    <w:rsid w:val="00610280"/>
    <w:rsid w:val="00610743"/>
    <w:rsid w:val="006110E2"/>
    <w:rsid w:val="006129E0"/>
    <w:rsid w:val="00616494"/>
    <w:rsid w:val="00621790"/>
    <w:rsid w:val="00622667"/>
    <w:rsid w:val="0062490B"/>
    <w:rsid w:val="00624B5A"/>
    <w:rsid w:val="00626060"/>
    <w:rsid w:val="006263EE"/>
    <w:rsid w:val="006264E9"/>
    <w:rsid w:val="00630CC8"/>
    <w:rsid w:val="006317B5"/>
    <w:rsid w:val="00633548"/>
    <w:rsid w:val="00635BCC"/>
    <w:rsid w:val="006403A5"/>
    <w:rsid w:val="00640B92"/>
    <w:rsid w:val="00641342"/>
    <w:rsid w:val="00641A0F"/>
    <w:rsid w:val="00643E14"/>
    <w:rsid w:val="00645F4A"/>
    <w:rsid w:val="006528FC"/>
    <w:rsid w:val="006579A0"/>
    <w:rsid w:val="00660B67"/>
    <w:rsid w:val="00663FE2"/>
    <w:rsid w:val="0066539C"/>
    <w:rsid w:val="006669AF"/>
    <w:rsid w:val="00671AC6"/>
    <w:rsid w:val="00671AFD"/>
    <w:rsid w:val="00675B6D"/>
    <w:rsid w:val="006834DE"/>
    <w:rsid w:val="00685EE6"/>
    <w:rsid w:val="00690549"/>
    <w:rsid w:val="00690D8D"/>
    <w:rsid w:val="006910AB"/>
    <w:rsid w:val="006912A0"/>
    <w:rsid w:val="00691847"/>
    <w:rsid w:val="00692645"/>
    <w:rsid w:val="00692771"/>
    <w:rsid w:val="00692B90"/>
    <w:rsid w:val="006945A0"/>
    <w:rsid w:val="00694A0F"/>
    <w:rsid w:val="00694C37"/>
    <w:rsid w:val="0069520E"/>
    <w:rsid w:val="006A1463"/>
    <w:rsid w:val="006A298B"/>
    <w:rsid w:val="006A3DBE"/>
    <w:rsid w:val="006A5224"/>
    <w:rsid w:val="006B1110"/>
    <w:rsid w:val="006B257F"/>
    <w:rsid w:val="006B5086"/>
    <w:rsid w:val="006B533A"/>
    <w:rsid w:val="006B5943"/>
    <w:rsid w:val="006C4875"/>
    <w:rsid w:val="006C761C"/>
    <w:rsid w:val="006D19E6"/>
    <w:rsid w:val="006D3393"/>
    <w:rsid w:val="006D66A4"/>
    <w:rsid w:val="006D78FA"/>
    <w:rsid w:val="006E12FF"/>
    <w:rsid w:val="006E2A16"/>
    <w:rsid w:val="006E2D65"/>
    <w:rsid w:val="006E32B5"/>
    <w:rsid w:val="006F2478"/>
    <w:rsid w:val="006F3A88"/>
    <w:rsid w:val="006F3F34"/>
    <w:rsid w:val="0070296C"/>
    <w:rsid w:val="0070388B"/>
    <w:rsid w:val="00704125"/>
    <w:rsid w:val="00704F10"/>
    <w:rsid w:val="00706F04"/>
    <w:rsid w:val="00706FDC"/>
    <w:rsid w:val="00707C5B"/>
    <w:rsid w:val="00711D07"/>
    <w:rsid w:val="007137D3"/>
    <w:rsid w:val="007171AE"/>
    <w:rsid w:val="007173FA"/>
    <w:rsid w:val="00721E28"/>
    <w:rsid w:val="007222AC"/>
    <w:rsid w:val="007225ED"/>
    <w:rsid w:val="00722C5A"/>
    <w:rsid w:val="0072327E"/>
    <w:rsid w:val="00723DB1"/>
    <w:rsid w:val="00724625"/>
    <w:rsid w:val="00725216"/>
    <w:rsid w:val="00725EFC"/>
    <w:rsid w:val="00725F91"/>
    <w:rsid w:val="007261C9"/>
    <w:rsid w:val="007321EE"/>
    <w:rsid w:val="00732D37"/>
    <w:rsid w:val="00732E1E"/>
    <w:rsid w:val="007331FC"/>
    <w:rsid w:val="007334B1"/>
    <w:rsid w:val="00733961"/>
    <w:rsid w:val="00734CC6"/>
    <w:rsid w:val="0073520B"/>
    <w:rsid w:val="00735369"/>
    <w:rsid w:val="00737787"/>
    <w:rsid w:val="00742228"/>
    <w:rsid w:val="00742B87"/>
    <w:rsid w:val="00743156"/>
    <w:rsid w:val="007456C8"/>
    <w:rsid w:val="00745F3D"/>
    <w:rsid w:val="007464C1"/>
    <w:rsid w:val="00747C31"/>
    <w:rsid w:val="00751B0F"/>
    <w:rsid w:val="0075220D"/>
    <w:rsid w:val="007522A2"/>
    <w:rsid w:val="0075511A"/>
    <w:rsid w:val="007553F0"/>
    <w:rsid w:val="00756761"/>
    <w:rsid w:val="0076010B"/>
    <w:rsid w:val="00760EC7"/>
    <w:rsid w:val="00761231"/>
    <w:rsid w:val="00761B9D"/>
    <w:rsid w:val="0076249E"/>
    <w:rsid w:val="007634BF"/>
    <w:rsid w:val="00763CD0"/>
    <w:rsid w:val="00763EB8"/>
    <w:rsid w:val="007700BD"/>
    <w:rsid w:val="00775370"/>
    <w:rsid w:val="00775DE1"/>
    <w:rsid w:val="00781150"/>
    <w:rsid w:val="0078346F"/>
    <w:rsid w:val="007835B6"/>
    <w:rsid w:val="007847A7"/>
    <w:rsid w:val="00787BD7"/>
    <w:rsid w:val="00791A7A"/>
    <w:rsid w:val="00792B9D"/>
    <w:rsid w:val="00792C05"/>
    <w:rsid w:val="00793EB3"/>
    <w:rsid w:val="007A1AB1"/>
    <w:rsid w:val="007C116A"/>
    <w:rsid w:val="007C3E5F"/>
    <w:rsid w:val="007C4E46"/>
    <w:rsid w:val="007C5639"/>
    <w:rsid w:val="007D4C47"/>
    <w:rsid w:val="007E0422"/>
    <w:rsid w:val="007E0789"/>
    <w:rsid w:val="007E21C1"/>
    <w:rsid w:val="007E2901"/>
    <w:rsid w:val="007E2D43"/>
    <w:rsid w:val="007E4C4E"/>
    <w:rsid w:val="007E50DE"/>
    <w:rsid w:val="007E74A1"/>
    <w:rsid w:val="007E765D"/>
    <w:rsid w:val="007F31EF"/>
    <w:rsid w:val="007F42E2"/>
    <w:rsid w:val="00800B84"/>
    <w:rsid w:val="00801461"/>
    <w:rsid w:val="00804227"/>
    <w:rsid w:val="00804C84"/>
    <w:rsid w:val="008125C8"/>
    <w:rsid w:val="00812992"/>
    <w:rsid w:val="008144E1"/>
    <w:rsid w:val="00815D89"/>
    <w:rsid w:val="00815FD8"/>
    <w:rsid w:val="00816A93"/>
    <w:rsid w:val="0082060D"/>
    <w:rsid w:val="00824A42"/>
    <w:rsid w:val="008253F3"/>
    <w:rsid w:val="00825A1C"/>
    <w:rsid w:val="00826B87"/>
    <w:rsid w:val="0082762B"/>
    <w:rsid w:val="00831ED3"/>
    <w:rsid w:val="00834409"/>
    <w:rsid w:val="008348BA"/>
    <w:rsid w:val="00835272"/>
    <w:rsid w:val="00845DF0"/>
    <w:rsid w:val="00846AD4"/>
    <w:rsid w:val="00850D87"/>
    <w:rsid w:val="00852284"/>
    <w:rsid w:val="008534E3"/>
    <w:rsid w:val="008537F6"/>
    <w:rsid w:val="00854DF4"/>
    <w:rsid w:val="00854FFD"/>
    <w:rsid w:val="00855928"/>
    <w:rsid w:val="00856E74"/>
    <w:rsid w:val="008579FA"/>
    <w:rsid w:val="0086127A"/>
    <w:rsid w:val="00862857"/>
    <w:rsid w:val="008657D5"/>
    <w:rsid w:val="00867744"/>
    <w:rsid w:val="00870C89"/>
    <w:rsid w:val="0087108A"/>
    <w:rsid w:val="0087207B"/>
    <w:rsid w:val="00876539"/>
    <w:rsid w:val="0087674A"/>
    <w:rsid w:val="0088375A"/>
    <w:rsid w:val="008852F9"/>
    <w:rsid w:val="00885AD0"/>
    <w:rsid w:val="00886DCF"/>
    <w:rsid w:val="00887B7F"/>
    <w:rsid w:val="00887FC5"/>
    <w:rsid w:val="00890083"/>
    <w:rsid w:val="00894841"/>
    <w:rsid w:val="00894A5B"/>
    <w:rsid w:val="00896C7B"/>
    <w:rsid w:val="008A12DF"/>
    <w:rsid w:val="008A1AED"/>
    <w:rsid w:val="008A21C0"/>
    <w:rsid w:val="008A3ADA"/>
    <w:rsid w:val="008A4660"/>
    <w:rsid w:val="008A5B6C"/>
    <w:rsid w:val="008A6100"/>
    <w:rsid w:val="008A7180"/>
    <w:rsid w:val="008B12A5"/>
    <w:rsid w:val="008B4A6F"/>
    <w:rsid w:val="008B5AF4"/>
    <w:rsid w:val="008B76FB"/>
    <w:rsid w:val="008C0026"/>
    <w:rsid w:val="008C321C"/>
    <w:rsid w:val="008C3336"/>
    <w:rsid w:val="008C60D2"/>
    <w:rsid w:val="008C6B04"/>
    <w:rsid w:val="008C6C1B"/>
    <w:rsid w:val="008C7635"/>
    <w:rsid w:val="008C76FC"/>
    <w:rsid w:val="008C7FFA"/>
    <w:rsid w:val="008D36E2"/>
    <w:rsid w:val="008D3F5B"/>
    <w:rsid w:val="008D5237"/>
    <w:rsid w:val="008D5CD8"/>
    <w:rsid w:val="008D5F1B"/>
    <w:rsid w:val="008D7C09"/>
    <w:rsid w:val="008D7CA9"/>
    <w:rsid w:val="008E0014"/>
    <w:rsid w:val="008E1539"/>
    <w:rsid w:val="008E2FAB"/>
    <w:rsid w:val="008E41C6"/>
    <w:rsid w:val="008E4B5F"/>
    <w:rsid w:val="008E58A4"/>
    <w:rsid w:val="008E71A6"/>
    <w:rsid w:val="008F24C6"/>
    <w:rsid w:val="008F38FB"/>
    <w:rsid w:val="008F3E7F"/>
    <w:rsid w:val="008F3EEE"/>
    <w:rsid w:val="008F58C6"/>
    <w:rsid w:val="008F6A37"/>
    <w:rsid w:val="00900E15"/>
    <w:rsid w:val="00900E6C"/>
    <w:rsid w:val="00901055"/>
    <w:rsid w:val="00901CF0"/>
    <w:rsid w:val="00902539"/>
    <w:rsid w:val="009033F7"/>
    <w:rsid w:val="0090605A"/>
    <w:rsid w:val="009064B8"/>
    <w:rsid w:val="009064D6"/>
    <w:rsid w:val="00910EB7"/>
    <w:rsid w:val="00912B87"/>
    <w:rsid w:val="00913488"/>
    <w:rsid w:val="00913F02"/>
    <w:rsid w:val="00916CCF"/>
    <w:rsid w:val="009171FE"/>
    <w:rsid w:val="0092086C"/>
    <w:rsid w:val="009220D8"/>
    <w:rsid w:val="00922D4A"/>
    <w:rsid w:val="00922FB5"/>
    <w:rsid w:val="00924741"/>
    <w:rsid w:val="009255A7"/>
    <w:rsid w:val="00933C47"/>
    <w:rsid w:val="009351C8"/>
    <w:rsid w:val="00935940"/>
    <w:rsid w:val="0093776F"/>
    <w:rsid w:val="0094175A"/>
    <w:rsid w:val="009433EE"/>
    <w:rsid w:val="00943626"/>
    <w:rsid w:val="00943963"/>
    <w:rsid w:val="00945AA7"/>
    <w:rsid w:val="00945E30"/>
    <w:rsid w:val="00946672"/>
    <w:rsid w:val="009467B9"/>
    <w:rsid w:val="00947956"/>
    <w:rsid w:val="00950F36"/>
    <w:rsid w:val="00953A4F"/>
    <w:rsid w:val="00953BFB"/>
    <w:rsid w:val="0095566C"/>
    <w:rsid w:val="00956EC0"/>
    <w:rsid w:val="00957951"/>
    <w:rsid w:val="00960079"/>
    <w:rsid w:val="00966184"/>
    <w:rsid w:val="00966FC9"/>
    <w:rsid w:val="0096704E"/>
    <w:rsid w:val="00973E10"/>
    <w:rsid w:val="00975BC4"/>
    <w:rsid w:val="0097778D"/>
    <w:rsid w:val="00977DC6"/>
    <w:rsid w:val="009820F8"/>
    <w:rsid w:val="0098238E"/>
    <w:rsid w:val="00984A49"/>
    <w:rsid w:val="00987C1E"/>
    <w:rsid w:val="009912F7"/>
    <w:rsid w:val="009947E7"/>
    <w:rsid w:val="00995774"/>
    <w:rsid w:val="00997D47"/>
    <w:rsid w:val="009A2AFF"/>
    <w:rsid w:val="009A6918"/>
    <w:rsid w:val="009A71C9"/>
    <w:rsid w:val="009B1ACF"/>
    <w:rsid w:val="009B3992"/>
    <w:rsid w:val="009B6D04"/>
    <w:rsid w:val="009B777C"/>
    <w:rsid w:val="009C180E"/>
    <w:rsid w:val="009C2B09"/>
    <w:rsid w:val="009C3C53"/>
    <w:rsid w:val="009C665E"/>
    <w:rsid w:val="009C6C28"/>
    <w:rsid w:val="009C6FA2"/>
    <w:rsid w:val="009D0275"/>
    <w:rsid w:val="009D3AF8"/>
    <w:rsid w:val="009D3B86"/>
    <w:rsid w:val="009D3FBE"/>
    <w:rsid w:val="009D46EF"/>
    <w:rsid w:val="009E166B"/>
    <w:rsid w:val="009E5E56"/>
    <w:rsid w:val="009E70CE"/>
    <w:rsid w:val="009E76AE"/>
    <w:rsid w:val="009F05B9"/>
    <w:rsid w:val="009F17A9"/>
    <w:rsid w:val="009F2865"/>
    <w:rsid w:val="009F2887"/>
    <w:rsid w:val="009F2977"/>
    <w:rsid w:val="009F2BC9"/>
    <w:rsid w:val="009F3160"/>
    <w:rsid w:val="009F4B8B"/>
    <w:rsid w:val="009F6670"/>
    <w:rsid w:val="00A006AD"/>
    <w:rsid w:val="00A018DF"/>
    <w:rsid w:val="00A05AE0"/>
    <w:rsid w:val="00A05B9B"/>
    <w:rsid w:val="00A0663C"/>
    <w:rsid w:val="00A07A65"/>
    <w:rsid w:val="00A11A2E"/>
    <w:rsid w:val="00A11D2A"/>
    <w:rsid w:val="00A14612"/>
    <w:rsid w:val="00A150C6"/>
    <w:rsid w:val="00A152DC"/>
    <w:rsid w:val="00A15F83"/>
    <w:rsid w:val="00A1708A"/>
    <w:rsid w:val="00A20910"/>
    <w:rsid w:val="00A21A3E"/>
    <w:rsid w:val="00A235AE"/>
    <w:rsid w:val="00A26589"/>
    <w:rsid w:val="00A268EF"/>
    <w:rsid w:val="00A26B26"/>
    <w:rsid w:val="00A27E10"/>
    <w:rsid w:val="00A325A5"/>
    <w:rsid w:val="00A32BC3"/>
    <w:rsid w:val="00A34F3B"/>
    <w:rsid w:val="00A36A25"/>
    <w:rsid w:val="00A37C09"/>
    <w:rsid w:val="00A37F00"/>
    <w:rsid w:val="00A40FCB"/>
    <w:rsid w:val="00A43EFE"/>
    <w:rsid w:val="00A44BFB"/>
    <w:rsid w:val="00A45BD3"/>
    <w:rsid w:val="00A462B2"/>
    <w:rsid w:val="00A46483"/>
    <w:rsid w:val="00A468B5"/>
    <w:rsid w:val="00A46D50"/>
    <w:rsid w:val="00A47833"/>
    <w:rsid w:val="00A50BB2"/>
    <w:rsid w:val="00A50D2F"/>
    <w:rsid w:val="00A537A5"/>
    <w:rsid w:val="00A543AD"/>
    <w:rsid w:val="00A54E21"/>
    <w:rsid w:val="00A57D21"/>
    <w:rsid w:val="00A615B2"/>
    <w:rsid w:val="00A62B45"/>
    <w:rsid w:val="00A647E5"/>
    <w:rsid w:val="00A666D2"/>
    <w:rsid w:val="00A669D8"/>
    <w:rsid w:val="00A711D0"/>
    <w:rsid w:val="00A711E0"/>
    <w:rsid w:val="00A728CD"/>
    <w:rsid w:val="00A76C65"/>
    <w:rsid w:val="00A82BB9"/>
    <w:rsid w:val="00A85A5B"/>
    <w:rsid w:val="00A90FA0"/>
    <w:rsid w:val="00A92B32"/>
    <w:rsid w:val="00A951DC"/>
    <w:rsid w:val="00A95B50"/>
    <w:rsid w:val="00A95F73"/>
    <w:rsid w:val="00A97ADB"/>
    <w:rsid w:val="00A97C3E"/>
    <w:rsid w:val="00A97CBF"/>
    <w:rsid w:val="00AA0DAF"/>
    <w:rsid w:val="00AA49BC"/>
    <w:rsid w:val="00AA635F"/>
    <w:rsid w:val="00AA6C45"/>
    <w:rsid w:val="00AB2E11"/>
    <w:rsid w:val="00AB557E"/>
    <w:rsid w:val="00AB6652"/>
    <w:rsid w:val="00AB712E"/>
    <w:rsid w:val="00AB7A16"/>
    <w:rsid w:val="00AB7C17"/>
    <w:rsid w:val="00AC28E2"/>
    <w:rsid w:val="00AC2D06"/>
    <w:rsid w:val="00AC6243"/>
    <w:rsid w:val="00AD00CE"/>
    <w:rsid w:val="00AD1299"/>
    <w:rsid w:val="00AD343E"/>
    <w:rsid w:val="00AD39F4"/>
    <w:rsid w:val="00AD4AB7"/>
    <w:rsid w:val="00AE0060"/>
    <w:rsid w:val="00AE11D3"/>
    <w:rsid w:val="00AE18E7"/>
    <w:rsid w:val="00AE1BF4"/>
    <w:rsid w:val="00AE213D"/>
    <w:rsid w:val="00AE290E"/>
    <w:rsid w:val="00AE3249"/>
    <w:rsid w:val="00AE436C"/>
    <w:rsid w:val="00AE446A"/>
    <w:rsid w:val="00AE5C6D"/>
    <w:rsid w:val="00AE5E6A"/>
    <w:rsid w:val="00AE6BF9"/>
    <w:rsid w:val="00AF097C"/>
    <w:rsid w:val="00AF27D8"/>
    <w:rsid w:val="00AF3E5D"/>
    <w:rsid w:val="00AF6645"/>
    <w:rsid w:val="00B00596"/>
    <w:rsid w:val="00B02A26"/>
    <w:rsid w:val="00B05480"/>
    <w:rsid w:val="00B068F8"/>
    <w:rsid w:val="00B14ECA"/>
    <w:rsid w:val="00B16EF4"/>
    <w:rsid w:val="00B17212"/>
    <w:rsid w:val="00B172A1"/>
    <w:rsid w:val="00B20CF5"/>
    <w:rsid w:val="00B20F8A"/>
    <w:rsid w:val="00B2115F"/>
    <w:rsid w:val="00B21AA3"/>
    <w:rsid w:val="00B21D19"/>
    <w:rsid w:val="00B2322B"/>
    <w:rsid w:val="00B236FA"/>
    <w:rsid w:val="00B26556"/>
    <w:rsid w:val="00B31F4C"/>
    <w:rsid w:val="00B34BBD"/>
    <w:rsid w:val="00B35F1C"/>
    <w:rsid w:val="00B3615E"/>
    <w:rsid w:val="00B40DD0"/>
    <w:rsid w:val="00B42261"/>
    <w:rsid w:val="00B4333E"/>
    <w:rsid w:val="00B44DF1"/>
    <w:rsid w:val="00B45D09"/>
    <w:rsid w:val="00B47917"/>
    <w:rsid w:val="00B47C4B"/>
    <w:rsid w:val="00B51CC3"/>
    <w:rsid w:val="00B52C44"/>
    <w:rsid w:val="00B52D42"/>
    <w:rsid w:val="00B5343C"/>
    <w:rsid w:val="00B54E66"/>
    <w:rsid w:val="00B57359"/>
    <w:rsid w:val="00B6079A"/>
    <w:rsid w:val="00B627AC"/>
    <w:rsid w:val="00B63885"/>
    <w:rsid w:val="00B63FA7"/>
    <w:rsid w:val="00B64A02"/>
    <w:rsid w:val="00B671CF"/>
    <w:rsid w:val="00B67962"/>
    <w:rsid w:val="00B70CAC"/>
    <w:rsid w:val="00B70D16"/>
    <w:rsid w:val="00B76189"/>
    <w:rsid w:val="00B77BDC"/>
    <w:rsid w:val="00B80B96"/>
    <w:rsid w:val="00B80EF2"/>
    <w:rsid w:val="00B830D8"/>
    <w:rsid w:val="00B8733E"/>
    <w:rsid w:val="00B87814"/>
    <w:rsid w:val="00B90504"/>
    <w:rsid w:val="00B907AC"/>
    <w:rsid w:val="00B91E74"/>
    <w:rsid w:val="00B93011"/>
    <w:rsid w:val="00B938EC"/>
    <w:rsid w:val="00B96D10"/>
    <w:rsid w:val="00BA0D0C"/>
    <w:rsid w:val="00BA1883"/>
    <w:rsid w:val="00BA39C7"/>
    <w:rsid w:val="00BB0F09"/>
    <w:rsid w:val="00BB308B"/>
    <w:rsid w:val="00BB473C"/>
    <w:rsid w:val="00BB473D"/>
    <w:rsid w:val="00BB5ACD"/>
    <w:rsid w:val="00BB5D58"/>
    <w:rsid w:val="00BB5D8E"/>
    <w:rsid w:val="00BC14D8"/>
    <w:rsid w:val="00BC45ED"/>
    <w:rsid w:val="00BC720A"/>
    <w:rsid w:val="00BD20D7"/>
    <w:rsid w:val="00BD21F3"/>
    <w:rsid w:val="00BD35A0"/>
    <w:rsid w:val="00BD4845"/>
    <w:rsid w:val="00BD6BBE"/>
    <w:rsid w:val="00BE1677"/>
    <w:rsid w:val="00BE643A"/>
    <w:rsid w:val="00BF094C"/>
    <w:rsid w:val="00BF2E06"/>
    <w:rsid w:val="00BF33DB"/>
    <w:rsid w:val="00BF3EAA"/>
    <w:rsid w:val="00BF7CAE"/>
    <w:rsid w:val="00C10BA2"/>
    <w:rsid w:val="00C1149E"/>
    <w:rsid w:val="00C127E6"/>
    <w:rsid w:val="00C131A4"/>
    <w:rsid w:val="00C1582D"/>
    <w:rsid w:val="00C226FF"/>
    <w:rsid w:val="00C2347B"/>
    <w:rsid w:val="00C2486B"/>
    <w:rsid w:val="00C24C23"/>
    <w:rsid w:val="00C25AB6"/>
    <w:rsid w:val="00C32B99"/>
    <w:rsid w:val="00C32CD0"/>
    <w:rsid w:val="00C3453B"/>
    <w:rsid w:val="00C34D4D"/>
    <w:rsid w:val="00C36A62"/>
    <w:rsid w:val="00C37489"/>
    <w:rsid w:val="00C40097"/>
    <w:rsid w:val="00C40A17"/>
    <w:rsid w:val="00C40EC1"/>
    <w:rsid w:val="00C4288D"/>
    <w:rsid w:val="00C441C0"/>
    <w:rsid w:val="00C45528"/>
    <w:rsid w:val="00C4623A"/>
    <w:rsid w:val="00C47491"/>
    <w:rsid w:val="00C531FE"/>
    <w:rsid w:val="00C533D6"/>
    <w:rsid w:val="00C56F5E"/>
    <w:rsid w:val="00C572F2"/>
    <w:rsid w:val="00C5750E"/>
    <w:rsid w:val="00C575C2"/>
    <w:rsid w:val="00C6197C"/>
    <w:rsid w:val="00C657C5"/>
    <w:rsid w:val="00C661D7"/>
    <w:rsid w:val="00C67BC4"/>
    <w:rsid w:val="00C707DB"/>
    <w:rsid w:val="00C71259"/>
    <w:rsid w:val="00C717E8"/>
    <w:rsid w:val="00C73072"/>
    <w:rsid w:val="00C757B6"/>
    <w:rsid w:val="00C76C98"/>
    <w:rsid w:val="00C77BFF"/>
    <w:rsid w:val="00C80F13"/>
    <w:rsid w:val="00C84C42"/>
    <w:rsid w:val="00C84C4B"/>
    <w:rsid w:val="00C859DC"/>
    <w:rsid w:val="00C863A8"/>
    <w:rsid w:val="00C86822"/>
    <w:rsid w:val="00C878BA"/>
    <w:rsid w:val="00C87D89"/>
    <w:rsid w:val="00C9332E"/>
    <w:rsid w:val="00C942F3"/>
    <w:rsid w:val="00C95707"/>
    <w:rsid w:val="00C97DFC"/>
    <w:rsid w:val="00CA128B"/>
    <w:rsid w:val="00CA1F09"/>
    <w:rsid w:val="00CA2965"/>
    <w:rsid w:val="00CA3C73"/>
    <w:rsid w:val="00CA4A4C"/>
    <w:rsid w:val="00CA5A13"/>
    <w:rsid w:val="00CA6BAA"/>
    <w:rsid w:val="00CB0D90"/>
    <w:rsid w:val="00CB1136"/>
    <w:rsid w:val="00CB41AF"/>
    <w:rsid w:val="00CB4FAC"/>
    <w:rsid w:val="00CC035F"/>
    <w:rsid w:val="00CC384F"/>
    <w:rsid w:val="00CC3A04"/>
    <w:rsid w:val="00CC3F37"/>
    <w:rsid w:val="00CC4995"/>
    <w:rsid w:val="00CC5E84"/>
    <w:rsid w:val="00CD0899"/>
    <w:rsid w:val="00CD34B7"/>
    <w:rsid w:val="00CD4C9A"/>
    <w:rsid w:val="00CD70A7"/>
    <w:rsid w:val="00CE0946"/>
    <w:rsid w:val="00CE0C4B"/>
    <w:rsid w:val="00CE21AC"/>
    <w:rsid w:val="00CE4489"/>
    <w:rsid w:val="00CE7048"/>
    <w:rsid w:val="00CE7E13"/>
    <w:rsid w:val="00CF0D2F"/>
    <w:rsid w:val="00CF1000"/>
    <w:rsid w:val="00CF11F0"/>
    <w:rsid w:val="00D00033"/>
    <w:rsid w:val="00D00095"/>
    <w:rsid w:val="00D006FC"/>
    <w:rsid w:val="00D025C8"/>
    <w:rsid w:val="00D04755"/>
    <w:rsid w:val="00D05994"/>
    <w:rsid w:val="00D07E1B"/>
    <w:rsid w:val="00D1182D"/>
    <w:rsid w:val="00D1406D"/>
    <w:rsid w:val="00D14E2C"/>
    <w:rsid w:val="00D164AE"/>
    <w:rsid w:val="00D2209B"/>
    <w:rsid w:val="00D22A12"/>
    <w:rsid w:val="00D231BE"/>
    <w:rsid w:val="00D23F6A"/>
    <w:rsid w:val="00D24DBE"/>
    <w:rsid w:val="00D264B5"/>
    <w:rsid w:val="00D26B53"/>
    <w:rsid w:val="00D27A24"/>
    <w:rsid w:val="00D27C88"/>
    <w:rsid w:val="00D30817"/>
    <w:rsid w:val="00D32A7F"/>
    <w:rsid w:val="00D33FF5"/>
    <w:rsid w:val="00D3694E"/>
    <w:rsid w:val="00D36A32"/>
    <w:rsid w:val="00D36F10"/>
    <w:rsid w:val="00D40FBF"/>
    <w:rsid w:val="00D41C90"/>
    <w:rsid w:val="00D45BA9"/>
    <w:rsid w:val="00D539EF"/>
    <w:rsid w:val="00D53CC9"/>
    <w:rsid w:val="00D567A0"/>
    <w:rsid w:val="00D601FC"/>
    <w:rsid w:val="00D623C3"/>
    <w:rsid w:val="00D63032"/>
    <w:rsid w:val="00D63CAE"/>
    <w:rsid w:val="00D65302"/>
    <w:rsid w:val="00D65D4B"/>
    <w:rsid w:val="00D66535"/>
    <w:rsid w:val="00D67FCF"/>
    <w:rsid w:val="00D71FDA"/>
    <w:rsid w:val="00D723BE"/>
    <w:rsid w:val="00D735CC"/>
    <w:rsid w:val="00D73D5A"/>
    <w:rsid w:val="00D74D30"/>
    <w:rsid w:val="00D759FD"/>
    <w:rsid w:val="00D76690"/>
    <w:rsid w:val="00D827F9"/>
    <w:rsid w:val="00D82DD9"/>
    <w:rsid w:val="00D83861"/>
    <w:rsid w:val="00D84026"/>
    <w:rsid w:val="00D87101"/>
    <w:rsid w:val="00D930C9"/>
    <w:rsid w:val="00D9354F"/>
    <w:rsid w:val="00D971C5"/>
    <w:rsid w:val="00D97356"/>
    <w:rsid w:val="00D97789"/>
    <w:rsid w:val="00D97D3A"/>
    <w:rsid w:val="00DA0706"/>
    <w:rsid w:val="00DA55BE"/>
    <w:rsid w:val="00DA5649"/>
    <w:rsid w:val="00DA5CB9"/>
    <w:rsid w:val="00DB124C"/>
    <w:rsid w:val="00DB2622"/>
    <w:rsid w:val="00DB2661"/>
    <w:rsid w:val="00DB266A"/>
    <w:rsid w:val="00DC5081"/>
    <w:rsid w:val="00DC62D9"/>
    <w:rsid w:val="00DD063F"/>
    <w:rsid w:val="00DD23B1"/>
    <w:rsid w:val="00DD3237"/>
    <w:rsid w:val="00DD57EE"/>
    <w:rsid w:val="00DD7BA5"/>
    <w:rsid w:val="00DE0AC2"/>
    <w:rsid w:val="00DE3394"/>
    <w:rsid w:val="00DE37D8"/>
    <w:rsid w:val="00DE3C40"/>
    <w:rsid w:val="00DE4105"/>
    <w:rsid w:val="00DE465F"/>
    <w:rsid w:val="00DE5C34"/>
    <w:rsid w:val="00DE5C82"/>
    <w:rsid w:val="00DE5E22"/>
    <w:rsid w:val="00DE6F79"/>
    <w:rsid w:val="00DE7648"/>
    <w:rsid w:val="00DF7589"/>
    <w:rsid w:val="00E02757"/>
    <w:rsid w:val="00E02DAA"/>
    <w:rsid w:val="00E02EF7"/>
    <w:rsid w:val="00E03D34"/>
    <w:rsid w:val="00E03DEA"/>
    <w:rsid w:val="00E05AB9"/>
    <w:rsid w:val="00E06B2E"/>
    <w:rsid w:val="00E07196"/>
    <w:rsid w:val="00E073D6"/>
    <w:rsid w:val="00E07A10"/>
    <w:rsid w:val="00E108FF"/>
    <w:rsid w:val="00E165F6"/>
    <w:rsid w:val="00E17B4A"/>
    <w:rsid w:val="00E21E8D"/>
    <w:rsid w:val="00E221ED"/>
    <w:rsid w:val="00E24284"/>
    <w:rsid w:val="00E2787C"/>
    <w:rsid w:val="00E27EDC"/>
    <w:rsid w:val="00E30550"/>
    <w:rsid w:val="00E3055C"/>
    <w:rsid w:val="00E32F5A"/>
    <w:rsid w:val="00E36B42"/>
    <w:rsid w:val="00E36C8E"/>
    <w:rsid w:val="00E40677"/>
    <w:rsid w:val="00E43609"/>
    <w:rsid w:val="00E4504F"/>
    <w:rsid w:val="00E45E0D"/>
    <w:rsid w:val="00E466F4"/>
    <w:rsid w:val="00E467E8"/>
    <w:rsid w:val="00E4741B"/>
    <w:rsid w:val="00E50386"/>
    <w:rsid w:val="00E52C87"/>
    <w:rsid w:val="00E52CC2"/>
    <w:rsid w:val="00E53111"/>
    <w:rsid w:val="00E56C41"/>
    <w:rsid w:val="00E63B9B"/>
    <w:rsid w:val="00E63BEA"/>
    <w:rsid w:val="00E641D6"/>
    <w:rsid w:val="00E679EC"/>
    <w:rsid w:val="00E7374B"/>
    <w:rsid w:val="00E73D5B"/>
    <w:rsid w:val="00E77607"/>
    <w:rsid w:val="00E81CCC"/>
    <w:rsid w:val="00E8218D"/>
    <w:rsid w:val="00E82DC3"/>
    <w:rsid w:val="00E85477"/>
    <w:rsid w:val="00E857CC"/>
    <w:rsid w:val="00E86659"/>
    <w:rsid w:val="00E86FE5"/>
    <w:rsid w:val="00E9016D"/>
    <w:rsid w:val="00E9144E"/>
    <w:rsid w:val="00E91460"/>
    <w:rsid w:val="00E91824"/>
    <w:rsid w:val="00E93E5D"/>
    <w:rsid w:val="00E95384"/>
    <w:rsid w:val="00E979E3"/>
    <w:rsid w:val="00EA01E9"/>
    <w:rsid w:val="00EA1D52"/>
    <w:rsid w:val="00EA322E"/>
    <w:rsid w:val="00EA3499"/>
    <w:rsid w:val="00EA6DED"/>
    <w:rsid w:val="00EB40A1"/>
    <w:rsid w:val="00EB7027"/>
    <w:rsid w:val="00EC0A48"/>
    <w:rsid w:val="00EC100F"/>
    <w:rsid w:val="00EC3E6C"/>
    <w:rsid w:val="00EC5223"/>
    <w:rsid w:val="00EC61DC"/>
    <w:rsid w:val="00EC646E"/>
    <w:rsid w:val="00ED1AF6"/>
    <w:rsid w:val="00ED45CE"/>
    <w:rsid w:val="00ED5877"/>
    <w:rsid w:val="00EE1538"/>
    <w:rsid w:val="00EE28D3"/>
    <w:rsid w:val="00EE571E"/>
    <w:rsid w:val="00EE660F"/>
    <w:rsid w:val="00EE66AA"/>
    <w:rsid w:val="00EF0326"/>
    <w:rsid w:val="00EF04A4"/>
    <w:rsid w:val="00EF26AA"/>
    <w:rsid w:val="00EF3965"/>
    <w:rsid w:val="00EF3BE5"/>
    <w:rsid w:val="00EF4C0F"/>
    <w:rsid w:val="00EF4F80"/>
    <w:rsid w:val="00EF6CFF"/>
    <w:rsid w:val="00EF6EA4"/>
    <w:rsid w:val="00EF7DCC"/>
    <w:rsid w:val="00F01530"/>
    <w:rsid w:val="00F01CFC"/>
    <w:rsid w:val="00F0590E"/>
    <w:rsid w:val="00F0626A"/>
    <w:rsid w:val="00F11E82"/>
    <w:rsid w:val="00F13BFE"/>
    <w:rsid w:val="00F155B0"/>
    <w:rsid w:val="00F164A2"/>
    <w:rsid w:val="00F21FAB"/>
    <w:rsid w:val="00F3063C"/>
    <w:rsid w:val="00F31639"/>
    <w:rsid w:val="00F31EDA"/>
    <w:rsid w:val="00F3311B"/>
    <w:rsid w:val="00F342FD"/>
    <w:rsid w:val="00F344E2"/>
    <w:rsid w:val="00F35070"/>
    <w:rsid w:val="00F35C1D"/>
    <w:rsid w:val="00F36D22"/>
    <w:rsid w:val="00F377EC"/>
    <w:rsid w:val="00F37DC6"/>
    <w:rsid w:val="00F404CA"/>
    <w:rsid w:val="00F40638"/>
    <w:rsid w:val="00F40CF7"/>
    <w:rsid w:val="00F40D86"/>
    <w:rsid w:val="00F421BD"/>
    <w:rsid w:val="00F43BD4"/>
    <w:rsid w:val="00F464FC"/>
    <w:rsid w:val="00F50EFD"/>
    <w:rsid w:val="00F51FD7"/>
    <w:rsid w:val="00F55052"/>
    <w:rsid w:val="00F5608A"/>
    <w:rsid w:val="00F563B6"/>
    <w:rsid w:val="00F565FB"/>
    <w:rsid w:val="00F608E1"/>
    <w:rsid w:val="00F63D8F"/>
    <w:rsid w:val="00F644EA"/>
    <w:rsid w:val="00F64A52"/>
    <w:rsid w:val="00F64D0B"/>
    <w:rsid w:val="00F65D1B"/>
    <w:rsid w:val="00F718C9"/>
    <w:rsid w:val="00F73591"/>
    <w:rsid w:val="00F75275"/>
    <w:rsid w:val="00F75DA9"/>
    <w:rsid w:val="00F76C50"/>
    <w:rsid w:val="00F812D7"/>
    <w:rsid w:val="00F8353E"/>
    <w:rsid w:val="00F842D1"/>
    <w:rsid w:val="00F8475C"/>
    <w:rsid w:val="00F84A12"/>
    <w:rsid w:val="00F850BC"/>
    <w:rsid w:val="00F854A1"/>
    <w:rsid w:val="00F873F5"/>
    <w:rsid w:val="00F91541"/>
    <w:rsid w:val="00F91C3E"/>
    <w:rsid w:val="00F92416"/>
    <w:rsid w:val="00F92649"/>
    <w:rsid w:val="00F92929"/>
    <w:rsid w:val="00F92F61"/>
    <w:rsid w:val="00F9368C"/>
    <w:rsid w:val="00F94C79"/>
    <w:rsid w:val="00F9551B"/>
    <w:rsid w:val="00F95D43"/>
    <w:rsid w:val="00F961E8"/>
    <w:rsid w:val="00FA0D48"/>
    <w:rsid w:val="00FA3347"/>
    <w:rsid w:val="00FA35CB"/>
    <w:rsid w:val="00FA3ADA"/>
    <w:rsid w:val="00FA409F"/>
    <w:rsid w:val="00FA67B9"/>
    <w:rsid w:val="00FB46F8"/>
    <w:rsid w:val="00FB74A3"/>
    <w:rsid w:val="00FC15F6"/>
    <w:rsid w:val="00FC29A7"/>
    <w:rsid w:val="00FC45D4"/>
    <w:rsid w:val="00FC5735"/>
    <w:rsid w:val="00FC7B44"/>
    <w:rsid w:val="00FD19C7"/>
    <w:rsid w:val="00FD45DF"/>
    <w:rsid w:val="00FD4915"/>
    <w:rsid w:val="00FD4B42"/>
    <w:rsid w:val="00FD7E05"/>
    <w:rsid w:val="00FE106B"/>
    <w:rsid w:val="00FE3E28"/>
    <w:rsid w:val="00FE4092"/>
    <w:rsid w:val="00FE4DF8"/>
    <w:rsid w:val="00FE57CB"/>
    <w:rsid w:val="00FE627E"/>
    <w:rsid w:val="00FE63E5"/>
    <w:rsid w:val="00FF29AA"/>
    <w:rsid w:val="00FF3F89"/>
    <w:rsid w:val="00FF4428"/>
    <w:rsid w:val="00FF4CC4"/>
    <w:rsid w:val="00FF5AC5"/>
    <w:rsid w:val="00FF5AC6"/>
    <w:rsid w:val="00FF5E41"/>
    <w:rsid w:val="00FF7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E03A18A"/>
  <w15:docId w15:val="{E12C9B5E-4157-41B4-BB61-E128615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3E"/>
    <w:pPr>
      <w:spacing w:before="120" w:after="120" w:line="240" w:lineRule="auto"/>
    </w:pPr>
    <w:rPr>
      <w:rFonts w:ascii="Calibri" w:eastAsiaTheme="minorEastAsia" w:hAnsi="Calibri"/>
      <w:sz w:val="20"/>
      <w:szCs w:val="20"/>
    </w:rPr>
  </w:style>
  <w:style w:type="paragraph" w:styleId="Heading1">
    <w:name w:val="heading 1"/>
    <w:basedOn w:val="Normal"/>
    <w:next w:val="Normal"/>
    <w:link w:val="Heading1Char"/>
    <w:qFormat/>
    <w:rsid w:val="00975BC4"/>
    <w:pPr>
      <w:keepNext/>
      <w:spacing w:after="240"/>
      <w:outlineLvl w:val="0"/>
    </w:pPr>
    <w:rPr>
      <w:b/>
      <w:color w:val="002C47"/>
      <w:sz w:val="36"/>
      <w:szCs w:val="22"/>
    </w:rPr>
  </w:style>
  <w:style w:type="paragraph" w:styleId="Heading2">
    <w:name w:val="heading 2"/>
    <w:basedOn w:val="Normal"/>
    <w:next w:val="Normal"/>
    <w:link w:val="Heading2Char"/>
    <w:unhideWhenUsed/>
    <w:qFormat/>
    <w:rsid w:val="00463005"/>
    <w:pPr>
      <w:keepNext/>
      <w:spacing w:before="200"/>
      <w:outlineLvl w:val="1"/>
    </w:pPr>
    <w:rPr>
      <w:b/>
      <w:i/>
      <w:color w:val="002C47"/>
      <w:sz w:val="28"/>
    </w:rPr>
  </w:style>
  <w:style w:type="paragraph" w:styleId="Heading3">
    <w:name w:val="heading 3"/>
    <w:basedOn w:val="Normal"/>
    <w:next w:val="Normal"/>
    <w:link w:val="Heading3Char"/>
    <w:unhideWhenUsed/>
    <w:qFormat/>
    <w:rsid w:val="004C38EA"/>
    <w:pPr>
      <w:keepNext/>
      <w:outlineLvl w:val="2"/>
    </w:pPr>
    <w:rPr>
      <w:rFonts w:eastAsia="Calibri"/>
      <w:b/>
      <w:i/>
      <w:iCs/>
      <w:color w:val="002C47" w:themeColor="accent1"/>
      <w:sz w:val="24"/>
    </w:rPr>
  </w:style>
  <w:style w:type="paragraph" w:styleId="Heading4">
    <w:name w:val="heading 4"/>
    <w:basedOn w:val="Normal"/>
    <w:next w:val="Normal"/>
    <w:link w:val="Heading4Char"/>
    <w:unhideWhenUsed/>
    <w:qFormat/>
    <w:rsid w:val="00A468B5"/>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A468B5"/>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A468B5"/>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A468B5"/>
    <w:pPr>
      <w:spacing w:after="0"/>
      <w:outlineLvl w:val="6"/>
    </w:pPr>
    <w:rPr>
      <w:b/>
      <w:i/>
      <w:color w:val="002C47" w:themeColor="accent1"/>
    </w:rPr>
  </w:style>
  <w:style w:type="paragraph" w:styleId="Heading8">
    <w:name w:val="heading 8"/>
    <w:basedOn w:val="Heading9"/>
    <w:next w:val="Normal"/>
    <w:link w:val="Heading8Char"/>
    <w:uiPriority w:val="9"/>
    <w:unhideWhenUsed/>
    <w:qFormat/>
    <w:rsid w:val="0028692E"/>
    <w:pPr>
      <w:numPr>
        <w:numId w:val="30"/>
      </w:numPr>
      <w:outlineLvl w:val="7"/>
    </w:pPr>
  </w:style>
  <w:style w:type="paragraph" w:styleId="Heading9">
    <w:name w:val="heading 9"/>
    <w:basedOn w:val="ChartMainHeading"/>
    <w:next w:val="Normal"/>
    <w:link w:val="Heading9Char"/>
    <w:uiPriority w:val="9"/>
    <w:unhideWhenUsed/>
    <w:qFormat/>
    <w:rsid w:val="008E0014"/>
    <w:pPr>
      <w:pBdr>
        <w:top w:val="dashed" w:sz="4" w:space="1" w:color="002C47" w:themeColor="accent1"/>
      </w:pBdr>
      <w:spacing w:before="120"/>
    </w:pPr>
    <w:rPr>
      <w:rFonts w:eastAsia="Calibri"/>
      <w:bCs/>
      <w:smallCaps/>
      <w:color w:val="002C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68B5"/>
    <w:rPr>
      <w:sz w:val="16"/>
      <w:szCs w:val="16"/>
    </w:rPr>
  </w:style>
  <w:style w:type="paragraph" w:styleId="CommentText">
    <w:name w:val="annotation text"/>
    <w:basedOn w:val="Normal"/>
    <w:link w:val="CommentTextChar"/>
    <w:uiPriority w:val="99"/>
    <w:unhideWhenUsed/>
    <w:rsid w:val="00A468B5"/>
  </w:style>
  <w:style w:type="character" w:customStyle="1" w:styleId="CommentTextChar">
    <w:name w:val="Comment Text Char"/>
    <w:basedOn w:val="DefaultParagraphFont"/>
    <w:link w:val="CommentText"/>
    <w:uiPriority w:val="99"/>
    <w:rsid w:val="00A468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8B5"/>
    <w:rPr>
      <w:b/>
      <w:bCs/>
    </w:rPr>
  </w:style>
  <w:style w:type="character" w:customStyle="1" w:styleId="CommentSubjectChar">
    <w:name w:val="Comment Subject Char"/>
    <w:basedOn w:val="CommentTextChar"/>
    <w:link w:val="CommentSubject"/>
    <w:uiPriority w:val="99"/>
    <w:semiHidden/>
    <w:rsid w:val="00A468B5"/>
    <w:rPr>
      <w:rFonts w:eastAsiaTheme="minorEastAsia"/>
      <w:b/>
      <w:bCs/>
      <w:sz w:val="20"/>
      <w:szCs w:val="20"/>
    </w:rPr>
  </w:style>
  <w:style w:type="paragraph" w:customStyle="1" w:styleId="Bullet">
    <w:name w:val="Bullet"/>
    <w:basedOn w:val="Normal"/>
    <w:link w:val="BulletChar"/>
    <w:rsid w:val="009F6670"/>
    <w:pPr>
      <w:numPr>
        <w:numId w:val="1"/>
      </w:numPr>
    </w:pPr>
  </w:style>
  <w:style w:type="character" w:customStyle="1" w:styleId="BulletChar">
    <w:name w:val="Bullet Char"/>
    <w:basedOn w:val="DefaultParagraphFont"/>
    <w:link w:val="Bullet"/>
    <w:rsid w:val="009F6670"/>
    <w:rPr>
      <w:rFonts w:ascii="Calibri" w:hAnsi="Calibri" w:cs="Times New Roman"/>
    </w:rPr>
  </w:style>
  <w:style w:type="paragraph" w:customStyle="1" w:styleId="Dash">
    <w:name w:val="Dash"/>
    <w:basedOn w:val="Normal"/>
    <w:link w:val="DashChar"/>
    <w:rsid w:val="009F6670"/>
    <w:pPr>
      <w:numPr>
        <w:ilvl w:val="1"/>
        <w:numId w:val="1"/>
      </w:numPr>
    </w:pPr>
  </w:style>
  <w:style w:type="character" w:customStyle="1" w:styleId="DashChar">
    <w:name w:val="Dash Char"/>
    <w:basedOn w:val="DefaultParagraphFont"/>
    <w:link w:val="Dash"/>
    <w:rsid w:val="009F6670"/>
    <w:rPr>
      <w:rFonts w:ascii="Calibri" w:hAnsi="Calibri" w:cs="Times New Roman"/>
    </w:rPr>
  </w:style>
  <w:style w:type="paragraph" w:customStyle="1" w:styleId="DoubleDot">
    <w:name w:val="Double Dot"/>
    <w:basedOn w:val="Normal"/>
    <w:link w:val="DoubleDotChar"/>
    <w:rsid w:val="009F6670"/>
    <w:pPr>
      <w:numPr>
        <w:ilvl w:val="2"/>
        <w:numId w:val="1"/>
      </w:numPr>
    </w:pPr>
  </w:style>
  <w:style w:type="character" w:customStyle="1" w:styleId="DoubleDotChar">
    <w:name w:val="Double Dot Char"/>
    <w:basedOn w:val="DefaultParagraphFont"/>
    <w:link w:val="DoubleDot"/>
    <w:rsid w:val="009F6670"/>
    <w:rPr>
      <w:rFonts w:ascii="Calibri" w:hAnsi="Calibri" w:cs="Times New Roman"/>
    </w:rPr>
  </w:style>
  <w:style w:type="paragraph" w:customStyle="1" w:styleId="Default">
    <w:name w:val="Default"/>
    <w:rsid w:val="00A468B5"/>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59"/>
    <w:rsid w:val="00A468B5"/>
    <w:pPr>
      <w:spacing w:before="100" w:after="240" w:line="260" w:lineRule="exact"/>
      <w:jc w:val="both"/>
    </w:pPr>
    <w:rPr>
      <w:rFonts w:eastAsia="Times New Roman" w:cs="Times New Roman"/>
      <w:sz w:val="20"/>
      <w:szCs w:val="20"/>
      <w:lang w:eastAsia="en-AU"/>
    </w:rPr>
    <w:tblPr/>
    <w:tcPr>
      <w:shd w:val="clear" w:color="auto" w:fill="E6E6E6"/>
    </w:tcPr>
  </w:style>
  <w:style w:type="paragraph" w:styleId="Revision">
    <w:name w:val="Revision"/>
    <w:hidden/>
    <w:uiPriority w:val="99"/>
    <w:semiHidden/>
    <w:rsid w:val="001B275D"/>
    <w:pPr>
      <w:spacing w:after="0" w:line="240" w:lineRule="auto"/>
    </w:pPr>
    <w:rPr>
      <w:rFonts w:ascii="Calibri" w:hAnsi="Calibri" w:cs="Times New Roman"/>
    </w:rPr>
  </w:style>
  <w:style w:type="table" w:customStyle="1" w:styleId="TableGrid1">
    <w:name w:val="Table Grid1"/>
    <w:basedOn w:val="TableNormal"/>
    <w:next w:val="TableGrid"/>
    <w:uiPriority w:val="39"/>
    <w:rsid w:val="006E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B5"/>
    <w:pPr>
      <w:keepNext/>
      <w:spacing w:before="0" w:after="0"/>
      <w:jc w:val="right"/>
    </w:pPr>
    <w:rPr>
      <w:color w:val="004A7F"/>
    </w:rPr>
  </w:style>
  <w:style w:type="character" w:customStyle="1" w:styleId="HeaderChar">
    <w:name w:val="Header Char"/>
    <w:basedOn w:val="DefaultParagraphFont"/>
    <w:link w:val="Header"/>
    <w:uiPriority w:val="99"/>
    <w:rsid w:val="00A468B5"/>
    <w:rPr>
      <w:rFonts w:eastAsiaTheme="minorEastAsia"/>
      <w:color w:val="004A7F"/>
      <w:sz w:val="20"/>
      <w:szCs w:val="20"/>
    </w:rPr>
  </w:style>
  <w:style w:type="paragraph" w:styleId="Footer">
    <w:name w:val="footer"/>
    <w:basedOn w:val="Normal"/>
    <w:link w:val="FooterChar"/>
    <w:unhideWhenUsed/>
    <w:rsid w:val="004B5358"/>
    <w:pPr>
      <w:tabs>
        <w:tab w:val="center" w:pos="4513"/>
        <w:tab w:val="right" w:pos="9026"/>
      </w:tabs>
      <w:spacing w:before="0" w:after="0"/>
      <w:jc w:val="center"/>
    </w:pPr>
    <w:rPr>
      <w:color w:val="002C47"/>
      <w:sz w:val="18"/>
    </w:rPr>
  </w:style>
  <w:style w:type="character" w:customStyle="1" w:styleId="FooterChar">
    <w:name w:val="Footer Char"/>
    <w:basedOn w:val="DefaultParagraphFont"/>
    <w:link w:val="Footer"/>
    <w:rsid w:val="004B5358"/>
    <w:rPr>
      <w:rFonts w:ascii="Calibri" w:eastAsiaTheme="minorEastAsia" w:hAnsi="Calibri"/>
      <w:color w:val="002C47"/>
      <w:sz w:val="18"/>
      <w:szCs w:val="20"/>
    </w:rPr>
  </w:style>
  <w:style w:type="character" w:styleId="Hyperlink">
    <w:name w:val="Hyperlink"/>
    <w:basedOn w:val="DefaultParagraphFont"/>
    <w:uiPriority w:val="99"/>
    <w:rsid w:val="0048560C"/>
    <w:rPr>
      <w:color w:val="4470A7"/>
      <w:u w:val="none"/>
    </w:rPr>
  </w:style>
  <w:style w:type="paragraph" w:styleId="ListParagraph">
    <w:name w:val="List Paragraph"/>
    <w:basedOn w:val="Normal"/>
    <w:uiPriority w:val="34"/>
    <w:rsid w:val="00A468B5"/>
    <w:pPr>
      <w:ind w:left="720"/>
      <w:contextualSpacing/>
    </w:pPr>
  </w:style>
  <w:style w:type="paragraph" w:styleId="FootnoteText">
    <w:name w:val="footnote text"/>
    <w:basedOn w:val="CommentText"/>
    <w:link w:val="FootnoteTextChar"/>
    <w:uiPriority w:val="99"/>
    <w:rsid w:val="00BF7CAE"/>
    <w:pPr>
      <w:tabs>
        <w:tab w:val="left" w:pos="284"/>
      </w:tabs>
      <w:ind w:left="284" w:hanging="284"/>
    </w:pPr>
    <w:rPr>
      <w:sz w:val="16"/>
    </w:rPr>
  </w:style>
  <w:style w:type="character" w:customStyle="1" w:styleId="FootnoteTextChar">
    <w:name w:val="Footnote Text Char"/>
    <w:basedOn w:val="DefaultParagraphFont"/>
    <w:link w:val="FootnoteText"/>
    <w:uiPriority w:val="99"/>
    <w:rsid w:val="00BF7CAE"/>
    <w:rPr>
      <w:rFonts w:ascii="Calibri" w:eastAsiaTheme="minorEastAsia" w:hAnsi="Calibri"/>
      <w:sz w:val="16"/>
      <w:szCs w:val="20"/>
    </w:rPr>
  </w:style>
  <w:style w:type="character" w:styleId="FootnoteReference">
    <w:name w:val="footnote reference"/>
    <w:basedOn w:val="DefaultParagraphFont"/>
    <w:uiPriority w:val="99"/>
    <w:rsid w:val="00A468B5"/>
    <w:rPr>
      <w:rFonts w:ascii="Calibri" w:hAnsi="Calibri"/>
      <w:sz w:val="20"/>
      <w:vertAlign w:val="superscript"/>
    </w:rPr>
  </w:style>
  <w:style w:type="character" w:customStyle="1" w:styleId="Heading1Char">
    <w:name w:val="Heading 1 Char"/>
    <w:basedOn w:val="DefaultParagraphFont"/>
    <w:link w:val="Heading1"/>
    <w:rsid w:val="00975BC4"/>
    <w:rPr>
      <w:rFonts w:ascii="Calibri" w:eastAsiaTheme="minorEastAsia" w:hAnsi="Calibri"/>
      <w:b/>
      <w:color w:val="002C47"/>
      <w:sz w:val="36"/>
    </w:rPr>
  </w:style>
  <w:style w:type="character" w:customStyle="1" w:styleId="Heading2Char">
    <w:name w:val="Heading 2 Char"/>
    <w:basedOn w:val="DefaultParagraphFont"/>
    <w:link w:val="Heading2"/>
    <w:rsid w:val="00463005"/>
    <w:rPr>
      <w:rFonts w:ascii="Calibri" w:eastAsiaTheme="minorEastAsia" w:hAnsi="Calibri"/>
      <w:b/>
      <w:i/>
      <w:color w:val="002C47"/>
      <w:sz w:val="28"/>
      <w:szCs w:val="20"/>
    </w:rPr>
  </w:style>
  <w:style w:type="character" w:customStyle="1" w:styleId="Heading3Char">
    <w:name w:val="Heading 3 Char"/>
    <w:basedOn w:val="DefaultParagraphFont"/>
    <w:link w:val="Heading3"/>
    <w:rsid w:val="004C38EA"/>
    <w:rPr>
      <w:rFonts w:ascii="Calibri" w:eastAsia="Calibri" w:hAnsi="Calibri"/>
      <w:b/>
      <w:i/>
      <w:iCs/>
      <w:color w:val="002C47" w:themeColor="accent1"/>
      <w:sz w:val="24"/>
      <w:szCs w:val="20"/>
    </w:rPr>
  </w:style>
  <w:style w:type="character" w:customStyle="1" w:styleId="Heading4Char">
    <w:name w:val="Heading 4 Char"/>
    <w:basedOn w:val="DefaultParagraphFont"/>
    <w:link w:val="Heading4"/>
    <w:rsid w:val="00A468B5"/>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A468B5"/>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A468B5"/>
    <w:rPr>
      <w:rFonts w:eastAsiaTheme="minorEastAsia"/>
      <w:i/>
      <w:smallCaps/>
      <w:color w:val="002C47" w:themeColor="accent1"/>
      <w:spacing w:val="10"/>
      <w:sz w:val="20"/>
      <w:szCs w:val="20"/>
    </w:rPr>
  </w:style>
  <w:style w:type="character" w:customStyle="1" w:styleId="Heading7Char">
    <w:name w:val="Heading 7 Char"/>
    <w:basedOn w:val="DefaultParagraphFont"/>
    <w:link w:val="Heading7"/>
    <w:uiPriority w:val="9"/>
    <w:rsid w:val="00A468B5"/>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28692E"/>
    <w:rPr>
      <w:rFonts w:ascii="Calibri" w:eastAsiaTheme="minorEastAsia" w:hAnsi="Calibri"/>
      <w:b/>
      <w:color w:val="002C47" w:themeColor="accent1"/>
      <w:szCs w:val="20"/>
    </w:rPr>
  </w:style>
  <w:style w:type="character" w:customStyle="1" w:styleId="Heading9Char">
    <w:name w:val="Heading 9 Char"/>
    <w:basedOn w:val="DefaultParagraphFont"/>
    <w:link w:val="Heading9"/>
    <w:uiPriority w:val="9"/>
    <w:rsid w:val="008E0014"/>
    <w:rPr>
      <w:rFonts w:ascii="Calibri" w:eastAsia="Calibri" w:hAnsi="Calibri"/>
      <w:b/>
      <w:bCs/>
      <w:smallCaps/>
      <w:color w:val="002C47" w:themeColor="accent1"/>
      <w:sz w:val="20"/>
      <w:szCs w:val="20"/>
    </w:rPr>
  </w:style>
  <w:style w:type="paragraph" w:customStyle="1" w:styleId="ChartGraphic">
    <w:name w:val="Chart Graphic"/>
    <w:basedOn w:val="Normal"/>
    <w:next w:val="Normal"/>
    <w:rsid w:val="00142FC9"/>
    <w:pPr>
      <w:keepNext/>
      <w:spacing w:before="0" w:after="240"/>
    </w:pPr>
    <w:rPr>
      <w:color w:val="004A7F"/>
    </w:rPr>
  </w:style>
  <w:style w:type="paragraph" w:customStyle="1" w:styleId="AlphaParagraph">
    <w:name w:val="Alpha Paragraph"/>
    <w:basedOn w:val="Normal"/>
    <w:rsid w:val="00A468B5"/>
    <w:pPr>
      <w:numPr>
        <w:ilvl w:val="1"/>
        <w:numId w:val="24"/>
      </w:numPr>
      <w:spacing w:before="0"/>
    </w:pPr>
  </w:style>
  <w:style w:type="paragraph" w:customStyle="1" w:styleId="BoxBullet">
    <w:name w:val="Box Bullet"/>
    <w:basedOn w:val="Normal"/>
    <w:link w:val="BoxBulletChar"/>
    <w:rsid w:val="00A468B5"/>
    <w:pPr>
      <w:numPr>
        <w:numId w:val="15"/>
      </w:numPr>
      <w:spacing w:before="40" w:after="40"/>
      <w:jc w:val="both"/>
    </w:pPr>
    <w:rPr>
      <w:rFonts w:cs="Times New Roman"/>
      <w:bdr w:val="none" w:sz="0" w:space="0" w:color="auto" w:frame="1"/>
      <w:lang w:eastAsia="en-AU"/>
    </w:rPr>
  </w:style>
  <w:style w:type="paragraph" w:customStyle="1" w:styleId="BoxDash">
    <w:name w:val="Box Dash"/>
    <w:basedOn w:val="Normal"/>
    <w:link w:val="BoxDashChar"/>
    <w:rsid w:val="00A468B5"/>
    <w:pPr>
      <w:numPr>
        <w:ilvl w:val="1"/>
        <w:numId w:val="15"/>
      </w:numPr>
      <w:spacing w:before="40" w:after="40"/>
      <w:jc w:val="both"/>
    </w:pPr>
    <w:rPr>
      <w:rFonts w:cs="Times New Roman"/>
      <w:bdr w:val="none" w:sz="0" w:space="0" w:color="auto" w:frame="1"/>
      <w:lang w:eastAsia="en-AU"/>
    </w:rPr>
  </w:style>
  <w:style w:type="paragraph" w:customStyle="1" w:styleId="BoxDoubleDot">
    <w:name w:val="Box Double Dot"/>
    <w:basedOn w:val="Normal"/>
    <w:rsid w:val="00A468B5"/>
    <w:pPr>
      <w:numPr>
        <w:ilvl w:val="2"/>
        <w:numId w:val="15"/>
      </w:numPr>
      <w:spacing w:before="0"/>
    </w:pPr>
  </w:style>
  <w:style w:type="paragraph" w:customStyle="1" w:styleId="BoxHeading">
    <w:name w:val="Box Heading"/>
    <w:basedOn w:val="Heading3"/>
    <w:next w:val="BoxText"/>
    <w:qFormat/>
    <w:rsid w:val="00A468B5"/>
    <w:pPr>
      <w:numPr>
        <w:numId w:val="29"/>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rsid w:val="00A21A3E"/>
    <w:pPr>
      <w:ind w:left="57" w:right="57"/>
      <w:jc w:val="both"/>
    </w:pPr>
    <w:rPr>
      <w:rFonts w:cstheme="minorHAnsi"/>
      <w:sz w:val="19"/>
      <w:lang w:eastAsia="en-AU"/>
    </w:rPr>
  </w:style>
  <w:style w:type="paragraph" w:customStyle="1" w:styleId="Normalbullet">
    <w:name w:val="Normal bullet"/>
    <w:basedOn w:val="Normal"/>
    <w:link w:val="NormalbulletChar"/>
    <w:qFormat/>
    <w:rsid w:val="00A468B5"/>
    <w:pPr>
      <w:numPr>
        <w:numId w:val="16"/>
      </w:numPr>
      <w:spacing w:before="0"/>
    </w:pPr>
  </w:style>
  <w:style w:type="paragraph" w:customStyle="1" w:styleId="ChartandTableFootnoteAlpha">
    <w:name w:val="Chart and Table Footnote Alpha"/>
    <w:rsid w:val="00A468B5"/>
    <w:pPr>
      <w:numPr>
        <w:numId w:val="18"/>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5C6849"/>
    <w:pPr>
      <w:keepNext/>
      <w:numPr>
        <w:numId w:val="28"/>
      </w:numPr>
      <w:spacing w:before="240"/>
      <w:outlineLvl w:val="8"/>
    </w:pPr>
    <w:rPr>
      <w:b/>
      <w:color w:val="1E75BA" w:themeColor="accent2"/>
      <w:sz w:val="22"/>
    </w:rPr>
  </w:style>
  <w:style w:type="paragraph" w:customStyle="1" w:styleId="ChartorTableNote">
    <w:name w:val="Chart or Table Note"/>
    <w:next w:val="Normal"/>
    <w:rsid w:val="00A711E0"/>
    <w:pPr>
      <w:tabs>
        <w:tab w:val="left" w:pos="454"/>
      </w:tabs>
      <w:spacing w:after="360" w:line="240" w:lineRule="auto"/>
      <w:ind w:left="454" w:hanging="454"/>
      <w:jc w:val="both"/>
    </w:pPr>
    <w:rPr>
      <w:rFonts w:ascii="Calibri" w:eastAsia="Times New Roman" w:hAnsi="Calibri" w:cs="Times New Roman"/>
      <w:bCs/>
      <w:color w:val="4470A7"/>
      <w:sz w:val="17"/>
      <w:szCs w:val="20"/>
      <w:lang w:eastAsia="en-AU"/>
    </w:rPr>
  </w:style>
  <w:style w:type="paragraph" w:customStyle="1" w:styleId="ChartSecondHeading">
    <w:name w:val="Chart Second Heading"/>
    <w:basedOn w:val="TableSecondHeading"/>
    <w:next w:val="ChartGraphic"/>
    <w:rsid w:val="00A468B5"/>
    <w:rPr>
      <w:color w:val="277F98" w:themeColor="accent6"/>
    </w:rPr>
  </w:style>
  <w:style w:type="paragraph" w:customStyle="1" w:styleId="ReportDate">
    <w:name w:val="Report Date"/>
    <w:basedOn w:val="Normal"/>
    <w:link w:val="ReportDateChar"/>
    <w:rsid w:val="00A468B5"/>
    <w:pPr>
      <w:keepNext/>
      <w:spacing w:before="0" w:after="360"/>
    </w:pPr>
    <w:rPr>
      <w:color w:val="FFFFFF" w:themeColor="background1"/>
      <w:sz w:val="44"/>
    </w:rPr>
  </w:style>
  <w:style w:type="paragraph" w:customStyle="1" w:styleId="Normaldash">
    <w:name w:val="Normal dash"/>
    <w:basedOn w:val="Normal"/>
    <w:link w:val="NormaldashChar"/>
    <w:qFormat/>
    <w:rsid w:val="00A468B5"/>
    <w:pPr>
      <w:numPr>
        <w:ilvl w:val="1"/>
        <w:numId w:val="16"/>
      </w:numPr>
      <w:spacing w:before="0"/>
    </w:pPr>
  </w:style>
  <w:style w:type="paragraph" w:customStyle="1" w:styleId="Normaldoubledot">
    <w:name w:val="Normal double dot"/>
    <w:basedOn w:val="Normal"/>
    <w:qFormat/>
    <w:rsid w:val="00A468B5"/>
    <w:pPr>
      <w:numPr>
        <w:ilvl w:val="2"/>
        <w:numId w:val="16"/>
      </w:numPr>
      <w:spacing w:before="0"/>
    </w:pPr>
  </w:style>
  <w:style w:type="paragraph" w:customStyle="1" w:styleId="TableMainHeading">
    <w:name w:val="Table Main Heading"/>
    <w:basedOn w:val="Normal"/>
    <w:next w:val="Normal"/>
    <w:rsid w:val="00A468B5"/>
    <w:pPr>
      <w:keepNext/>
      <w:numPr>
        <w:numId w:val="27"/>
      </w:numPr>
      <w:pBdr>
        <w:top w:val="dashed" w:sz="4" w:space="1" w:color="002C47" w:themeColor="accent1"/>
      </w:pBdr>
      <w:tabs>
        <w:tab w:val="left" w:pos="993"/>
      </w:tabs>
      <w:spacing w:after="0"/>
      <w:ind w:left="993" w:hanging="993"/>
      <w:outlineLvl w:val="7"/>
    </w:pPr>
    <w:rPr>
      <w:b/>
      <w:smallCaps/>
      <w:color w:val="002C47" w:themeColor="accent1"/>
      <w:spacing w:val="15"/>
    </w:rPr>
  </w:style>
  <w:style w:type="paragraph" w:customStyle="1" w:styleId="FooterEven">
    <w:name w:val="Footer Even"/>
    <w:basedOn w:val="Footer"/>
    <w:rsid w:val="00A468B5"/>
    <w:pPr>
      <w:keepNext/>
      <w:tabs>
        <w:tab w:val="clear" w:pos="4513"/>
        <w:tab w:val="clear" w:pos="9026"/>
      </w:tabs>
      <w:jc w:val="left"/>
    </w:pPr>
    <w:rPr>
      <w:noProof/>
      <w:color w:val="002C47" w:themeColor="accent1"/>
    </w:rPr>
  </w:style>
  <w:style w:type="paragraph" w:customStyle="1" w:styleId="FooterOdd">
    <w:name w:val="Footer Odd"/>
    <w:basedOn w:val="Footer"/>
    <w:rsid w:val="00A468B5"/>
    <w:pPr>
      <w:keepNext/>
      <w:tabs>
        <w:tab w:val="clear" w:pos="4513"/>
        <w:tab w:val="clear" w:pos="9026"/>
      </w:tabs>
      <w:jc w:val="right"/>
    </w:pPr>
    <w:rPr>
      <w:color w:val="002C47" w:themeColor="accent1"/>
    </w:rPr>
  </w:style>
  <w:style w:type="paragraph" w:customStyle="1" w:styleId="OutlineNumbered1">
    <w:name w:val="Outline Numbered 1"/>
    <w:basedOn w:val="Normal"/>
    <w:rsid w:val="00A468B5"/>
    <w:pPr>
      <w:numPr>
        <w:numId w:val="23"/>
      </w:numPr>
      <w:spacing w:before="0"/>
    </w:pPr>
  </w:style>
  <w:style w:type="paragraph" w:customStyle="1" w:styleId="OneLevelNumberedParagraph">
    <w:name w:val="One Level Numbered Paragraph"/>
    <w:basedOn w:val="Normal"/>
    <w:rsid w:val="00A468B5"/>
    <w:pPr>
      <w:numPr>
        <w:numId w:val="22"/>
      </w:numPr>
      <w:spacing w:before="0"/>
    </w:pPr>
  </w:style>
  <w:style w:type="paragraph" w:customStyle="1" w:styleId="OutlineNumbered2">
    <w:name w:val="Outline Numbered 2"/>
    <w:basedOn w:val="Normal"/>
    <w:rsid w:val="00A468B5"/>
    <w:pPr>
      <w:numPr>
        <w:ilvl w:val="1"/>
        <w:numId w:val="23"/>
      </w:numPr>
      <w:spacing w:before="0"/>
    </w:pPr>
  </w:style>
  <w:style w:type="paragraph" w:customStyle="1" w:styleId="OutlineNumbered3">
    <w:name w:val="Outline Numbered 3"/>
    <w:basedOn w:val="Normal"/>
    <w:rsid w:val="00A468B5"/>
    <w:pPr>
      <w:numPr>
        <w:ilvl w:val="2"/>
        <w:numId w:val="23"/>
      </w:numPr>
      <w:spacing w:before="0"/>
    </w:pPr>
  </w:style>
  <w:style w:type="paragraph" w:customStyle="1" w:styleId="Romannumeral">
    <w:name w:val="Roman numeral"/>
    <w:basedOn w:val="Normal"/>
    <w:rsid w:val="00A468B5"/>
    <w:pPr>
      <w:numPr>
        <w:numId w:val="24"/>
      </w:numPr>
      <w:tabs>
        <w:tab w:val="clear" w:pos="720"/>
        <w:tab w:val="num" w:pos="851"/>
      </w:tabs>
      <w:spacing w:before="0"/>
    </w:pPr>
  </w:style>
  <w:style w:type="paragraph" w:customStyle="1" w:styleId="SingleParagraph">
    <w:name w:val="Single Paragraph"/>
    <w:basedOn w:val="Normal"/>
    <w:link w:val="SingleParagraphChar"/>
    <w:rsid w:val="00A468B5"/>
    <w:pPr>
      <w:spacing w:before="0" w:after="0"/>
    </w:pPr>
  </w:style>
  <w:style w:type="paragraph" w:customStyle="1" w:styleId="TableSecondHeading">
    <w:name w:val="Table Second Heading"/>
    <w:basedOn w:val="Normal"/>
    <w:next w:val="Normal"/>
    <w:qFormat/>
    <w:rsid w:val="00FA35CB"/>
    <w:pPr>
      <w:spacing w:before="40" w:after="40" w:line="276" w:lineRule="auto"/>
      <w:jc w:val="center"/>
    </w:pPr>
    <w:rPr>
      <w:rFonts w:asciiTheme="minorHAnsi" w:eastAsia="Times New Roman" w:hAnsiTheme="minorHAnsi" w:cstheme="minorHAnsi"/>
      <w:b/>
      <w:bCs/>
      <w:color w:val="002C47" w:themeColor="accent1"/>
      <w:sz w:val="18"/>
      <w:szCs w:val="18"/>
      <w:lang w:eastAsia="en-AU"/>
    </w:rPr>
  </w:style>
  <w:style w:type="paragraph" w:customStyle="1" w:styleId="TableColumnHeadingCentred">
    <w:name w:val="Table Column Heading Centred"/>
    <w:basedOn w:val="TableTextLeft"/>
    <w:rsid w:val="00A468B5"/>
    <w:pPr>
      <w:jc w:val="center"/>
    </w:pPr>
    <w:rPr>
      <w:b/>
      <w:color w:val="004A7F"/>
    </w:rPr>
  </w:style>
  <w:style w:type="paragraph" w:customStyle="1" w:styleId="TableColumnHeadingLeft">
    <w:name w:val="Table Column Heading Left"/>
    <w:basedOn w:val="TableTextLeft"/>
    <w:rsid w:val="00A468B5"/>
    <w:rPr>
      <w:b/>
      <w:color w:val="004A7F"/>
    </w:rPr>
  </w:style>
  <w:style w:type="paragraph" w:customStyle="1" w:styleId="TableColumnHeadingRight">
    <w:name w:val="Table Column Heading Right"/>
    <w:basedOn w:val="TableTextLeft"/>
    <w:rsid w:val="00A468B5"/>
    <w:pPr>
      <w:jc w:val="right"/>
    </w:pPr>
    <w:rPr>
      <w:b/>
      <w:color w:val="004A7F"/>
    </w:rPr>
  </w:style>
  <w:style w:type="paragraph" w:customStyle="1" w:styleId="TableTextCentered">
    <w:name w:val="Table Text Centered"/>
    <w:basedOn w:val="TableTextRight"/>
    <w:rsid w:val="00A468B5"/>
    <w:pPr>
      <w:jc w:val="center"/>
    </w:pPr>
  </w:style>
  <w:style w:type="paragraph" w:customStyle="1" w:styleId="TableTextLeft">
    <w:name w:val="Table Text Left"/>
    <w:basedOn w:val="TableTextRight"/>
    <w:rsid w:val="00A468B5"/>
    <w:pPr>
      <w:jc w:val="left"/>
    </w:pPr>
    <w:rPr>
      <w:rFonts w:cs="Times New Roman"/>
      <w:bdr w:val="none" w:sz="0" w:space="0" w:color="auto" w:frame="1"/>
      <w:lang w:eastAsia="en-AU"/>
    </w:rPr>
  </w:style>
  <w:style w:type="paragraph" w:customStyle="1" w:styleId="TableTextRight">
    <w:name w:val="Table Text Right"/>
    <w:basedOn w:val="Normal"/>
    <w:rsid w:val="00A468B5"/>
    <w:pPr>
      <w:spacing w:before="40" w:after="40"/>
      <w:jc w:val="right"/>
    </w:pPr>
    <w:rPr>
      <w:color w:val="000000"/>
    </w:rPr>
  </w:style>
  <w:style w:type="paragraph" w:styleId="TOC1">
    <w:name w:val="toc 1"/>
    <w:basedOn w:val="Normal"/>
    <w:next w:val="Normal"/>
    <w:uiPriority w:val="39"/>
    <w:rsid w:val="00A468B5"/>
    <w:pPr>
      <w:keepNext/>
      <w:tabs>
        <w:tab w:val="right" w:leader="dot" w:pos="9072"/>
      </w:tabs>
      <w:spacing w:before="180" w:after="0"/>
      <w:ind w:right="-2"/>
    </w:pPr>
    <w:rPr>
      <w:b/>
      <w:noProof/>
      <w:color w:val="000000" w:themeColor="text1"/>
      <w:szCs w:val="22"/>
    </w:rPr>
  </w:style>
  <w:style w:type="paragraph" w:styleId="TOC2">
    <w:name w:val="toc 2"/>
    <w:basedOn w:val="Normal"/>
    <w:next w:val="Normal"/>
    <w:uiPriority w:val="39"/>
    <w:rsid w:val="00A468B5"/>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A468B5"/>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A468B5"/>
    <w:pPr>
      <w:numPr>
        <w:numId w:val="23"/>
      </w:numPr>
    </w:pPr>
  </w:style>
  <w:style w:type="numbering" w:customStyle="1" w:styleId="BulletedList">
    <w:name w:val="Bulleted List"/>
    <w:uiPriority w:val="99"/>
    <w:rsid w:val="00A468B5"/>
    <w:pPr>
      <w:numPr>
        <w:numId w:val="16"/>
      </w:numPr>
    </w:pPr>
  </w:style>
  <w:style w:type="numbering" w:customStyle="1" w:styleId="BoxBulletedList">
    <w:name w:val="Box Bulleted List"/>
    <w:uiPriority w:val="99"/>
    <w:rsid w:val="00A468B5"/>
    <w:pPr>
      <w:numPr>
        <w:numId w:val="15"/>
      </w:numPr>
    </w:pPr>
  </w:style>
  <w:style w:type="numbering" w:customStyle="1" w:styleId="OneLevelList">
    <w:name w:val="OneLevelList"/>
    <w:uiPriority w:val="99"/>
    <w:rsid w:val="00A468B5"/>
    <w:pPr>
      <w:numPr>
        <w:numId w:val="22"/>
      </w:numPr>
    </w:pPr>
  </w:style>
  <w:style w:type="numbering" w:customStyle="1" w:styleId="ChartandTableFootnoteAlphaList">
    <w:name w:val="ChartandTableFootnoteAlphaList"/>
    <w:uiPriority w:val="99"/>
    <w:rsid w:val="00A468B5"/>
    <w:pPr>
      <w:numPr>
        <w:numId w:val="18"/>
      </w:numPr>
    </w:pPr>
  </w:style>
  <w:style w:type="paragraph" w:customStyle="1" w:styleId="Crest">
    <w:name w:val="Crest"/>
    <w:basedOn w:val="Header"/>
    <w:rsid w:val="00A468B5"/>
    <w:pPr>
      <w:spacing w:after="480"/>
      <w:jc w:val="center"/>
    </w:pPr>
    <w:rPr>
      <w:color w:val="000000" w:themeColor="text1"/>
    </w:rPr>
  </w:style>
  <w:style w:type="paragraph" w:customStyle="1" w:styleId="Heading1Numbered">
    <w:name w:val="Heading 1 Numbered"/>
    <w:basedOn w:val="Heading1"/>
    <w:next w:val="Normal"/>
    <w:rsid w:val="00A468B5"/>
    <w:pPr>
      <w:numPr>
        <w:numId w:val="19"/>
      </w:numPr>
    </w:pPr>
  </w:style>
  <w:style w:type="character" w:customStyle="1" w:styleId="SingleParagraphChar">
    <w:name w:val="Single Paragraph Char"/>
    <w:basedOn w:val="DefaultParagraphFont"/>
    <w:link w:val="SingleParagraph"/>
    <w:rsid w:val="00A468B5"/>
    <w:rPr>
      <w:rFonts w:eastAsiaTheme="minorEastAsia"/>
      <w:sz w:val="20"/>
      <w:szCs w:val="20"/>
    </w:rPr>
  </w:style>
  <w:style w:type="paragraph" w:customStyle="1" w:styleId="Heading2Numbered">
    <w:name w:val="Heading 2 Numbered"/>
    <w:basedOn w:val="Heading2"/>
    <w:next w:val="Normal"/>
    <w:rsid w:val="00A468B5"/>
    <w:pPr>
      <w:numPr>
        <w:ilvl w:val="1"/>
        <w:numId w:val="19"/>
      </w:numPr>
    </w:pPr>
  </w:style>
  <w:style w:type="paragraph" w:customStyle="1" w:styleId="Heading3Numbered">
    <w:name w:val="Heading 3 Numbered"/>
    <w:basedOn w:val="Heading3"/>
    <w:qFormat/>
    <w:rsid w:val="00A468B5"/>
    <w:pPr>
      <w:numPr>
        <w:ilvl w:val="2"/>
        <w:numId w:val="19"/>
      </w:numPr>
    </w:pPr>
  </w:style>
  <w:style w:type="paragraph" w:styleId="Title">
    <w:name w:val="Title"/>
    <w:basedOn w:val="Normal"/>
    <w:next w:val="Normal"/>
    <w:link w:val="TitleChar"/>
    <w:uiPriority w:val="10"/>
    <w:qFormat/>
    <w:rsid w:val="00A468B5"/>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A468B5"/>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A468B5"/>
    <w:pPr>
      <w:spacing w:before="0" w:after="500"/>
    </w:pPr>
    <w:rPr>
      <w:caps/>
      <w:color w:val="FFFFFF" w:themeColor="background1"/>
      <w:spacing w:val="10"/>
      <w:sz w:val="21"/>
      <w:szCs w:val="21"/>
    </w:rPr>
  </w:style>
  <w:style w:type="character" w:customStyle="1" w:styleId="SubtitleChar">
    <w:name w:val="Subtitle Char"/>
    <w:basedOn w:val="DefaultParagraphFont"/>
    <w:link w:val="Subtitle"/>
    <w:uiPriority w:val="11"/>
    <w:rsid w:val="00A468B5"/>
    <w:rPr>
      <w:rFonts w:eastAsiaTheme="minorEastAsia"/>
      <w:caps/>
      <w:color w:val="FFFFFF" w:themeColor="background1"/>
      <w:spacing w:val="10"/>
      <w:sz w:val="21"/>
      <w:szCs w:val="21"/>
    </w:rPr>
  </w:style>
  <w:style w:type="character" w:styleId="SubtleEmphasis">
    <w:name w:val="Subtle Emphasis"/>
    <w:uiPriority w:val="19"/>
    <w:rsid w:val="00A468B5"/>
    <w:rPr>
      <w:i/>
      <w:iCs/>
      <w:color w:val="001523" w:themeColor="accent1" w:themeShade="7F"/>
    </w:rPr>
  </w:style>
  <w:style w:type="character" w:styleId="PlaceholderText">
    <w:name w:val="Placeholder Text"/>
    <w:basedOn w:val="DefaultParagraphFont"/>
    <w:uiPriority w:val="99"/>
    <w:semiHidden/>
    <w:rsid w:val="00A468B5"/>
    <w:rPr>
      <w:color w:val="808080"/>
    </w:rPr>
  </w:style>
  <w:style w:type="paragraph" w:customStyle="1" w:styleId="AppendixHeading">
    <w:name w:val="Appendix Heading"/>
    <w:basedOn w:val="Normal"/>
    <w:next w:val="Normal"/>
    <w:rsid w:val="00A468B5"/>
    <w:pPr>
      <w:keepNext/>
      <w:spacing w:before="720" w:after="360"/>
    </w:pPr>
    <w:rPr>
      <w:rFonts w:ascii="Arial Bold" w:hAnsi="Arial Bold"/>
      <w:b/>
      <w:smallCaps/>
      <w:color w:val="004A7F"/>
      <w:sz w:val="36"/>
      <w:szCs w:val="36"/>
    </w:rPr>
  </w:style>
  <w:style w:type="paragraph" w:customStyle="1" w:styleId="HeadingBase">
    <w:name w:val="Heading Base"/>
    <w:rsid w:val="00A468B5"/>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A468B5"/>
    <w:rPr>
      <w:rFonts w:eastAsiaTheme="minorEastAsia"/>
      <w:color w:val="FFFFFF" w:themeColor="background1"/>
      <w:sz w:val="44"/>
      <w:szCs w:val="20"/>
    </w:rPr>
  </w:style>
  <w:style w:type="paragraph" w:customStyle="1" w:styleId="Disclaimer">
    <w:name w:val="Disclaimer"/>
    <w:basedOn w:val="ReportDate"/>
    <w:rsid w:val="00A468B5"/>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A468B5"/>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A468B5"/>
    <w:pPr>
      <w:spacing w:after="1800"/>
    </w:pPr>
    <w:rPr>
      <w:rFonts w:ascii="Rockwell" w:hAnsi="Rockwell"/>
      <w:sz w:val="24"/>
    </w:rPr>
  </w:style>
  <w:style w:type="character" w:customStyle="1" w:styleId="FramedFooter">
    <w:name w:val="Framed Footer"/>
    <w:rsid w:val="00A468B5"/>
    <w:rPr>
      <w:rFonts w:ascii="Arial" w:hAnsi="Arial"/>
      <w:color w:val="002C47"/>
      <w:sz w:val="18"/>
    </w:rPr>
  </w:style>
  <w:style w:type="character" w:customStyle="1" w:styleId="FramedHeader">
    <w:name w:val="Framed Header"/>
    <w:basedOn w:val="DefaultParagraphFont"/>
    <w:rsid w:val="00A468B5"/>
    <w:rPr>
      <w:rFonts w:ascii="Arial" w:hAnsi="Arial"/>
      <w:dstrike w:val="0"/>
      <w:color w:val="auto"/>
      <w:sz w:val="18"/>
      <w:vertAlign w:val="baseline"/>
    </w:rPr>
  </w:style>
  <w:style w:type="paragraph" w:customStyle="1" w:styleId="TableTextIndented">
    <w:name w:val="Table Text Indented"/>
    <w:basedOn w:val="TableTextLeft"/>
    <w:rsid w:val="00A468B5"/>
    <w:pPr>
      <w:ind w:left="284"/>
    </w:pPr>
  </w:style>
  <w:style w:type="paragraph" w:customStyle="1" w:styleId="TableHeadingContinued">
    <w:name w:val="Table Heading Continued"/>
    <w:basedOn w:val="TableMainHeading"/>
    <w:next w:val="TableGraphic"/>
    <w:qFormat/>
    <w:rsid w:val="00FA35CB"/>
    <w:pPr>
      <w:spacing w:after="120"/>
      <w:ind w:left="992" w:hanging="992"/>
    </w:pPr>
  </w:style>
  <w:style w:type="paragraph" w:customStyle="1" w:styleId="TableGraphic">
    <w:name w:val="Table Graphic"/>
    <w:basedOn w:val="HeadingBase"/>
    <w:next w:val="Normal"/>
    <w:rsid w:val="00A468B5"/>
    <w:pPr>
      <w:spacing w:after="0"/>
    </w:pPr>
    <w:rPr>
      <w:color w:val="auto"/>
      <w:sz w:val="22"/>
    </w:rPr>
  </w:style>
  <w:style w:type="paragraph" w:customStyle="1" w:styleId="HeaderEven">
    <w:name w:val="Header Even"/>
    <w:basedOn w:val="HeaderOdd"/>
    <w:rsid w:val="00975BC4"/>
    <w:pPr>
      <w:jc w:val="left"/>
    </w:pPr>
  </w:style>
  <w:style w:type="paragraph" w:customStyle="1" w:styleId="HeaderOdd">
    <w:name w:val="Header Odd"/>
    <w:basedOn w:val="Header"/>
    <w:rsid w:val="00975BC4"/>
    <w:rPr>
      <w:b/>
      <w:color w:val="002C47" w:themeColor="accent1"/>
      <w:sz w:val="18"/>
    </w:rPr>
  </w:style>
  <w:style w:type="paragraph" w:styleId="NoSpacing">
    <w:name w:val="No Spacing"/>
    <w:link w:val="NoSpacingChar"/>
    <w:uiPriority w:val="1"/>
    <w:rsid w:val="00A468B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468B5"/>
    <w:rPr>
      <w:rFonts w:eastAsiaTheme="minorEastAsia"/>
      <w:sz w:val="20"/>
      <w:szCs w:val="20"/>
    </w:rPr>
  </w:style>
  <w:style w:type="paragraph" w:customStyle="1" w:styleId="PreparedBy">
    <w:name w:val="PreparedBy"/>
    <w:basedOn w:val="Subtitle"/>
    <w:qFormat/>
    <w:rsid w:val="00A468B5"/>
  </w:style>
  <w:style w:type="character" w:styleId="BookTitle">
    <w:name w:val="Book Title"/>
    <w:uiPriority w:val="33"/>
    <w:rsid w:val="00A468B5"/>
    <w:rPr>
      <w:b/>
      <w:bCs/>
      <w:i/>
      <w:iCs/>
      <w:spacing w:val="0"/>
    </w:rPr>
  </w:style>
  <w:style w:type="character" w:customStyle="1" w:styleId="NormalbulletChar">
    <w:name w:val="Normal bullet Char"/>
    <w:basedOn w:val="DefaultParagraphFont"/>
    <w:link w:val="Normalbullet"/>
    <w:locked/>
    <w:rsid w:val="00A468B5"/>
    <w:rPr>
      <w:rFonts w:eastAsiaTheme="minorEastAsia"/>
      <w:sz w:val="20"/>
      <w:szCs w:val="20"/>
    </w:rPr>
  </w:style>
  <w:style w:type="paragraph" w:styleId="Caption">
    <w:name w:val="caption"/>
    <w:basedOn w:val="Normal"/>
    <w:next w:val="Normal"/>
    <w:uiPriority w:val="35"/>
    <w:semiHidden/>
    <w:unhideWhenUsed/>
    <w:qFormat/>
    <w:rsid w:val="00A468B5"/>
    <w:rPr>
      <w:b/>
      <w:bCs/>
      <w:color w:val="002035" w:themeColor="accent1" w:themeShade="BF"/>
      <w:sz w:val="16"/>
      <w:szCs w:val="16"/>
    </w:rPr>
  </w:style>
  <w:style w:type="character" w:customStyle="1" w:styleId="NormaldashChar">
    <w:name w:val="Normal dash Char"/>
    <w:basedOn w:val="DefaultParagraphFont"/>
    <w:link w:val="Normaldash"/>
    <w:locked/>
    <w:rsid w:val="00A468B5"/>
    <w:rPr>
      <w:rFonts w:eastAsiaTheme="minorEastAsia"/>
      <w:sz w:val="20"/>
      <w:szCs w:val="20"/>
    </w:rPr>
  </w:style>
  <w:style w:type="character" w:styleId="Emphasis">
    <w:name w:val="Emphasis"/>
    <w:uiPriority w:val="20"/>
    <w:rsid w:val="00A468B5"/>
    <w:rPr>
      <w:caps/>
      <w:color w:val="001523" w:themeColor="accent1" w:themeShade="7F"/>
      <w:spacing w:val="5"/>
    </w:rPr>
  </w:style>
  <w:style w:type="character" w:styleId="IntenseEmphasis">
    <w:name w:val="Intense Emphasis"/>
    <w:uiPriority w:val="21"/>
    <w:rsid w:val="00A468B5"/>
    <w:rPr>
      <w:b/>
      <w:bCs/>
      <w:caps/>
      <w:color w:val="001523" w:themeColor="accent1" w:themeShade="7F"/>
      <w:spacing w:val="10"/>
    </w:rPr>
  </w:style>
  <w:style w:type="paragraph" w:styleId="IntenseQuote">
    <w:name w:val="Intense Quote"/>
    <w:basedOn w:val="Normal"/>
    <w:next w:val="Normal"/>
    <w:link w:val="IntenseQuoteChar"/>
    <w:uiPriority w:val="30"/>
    <w:rsid w:val="00A468B5"/>
    <w:pPr>
      <w:spacing w:before="240" w:after="240"/>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A468B5"/>
    <w:rPr>
      <w:rFonts w:eastAsiaTheme="minorEastAsia"/>
      <w:color w:val="002C47" w:themeColor="accent1"/>
      <w:sz w:val="24"/>
      <w:szCs w:val="24"/>
    </w:rPr>
  </w:style>
  <w:style w:type="character" w:styleId="IntenseReference">
    <w:name w:val="Intense Reference"/>
    <w:uiPriority w:val="32"/>
    <w:rsid w:val="00A468B5"/>
    <w:rPr>
      <w:b/>
      <w:bCs/>
      <w:i/>
      <w:iCs/>
      <w:caps/>
      <w:color w:val="002C47" w:themeColor="accent1"/>
    </w:rPr>
  </w:style>
  <w:style w:type="paragraph" w:styleId="NormalWeb">
    <w:name w:val="Normal (Web)"/>
    <w:basedOn w:val="Normal"/>
    <w:uiPriority w:val="99"/>
    <w:unhideWhenUsed/>
    <w:rsid w:val="00A468B5"/>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A468B5"/>
    <w:rPr>
      <w:i/>
      <w:iCs/>
      <w:sz w:val="24"/>
      <w:szCs w:val="24"/>
    </w:rPr>
  </w:style>
  <w:style w:type="character" w:customStyle="1" w:styleId="QuoteChar">
    <w:name w:val="Quote Char"/>
    <w:basedOn w:val="DefaultParagraphFont"/>
    <w:link w:val="Quote"/>
    <w:uiPriority w:val="29"/>
    <w:rsid w:val="00A468B5"/>
    <w:rPr>
      <w:rFonts w:eastAsiaTheme="minorEastAsia"/>
      <w:i/>
      <w:iCs/>
      <w:sz w:val="24"/>
      <w:szCs w:val="24"/>
    </w:rPr>
  </w:style>
  <w:style w:type="character" w:styleId="Strong">
    <w:name w:val="Strong"/>
    <w:uiPriority w:val="22"/>
    <w:rsid w:val="00A468B5"/>
    <w:rPr>
      <w:b/>
      <w:bCs/>
    </w:rPr>
  </w:style>
  <w:style w:type="character" w:styleId="SubtleReference">
    <w:name w:val="Subtle Reference"/>
    <w:uiPriority w:val="31"/>
    <w:rsid w:val="00A468B5"/>
    <w:rPr>
      <w:b/>
      <w:bCs/>
      <w:color w:val="002C47" w:themeColor="accent1"/>
    </w:rPr>
  </w:style>
  <w:style w:type="paragraph" w:styleId="TOCHeading">
    <w:name w:val="TOC Heading"/>
    <w:basedOn w:val="Heading1"/>
    <w:next w:val="Normal"/>
    <w:uiPriority w:val="39"/>
    <w:semiHidden/>
    <w:unhideWhenUsed/>
    <w:qFormat/>
    <w:rsid w:val="00A468B5"/>
    <w:pPr>
      <w:outlineLvl w:val="9"/>
    </w:pPr>
  </w:style>
  <w:style w:type="character" w:customStyle="1" w:styleId="value">
    <w:name w:val="value"/>
    <w:basedOn w:val="DefaultParagraphFont"/>
    <w:rsid w:val="00A468B5"/>
  </w:style>
  <w:style w:type="paragraph" w:styleId="BodyText">
    <w:name w:val="Body Text"/>
    <w:basedOn w:val="Normal"/>
    <w:link w:val="BodyTextChar"/>
    <w:uiPriority w:val="99"/>
    <w:semiHidden/>
    <w:unhideWhenUsed/>
    <w:rsid w:val="00A468B5"/>
  </w:style>
  <w:style w:type="character" w:customStyle="1" w:styleId="BodyTextChar">
    <w:name w:val="Body Text Char"/>
    <w:basedOn w:val="DefaultParagraphFont"/>
    <w:link w:val="BodyText"/>
    <w:uiPriority w:val="99"/>
    <w:semiHidden/>
    <w:rsid w:val="00A468B5"/>
    <w:rPr>
      <w:rFonts w:eastAsiaTheme="minorEastAsia"/>
      <w:sz w:val="20"/>
      <w:szCs w:val="20"/>
    </w:rPr>
  </w:style>
  <w:style w:type="character" w:customStyle="1" w:styleId="BoxBulletChar">
    <w:name w:val="Box Bullet Char"/>
    <w:basedOn w:val="DefaultParagraphFont"/>
    <w:link w:val="BoxBullet"/>
    <w:rsid w:val="00A468B5"/>
    <w:rPr>
      <w:rFonts w:eastAsiaTheme="minorEastAsia" w:cs="Times New Roman"/>
      <w:sz w:val="20"/>
      <w:szCs w:val="20"/>
      <w:bdr w:val="none" w:sz="0" w:space="0" w:color="auto" w:frame="1"/>
      <w:lang w:eastAsia="en-AU"/>
    </w:rPr>
  </w:style>
  <w:style w:type="character" w:customStyle="1" w:styleId="BoxDashChar">
    <w:name w:val="Box Dash Char"/>
    <w:basedOn w:val="DefaultParagraphFont"/>
    <w:link w:val="BoxDash"/>
    <w:rsid w:val="00A468B5"/>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815D89"/>
    <w:pPr>
      <w:numPr>
        <w:ilvl w:val="0"/>
        <w:numId w:val="0"/>
      </w:numPr>
      <w:pBdr>
        <w:bottom w:val="dashed" w:sz="4" w:space="1" w:color="002C47" w:themeColor="accent1"/>
      </w:pBdr>
      <w:tabs>
        <w:tab w:val="left" w:pos="596"/>
      </w:tabs>
      <w:ind w:left="596" w:hanging="567"/>
    </w:pPr>
    <w:rPr>
      <w:bdr w:val="none" w:sz="0" w:space="0" w:color="auto" w:frame="1"/>
    </w:rPr>
  </w:style>
  <w:style w:type="character" w:customStyle="1" w:styleId="SourceChar">
    <w:name w:val="Source Char"/>
    <w:basedOn w:val="NormaldashChar"/>
    <w:link w:val="Source"/>
    <w:rsid w:val="00815D89"/>
    <w:rPr>
      <w:rFonts w:ascii="Calibri" w:eastAsiaTheme="minorEastAsia" w:hAnsi="Calibri"/>
      <w:sz w:val="20"/>
      <w:szCs w:val="20"/>
      <w:bdr w:val="none" w:sz="0" w:space="0" w:color="auto" w:frame="1"/>
    </w:rPr>
  </w:style>
  <w:style w:type="paragraph" w:customStyle="1" w:styleId="Tabledash">
    <w:name w:val="Table dash"/>
    <w:basedOn w:val="BoxDash"/>
    <w:link w:val="TabledashChar"/>
    <w:qFormat/>
    <w:rsid w:val="00A468B5"/>
    <w:pPr>
      <w:tabs>
        <w:tab w:val="clear" w:pos="567"/>
        <w:tab w:val="num" w:pos="283"/>
      </w:tabs>
      <w:ind w:left="568" w:hanging="283"/>
    </w:pPr>
  </w:style>
  <w:style w:type="character" w:customStyle="1" w:styleId="TabledashChar">
    <w:name w:val="Table dash Char"/>
    <w:basedOn w:val="BoxDashChar"/>
    <w:link w:val="Tabledash"/>
    <w:rsid w:val="00A468B5"/>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A468B5"/>
    <w:pPr>
      <w:numPr>
        <w:numId w:val="0"/>
      </w:numPr>
    </w:pPr>
  </w:style>
  <w:style w:type="character" w:customStyle="1" w:styleId="TabledotChar">
    <w:name w:val="Table dot Char"/>
    <w:basedOn w:val="BoxBulletChar"/>
    <w:link w:val="Tabledot"/>
    <w:rsid w:val="00A468B5"/>
    <w:rPr>
      <w:rFonts w:eastAsiaTheme="minorEastAsia" w:cs="Times New Roman"/>
      <w:sz w:val="20"/>
      <w:szCs w:val="20"/>
      <w:bdr w:val="none" w:sz="0" w:space="0" w:color="auto" w:frame="1"/>
      <w:lang w:eastAsia="en-AU"/>
    </w:rPr>
  </w:style>
  <w:style w:type="character" w:styleId="UnresolvedMention">
    <w:name w:val="Unresolved Mention"/>
    <w:basedOn w:val="DefaultParagraphFont"/>
    <w:uiPriority w:val="99"/>
    <w:semiHidden/>
    <w:unhideWhenUsed/>
    <w:rsid w:val="00D971C5"/>
    <w:rPr>
      <w:color w:val="605E5C"/>
      <w:shd w:val="clear" w:color="auto" w:fill="E1DFDD"/>
    </w:rPr>
  </w:style>
  <w:style w:type="paragraph" w:customStyle="1" w:styleId="Chartheading">
    <w:name w:val="Chart heading"/>
    <w:basedOn w:val="Heading9"/>
    <w:link w:val="ChartheadingChar"/>
    <w:qFormat/>
    <w:rsid w:val="00FA35CB"/>
  </w:style>
  <w:style w:type="character" w:customStyle="1" w:styleId="ChartheadingChar">
    <w:name w:val="Chart heading Char"/>
    <w:basedOn w:val="Heading9Char"/>
    <w:link w:val="Chartheading"/>
    <w:rsid w:val="00FA35CB"/>
    <w:rPr>
      <w:rFonts w:ascii="Calibri" w:eastAsia="Calibri" w:hAnsi="Calibri"/>
      <w:b/>
      <w:bCs/>
      <w:smallCaps/>
      <w:color w:val="002C47" w:themeColor="accent1"/>
      <w:sz w:val="20"/>
      <w:szCs w:val="20"/>
    </w:rPr>
  </w:style>
  <w:style w:type="character" w:styleId="FollowedHyperlink">
    <w:name w:val="FollowedHyperlink"/>
    <w:basedOn w:val="DefaultParagraphFont"/>
    <w:uiPriority w:val="99"/>
    <w:semiHidden/>
    <w:unhideWhenUsed/>
    <w:rsid w:val="00E027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3236">
      <w:bodyDiv w:val="1"/>
      <w:marLeft w:val="0"/>
      <w:marRight w:val="0"/>
      <w:marTop w:val="0"/>
      <w:marBottom w:val="0"/>
      <w:divBdr>
        <w:top w:val="none" w:sz="0" w:space="0" w:color="auto"/>
        <w:left w:val="none" w:sz="0" w:space="0" w:color="auto"/>
        <w:bottom w:val="none" w:sz="0" w:space="0" w:color="auto"/>
        <w:right w:val="none" w:sz="0" w:space="0" w:color="auto"/>
      </w:divBdr>
    </w:div>
    <w:div w:id="229080329">
      <w:bodyDiv w:val="1"/>
      <w:marLeft w:val="0"/>
      <w:marRight w:val="0"/>
      <w:marTop w:val="0"/>
      <w:marBottom w:val="0"/>
      <w:divBdr>
        <w:top w:val="none" w:sz="0" w:space="0" w:color="auto"/>
        <w:left w:val="none" w:sz="0" w:space="0" w:color="auto"/>
        <w:bottom w:val="none" w:sz="0" w:space="0" w:color="auto"/>
        <w:right w:val="none" w:sz="0" w:space="0" w:color="auto"/>
      </w:divBdr>
    </w:div>
    <w:div w:id="272515186">
      <w:bodyDiv w:val="1"/>
      <w:marLeft w:val="0"/>
      <w:marRight w:val="0"/>
      <w:marTop w:val="0"/>
      <w:marBottom w:val="0"/>
      <w:divBdr>
        <w:top w:val="none" w:sz="0" w:space="0" w:color="auto"/>
        <w:left w:val="none" w:sz="0" w:space="0" w:color="auto"/>
        <w:bottom w:val="none" w:sz="0" w:space="0" w:color="auto"/>
        <w:right w:val="none" w:sz="0" w:space="0" w:color="auto"/>
      </w:divBdr>
    </w:div>
    <w:div w:id="562177477">
      <w:bodyDiv w:val="1"/>
      <w:marLeft w:val="0"/>
      <w:marRight w:val="0"/>
      <w:marTop w:val="0"/>
      <w:marBottom w:val="0"/>
      <w:divBdr>
        <w:top w:val="none" w:sz="0" w:space="0" w:color="auto"/>
        <w:left w:val="none" w:sz="0" w:space="0" w:color="auto"/>
        <w:bottom w:val="none" w:sz="0" w:space="0" w:color="auto"/>
        <w:right w:val="none" w:sz="0" w:space="0" w:color="auto"/>
      </w:divBdr>
    </w:div>
    <w:div w:id="585769590">
      <w:bodyDiv w:val="1"/>
      <w:marLeft w:val="0"/>
      <w:marRight w:val="0"/>
      <w:marTop w:val="0"/>
      <w:marBottom w:val="0"/>
      <w:divBdr>
        <w:top w:val="none" w:sz="0" w:space="0" w:color="auto"/>
        <w:left w:val="none" w:sz="0" w:space="0" w:color="auto"/>
        <w:bottom w:val="none" w:sz="0" w:space="0" w:color="auto"/>
        <w:right w:val="none" w:sz="0" w:space="0" w:color="auto"/>
      </w:divBdr>
    </w:div>
    <w:div w:id="668824284">
      <w:bodyDiv w:val="1"/>
      <w:marLeft w:val="0"/>
      <w:marRight w:val="0"/>
      <w:marTop w:val="0"/>
      <w:marBottom w:val="0"/>
      <w:divBdr>
        <w:top w:val="none" w:sz="0" w:space="0" w:color="auto"/>
        <w:left w:val="none" w:sz="0" w:space="0" w:color="auto"/>
        <w:bottom w:val="none" w:sz="0" w:space="0" w:color="auto"/>
        <w:right w:val="none" w:sz="0" w:space="0" w:color="auto"/>
      </w:divBdr>
    </w:div>
    <w:div w:id="768426986">
      <w:bodyDiv w:val="1"/>
      <w:marLeft w:val="0"/>
      <w:marRight w:val="0"/>
      <w:marTop w:val="0"/>
      <w:marBottom w:val="0"/>
      <w:divBdr>
        <w:top w:val="none" w:sz="0" w:space="0" w:color="auto"/>
        <w:left w:val="none" w:sz="0" w:space="0" w:color="auto"/>
        <w:bottom w:val="none" w:sz="0" w:space="0" w:color="auto"/>
        <w:right w:val="none" w:sz="0" w:space="0" w:color="auto"/>
      </w:divBdr>
    </w:div>
    <w:div w:id="777406539">
      <w:bodyDiv w:val="1"/>
      <w:marLeft w:val="0"/>
      <w:marRight w:val="0"/>
      <w:marTop w:val="0"/>
      <w:marBottom w:val="0"/>
      <w:divBdr>
        <w:top w:val="none" w:sz="0" w:space="0" w:color="auto"/>
        <w:left w:val="none" w:sz="0" w:space="0" w:color="auto"/>
        <w:bottom w:val="none" w:sz="0" w:space="0" w:color="auto"/>
        <w:right w:val="none" w:sz="0" w:space="0" w:color="auto"/>
      </w:divBdr>
    </w:div>
    <w:div w:id="919605794">
      <w:bodyDiv w:val="1"/>
      <w:marLeft w:val="0"/>
      <w:marRight w:val="0"/>
      <w:marTop w:val="0"/>
      <w:marBottom w:val="0"/>
      <w:divBdr>
        <w:top w:val="none" w:sz="0" w:space="0" w:color="auto"/>
        <w:left w:val="none" w:sz="0" w:space="0" w:color="auto"/>
        <w:bottom w:val="none" w:sz="0" w:space="0" w:color="auto"/>
        <w:right w:val="none" w:sz="0" w:space="0" w:color="auto"/>
      </w:divBdr>
    </w:div>
    <w:div w:id="1118987896">
      <w:bodyDiv w:val="1"/>
      <w:marLeft w:val="0"/>
      <w:marRight w:val="0"/>
      <w:marTop w:val="0"/>
      <w:marBottom w:val="0"/>
      <w:divBdr>
        <w:top w:val="none" w:sz="0" w:space="0" w:color="auto"/>
        <w:left w:val="none" w:sz="0" w:space="0" w:color="auto"/>
        <w:bottom w:val="none" w:sz="0" w:space="0" w:color="auto"/>
        <w:right w:val="none" w:sz="0" w:space="0" w:color="auto"/>
      </w:divBdr>
    </w:div>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 w:id="1342321349">
      <w:bodyDiv w:val="1"/>
      <w:marLeft w:val="0"/>
      <w:marRight w:val="0"/>
      <w:marTop w:val="0"/>
      <w:marBottom w:val="0"/>
      <w:divBdr>
        <w:top w:val="none" w:sz="0" w:space="0" w:color="auto"/>
        <w:left w:val="none" w:sz="0" w:space="0" w:color="auto"/>
        <w:bottom w:val="none" w:sz="0" w:space="0" w:color="auto"/>
        <w:right w:val="none" w:sz="0" w:space="0" w:color="auto"/>
      </w:divBdr>
    </w:div>
    <w:div w:id="1362169744">
      <w:bodyDiv w:val="1"/>
      <w:marLeft w:val="0"/>
      <w:marRight w:val="0"/>
      <w:marTop w:val="0"/>
      <w:marBottom w:val="0"/>
      <w:divBdr>
        <w:top w:val="none" w:sz="0" w:space="0" w:color="auto"/>
        <w:left w:val="none" w:sz="0" w:space="0" w:color="auto"/>
        <w:bottom w:val="none" w:sz="0" w:space="0" w:color="auto"/>
        <w:right w:val="none" w:sz="0" w:space="0" w:color="auto"/>
      </w:divBdr>
    </w:div>
    <w:div w:id="1425764062">
      <w:bodyDiv w:val="1"/>
      <w:marLeft w:val="0"/>
      <w:marRight w:val="0"/>
      <w:marTop w:val="0"/>
      <w:marBottom w:val="0"/>
      <w:divBdr>
        <w:top w:val="none" w:sz="0" w:space="0" w:color="auto"/>
        <w:left w:val="none" w:sz="0" w:space="0" w:color="auto"/>
        <w:bottom w:val="none" w:sz="0" w:space="0" w:color="auto"/>
        <w:right w:val="none" w:sz="0" w:space="0" w:color="auto"/>
      </w:divBdr>
    </w:div>
    <w:div w:id="1563910358">
      <w:bodyDiv w:val="1"/>
      <w:marLeft w:val="0"/>
      <w:marRight w:val="0"/>
      <w:marTop w:val="0"/>
      <w:marBottom w:val="0"/>
      <w:divBdr>
        <w:top w:val="none" w:sz="0" w:space="0" w:color="auto"/>
        <w:left w:val="none" w:sz="0" w:space="0" w:color="auto"/>
        <w:bottom w:val="none" w:sz="0" w:space="0" w:color="auto"/>
        <w:right w:val="none" w:sz="0" w:space="0" w:color="auto"/>
      </w:divBdr>
    </w:div>
    <w:div w:id="1598102195">
      <w:bodyDiv w:val="1"/>
      <w:marLeft w:val="0"/>
      <w:marRight w:val="0"/>
      <w:marTop w:val="0"/>
      <w:marBottom w:val="0"/>
      <w:divBdr>
        <w:top w:val="none" w:sz="0" w:space="0" w:color="auto"/>
        <w:left w:val="none" w:sz="0" w:space="0" w:color="auto"/>
        <w:bottom w:val="none" w:sz="0" w:space="0" w:color="auto"/>
        <w:right w:val="none" w:sz="0" w:space="0" w:color="auto"/>
      </w:divBdr>
    </w:div>
    <w:div w:id="1927611883">
      <w:bodyDiv w:val="1"/>
      <w:marLeft w:val="0"/>
      <w:marRight w:val="0"/>
      <w:marTop w:val="0"/>
      <w:marBottom w:val="0"/>
      <w:divBdr>
        <w:top w:val="none" w:sz="0" w:space="0" w:color="auto"/>
        <w:left w:val="none" w:sz="0" w:space="0" w:color="auto"/>
        <w:bottom w:val="none" w:sz="0" w:space="0" w:color="auto"/>
        <w:right w:val="none" w:sz="0" w:space="0" w:color="auto"/>
      </w:divBdr>
    </w:div>
    <w:div w:id="2013146446">
      <w:bodyDiv w:val="1"/>
      <w:marLeft w:val="0"/>
      <w:marRight w:val="0"/>
      <w:marTop w:val="0"/>
      <w:marBottom w:val="0"/>
      <w:divBdr>
        <w:top w:val="none" w:sz="0" w:space="0" w:color="auto"/>
        <w:left w:val="none" w:sz="0" w:space="0" w:color="auto"/>
        <w:bottom w:val="none" w:sz="0" w:space="0" w:color="auto"/>
        <w:right w:val="none" w:sz="0" w:space="0" w:color="auto"/>
      </w:divBdr>
    </w:div>
    <w:div w:id="21018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bs.gov.au/methodologies/national-state-and-territory-population-methodology/jun-2021"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abs.gov.au/statistics/health/causes-death/provisional-mortality-statistics/latest-releas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abs.gov.au/statistics/people/population/national-state-and-territory-population/latest-relea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source\Workgroup%20Template%202020\Centre%20for%20Population\Centre%20for%20Population%20Internal.dotx" TargetMode="External"/></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Enterprise Document" ma:contentTypeID="0x01010079842B7BE5DD8E409B7EECD6B050253D009384E8F4D1D5034693D13589CA0F0E07" ma:contentTypeVersion="21335" ma:contentTypeDescription="" ma:contentTypeScope="" ma:versionID="d44bb1bc43273ecc659029a16e111e5c">
  <xsd:schema xmlns:xsd="http://www.w3.org/2001/XMLSchema" xmlns:xs="http://www.w3.org/2001/XMLSchema" xmlns:p="http://schemas.microsoft.com/office/2006/metadata/properties" xmlns:ns2="0f563589-9cf9-4143-b1eb-fb0534803d38" xmlns:ns3="d496f99b-b1db-4f49-ba6b-7f936f7bb1fd" targetNamespace="http://schemas.microsoft.com/office/2006/metadata/properties" ma:root="true" ma:fieldsID="8d91dbf93dd4d817b6042c9eaaaee7b3" ns2:_="" ns3:_="">
    <xsd:import namespace="0f563589-9cf9-4143-b1eb-fb0534803d38"/>
    <xsd:import namespace="d496f99b-b1db-4f49-ba6b-7f936f7bb1f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01cfe90be52474b8e18e3381839b0e5" minOccurs="0"/>
                <xsd:element ref="ns2:bd15a34e52e3468a87b49920a3b7dd6b" minOccurs="0"/>
                <xsd:element ref="ns3:f3486d5f7e7540d7aac4d0eb58bc535f" minOccurs="0"/>
                <xsd:element ref="ns3:o46f31d2a77f450686730c449e7761c5" minOccurs="0"/>
                <xsd:element ref="ns3:cpop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2f8a8e69-a481-4a32-8574-a60cf19e510f}" ma:internalName="TaxCatchAll" ma:showField="CatchAllData"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f8a8e69-a481-4a32-8574-a60cf19e510f}" ma:internalName="TaxCatchAllLabel" ma:readOnly="true" ma:showField="CatchAllDataLabel"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b01cfe90be52474b8e18e3381839b0e5" ma:index="13" ma:taxonomy="true" ma:internalName="b01cfe90be52474b8e18e3381839b0e5" ma:taxonomyFieldName="eTheme_x002F_Activity_x002F_Document_x0020_Type" ma:displayName="Theme/Activity/Document Type" ma:readOnly="false" ma:default="" ma:fieldId="{b01cfe90-be52-474b-8e18-e3381839b0e5}" ma:sspId="77b7a547-5880-464f-83f8-cefe583c3af4" ma:termSetId="3c0d1693-3b42-49b7-bddf-28e823765e04" ma:anchorId="6dccd8e5-96e6-4ded-89e4-8f53d9e55129" ma:open="false" ma:isKeyword="false">
      <xsd:complexType>
        <xsd:sequence>
          <xsd:element ref="pc:Terms" minOccurs="0" maxOccurs="1"/>
        </xsd:sequence>
      </xsd:complexType>
    </xsd:element>
    <xsd:element name="bd15a34e52e3468a87b49920a3b7dd6b" ma:index="15" ma:taxonomy="true" ma:internalName="bd15a34e52e3468a87b49920a3b7dd6b" ma:taxonomyFieldName="eTheme_x002F_Topic" ma:displayName="Theme/Topic" ma:readOnly="false" ma:default="" ma:fieldId="{bd15a34e-52e3-468a-87b4-9920a3b7dd6b}" ma:taxonomyMulti="true" ma:sspId="77b7a547-5880-464f-83f8-cefe583c3af4" ma:termSetId="fe275d3b-acbf-4477-98d4-b06bbe13079d" ma:anchorId="768f1f5f-dad2-496f-809e-500fb57d74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96f99b-b1db-4f49-ba6b-7f936f7bb1fd" elementFormDefault="qualified">
    <xsd:import namespace="http://schemas.microsoft.com/office/2006/documentManagement/types"/>
    <xsd:import namespace="http://schemas.microsoft.com/office/infopath/2007/PartnerControls"/>
    <xsd:element name="f3486d5f7e7540d7aac4d0eb58bc535f" ma:index="17" nillable="true" ma:taxonomy="true" ma:internalName="f3486d5f7e7540d7aac4d0eb58bc535f" ma:taxonomyFieldName="Project" ma:displayName="Project" ma:default="" ma:fieldId="{f3486d5f-7e75-40d7-aac4-d0eb58bc535f}" ma:taxonomyMulti="true" ma:sspId="77b7a547-5880-464f-83f8-cefe583c3af4" ma:termSetId="6b4b8051-62e7-47ed-a8bb-37ac7ed2047d" ma:anchorId="00000000-0000-0000-0000-000000000000" ma:open="false" ma:isKeyword="false">
      <xsd:complexType>
        <xsd:sequence>
          <xsd:element ref="pc:Terms" minOccurs="0" maxOccurs="1"/>
        </xsd:sequence>
      </xsd:complexType>
    </xsd:element>
    <xsd:element name="o46f31d2a77f450686730c449e7761c5" ma:index="19" nillable="true" ma:taxonomy="true" ma:internalName="o46f31d2a77f450686730c449e7761c5" ma:taxonomyFieldName="Client" ma:displayName="Client" ma:readOnly="false" ma:default="" ma:fieldId="{846f31d2-a77f-4506-8673-0c449e7761c5}" ma:taxonomyMulti="true" ma:sspId="77b7a547-5880-464f-83f8-cefe583c3af4" ma:termSetId="eac17a8e-5ff2-4694-bfcd-02f97bea9008" ma:anchorId="00000000-0000-0000-0000-000000000000" ma:open="false" ma:isKeyword="false">
      <xsd:complexType>
        <xsd:sequence>
          <xsd:element ref="pc:Terms" minOccurs="0" maxOccurs="1"/>
        </xsd:sequence>
      </xsd:complexType>
    </xsd:element>
    <xsd:element name="cpopDue_x0020_Date" ma:index="21" nillable="true" ma:displayName="cpopDue Date" ma:format="DateOnly" ma:internalName="cpop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1648</Value>
      <Value>403</Value>
      <Value>1422</Value>
      <Value>298</Value>
      <Value>1350</Value>
      <Value>23</Value>
      <Value>309</Value>
      <Value>1468</Value>
    </TaxCatchAll>
    <_dlc_DocId xmlns="0f563589-9cf9-4143-b1eb-fb0534803d38">2021JWJ6HQSX-1422168352-3383</_dlc_DocId>
    <_dlc_DocIdUrl xmlns="0f563589-9cf9-4143-b1eb-fb0534803d38">
      <Url>http://tweb/sites/pop/cfp/_layouts/15/DocIdRedir.aspx?ID=2021JWJ6HQSX-1422168352-3383</Url>
      <Description>2021JWJ6HQSX-1422168352-3383</Description>
    </_dlc_DocIdUrl>
    <cpopDue_x0020_Date xmlns="d496f99b-b1db-4f49-ba6b-7f936f7bb1fd" xsi:nil="true"/>
    <b01cfe90be52474b8e18e3381839b0e5 xmlns="0f563589-9cf9-4143-b1eb-fb0534803d38">
      <Terms xmlns="http://schemas.microsoft.com/office/infopath/2007/PartnerControls">
        <TermInfo xmlns="http://schemas.microsoft.com/office/infopath/2007/PartnerControls">
          <TermName xmlns="http://schemas.microsoft.com/office/infopath/2007/PartnerControls">Economic note</TermName>
          <TermId xmlns="http://schemas.microsoft.com/office/infopath/2007/PartnerControls">9da9dffc-b8ed-4512-88c8-d09b5325e551</TermId>
        </TermInfo>
      </Terms>
    </b01cfe90be52474b8e18e3381839b0e5>
    <o46f31d2a77f450686730c449e7761c5 xmlns="d496f99b-b1db-4f49-ba6b-7f936f7bb1fd">
      <Terms xmlns="http://schemas.microsoft.com/office/infopath/2007/PartnerControls">
        <TermInfo xmlns="http://schemas.microsoft.com/office/infopath/2007/PartnerControls">
          <TermName xmlns="http://schemas.microsoft.com/office/infopath/2007/PartnerControls">Internal CPoP</TermName>
          <TermId xmlns="http://schemas.microsoft.com/office/infopath/2007/PartnerControls">9c8644cd-0fe8-421b-9fd7-a2b593f5db96</TermId>
        </TermInfo>
      </Terms>
    </o46f31d2a77f450686730c449e7761c5>
    <bd15a34e52e3468a87b49920a3b7dd6b xmlns="0f563589-9cf9-4143-b1eb-fb0534803d38">
      <Terms xmlns="http://schemas.microsoft.com/office/infopath/2007/PartnerControls">
        <TermInfo xmlns="http://schemas.microsoft.com/office/infopath/2007/PartnerControls">
          <TermName xmlns="http://schemas.microsoft.com/office/infopath/2007/PartnerControls">Population - general</TermName>
          <TermId xmlns="http://schemas.microsoft.com/office/infopath/2007/PartnerControls">9914156e-12d7-4a82-8233-ba06034dc63f</TermId>
        </TermInfo>
      </Terms>
    </bd15a34e52e3468a87b49920a3b7dd6b>
    <f3486d5f7e7540d7aac4d0eb58bc535f xmlns="d496f99b-b1db-4f49-ba6b-7f936f7bb1fd">
      <Terms xmlns="http://schemas.microsoft.com/office/infopath/2007/PartnerControls">
        <TermInfo xmlns="http://schemas.microsoft.com/office/infopath/2007/PartnerControls">
          <TermName xmlns="http://schemas.microsoft.com/office/infopath/2007/PartnerControls">Pop Charts</TermName>
          <TermId xmlns="http://schemas.microsoft.com/office/infopath/2007/PartnerControls">0def6952-d1e9-4208-b174-237ed8a323fe</TermId>
        </TermInfo>
      </Terms>
    </f3486d5f7e7540d7aac4d0eb58bc535f>
  </documentManagement>
</p:properties>
</file>

<file path=customXml/item4.xml><?xml version="1.0" encoding="utf-8"?>
<?mso-contentType ?>
<SharedContentType xmlns="Microsoft.SharePoint.Taxonomy.ContentTypeSync" SourceId="77b7a547-5880-464f-83f8-cefe583c3af4" ContentTypeId="0x01010079842B7BE5DD8E409B7EECD6B050253D"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1FA004-156C-4D32-8BEB-AED6740F8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d496f99b-b1db-4f49-ba6b-7f936f7bb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9F43C-3A89-4C23-8D39-92D8839E10CA}">
  <ds:schemaRefs>
    <ds:schemaRef ds:uri="http://schemas.microsoft.com/sharepoint/v3/contenttype/forms"/>
  </ds:schemaRefs>
</ds:datastoreItem>
</file>

<file path=customXml/itemProps3.xml><?xml version="1.0" encoding="utf-8"?>
<ds:datastoreItem xmlns:ds="http://schemas.openxmlformats.org/officeDocument/2006/customXml" ds:itemID="{8EBF7C61-34C1-4EF2-9128-B9B8458ED656}">
  <ds:schemaRefs>
    <ds:schemaRef ds:uri="0f563589-9cf9-4143-b1eb-fb0534803d38"/>
    <ds:schemaRef ds:uri="http://purl.org/dc/elements/1.1/"/>
    <ds:schemaRef ds:uri="http://schemas.microsoft.com/office/2006/metadata/properties"/>
    <ds:schemaRef ds:uri="d496f99b-b1db-4f49-ba6b-7f936f7bb1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9FF8C04-32F3-4BC3-BA15-708541BB13FE}">
  <ds:schemaRefs>
    <ds:schemaRef ds:uri="Microsoft.SharePoint.Taxonomy.ContentTypeSync"/>
  </ds:schemaRefs>
</ds:datastoreItem>
</file>

<file path=customXml/itemProps5.xml><?xml version="1.0" encoding="utf-8"?>
<ds:datastoreItem xmlns:ds="http://schemas.openxmlformats.org/officeDocument/2006/customXml" ds:itemID="{42FD8CF0-0848-436B-8E42-2B49FBC2E9EF}">
  <ds:schemaRefs>
    <ds:schemaRef ds:uri="http://schemas.openxmlformats.org/officeDocument/2006/bibliography"/>
  </ds:schemaRefs>
</ds:datastoreItem>
</file>

<file path=customXml/itemProps6.xml><?xml version="1.0" encoding="utf-8"?>
<ds:datastoreItem xmlns:ds="http://schemas.openxmlformats.org/officeDocument/2006/customXml" ds:itemID="{0EE93E8D-AB01-4862-A841-FD59545D2F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Centre for Population Internal.dotx</Template>
  <TotalTime>8</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National, state and territory population, June 2021</vt:lpstr>
    </vt:vector>
  </TitlesOfParts>
  <Company>Australian Government - The Treasury</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state and territory population, June 2021</dc:title>
  <dc:subject>Key data release</dc:subject>
  <dc:creator>Australian Government</dc:creator>
  <cp:lastModifiedBy>Thomas, Deborah</cp:lastModifiedBy>
  <cp:revision>8</cp:revision>
  <cp:lastPrinted>2021-12-21T22:48:00Z</cp:lastPrinted>
  <dcterms:created xsi:type="dcterms:W3CDTF">2021-12-16T02:45:00Z</dcterms:created>
  <dcterms:modified xsi:type="dcterms:W3CDTF">2021-12-21T23:49:00Z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0x01010079842B7BE5DD8E409B7EECD6B050253D009384E8F4D1D5034693D13589CA0F0E07</vt:lpwstr>
  </property>
  <property fmtid="{D5CDD505-2E9C-101B-9397-08002B2CF9AE}" pid="4" name="Client">
    <vt:lpwstr>23;#Internal CPoP|9c8644cd-0fe8-421b-9fd7-a2b593f5db96</vt:lpwstr>
  </property>
  <property fmtid="{D5CDD505-2E9C-101B-9397-08002B2CF9AE}" pid="5" name="Project">
    <vt:lpwstr>1648;#Pop Charts|0def6952-d1e9-4208-b174-237ed8a323fe</vt:lpwstr>
  </property>
  <property fmtid="{D5CDD505-2E9C-101B-9397-08002B2CF9AE}" pid="6" name="TaxKeyword">
    <vt:lpwstr/>
  </property>
  <property fmtid="{D5CDD505-2E9C-101B-9397-08002B2CF9AE}" pid="7" name="cpopDocument Type">
    <vt:lpwstr>104;#Economic note|6e616825-84b5-4d2a-9459-a9ccfa0e8dca</vt:lpwstr>
  </property>
  <property fmtid="{D5CDD505-2E9C-101B-9397-08002B2CF9AE}" pid="8" name="cpopProcess/Activity">
    <vt:lpwstr>48;#Analysis|4d6350c2-cb79-4ad5-a73e-09ced580562a</vt:lpwstr>
  </property>
  <property fmtid="{D5CDD505-2E9C-101B-9397-08002B2CF9AE}" pid="9" name="CpopTopic">
    <vt:lpwstr>21;#Population - general|e78774f9-7fe8-4c9c-991f-a3ff79dac6ff</vt:lpwstr>
  </property>
  <property fmtid="{D5CDD505-2E9C-101B-9397-08002B2CF9AE}" pid="10" name="cpopTheme">
    <vt:lpwstr>2;#Population|48b7fe81-37e0-414b-a384-8c1c3228e96f</vt:lpwstr>
  </property>
  <property fmtid="{D5CDD505-2E9C-101B-9397-08002B2CF9AE}" pid="11" name="_dlc_DocIdItemGuid">
    <vt:lpwstr>e7098e37-6b91-42d4-a388-902d92a97e17</vt:lpwstr>
  </property>
  <property fmtid="{D5CDD505-2E9C-101B-9397-08002B2CF9AE}" pid="12" name="ceb8c4f4647046198a38a633d14483c1">
    <vt:lpwstr>Population|dfc189bb-46ec-4771-b471-77807c301c0c</vt:lpwstr>
  </property>
  <property fmtid="{D5CDD505-2E9C-101B-9397-08002B2CF9AE}" pid="13" name="aec7340661804c61a5c6d3d18e9a3b44">
    <vt:lpwstr>Population - general|b3bccaee-76db-409f-8cf3-b4377472cc13</vt:lpwstr>
  </property>
  <property fmtid="{D5CDD505-2E9C-101B-9397-08002B2CF9AE}" pid="14" name="n5b5f1cefb2e4f15823921d1c3115a95">
    <vt:lpwstr>Analysis|1c05f84f-a96d-4b64-970a-14a4c22445cc</vt:lpwstr>
  </property>
  <property fmtid="{D5CDD505-2E9C-101B-9397-08002B2CF9AE}" pid="15" name="eActivity">
    <vt:lpwstr>309;#Analysis|1c05f84f-a96d-4b64-970a-14a4c22445cc</vt:lpwstr>
  </property>
  <property fmtid="{D5CDD505-2E9C-101B-9397-08002B2CF9AE}" pid="16" name="eDocument Type">
    <vt:lpwstr>403;#Economic note|e1f04c8c-4290-4b29-8ab8-31a9d0ce335c</vt:lpwstr>
  </property>
  <property fmtid="{D5CDD505-2E9C-101B-9397-08002B2CF9AE}" pid="17" name="eDocument_x0020_Type">
    <vt:lpwstr>403;#Economic note|e1f04c8c-4290-4b29-8ab8-31a9d0ce335c</vt:lpwstr>
  </property>
  <property fmtid="{D5CDD505-2E9C-101B-9397-08002B2CF9AE}" pid="18" name="eTheme/Activity/Document Type">
    <vt:lpwstr>1468;#Economic note|9da9dffc-b8ed-4512-88c8-d09b5325e551</vt:lpwstr>
  </property>
  <property fmtid="{D5CDD505-2E9C-101B-9397-08002B2CF9AE}" pid="19" name="eTheme">
    <vt:lpwstr>298;#Population|dfc189bb-46ec-4771-b471-77807c301c0c</vt:lpwstr>
  </property>
  <property fmtid="{D5CDD505-2E9C-101B-9397-08002B2CF9AE}" pid="20" name="eTheme/Topic">
    <vt:lpwstr>1422;#Population - general|9914156e-12d7-4a82-8233-ba06034dc63f</vt:lpwstr>
  </property>
  <property fmtid="{D5CDD505-2E9C-101B-9397-08002B2CF9AE}" pid="21" name="n0adeebb38644e3a8c7de3f8fea0418e">
    <vt:lpwstr>Economic note|e1f04c8c-4290-4b29-8ab8-31a9d0ce335c</vt:lpwstr>
  </property>
  <property fmtid="{D5CDD505-2E9C-101B-9397-08002B2CF9AE}" pid="22" name="eTopic">
    <vt:lpwstr>1350;#Population - general|b3bccaee-76db-409f-8cf3-b4377472cc13</vt:lpwstr>
  </property>
</Properties>
</file>