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62697FBE" w:rsidR="00725216" w:rsidRPr="00463005" w:rsidRDefault="00520867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>
        <w:rPr>
          <w:b/>
          <w:bCs/>
          <w:i/>
          <w:iCs/>
          <w:color w:val="FFFFFF" w:themeColor="background1"/>
          <w:sz w:val="28"/>
          <w:szCs w:val="28"/>
        </w:rPr>
        <w:t>29</w:t>
      </w:r>
      <w:r w:rsidR="0069520E">
        <w:rPr>
          <w:b/>
          <w:bCs/>
          <w:i/>
          <w:iCs/>
          <w:color w:val="FFFFFF" w:themeColor="background1"/>
          <w:sz w:val="28"/>
          <w:szCs w:val="28"/>
        </w:rPr>
        <w:t xml:space="preserve"> </w:t>
      </w:r>
      <w:r w:rsidR="007A277F">
        <w:rPr>
          <w:b/>
          <w:bCs/>
          <w:i/>
          <w:iCs/>
          <w:color w:val="FFFFFF" w:themeColor="background1"/>
          <w:sz w:val="28"/>
          <w:szCs w:val="28"/>
        </w:rPr>
        <w:t>March</w:t>
      </w:r>
      <w:r w:rsidR="0069520E">
        <w:rPr>
          <w:b/>
          <w:bCs/>
          <w:i/>
          <w:iCs/>
          <w:color w:val="FFFFFF" w:themeColor="background1"/>
          <w:sz w:val="28"/>
          <w:szCs w:val="28"/>
        </w:rPr>
        <w:t xml:space="preserve"> 202</w:t>
      </w:r>
      <w:r w:rsidR="007A277F">
        <w:rPr>
          <w:b/>
          <w:bCs/>
          <w:i/>
          <w:iCs/>
          <w:color w:val="FFFFFF" w:themeColor="background1"/>
          <w:sz w:val="28"/>
          <w:szCs w:val="28"/>
        </w:rPr>
        <w:t>2</w:t>
      </w:r>
    </w:p>
    <w:tbl>
      <w:tblPr>
        <w:tblW w:w="9458" w:type="dxa"/>
        <w:tblLook w:val="04A0" w:firstRow="1" w:lastRow="0" w:firstColumn="1" w:lastColumn="0" w:noHBand="0" w:noVBand="1"/>
      </w:tblPr>
      <w:tblGrid>
        <w:gridCol w:w="9458"/>
      </w:tblGrid>
      <w:tr w:rsidR="00725216" w:rsidRPr="00F21FAB" w14:paraId="57BC2909" w14:textId="77777777" w:rsidTr="00F26EF6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7B3C0680" w14:textId="77777777" w:rsidR="00BD1754" w:rsidRDefault="00520867" w:rsidP="00432389">
            <w:pPr>
              <w:pStyle w:val="Heading2"/>
              <w:spacing w:before="0"/>
              <w:rPr>
                <w:color w:val="002C47" w:themeColor="accent1"/>
                <w:sz w:val="24"/>
                <w:szCs w:val="18"/>
              </w:rPr>
            </w:pPr>
            <w:bookmarkStart w:id="1" w:name="RANGE!B5:B10"/>
            <w:bookmarkStart w:id="2" w:name="_Hlk99469388"/>
            <w:bookmarkEnd w:id="0"/>
            <w:r w:rsidRPr="00FB0D43">
              <w:rPr>
                <w:color w:val="002C47" w:themeColor="accent1"/>
                <w:szCs w:val="28"/>
              </w:rPr>
              <w:t>Regional Population, Australia, 20</w:t>
            </w:r>
            <w:bookmarkEnd w:id="1"/>
            <w:r w:rsidR="008C621D">
              <w:rPr>
                <w:color w:val="002C47" w:themeColor="accent1"/>
                <w:szCs w:val="28"/>
              </w:rPr>
              <w:t>20-</w:t>
            </w:r>
            <w:r w:rsidRPr="00FB0D43">
              <w:rPr>
                <w:color w:val="002C47" w:themeColor="accent1"/>
                <w:szCs w:val="28"/>
              </w:rPr>
              <w:t>21</w:t>
            </w:r>
            <w:r w:rsidRPr="00FB0D43">
              <w:rPr>
                <w:color w:val="002C47" w:themeColor="accent1"/>
                <w:sz w:val="24"/>
                <w:szCs w:val="18"/>
              </w:rPr>
              <w:t xml:space="preserve"> </w:t>
            </w:r>
          </w:p>
          <w:p w14:paraId="0EB52E41" w14:textId="02DD34B7" w:rsidR="00725216" w:rsidRPr="003A7FFE" w:rsidRDefault="0069520E" w:rsidP="00432389">
            <w:pPr>
              <w:pStyle w:val="Heading2"/>
              <w:spacing w:before="0"/>
            </w:pPr>
            <w:r>
              <w:t>(Australian Bureau of Statistics)</w:t>
            </w:r>
          </w:p>
        </w:tc>
      </w:tr>
      <w:tr w:rsidR="00725216" w:rsidRPr="0023709A" w14:paraId="37605938" w14:textId="77777777" w:rsidTr="00F26EF6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7F8D1463" w14:textId="68C4C62F" w:rsidR="00842A5E" w:rsidRDefault="0019481A" w:rsidP="00313B83">
            <w:pPr>
              <w:pStyle w:val="BoxBullet"/>
            </w:pPr>
            <w:r w:rsidRPr="00313B83">
              <w:t>Th</w:t>
            </w:r>
            <w:r w:rsidR="009E35C4">
              <w:t xml:space="preserve">is </w:t>
            </w:r>
            <w:r w:rsidR="00E540A4" w:rsidRPr="00313B83">
              <w:t xml:space="preserve">release </w:t>
            </w:r>
            <w:r w:rsidR="00313B83" w:rsidRPr="00313B83">
              <w:t>of substate population data reveals the uneven distribution of COVID</w:t>
            </w:r>
            <w:r w:rsidR="00A85D3A">
              <w:t>-</w:t>
            </w:r>
            <w:r w:rsidR="00313B83" w:rsidRPr="00313B83">
              <w:t>19 on Australia’s population</w:t>
            </w:r>
            <w:r w:rsidR="00842A5E">
              <w:t>.</w:t>
            </w:r>
          </w:p>
          <w:p w14:paraId="28015871" w14:textId="6FE1F774" w:rsidR="00842A5E" w:rsidRPr="00842A5E" w:rsidRDefault="00842A5E" w:rsidP="00842A5E">
            <w:pPr>
              <w:pStyle w:val="BoxBullet"/>
            </w:pPr>
            <w:r w:rsidRPr="00842A5E">
              <w:t xml:space="preserve">In the </w:t>
            </w:r>
            <w:r>
              <w:t>12 months</w:t>
            </w:r>
            <w:r w:rsidRPr="00842A5E">
              <w:t xml:space="preserve"> to June </w:t>
            </w:r>
            <w:r w:rsidR="00850157">
              <w:t>20</w:t>
            </w:r>
            <w:r w:rsidRPr="00842A5E">
              <w:t xml:space="preserve">21, the combined capital cities population declined for the first time on record </w:t>
            </w:r>
            <w:r w:rsidR="0087451E">
              <w:t>—</w:t>
            </w:r>
            <w:r w:rsidRPr="00842A5E">
              <w:t xml:space="preserve"> falling </w:t>
            </w:r>
            <w:r w:rsidR="00913F36">
              <w:t>to</w:t>
            </w:r>
            <w:r w:rsidRPr="00842A5E">
              <w:t xml:space="preserve"> </w:t>
            </w:r>
            <w:r w:rsidR="00913F36">
              <w:t>-</w:t>
            </w:r>
            <w:r w:rsidRPr="00842A5E">
              <w:t>0.1 per cent</w:t>
            </w:r>
            <w:r w:rsidR="00615AB6">
              <w:t xml:space="preserve"> from </w:t>
            </w:r>
            <w:r w:rsidR="002D2D64">
              <w:t>an average</w:t>
            </w:r>
            <w:r w:rsidR="00142B23">
              <w:t xml:space="preserve"> of</w:t>
            </w:r>
            <w:r w:rsidR="002D2D64">
              <w:t xml:space="preserve"> 1.8</w:t>
            </w:r>
            <w:r w:rsidR="00615AB6">
              <w:t xml:space="preserve"> per cent</w:t>
            </w:r>
            <w:r w:rsidR="002C6622">
              <w:t xml:space="preserve"> </w:t>
            </w:r>
            <w:r w:rsidR="00615AB6">
              <w:t>over the decade prior to the pandemic</w:t>
            </w:r>
            <w:r w:rsidRPr="00842A5E">
              <w:t>.</w:t>
            </w:r>
          </w:p>
          <w:p w14:paraId="78C91A7A" w14:textId="4EC9FB9F" w:rsidR="00725216" w:rsidRDefault="00CA5B1B" w:rsidP="00313B83">
            <w:pPr>
              <w:pStyle w:val="BoxBullet"/>
            </w:pPr>
            <w:r>
              <w:t>Overall, t</w:t>
            </w:r>
            <w:r w:rsidR="00842A5E">
              <w:t xml:space="preserve">his was driven by </w:t>
            </w:r>
            <w:r w:rsidR="00D30E24">
              <w:t xml:space="preserve">a large </w:t>
            </w:r>
            <w:r w:rsidR="001C37DE">
              <w:t xml:space="preserve">net </w:t>
            </w:r>
            <w:r w:rsidR="00D30E24">
              <w:t xml:space="preserve">outflow of </w:t>
            </w:r>
            <w:r w:rsidR="007C62E2">
              <w:t>85,</w:t>
            </w:r>
            <w:r w:rsidR="007C62E2" w:rsidRPr="000F3422">
              <w:rPr>
                <w:color w:val="000000" w:themeColor="text1"/>
              </w:rPr>
              <w:t>000</w:t>
            </w:r>
            <w:r w:rsidR="00164431" w:rsidRPr="000F3422">
              <w:rPr>
                <w:color w:val="000000" w:themeColor="text1"/>
              </w:rPr>
              <w:t xml:space="preserve"> </w:t>
            </w:r>
            <w:r w:rsidR="00D30E24" w:rsidRPr="000F3422">
              <w:rPr>
                <w:color w:val="000000" w:themeColor="text1"/>
              </w:rPr>
              <w:t>oversea</w:t>
            </w:r>
            <w:r w:rsidR="007C62E2" w:rsidRPr="000F3422">
              <w:rPr>
                <w:color w:val="000000" w:themeColor="text1"/>
              </w:rPr>
              <w:t>s</w:t>
            </w:r>
            <w:r w:rsidR="00D30E24" w:rsidRPr="000F3422">
              <w:rPr>
                <w:color w:val="000000" w:themeColor="text1"/>
              </w:rPr>
              <w:t xml:space="preserve"> migrants </w:t>
            </w:r>
            <w:r w:rsidR="001F2369">
              <w:rPr>
                <w:color w:val="000000" w:themeColor="text1"/>
              </w:rPr>
              <w:t>from</w:t>
            </w:r>
            <w:r w:rsidR="001F2369" w:rsidRPr="000F3422">
              <w:rPr>
                <w:color w:val="000000" w:themeColor="text1"/>
              </w:rPr>
              <w:t xml:space="preserve"> </w:t>
            </w:r>
            <w:r w:rsidR="00164431" w:rsidRPr="000F3422">
              <w:rPr>
                <w:color w:val="000000" w:themeColor="text1"/>
              </w:rPr>
              <w:t>capital cities</w:t>
            </w:r>
            <w:r w:rsidR="00CD4EF3" w:rsidRPr="000F3422">
              <w:rPr>
                <w:color w:val="000000" w:themeColor="text1"/>
              </w:rPr>
              <w:t xml:space="preserve"> as well as </w:t>
            </w:r>
            <w:r w:rsidRPr="000F3422">
              <w:rPr>
                <w:color w:val="000000" w:themeColor="text1"/>
              </w:rPr>
              <w:t xml:space="preserve">increased internal migration from </w:t>
            </w:r>
            <w:r>
              <w:rPr>
                <w:color w:val="000000" w:themeColor="text1"/>
              </w:rPr>
              <w:t xml:space="preserve">capital </w:t>
            </w:r>
            <w:r w:rsidRPr="000F3422">
              <w:rPr>
                <w:color w:val="000000" w:themeColor="text1"/>
              </w:rPr>
              <w:t>cities to regional areas</w:t>
            </w:r>
            <w:r w:rsidR="00DF484F" w:rsidRPr="000F3422">
              <w:rPr>
                <w:color w:val="000000" w:themeColor="text1"/>
              </w:rPr>
              <w:t>.</w:t>
            </w:r>
            <w:r w:rsidR="000941A8">
              <w:rPr>
                <w:color w:val="000000" w:themeColor="text1"/>
              </w:rPr>
              <w:t xml:space="preserve"> Natural increase</w:t>
            </w:r>
            <w:r w:rsidR="00684AA5">
              <w:rPr>
                <w:color w:val="000000" w:themeColor="text1"/>
              </w:rPr>
              <w:t xml:space="preserve"> (births less deaths) was </w:t>
            </w:r>
            <w:r w:rsidR="000941A8">
              <w:rPr>
                <w:color w:val="000000" w:themeColor="text1"/>
              </w:rPr>
              <w:t xml:space="preserve">largely </w:t>
            </w:r>
            <w:r w:rsidR="00491EE7">
              <w:rPr>
                <w:color w:val="000000" w:themeColor="text1"/>
              </w:rPr>
              <w:t>unchanged from the previous year</w:t>
            </w:r>
            <w:r w:rsidR="000941A8">
              <w:rPr>
                <w:color w:val="000000" w:themeColor="text1"/>
              </w:rPr>
              <w:t xml:space="preserve">. </w:t>
            </w:r>
          </w:p>
          <w:p w14:paraId="25472E50" w14:textId="35C6D4A9" w:rsidR="00F92F36" w:rsidRPr="00313B83" w:rsidRDefault="00F92F36" w:rsidP="00432389">
            <w:pPr>
              <w:pStyle w:val="BoxDash"/>
            </w:pPr>
            <w:r>
              <w:t>Melbourne had</w:t>
            </w:r>
            <w:r w:rsidR="00635F69">
              <w:t xml:space="preserve"> the largest population decline, with</w:t>
            </w:r>
            <w:r>
              <w:t xml:space="preserve"> a loss of 6</w:t>
            </w:r>
            <w:r w:rsidR="00D349BD">
              <w:t>1</w:t>
            </w:r>
            <w:r>
              <w:t>,000 people</w:t>
            </w:r>
            <w:r w:rsidR="00A039F7">
              <w:t xml:space="preserve"> (</w:t>
            </w:r>
            <w:r w:rsidR="001963E9">
              <w:t>-1.2</w:t>
            </w:r>
            <w:r w:rsidR="00BD6520">
              <w:t xml:space="preserve"> per cent</w:t>
            </w:r>
            <w:r w:rsidR="00A039F7">
              <w:t>)</w:t>
            </w:r>
            <w:r w:rsidR="00BD6520">
              <w:t>,</w:t>
            </w:r>
            <w:r>
              <w:t xml:space="preserve"> driven by </w:t>
            </w:r>
            <w:r w:rsidR="002D0177">
              <w:t xml:space="preserve">large </w:t>
            </w:r>
            <w:r w:rsidR="001C37DE">
              <w:t xml:space="preserve">net </w:t>
            </w:r>
            <w:r>
              <w:t>outflows of both overseas migrants and internal migrants.</w:t>
            </w:r>
          </w:p>
          <w:p w14:paraId="0AB55639" w14:textId="028F94CE" w:rsidR="00313B83" w:rsidRDefault="00465BC9" w:rsidP="00313B83">
            <w:pPr>
              <w:pStyle w:val="BoxBullet"/>
            </w:pPr>
            <w:r>
              <w:t>R</w:t>
            </w:r>
            <w:r w:rsidR="00313B83" w:rsidRPr="00313B83">
              <w:t>egion</w:t>
            </w:r>
            <w:r>
              <w:t xml:space="preserve">al areas </w:t>
            </w:r>
            <w:r w:rsidR="00D30E24">
              <w:t>gr</w:t>
            </w:r>
            <w:r>
              <w:t>e</w:t>
            </w:r>
            <w:r w:rsidR="00D30E24">
              <w:t>w at a</w:t>
            </w:r>
            <w:r w:rsidR="00E65310">
              <w:t xml:space="preserve"> similar</w:t>
            </w:r>
            <w:r w:rsidR="00D30E24">
              <w:t xml:space="preserve"> rate to </w:t>
            </w:r>
            <w:r w:rsidR="00005857">
              <w:t>the previous year</w:t>
            </w:r>
            <w:r w:rsidR="00D30E24">
              <w:t xml:space="preserve">. </w:t>
            </w:r>
            <w:r w:rsidR="00D349BD">
              <w:t>This was driven</w:t>
            </w:r>
            <w:r w:rsidR="00CC1466">
              <w:t xml:space="preserve"> by</w:t>
            </w:r>
            <w:r w:rsidR="00DF484F">
              <w:t xml:space="preserve"> record levels of</w:t>
            </w:r>
            <w:r w:rsidR="001C37DE">
              <w:t xml:space="preserve"> </w:t>
            </w:r>
            <w:r w:rsidR="00DF484F">
              <w:t>internal migrat</w:t>
            </w:r>
            <w:r w:rsidR="004B6C21">
              <w:t>ion</w:t>
            </w:r>
            <w:r w:rsidR="00CC1466">
              <w:t>, with r</w:t>
            </w:r>
            <w:r w:rsidR="00E468D3">
              <w:t>egional areas gain</w:t>
            </w:r>
            <w:r w:rsidR="00CC1466">
              <w:t>ing</w:t>
            </w:r>
            <w:r w:rsidR="00DF484F">
              <w:t xml:space="preserve"> </w:t>
            </w:r>
            <w:r w:rsidR="00A30B2E">
              <w:t xml:space="preserve">49,000 </w:t>
            </w:r>
            <w:r w:rsidR="00E65310">
              <w:t xml:space="preserve">people from </w:t>
            </w:r>
            <w:r w:rsidR="002B7F64">
              <w:t>capital cit</w:t>
            </w:r>
            <w:r w:rsidR="00E65310">
              <w:t>ies</w:t>
            </w:r>
            <w:r w:rsidR="00DF484F">
              <w:t xml:space="preserve"> in 2020-21</w:t>
            </w:r>
            <w:r w:rsidR="002D0177">
              <w:t xml:space="preserve">, up from </w:t>
            </w:r>
            <w:r w:rsidR="00FB7490">
              <w:t>30</w:t>
            </w:r>
            <w:r w:rsidR="002D0177">
              <w:t>,000 in 2019-20</w:t>
            </w:r>
            <w:r w:rsidR="00081A3D">
              <w:rPr>
                <w:rStyle w:val="FootnoteReference"/>
              </w:rPr>
              <w:footnoteReference w:id="2"/>
            </w:r>
            <w:r w:rsidR="00DF484F">
              <w:t xml:space="preserve">. </w:t>
            </w:r>
            <w:r w:rsidR="00D30E24">
              <w:t xml:space="preserve"> </w:t>
            </w:r>
          </w:p>
          <w:p w14:paraId="387091E5" w14:textId="7D605F4B" w:rsidR="00206C8B" w:rsidRDefault="009E6C57" w:rsidP="00314C76">
            <w:pPr>
              <w:pStyle w:val="BoxDash"/>
            </w:pPr>
            <w:r>
              <w:t>Some of the fastest growing areas of Australia were populated areas near major cities, with strong growth in Geelong, the Hunter Valley and the Sunshine Coast</w:t>
            </w:r>
            <w:r w:rsidR="001C37DE">
              <w:t>,</w:t>
            </w:r>
            <w:r w:rsidR="00242515">
              <w:t xml:space="preserve"> mostly driven by internal migration gains</w:t>
            </w:r>
            <w:r w:rsidR="001B7251">
              <w:t>.</w:t>
            </w:r>
            <w:r w:rsidR="00CD0AC5">
              <w:t xml:space="preserve"> </w:t>
            </w:r>
          </w:p>
          <w:p w14:paraId="2D191C53" w14:textId="293DDA56" w:rsidR="00DF484F" w:rsidRPr="00FA35CB" w:rsidRDefault="00D24804" w:rsidP="00313B83">
            <w:pPr>
              <w:pStyle w:val="BoxBullet"/>
            </w:pPr>
            <w:r>
              <w:t>I</w:t>
            </w:r>
            <w:r w:rsidR="0041132A">
              <w:t xml:space="preserve">nternal migration </w:t>
            </w:r>
            <w:r w:rsidR="00197F0A">
              <w:t xml:space="preserve">figures </w:t>
            </w:r>
            <w:r w:rsidR="0041132A">
              <w:t xml:space="preserve">may be influenced </w:t>
            </w:r>
            <w:r w:rsidR="008B01DD">
              <w:t xml:space="preserve">by </w:t>
            </w:r>
            <w:r w:rsidR="00C11FEB">
              <w:t>data quality issues</w:t>
            </w:r>
            <w:r w:rsidR="00197F0A">
              <w:t xml:space="preserve">, see </w:t>
            </w:r>
            <w:r w:rsidR="00766305" w:rsidRPr="000F3422">
              <w:rPr>
                <w:i/>
              </w:rPr>
              <w:t>Data</w:t>
            </w:r>
            <w:r w:rsidR="00766305">
              <w:t xml:space="preserve"> </w:t>
            </w:r>
            <w:r w:rsidR="00197F0A" w:rsidRPr="003C7EF8">
              <w:rPr>
                <w:i/>
                <w:iCs/>
              </w:rPr>
              <w:t>Notes</w:t>
            </w:r>
            <w:r w:rsidR="00197F0A">
              <w:t xml:space="preserve"> section for details</w:t>
            </w:r>
            <w:r w:rsidR="00C11FEB">
              <w:t xml:space="preserve">. </w:t>
            </w:r>
          </w:p>
        </w:tc>
      </w:tr>
      <w:bookmarkEnd w:id="2"/>
      <w:tr w:rsidR="00725216" w:rsidRPr="0023709A" w14:paraId="6484E700" w14:textId="77777777" w:rsidTr="00F26EF6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64B949C" w14:textId="44EDD6E1" w:rsidR="00725216" w:rsidRPr="004C38EA" w:rsidRDefault="00520867" w:rsidP="00167155">
            <w:pPr>
              <w:pStyle w:val="Heading3"/>
              <w:keepNext w:val="0"/>
            </w:pPr>
            <w:r>
              <w:t>Combined capital cities and regional areas</w:t>
            </w:r>
          </w:p>
          <w:p w14:paraId="523708F1" w14:textId="7E5B20A8" w:rsidR="00520867" w:rsidRDefault="00615AB6" w:rsidP="00520867">
            <w:pPr>
              <w:pStyle w:val="Bullet"/>
            </w:pPr>
            <w:r>
              <w:t>In 2020-21</w:t>
            </w:r>
            <w:r w:rsidR="00520867" w:rsidRPr="00520867">
              <w:t xml:space="preserve">, </w:t>
            </w:r>
            <w:r w:rsidR="006B6449">
              <w:t xml:space="preserve">combined </w:t>
            </w:r>
            <w:r w:rsidR="00520867" w:rsidRPr="00520867">
              <w:t>capital cities experienced negative population growth</w:t>
            </w:r>
            <w:r w:rsidR="001555CA">
              <w:t xml:space="preserve"> </w:t>
            </w:r>
            <w:r w:rsidR="00520867" w:rsidRPr="00520867">
              <w:t>for the first time on record</w:t>
            </w:r>
            <w:r w:rsidR="00520867">
              <w:t xml:space="preserve"> (Chart 1)</w:t>
            </w:r>
            <w:r w:rsidR="00520867" w:rsidRPr="00520867">
              <w:t xml:space="preserve">. While all capital cities experienced a decline in growth, the </w:t>
            </w:r>
            <w:r w:rsidR="00CC3994">
              <w:t xml:space="preserve">largest </w:t>
            </w:r>
            <w:r w:rsidR="00520867" w:rsidRPr="00520867">
              <w:t xml:space="preserve">fall was </w:t>
            </w:r>
            <w:r w:rsidR="00CC3994">
              <w:t xml:space="preserve">in </w:t>
            </w:r>
            <w:r w:rsidR="00520867" w:rsidRPr="00520867">
              <w:t>Melbourne, where the population declined by 6</w:t>
            </w:r>
            <w:r w:rsidR="004F37AA">
              <w:t>1</w:t>
            </w:r>
            <w:r w:rsidR="00520867" w:rsidRPr="00520867">
              <w:t xml:space="preserve">,000 people </w:t>
            </w:r>
            <w:r w:rsidR="0045436B">
              <w:t>—</w:t>
            </w:r>
            <w:r w:rsidR="00520867" w:rsidRPr="00520867">
              <w:t xml:space="preserve"> </w:t>
            </w:r>
            <w:r w:rsidR="00F01FF2">
              <w:t xml:space="preserve">roughly </w:t>
            </w:r>
            <w:r w:rsidR="00520867" w:rsidRPr="00520867">
              <w:t>equivalent to a town the size of Wagga Wagga.</w:t>
            </w:r>
          </w:p>
          <w:p w14:paraId="505161B0" w14:textId="5ABCB7C3" w:rsidR="002E5373" w:rsidRPr="002E5373" w:rsidRDefault="002E5373" w:rsidP="002E5373">
            <w:pPr>
              <w:pStyle w:val="Bullet"/>
            </w:pPr>
            <w:r>
              <w:t>Regional areas grew at a faster rate than capital cities for the first time since 1993-94.  Regions grew at 0.9 per cent, only a small decline from 2019-20 (1.0 per cent). Regional New South Wales was the only jurisdiction to increase its growth rate in 2020-21 (from 0.8 to 1.0 per cent), recording its highest growth rate since 2009-10.</w:t>
            </w:r>
          </w:p>
          <w:p w14:paraId="377F1EA7" w14:textId="1EC31CC9" w:rsidR="00E32F5A" w:rsidRPr="00E32F5A" w:rsidRDefault="00981454" w:rsidP="00E32F5A">
            <w:pPr>
              <w:keepNext/>
              <w:numPr>
                <w:ilvl w:val="0"/>
                <w:numId w:val="28"/>
              </w:numPr>
              <w:pBdr>
                <w:top w:val="dashed" w:sz="4" w:space="1" w:color="002C47" w:themeColor="accent1"/>
              </w:pBdr>
              <w:outlineLvl w:val="8"/>
              <w:rPr>
                <w:rFonts w:eastAsia="Calibri"/>
                <w:b/>
                <w:bCs/>
                <w:smallCaps/>
                <w:color w:val="002C47" w:themeColor="accent1"/>
              </w:rPr>
            </w:pPr>
            <w:r>
              <w:rPr>
                <w:rFonts w:eastAsia="Calibri"/>
                <w:b/>
                <w:bCs/>
                <w:smallCaps/>
                <w:color w:val="002C47" w:themeColor="accent1"/>
              </w:rPr>
              <w:t xml:space="preserve">Combined capital city and rest of state growth, 2002-03 </w:t>
            </w:r>
            <w:r w:rsidR="00D06E07" w:rsidRPr="00D06E07">
              <w:rPr>
                <w:rFonts w:eastAsia="Calibri"/>
                <w:b/>
                <w:bCs/>
                <w:smallCaps/>
                <w:color w:val="002C47" w:themeColor="accent1"/>
              </w:rPr>
              <w:t>TO 2020-21</w:t>
            </w:r>
          </w:p>
          <w:p w14:paraId="1C74B986" w14:textId="0B77F262" w:rsidR="00F9611A" w:rsidRDefault="0025192E" w:rsidP="00BD1754">
            <w:pPr>
              <w:pStyle w:val="ChartMainHeading"/>
              <w:numPr>
                <w:ilvl w:val="0"/>
                <w:numId w:val="0"/>
              </w:numPr>
              <w:spacing w:before="0"/>
              <w:rPr>
                <w:highlight w:val="yellow"/>
              </w:rPr>
            </w:pPr>
            <w:r w:rsidRPr="0025192E">
              <w:rPr>
                <w:noProof/>
              </w:rPr>
              <w:drawing>
                <wp:inline distT="0" distB="0" distL="0" distR="0" wp14:anchorId="13F9006C" wp14:editId="15A1559A">
                  <wp:extent cx="5647952" cy="234000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952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44080" w14:textId="7A4B4497" w:rsidR="008B01DD" w:rsidRDefault="008B01DD" w:rsidP="008B01DD">
            <w:pPr>
              <w:pStyle w:val="Heading3"/>
              <w:spacing w:before="100" w:after="100"/>
              <w:ind w:left="472" w:hanging="472"/>
              <w:rPr>
                <w:rFonts w:eastAsiaTheme="minorEastAsia"/>
                <w:sz w:val="20"/>
              </w:rPr>
            </w:pPr>
          </w:p>
          <w:p w14:paraId="349349BF" w14:textId="1180E5A7" w:rsidR="008B01DD" w:rsidRDefault="008B01DD" w:rsidP="008B01DD"/>
          <w:p w14:paraId="27194105" w14:textId="77777777" w:rsidR="008B01DD" w:rsidRPr="00103D2E" w:rsidRDefault="008B01DD" w:rsidP="008B01DD">
            <w:pPr>
              <w:pStyle w:val="Heading3"/>
              <w:spacing w:before="100" w:after="100"/>
            </w:pPr>
            <w:r>
              <w:lastRenderedPageBreak/>
              <w:t>Population growth by state</w:t>
            </w:r>
          </w:p>
          <w:p w14:paraId="077038D4" w14:textId="6DF1112E" w:rsidR="008B01DD" w:rsidRPr="00103D2E" w:rsidRDefault="008B01DD">
            <w:pPr>
              <w:pStyle w:val="Bullet"/>
            </w:pPr>
            <w:r w:rsidRPr="005E373A">
              <w:t xml:space="preserve">Population growth </w:t>
            </w:r>
            <w:r w:rsidRPr="00103D2E">
              <w:t xml:space="preserve">fell in each </w:t>
            </w:r>
            <w:r>
              <w:t xml:space="preserve">of the </w:t>
            </w:r>
            <w:r w:rsidRPr="005E373A">
              <w:t>states and territories</w:t>
            </w:r>
            <w:r w:rsidRPr="00103D2E">
              <w:t xml:space="preserve">, driven by slowing </w:t>
            </w:r>
            <w:r w:rsidRPr="005E373A">
              <w:t>growth in capital cities (Chart</w:t>
            </w:r>
            <w:r>
              <w:t> </w:t>
            </w:r>
            <w:r w:rsidRPr="005E373A">
              <w:t xml:space="preserve">2). </w:t>
            </w:r>
            <w:r w:rsidRPr="00103D2E">
              <w:t>The smallest fall was in the Northern Territory, where growth was already low prior to the pandemic.</w:t>
            </w:r>
          </w:p>
          <w:p w14:paraId="31CD0085" w14:textId="7037B55F" w:rsidR="00643E1A" w:rsidRPr="005E373A" w:rsidRDefault="009B0D1E" w:rsidP="00BD1754">
            <w:pPr>
              <w:pStyle w:val="Bullet"/>
              <w:spacing w:after="240"/>
              <w:ind w:left="471" w:hanging="471"/>
            </w:pPr>
            <w:r>
              <w:t>In every state and territory, except Western Australia</w:t>
            </w:r>
            <w:r w:rsidR="005E373A" w:rsidRPr="00103D2E">
              <w:t>, g</w:t>
            </w:r>
            <w:r w:rsidR="00715B7D" w:rsidRPr="005E373A">
              <w:t>rowth in r</w:t>
            </w:r>
            <w:r w:rsidR="00D0114F" w:rsidRPr="005E373A">
              <w:t>egional areas overtook capital</w:t>
            </w:r>
            <w:r w:rsidR="00715B7D" w:rsidRPr="005E373A">
              <w:t xml:space="preserve"> city growth</w:t>
            </w:r>
            <w:r w:rsidR="005E373A" w:rsidRPr="00103D2E">
              <w:t xml:space="preserve">. This was particularly noticeable </w:t>
            </w:r>
            <w:r w:rsidR="0033680E" w:rsidRPr="005E373A">
              <w:t>in regional areas</w:t>
            </w:r>
            <w:r w:rsidR="0033680E" w:rsidRPr="00103D2E">
              <w:t xml:space="preserve"> </w:t>
            </w:r>
            <w:r w:rsidR="0033680E">
              <w:t xml:space="preserve">of </w:t>
            </w:r>
            <w:r w:rsidR="005E373A" w:rsidRPr="00103D2E">
              <w:t>New South Wales and Victoria</w:t>
            </w:r>
            <w:r w:rsidR="00312AD4">
              <w:t>,</w:t>
            </w:r>
            <w:r w:rsidR="005E373A" w:rsidRPr="00103D2E">
              <w:t xml:space="preserve"> where increases in</w:t>
            </w:r>
            <w:r w:rsidR="00D0114F" w:rsidRPr="003506EB">
              <w:t xml:space="preserve"> </w:t>
            </w:r>
            <w:r w:rsidR="003C0D7B" w:rsidRPr="005E373A">
              <w:t xml:space="preserve">internal migration offset </w:t>
            </w:r>
            <w:r w:rsidR="005E373A" w:rsidRPr="00103D2E">
              <w:t xml:space="preserve">falls in </w:t>
            </w:r>
            <w:r w:rsidR="003C0D7B" w:rsidRPr="005E373A">
              <w:t>overseas migra</w:t>
            </w:r>
            <w:r w:rsidR="005E373A" w:rsidRPr="00103D2E">
              <w:t>tion</w:t>
            </w:r>
            <w:r w:rsidR="00916421" w:rsidRPr="005E373A">
              <w:t>.</w:t>
            </w:r>
          </w:p>
          <w:p w14:paraId="6FF17A9F" w14:textId="43AFA58B" w:rsidR="00E540A4" w:rsidRPr="0044695E" w:rsidRDefault="00E540A4" w:rsidP="00E540A4">
            <w:pPr>
              <w:pStyle w:val="Heading9"/>
            </w:pPr>
            <w:r>
              <w:t>State and territories, capital cities and rest of state areas, 200</w:t>
            </w:r>
            <w:r w:rsidR="00312AD4">
              <w:t>2</w:t>
            </w:r>
            <w:r>
              <w:t>-0</w:t>
            </w:r>
            <w:r w:rsidR="00312AD4">
              <w:t>3</w:t>
            </w:r>
            <w:r>
              <w:t xml:space="preserve"> to 2020-21</w:t>
            </w:r>
          </w:p>
          <w:p w14:paraId="70D6DE02" w14:textId="7E0FF8D8" w:rsidR="00E540A4" w:rsidRDefault="00E540A4" w:rsidP="007F2E6E">
            <w:pPr>
              <w:spacing w:after="0"/>
              <w:jc w:val="center"/>
            </w:pPr>
            <w:r w:rsidRPr="001744B6">
              <w:rPr>
                <w:noProof/>
              </w:rPr>
              <w:drawing>
                <wp:inline distT="0" distB="0" distL="0" distR="0" wp14:anchorId="45CA7C11" wp14:editId="0D0C8B3B">
                  <wp:extent cx="5148000" cy="1798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0" cy="17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BD819" w14:textId="40964EAC" w:rsidR="0016506A" w:rsidRDefault="00FA27C6" w:rsidP="007F2E6E">
            <w:pPr>
              <w:spacing w:before="0" w:after="60"/>
            </w:pPr>
            <w:r>
              <w:rPr>
                <w:noProof/>
              </w:rPr>
              <w:drawing>
                <wp:inline distT="0" distB="0" distL="0" distR="0" wp14:anchorId="4851A1BF" wp14:editId="2C80C04B">
                  <wp:extent cx="5731510" cy="4719955"/>
                  <wp:effectExtent l="0" t="0" r="2540" b="4445"/>
                  <wp:docPr id="16" name="Picture 1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F2E8A" w14:textId="70D3BF5E" w:rsidR="00E540A4" w:rsidRDefault="0055087C" w:rsidP="00E540A4">
            <w:pPr>
              <w:pStyle w:val="Heading3"/>
              <w:spacing w:before="100" w:after="100"/>
            </w:pPr>
            <w:r>
              <w:t>Population g</w:t>
            </w:r>
            <w:r w:rsidR="00E540A4">
              <w:t xml:space="preserve">rowth and </w:t>
            </w:r>
            <w:r>
              <w:t xml:space="preserve">it’s </w:t>
            </w:r>
            <w:r w:rsidR="00E540A4">
              <w:t xml:space="preserve">components in </w:t>
            </w:r>
            <w:r w:rsidR="00916421">
              <w:t>c</w:t>
            </w:r>
            <w:r w:rsidR="00E540A4">
              <w:t xml:space="preserve">apital </w:t>
            </w:r>
            <w:r w:rsidR="00916421">
              <w:t>c</w:t>
            </w:r>
            <w:r w:rsidR="00E540A4">
              <w:t>ities</w:t>
            </w:r>
          </w:p>
          <w:p w14:paraId="353A6B9E" w14:textId="3DBE7463" w:rsidR="00916421" w:rsidRDefault="00916421" w:rsidP="00916421">
            <w:pPr>
              <w:pStyle w:val="Bullet"/>
            </w:pPr>
            <w:r>
              <w:t>While all capital cities experienced a decline in population growth in 2020-21</w:t>
            </w:r>
            <w:r w:rsidR="0046094C">
              <w:t>,</w:t>
            </w:r>
            <w:r>
              <w:t xml:space="preserve"> </w:t>
            </w:r>
            <w:r w:rsidR="002B79AF">
              <w:t>Sydney, Melbourne, Hobart and Darwin</w:t>
            </w:r>
            <w:r>
              <w:t xml:space="preserve"> also experienced negative population growth.</w:t>
            </w:r>
          </w:p>
          <w:p w14:paraId="1D3F5874" w14:textId="5B6E9181" w:rsidR="00916421" w:rsidRDefault="00916421" w:rsidP="00916421">
            <w:pPr>
              <w:pStyle w:val="Dash"/>
            </w:pPr>
            <w:bookmarkStart w:id="3" w:name="_Hlk99392023"/>
            <w:r>
              <w:t xml:space="preserve">Sydney </w:t>
            </w:r>
            <w:r w:rsidR="00011360">
              <w:t>(-0.1 per cent)</w:t>
            </w:r>
            <w:r>
              <w:t xml:space="preserve"> </w:t>
            </w:r>
            <w:r w:rsidR="004F1F0E">
              <w:t xml:space="preserve">and </w:t>
            </w:r>
            <w:bookmarkStart w:id="4" w:name="_Hlk99392034"/>
            <w:bookmarkEnd w:id="3"/>
            <w:r>
              <w:t xml:space="preserve">Melbourne </w:t>
            </w:r>
            <w:r w:rsidR="00011360">
              <w:t>(</w:t>
            </w:r>
            <w:r w:rsidR="00011360">
              <w:noBreakHyphen/>
              <w:t>1.2</w:t>
            </w:r>
            <w:r w:rsidR="004F37AA">
              <w:t> </w:t>
            </w:r>
            <w:r w:rsidR="00011360">
              <w:t xml:space="preserve">per cent) </w:t>
            </w:r>
            <w:r>
              <w:t xml:space="preserve">recorded </w:t>
            </w:r>
            <w:r w:rsidR="004F1F0E">
              <w:t xml:space="preserve">the </w:t>
            </w:r>
            <w:r>
              <w:t xml:space="preserve">first year of negative population growth since </w:t>
            </w:r>
            <w:r w:rsidR="004F1F0E">
              <w:t>19</w:t>
            </w:r>
            <w:r w:rsidR="00DE5598">
              <w:t>52-</w:t>
            </w:r>
            <w:r w:rsidR="004F1F0E">
              <w:t xml:space="preserve">53 and </w:t>
            </w:r>
            <w:r>
              <w:t>the</w:t>
            </w:r>
            <w:r w:rsidR="002B79AF">
              <w:t xml:space="preserve"> Great Depression</w:t>
            </w:r>
            <w:r>
              <w:t xml:space="preserve"> </w:t>
            </w:r>
            <w:r w:rsidR="004F1F0E">
              <w:t>respectively</w:t>
            </w:r>
            <w:bookmarkEnd w:id="4"/>
            <w:r>
              <w:t>. This</w:t>
            </w:r>
            <w:r w:rsidR="002B79AF">
              <w:t xml:space="preserve"> </w:t>
            </w:r>
            <w:r>
              <w:t>was driven by</w:t>
            </w:r>
            <w:r w:rsidR="00502CCE">
              <w:t xml:space="preserve"> </w:t>
            </w:r>
            <w:r>
              <w:t>outflows of overseas migrants and internal migrants in both cities</w:t>
            </w:r>
            <w:bookmarkStart w:id="5" w:name="_Hlk99391996"/>
            <w:r w:rsidR="000920EA">
              <w:t xml:space="preserve"> (Chart 3)</w:t>
            </w:r>
            <w:r>
              <w:t>. Melbourne had</w:t>
            </w:r>
            <w:r w:rsidR="008A11D2">
              <w:t>,</w:t>
            </w:r>
            <w:r>
              <w:t xml:space="preserve"> </w:t>
            </w:r>
            <w:r w:rsidR="0026394B">
              <w:t>by far</w:t>
            </w:r>
            <w:r w:rsidR="008A11D2">
              <w:t>,</w:t>
            </w:r>
            <w:r w:rsidR="0026394B">
              <w:t xml:space="preserve"> </w:t>
            </w:r>
            <w:r>
              <w:t xml:space="preserve">the largest outflow of overseas migrants of any capital city in 2020-21, </w:t>
            </w:r>
            <w:r w:rsidR="00A66836">
              <w:t>with net outflows of 5</w:t>
            </w:r>
            <w:r>
              <w:t>4,</w:t>
            </w:r>
            <w:r w:rsidR="008A11D2">
              <w:t>0</w:t>
            </w:r>
            <w:r>
              <w:t>00</w:t>
            </w:r>
            <w:r w:rsidR="00A66836">
              <w:t xml:space="preserve"> migrants</w:t>
            </w:r>
            <w:r>
              <w:t>.</w:t>
            </w:r>
            <w:bookmarkEnd w:id="5"/>
          </w:p>
          <w:p w14:paraId="664BC30C" w14:textId="7E6B2618" w:rsidR="007928A8" w:rsidRDefault="008A11D2" w:rsidP="00B91E60">
            <w:pPr>
              <w:pStyle w:val="DoubleDot"/>
            </w:pPr>
            <w:r>
              <w:t xml:space="preserve">Prior </w:t>
            </w:r>
            <w:r w:rsidR="00487540">
              <w:t xml:space="preserve">to the pandemic </w:t>
            </w:r>
            <w:r w:rsidR="007928A8">
              <w:t xml:space="preserve">Melbourne </w:t>
            </w:r>
            <w:r w:rsidR="00762525">
              <w:t xml:space="preserve">had </w:t>
            </w:r>
            <w:r w:rsidR="00487540">
              <w:t xml:space="preserve">experienced net internal migration </w:t>
            </w:r>
            <w:r w:rsidR="008573CB">
              <w:t xml:space="preserve">just above </w:t>
            </w:r>
            <w:r w:rsidR="00487540">
              <w:t>zero (meaning inflows of new residents roughly offset outflows of those moving away). However</w:t>
            </w:r>
            <w:r w:rsidR="008573CB">
              <w:t>, the extended</w:t>
            </w:r>
            <w:r w:rsidR="00762525">
              <w:t xml:space="preserve"> </w:t>
            </w:r>
            <w:r w:rsidR="007928A8">
              <w:t>lockdown</w:t>
            </w:r>
            <w:r w:rsidR="00762525">
              <w:t>s</w:t>
            </w:r>
            <w:r w:rsidR="007928A8">
              <w:t xml:space="preserve"> during 2020-21 </w:t>
            </w:r>
            <w:r w:rsidR="00487540">
              <w:t xml:space="preserve">saw large reductions in </w:t>
            </w:r>
            <w:r w:rsidR="007928A8">
              <w:t xml:space="preserve">internal migration </w:t>
            </w:r>
            <w:r w:rsidR="00487540">
              <w:t>to Melbourne</w:t>
            </w:r>
            <w:r w:rsidR="00E36999">
              <w:t xml:space="preserve"> and </w:t>
            </w:r>
            <w:r w:rsidR="008573CB">
              <w:t xml:space="preserve">also </w:t>
            </w:r>
            <w:r w:rsidR="00E36999">
              <w:t>more people leaving the city</w:t>
            </w:r>
            <w:r w:rsidR="007928A8">
              <w:t>.</w:t>
            </w:r>
          </w:p>
          <w:p w14:paraId="7A20FF4C" w14:textId="02897370" w:rsidR="006C170F" w:rsidRDefault="00187276" w:rsidP="00916421">
            <w:pPr>
              <w:pStyle w:val="Dash"/>
            </w:pPr>
            <w:bookmarkStart w:id="6" w:name="_Hlk99392057"/>
            <w:r>
              <w:lastRenderedPageBreak/>
              <w:t>O</w:t>
            </w:r>
            <w:r w:rsidR="006C170F">
              <w:t xml:space="preserve">utflows of overseas and internal migrants meant that </w:t>
            </w:r>
            <w:r w:rsidR="00916421">
              <w:t>Hobart also recorded negative population growth for the first time</w:t>
            </w:r>
            <w:r w:rsidR="000760F0">
              <w:t xml:space="preserve"> since 199</w:t>
            </w:r>
            <w:r w:rsidR="004448D6">
              <w:t>7-9</w:t>
            </w:r>
            <w:r w:rsidR="000760F0">
              <w:t>8</w:t>
            </w:r>
            <w:bookmarkEnd w:id="6"/>
            <w:r w:rsidR="00916421">
              <w:t xml:space="preserve">. </w:t>
            </w:r>
          </w:p>
          <w:p w14:paraId="22311BA1" w14:textId="6E1E3F7D" w:rsidR="00916421" w:rsidRDefault="00916421" w:rsidP="00916421">
            <w:pPr>
              <w:pStyle w:val="Dash"/>
            </w:pPr>
            <w:r>
              <w:t xml:space="preserve">Darwin continued its trend of negative population growth </w:t>
            </w:r>
            <w:r w:rsidR="00D73A95">
              <w:t xml:space="preserve">seen in </w:t>
            </w:r>
            <w:r>
              <w:t xml:space="preserve">recent years, largely driven by </w:t>
            </w:r>
            <w:r w:rsidR="00E95677">
              <w:t xml:space="preserve">net </w:t>
            </w:r>
            <w:r>
              <w:t xml:space="preserve">outflows of internal migrants. </w:t>
            </w:r>
          </w:p>
          <w:p w14:paraId="31B73D7C" w14:textId="56B279C8" w:rsidR="00916421" w:rsidRDefault="002B79AF" w:rsidP="00916421">
            <w:pPr>
              <w:pStyle w:val="Bullet"/>
            </w:pPr>
            <w:r>
              <w:t>P</w:t>
            </w:r>
            <w:r w:rsidR="00916421">
              <w:t>opulation growth slowed</w:t>
            </w:r>
            <w:r>
              <w:t xml:space="preserve"> </w:t>
            </w:r>
            <w:r w:rsidR="00916421">
              <w:t xml:space="preserve">in Brisbane, Adelaide, Perth </w:t>
            </w:r>
            <w:r w:rsidR="004448D6">
              <w:t>and the Australian Capital Territory</w:t>
            </w:r>
            <w:r w:rsidR="007928A8">
              <w:t xml:space="preserve"> in 2020</w:t>
            </w:r>
            <w:r w:rsidR="004F37AA">
              <w:noBreakHyphen/>
            </w:r>
            <w:r w:rsidR="007928A8">
              <w:t>21</w:t>
            </w:r>
            <w:r w:rsidR="000951FC">
              <w:t>, however growth in these cities remained positive</w:t>
            </w:r>
            <w:r w:rsidR="00916421">
              <w:t>.</w:t>
            </w:r>
          </w:p>
          <w:p w14:paraId="5DBE859A" w14:textId="1E46F3DB" w:rsidR="00916421" w:rsidRDefault="00634A4B" w:rsidP="00916421">
            <w:pPr>
              <w:pStyle w:val="Dash"/>
            </w:pPr>
            <w:r>
              <w:t>While these capital cities had net</w:t>
            </w:r>
            <w:r w:rsidR="00392D15">
              <w:t xml:space="preserve"> </w:t>
            </w:r>
            <w:r w:rsidR="00165497">
              <w:t>o</w:t>
            </w:r>
            <w:r w:rsidR="00916421">
              <w:t>utflows of overseas migrants</w:t>
            </w:r>
            <w:r>
              <w:t>, this was offset by</w:t>
            </w:r>
            <w:r w:rsidR="00916421" w:rsidRPr="0061154B">
              <w:t xml:space="preserve"> </w:t>
            </w:r>
            <w:r w:rsidR="00487540" w:rsidRPr="002561C1">
              <w:t xml:space="preserve">higher </w:t>
            </w:r>
            <w:r w:rsidR="00916421">
              <w:t>net internal migration</w:t>
            </w:r>
            <w:r>
              <w:t xml:space="preserve"> </w:t>
            </w:r>
            <w:r w:rsidR="00487540" w:rsidRPr="00B91E60">
              <w:t>compared to 2019-20</w:t>
            </w:r>
            <w:r w:rsidR="00916421" w:rsidRPr="00F774B4">
              <w:t>.</w:t>
            </w:r>
            <w:r w:rsidR="00487540" w:rsidRPr="00F774B4">
              <w:t xml:space="preserve"> </w:t>
            </w:r>
            <w:r w:rsidR="00033313" w:rsidRPr="00F774B4">
              <w:t xml:space="preserve">The Melbourne </w:t>
            </w:r>
            <w:r w:rsidR="00487540" w:rsidRPr="00F774B4">
              <w:t xml:space="preserve">lockdowns </w:t>
            </w:r>
            <w:r w:rsidR="00033313" w:rsidRPr="00F774B4">
              <w:t xml:space="preserve">meant that fewer people left these jurisdictions </w:t>
            </w:r>
            <w:r w:rsidR="00782662">
              <w:t xml:space="preserve">to go to Melbourne </w:t>
            </w:r>
            <w:r w:rsidR="00033313" w:rsidRPr="00F774B4">
              <w:t>compared to previous years.</w:t>
            </w:r>
          </w:p>
          <w:p w14:paraId="7045453D" w14:textId="72361A76" w:rsidR="00392D15" w:rsidRDefault="00634A4B" w:rsidP="002B535E">
            <w:pPr>
              <w:pStyle w:val="Dash"/>
              <w:spacing w:after="240"/>
              <w:ind w:left="942" w:hanging="471"/>
            </w:pPr>
            <w:r w:rsidRPr="00634A4B">
              <w:t>Brisbane continued to be Australia’s fastest growing capital</w:t>
            </w:r>
            <w:r>
              <w:t xml:space="preserve">. </w:t>
            </w:r>
            <w:r w:rsidR="00165497" w:rsidRPr="00165497">
              <w:t>Brisbane</w:t>
            </w:r>
            <w:r>
              <w:t xml:space="preserve"> has historically been a large net gainer of internal migrants, and </w:t>
            </w:r>
            <w:r w:rsidR="00F774B4">
              <w:t>this continued</w:t>
            </w:r>
            <w:r>
              <w:t xml:space="preserve"> in 2020-21 </w:t>
            </w:r>
            <w:r w:rsidR="00F774B4">
              <w:t xml:space="preserve">with </w:t>
            </w:r>
            <w:r>
              <w:t>a</w:t>
            </w:r>
            <w:r w:rsidR="00165497">
              <w:t xml:space="preserve"> net </w:t>
            </w:r>
            <w:r>
              <w:t xml:space="preserve">gain of </w:t>
            </w:r>
            <w:r w:rsidR="00165497">
              <w:t xml:space="preserve">15,000 </w:t>
            </w:r>
            <w:r>
              <w:t>internal migrants</w:t>
            </w:r>
            <w:r w:rsidR="00165497">
              <w:t xml:space="preserve">. </w:t>
            </w:r>
          </w:p>
          <w:p w14:paraId="345585CA" w14:textId="47368F2E" w:rsidR="00E540A4" w:rsidRDefault="004B4A70" w:rsidP="00BD1754">
            <w:pPr>
              <w:pStyle w:val="Heading9"/>
            </w:pPr>
            <w:r>
              <w:t>Contribution</w:t>
            </w:r>
            <w:r w:rsidR="00916421">
              <w:t xml:space="preserve"> of </w:t>
            </w:r>
            <w:r>
              <w:t>c</w:t>
            </w:r>
            <w:r w:rsidR="00916421">
              <w:t xml:space="preserve">omponents of </w:t>
            </w:r>
            <w:r w:rsidR="004F6486">
              <w:t xml:space="preserve">population </w:t>
            </w:r>
            <w:r w:rsidR="00916421">
              <w:t xml:space="preserve">change </w:t>
            </w:r>
            <w:r>
              <w:t xml:space="preserve">to </w:t>
            </w:r>
            <w:r w:rsidR="00916421">
              <w:t xml:space="preserve">growth – </w:t>
            </w:r>
            <w:r w:rsidR="00981454">
              <w:t>G</w:t>
            </w:r>
            <w:r w:rsidR="00916421">
              <w:t>reater capital cities, as at 30 June</w:t>
            </w:r>
          </w:p>
          <w:p w14:paraId="02B3028B" w14:textId="69ACE264" w:rsidR="00B746C5" w:rsidRDefault="002B455A" w:rsidP="007928A8">
            <w:pPr>
              <w:spacing w:after="0"/>
            </w:pPr>
            <w:r w:rsidRPr="002B455A">
              <w:rPr>
                <w:noProof/>
              </w:rPr>
              <w:drawing>
                <wp:inline distT="0" distB="0" distL="0" distR="0" wp14:anchorId="37E9A810" wp14:editId="2A6EDAA8">
                  <wp:extent cx="5724525" cy="23145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5FE8E" w14:textId="37761CE8" w:rsidR="002B455A" w:rsidRDefault="002B455A" w:rsidP="007928A8">
            <w:pPr>
              <w:spacing w:after="0"/>
            </w:pPr>
            <w:r w:rsidRPr="002B455A">
              <w:rPr>
                <w:noProof/>
              </w:rPr>
              <w:drawing>
                <wp:inline distT="0" distB="0" distL="0" distR="0" wp14:anchorId="006A077C" wp14:editId="795E7331">
                  <wp:extent cx="5724525" cy="23145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8A20C" w14:textId="0C8D89CB" w:rsidR="00BD74E6" w:rsidRDefault="00BD74E6" w:rsidP="007928A8">
            <w:pPr>
              <w:spacing w:after="0"/>
            </w:pPr>
          </w:p>
          <w:p w14:paraId="2CEBE5A6" w14:textId="77777777" w:rsidR="00BD74E6" w:rsidRDefault="00BD74E6" w:rsidP="007928A8">
            <w:pPr>
              <w:spacing w:after="0"/>
            </w:pPr>
          </w:p>
          <w:p w14:paraId="560088C2" w14:textId="3F32A533" w:rsidR="00E540A4" w:rsidRDefault="00E540A4" w:rsidP="0041132A">
            <w:pPr>
              <w:spacing w:before="0"/>
            </w:pPr>
          </w:p>
          <w:p w14:paraId="14F876A3" w14:textId="1AEC0E47" w:rsidR="00BA2F4C" w:rsidRDefault="00BA2F4C" w:rsidP="0041132A">
            <w:pPr>
              <w:spacing w:before="0"/>
            </w:pPr>
          </w:p>
          <w:p w14:paraId="6CEC8312" w14:textId="486D3C1B" w:rsidR="00BA2F4C" w:rsidRDefault="00BA2F4C" w:rsidP="0041132A">
            <w:pPr>
              <w:spacing w:before="0"/>
            </w:pPr>
          </w:p>
          <w:p w14:paraId="21A7A74F" w14:textId="77777777" w:rsidR="00BA2F4C" w:rsidRDefault="00BA2F4C" w:rsidP="0041132A">
            <w:pPr>
              <w:spacing w:before="0"/>
            </w:pPr>
          </w:p>
          <w:p w14:paraId="74223870" w14:textId="77777777" w:rsidR="00380651" w:rsidRDefault="00380651" w:rsidP="0041132A">
            <w:pPr>
              <w:spacing w:before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2"/>
            </w:tblGrid>
            <w:tr w:rsidR="00DE68EA" w14:paraId="0E716693" w14:textId="77777777" w:rsidTr="00DE68EA">
              <w:tc>
                <w:tcPr>
                  <w:tcW w:w="9239" w:type="dxa"/>
                </w:tcPr>
                <w:p w14:paraId="770F75B0" w14:textId="5A267607" w:rsidR="00DE68EA" w:rsidRDefault="00DE68EA" w:rsidP="002561C1">
                  <w:pPr>
                    <w:pStyle w:val="Heading4"/>
                    <w:outlineLvl w:val="3"/>
                  </w:pPr>
                  <w:r w:rsidRPr="002561C1">
                    <w:lastRenderedPageBreak/>
                    <w:t xml:space="preserve">Box 1: </w:t>
                  </w:r>
                  <w:r w:rsidR="00EF1F02">
                    <w:t xml:space="preserve">How </w:t>
                  </w:r>
                  <w:r w:rsidR="001A7D8E">
                    <w:t>p</w:t>
                  </w:r>
                  <w:r>
                    <w:t xml:space="preserve">opulation </w:t>
                  </w:r>
                  <w:r w:rsidR="001A7D8E">
                    <w:t>d</w:t>
                  </w:r>
                  <w:r w:rsidR="00C01057">
                    <w:t>ecline</w:t>
                  </w:r>
                  <w:r>
                    <w:t xml:space="preserve"> </w:t>
                  </w:r>
                  <w:r w:rsidR="001A7D8E">
                    <w:t>a</w:t>
                  </w:r>
                  <w:r w:rsidR="00EF1F02">
                    <w:t xml:space="preserve">ffected </w:t>
                  </w:r>
                  <w:r>
                    <w:t>Melbourne in 2020-21</w:t>
                  </w:r>
                </w:p>
                <w:p w14:paraId="05229E1F" w14:textId="486474E3" w:rsidR="00D33516" w:rsidRDefault="00D33516" w:rsidP="00DE68EA">
                  <w:pPr>
                    <w:pStyle w:val="Bullet"/>
                  </w:pPr>
                  <w:r>
                    <w:t xml:space="preserve">The number of </w:t>
                  </w:r>
                  <w:r w:rsidR="004C4140">
                    <w:t>SA2s</w:t>
                  </w:r>
                  <w:r w:rsidR="004C4140">
                    <w:rPr>
                      <w:rStyle w:val="FootnoteReference"/>
                    </w:rPr>
                    <w:footnoteReference w:id="3"/>
                  </w:r>
                  <w:r w:rsidR="004C4140">
                    <w:t xml:space="preserve"> experiencing population decline has increased in Melbourne, up from </w:t>
                  </w:r>
                  <w:r w:rsidR="00971B39">
                    <w:t>27</w:t>
                  </w:r>
                  <w:r w:rsidR="00E71211">
                    <w:t xml:space="preserve"> in 2018-19 to </w:t>
                  </w:r>
                  <w:r w:rsidR="00971B39">
                    <w:t>244</w:t>
                  </w:r>
                  <w:r w:rsidR="00E71211">
                    <w:t xml:space="preserve"> in 2020-21</w:t>
                  </w:r>
                  <w:r w:rsidR="00EB17C1">
                    <w:t xml:space="preserve"> </w:t>
                  </w:r>
                  <w:r w:rsidR="0006731A">
                    <w:t>(</w:t>
                  </w:r>
                  <w:r w:rsidR="00EB17C1">
                    <w:t>Chart 4)</w:t>
                  </w:r>
                  <w:r w:rsidR="00E71211">
                    <w:t>.</w:t>
                  </w:r>
                </w:p>
                <w:p w14:paraId="0A7AEBCA" w14:textId="02976F89" w:rsidR="00DE68EA" w:rsidRPr="00430957" w:rsidRDefault="00E71211" w:rsidP="00074148">
                  <w:pPr>
                    <w:pStyle w:val="Bullet"/>
                  </w:pPr>
                  <w:r>
                    <w:t xml:space="preserve">Similar to </w:t>
                  </w:r>
                  <w:r w:rsidR="009D4A71">
                    <w:t xml:space="preserve">trends in </w:t>
                  </w:r>
                  <w:r>
                    <w:t>other capital cities</w:t>
                  </w:r>
                  <w:r w:rsidR="00DE68EA" w:rsidRPr="005B1D19">
                    <w:t xml:space="preserve">, </w:t>
                  </w:r>
                  <w:r w:rsidR="00137116">
                    <w:t xml:space="preserve">slowing population growth </w:t>
                  </w:r>
                  <w:r w:rsidR="00DE68EA" w:rsidRPr="005B1D19">
                    <w:t>has had the greatest impact on Central Business Districts (CBDs) and inner-city suburbs, as these areas have historically relied on overseas migrants for a large proportion of their growth.</w:t>
                  </w:r>
                  <w:r w:rsidR="00C2674F">
                    <w:t xml:space="preserve"> </w:t>
                  </w:r>
                  <w:r w:rsidR="00DE68EA" w:rsidRPr="00430957">
                    <w:t>Melbourne</w:t>
                  </w:r>
                  <w:r w:rsidR="00430957">
                    <w:t>’s CBD and inner areas</w:t>
                  </w:r>
                  <w:r w:rsidR="00C2674F">
                    <w:t xml:space="preserve"> had the largest population decline in the country, with the SA4</w:t>
                  </w:r>
                  <w:r w:rsidR="00643E1A">
                    <w:rPr>
                      <w:rStyle w:val="FootnoteReference"/>
                    </w:rPr>
                    <w:footnoteReference w:id="4"/>
                  </w:r>
                  <w:r w:rsidR="00C2674F">
                    <w:t xml:space="preserve"> of Inner Melbourne declining by 4.2 per cent in 2020-21</w:t>
                  </w:r>
                  <w:r w:rsidR="00430957">
                    <w:t xml:space="preserve">. </w:t>
                  </w:r>
                  <w:r w:rsidR="00DE68EA" w:rsidRPr="00074148">
                    <w:t>The one area of the CBD that avoided populatio</w:t>
                  </w:r>
                  <w:r w:rsidR="00DE68EA" w:rsidRPr="00430957">
                    <w:t xml:space="preserve">n decline was the Melbourne Docklands Precinct </w:t>
                  </w:r>
                  <w:r w:rsidR="00DE68EA" w:rsidRPr="00074148">
                    <w:t>(</w:t>
                  </w:r>
                  <w:r w:rsidR="00B765E8">
                    <w:t>show</w:t>
                  </w:r>
                  <w:r w:rsidR="00DB2EFC">
                    <w:t>n</w:t>
                  </w:r>
                  <w:r w:rsidR="00B765E8">
                    <w:t xml:space="preserve"> by the single dark blue area west of the CBD in </w:t>
                  </w:r>
                  <w:r w:rsidR="00DE68EA" w:rsidRPr="00430957">
                    <w:t xml:space="preserve">Chart 4). </w:t>
                  </w:r>
                </w:p>
                <w:p w14:paraId="0B35816B" w14:textId="09493FBA" w:rsidR="00DE68EA" w:rsidRPr="000F3422" w:rsidRDefault="00074148" w:rsidP="00DE68EA">
                  <w:pPr>
                    <w:pStyle w:val="Bullet"/>
                  </w:pPr>
                  <w:r>
                    <w:t>A</w:t>
                  </w:r>
                  <w:r w:rsidR="00DE68EA">
                    <w:t>lmost all of the middle</w:t>
                  </w:r>
                  <w:r>
                    <w:t xml:space="preserve">-ring </w:t>
                  </w:r>
                  <w:r w:rsidR="00DE68EA">
                    <w:t>suburbs of Melbourne recorded population decline</w:t>
                  </w:r>
                  <w:r>
                    <w:t>s</w:t>
                  </w:r>
                  <w:r w:rsidR="00DE68EA">
                    <w:t xml:space="preserve"> in 2020-21, </w:t>
                  </w:r>
                  <w:r>
                    <w:t>although the rate of population decline was less than CBD and inner areas. Population declines were particularly noticeable in s</w:t>
                  </w:r>
                  <w:r w:rsidR="00DE68EA">
                    <w:t xml:space="preserve">uburbs to the east and south-east along </w:t>
                  </w:r>
                  <w:r w:rsidR="007E6552">
                    <w:t xml:space="preserve">the </w:t>
                  </w:r>
                  <w:r w:rsidR="00DE68EA">
                    <w:rPr>
                      <w:rFonts w:asciiTheme="minorHAnsi" w:eastAsiaTheme="minorHAnsi" w:hAnsiTheme="minorHAnsi"/>
                    </w:rPr>
                    <w:t>Eastern and Monash Freeways.</w:t>
                  </w:r>
                </w:p>
                <w:p w14:paraId="18F47890" w14:textId="7353A50D" w:rsidR="00074148" w:rsidRPr="00B20545" w:rsidRDefault="00074148" w:rsidP="00B16E9E">
                  <w:pPr>
                    <w:pStyle w:val="Dash"/>
                  </w:pPr>
                  <w:r>
                    <w:t>Falls in population growth in these areas w</w:t>
                  </w:r>
                  <w:r w:rsidR="007E6552">
                    <w:t>ere</w:t>
                  </w:r>
                  <w:r>
                    <w:t xml:space="preserve"> led by falls in overseas migration, as well as large outflows of internal migration.</w:t>
                  </w:r>
                </w:p>
                <w:p w14:paraId="4ADE70E1" w14:textId="663E8407" w:rsidR="00E40E2E" w:rsidRPr="00643E1A" w:rsidRDefault="00DE68EA" w:rsidP="00380651">
                  <w:pPr>
                    <w:pStyle w:val="Bullet"/>
                    <w:spacing w:after="240"/>
                    <w:ind w:left="471" w:hanging="471"/>
                  </w:pPr>
                  <w:r>
                    <w:t>In comparison, greenfield development in the outer areas of cities have had higher rates of population growth</w:t>
                  </w:r>
                  <w:r w:rsidR="006E0008">
                    <w:t xml:space="preserve"> as they have maintained higher rates of </w:t>
                  </w:r>
                  <w:r w:rsidR="005A05F8">
                    <w:t xml:space="preserve">inbound </w:t>
                  </w:r>
                  <w:r>
                    <w:t>internal migration. Areas around Cranbourne, Werribee and Craigieburn recorded strong population growth of over 2.5 per cent in 2020-21.</w:t>
                  </w:r>
                </w:p>
                <w:p w14:paraId="4FC499FB" w14:textId="77777777" w:rsidR="00DE68EA" w:rsidRDefault="00DE68EA" w:rsidP="00DE68EA">
                  <w:pPr>
                    <w:pStyle w:val="Heading9"/>
                  </w:pPr>
                  <w:r w:rsidRPr="00E71F4F">
                    <w:t>Map</w:t>
                  </w:r>
                  <w:r>
                    <w:t xml:space="preserve"> of Melbourne population growth by SA2, 2020-21</w:t>
                  </w:r>
                </w:p>
                <w:p w14:paraId="3AE8C243" w14:textId="6682759B" w:rsidR="00DE68EA" w:rsidRDefault="00931CCD" w:rsidP="009F3694">
                  <w:pPr>
                    <w:pStyle w:val="Bullet"/>
                    <w:numPr>
                      <w:ilvl w:val="0"/>
                      <w:numId w:val="0"/>
                    </w:num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97B26A7" wp14:editId="4CAC642F">
                        <wp:extent cx="5731510" cy="4457700"/>
                        <wp:effectExtent l="0" t="0" r="0" b="0"/>
                        <wp:docPr id="18" name="Picture 18" descr="Ma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Map&#10;&#10;Description automatically generated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335129" w14:textId="578101CC" w:rsidR="00E71F4F" w:rsidRDefault="00826993" w:rsidP="00E71F4F">
            <w:pPr>
              <w:pStyle w:val="Heading3"/>
              <w:spacing w:before="100" w:after="100"/>
            </w:pPr>
            <w:r>
              <w:lastRenderedPageBreak/>
              <w:t>Population g</w:t>
            </w:r>
            <w:r w:rsidR="00E71F4F">
              <w:t xml:space="preserve">rowth and </w:t>
            </w:r>
            <w:r>
              <w:t xml:space="preserve">it’s </w:t>
            </w:r>
            <w:r w:rsidR="00E71F4F">
              <w:t>components in regional areas</w:t>
            </w:r>
          </w:p>
          <w:p w14:paraId="0E31183E" w14:textId="6F62A703" w:rsidR="00227BC1" w:rsidRDefault="00235E14" w:rsidP="00E71F4F">
            <w:pPr>
              <w:pStyle w:val="Bullet"/>
            </w:pPr>
            <w:r>
              <w:t>P</w:t>
            </w:r>
            <w:r w:rsidR="00E71F4F" w:rsidRPr="00E71F4F">
              <w:t xml:space="preserve">opulation growth </w:t>
            </w:r>
            <w:r w:rsidR="00227BC1">
              <w:t>was less affected in regional areas, as falls in overseas migration were offset by gains in internal migration</w:t>
            </w:r>
            <w:r w:rsidR="007F0E78">
              <w:t xml:space="preserve"> (Chart 5)</w:t>
            </w:r>
            <w:r w:rsidR="00227BC1">
              <w:t>.</w:t>
            </w:r>
          </w:p>
          <w:p w14:paraId="785A2C09" w14:textId="7E9B5CA3" w:rsidR="007F0E78" w:rsidRDefault="007F0E78" w:rsidP="00B16E9E">
            <w:pPr>
              <w:pStyle w:val="Dash"/>
            </w:pPr>
            <w:r>
              <w:t>Growth in regional South Australia, Western Australia and the Northern Territory were largely unchanged from the previous year.</w:t>
            </w:r>
          </w:p>
          <w:p w14:paraId="4B2B28BF" w14:textId="2F2A7008" w:rsidR="00B20545" w:rsidRDefault="00227BC1" w:rsidP="0011222F">
            <w:pPr>
              <w:pStyle w:val="Bullet"/>
            </w:pPr>
            <w:r>
              <w:t>Population growth increased in</w:t>
            </w:r>
            <w:r w:rsidR="00E71F4F" w:rsidRPr="00E71F4F">
              <w:t xml:space="preserve"> regional New South Wales</w:t>
            </w:r>
            <w:r w:rsidR="009F5FBF">
              <w:t>,</w:t>
            </w:r>
            <w:r w:rsidR="00EE1086">
              <w:t xml:space="preserve"> driven by a doubling of net internal migration compared to the previous year. </w:t>
            </w:r>
            <w:r w:rsidR="00891418">
              <w:t>R</w:t>
            </w:r>
            <w:r w:rsidR="00E71F4F">
              <w:t xml:space="preserve">egional New South Wales was </w:t>
            </w:r>
            <w:r w:rsidR="00EE1086">
              <w:t xml:space="preserve">also </w:t>
            </w:r>
            <w:r w:rsidR="00E71F4F">
              <w:t xml:space="preserve">the only </w:t>
            </w:r>
            <w:r w:rsidR="00473C45">
              <w:t xml:space="preserve">location </w:t>
            </w:r>
            <w:r w:rsidR="00891418">
              <w:t xml:space="preserve">to </w:t>
            </w:r>
            <w:r w:rsidR="00E71F4F">
              <w:t>experience positive net overseas migration in 2020-21</w:t>
            </w:r>
            <w:r w:rsidR="00891418">
              <w:t>, likely driven by returning Australians</w:t>
            </w:r>
            <w:r w:rsidR="00E71F4F">
              <w:t xml:space="preserve">. </w:t>
            </w:r>
          </w:p>
          <w:p w14:paraId="40861608" w14:textId="0A18C238" w:rsidR="008A721E" w:rsidRDefault="008A721E" w:rsidP="008A721E">
            <w:pPr>
              <w:pStyle w:val="Bullet"/>
            </w:pPr>
            <w:r>
              <w:t xml:space="preserve">Regional Victoria overtook regional Queensland as the fastest growing regional area, as high levels of overseas migration </w:t>
            </w:r>
            <w:r w:rsidR="00C92F85">
              <w:t xml:space="preserve">seen previously </w:t>
            </w:r>
            <w:r>
              <w:t>to regional Queensland declined.</w:t>
            </w:r>
          </w:p>
          <w:p w14:paraId="54E410D5" w14:textId="3B709833" w:rsidR="00E71F4F" w:rsidRDefault="008A721E" w:rsidP="002343E2">
            <w:pPr>
              <w:pStyle w:val="Dash"/>
            </w:pPr>
            <w:r>
              <w:t>However</w:t>
            </w:r>
            <w:r w:rsidR="007F0E78">
              <w:t xml:space="preserve">, regional Queensland continued its </w:t>
            </w:r>
            <w:r w:rsidR="00E71F4F">
              <w:t>historical</w:t>
            </w:r>
            <w:r w:rsidR="007F0E78">
              <w:t xml:space="preserve"> pattern of </w:t>
            </w:r>
            <w:r w:rsidR="00E71F4F">
              <w:t>strong population growth</w:t>
            </w:r>
            <w:r w:rsidR="007F0E78">
              <w:t xml:space="preserve"> (which is generally </w:t>
            </w:r>
            <w:r w:rsidR="00E71F4F">
              <w:t>driven by areas such as the Gold Coast and Sunshine Coast</w:t>
            </w:r>
            <w:r w:rsidR="007F0E78">
              <w:t>)</w:t>
            </w:r>
            <w:r w:rsidR="00E71F4F">
              <w:t>.</w:t>
            </w:r>
          </w:p>
          <w:p w14:paraId="2553E301" w14:textId="5A1DBD78" w:rsidR="00E540A4" w:rsidRDefault="007F4843" w:rsidP="007F4843">
            <w:pPr>
              <w:pStyle w:val="Bullet"/>
            </w:pPr>
            <w:r w:rsidRPr="007F4843">
              <w:t xml:space="preserve">Regional Tasmania also experienced a </w:t>
            </w:r>
            <w:r w:rsidR="007F0E78">
              <w:t xml:space="preserve">noticeable </w:t>
            </w:r>
            <w:r w:rsidRPr="007F4843">
              <w:t xml:space="preserve">decline in growth in 2020-21, driven by an outflow of overseas migrants as well as a decrease in </w:t>
            </w:r>
            <w:r w:rsidR="008A721E">
              <w:t xml:space="preserve">net </w:t>
            </w:r>
            <w:r w:rsidR="008A721E" w:rsidRPr="007F4843">
              <w:t>internal migrat</w:t>
            </w:r>
            <w:r w:rsidR="008A721E">
              <w:t xml:space="preserve">ion as more people left regional Tasmania compared to 2019-20. </w:t>
            </w:r>
          </w:p>
          <w:p w14:paraId="4C6EB606" w14:textId="08460FEA" w:rsidR="00576E89" w:rsidRDefault="007F4843" w:rsidP="00380651">
            <w:pPr>
              <w:pStyle w:val="Bullet"/>
              <w:spacing w:after="240"/>
              <w:ind w:left="471" w:hanging="471"/>
            </w:pPr>
            <w:bookmarkStart w:id="7" w:name="_Hlk99396620"/>
            <w:r w:rsidRPr="007F4843">
              <w:t xml:space="preserve">Three of the fastest growing </w:t>
            </w:r>
            <w:r w:rsidR="00125244">
              <w:t>small areas</w:t>
            </w:r>
            <w:r w:rsidR="002A7FEB">
              <w:t xml:space="preserve"> (SA4s)</w:t>
            </w:r>
            <w:r>
              <w:t xml:space="preserve"> in Australia</w:t>
            </w:r>
            <w:r w:rsidRPr="007F4843">
              <w:t xml:space="preserve"> were in regional areas close to</w:t>
            </w:r>
            <w:r>
              <w:t xml:space="preserve"> the east coast</w:t>
            </w:r>
            <w:r w:rsidRPr="007F4843">
              <w:t xml:space="preserve"> capital cities. Geelong</w:t>
            </w:r>
            <w:r w:rsidR="008856B0">
              <w:t xml:space="preserve"> in Victoria</w:t>
            </w:r>
            <w:r w:rsidRPr="007F4843">
              <w:t xml:space="preserve"> was the second fastest growing </w:t>
            </w:r>
            <w:r w:rsidR="002430F1">
              <w:t>SA4</w:t>
            </w:r>
            <w:r w:rsidRPr="007F4843">
              <w:t>, growing at 2.1 per cent in 2020-21</w:t>
            </w:r>
            <w:r w:rsidR="00226111">
              <w:t>, behind</w:t>
            </w:r>
            <w:r w:rsidR="00531D28">
              <w:t xml:space="preserve"> only</w:t>
            </w:r>
            <w:r w:rsidR="00226111">
              <w:t xml:space="preserve"> </w:t>
            </w:r>
            <w:r w:rsidR="008856B0">
              <w:t>Ipswich in Queensland</w:t>
            </w:r>
            <w:r w:rsidRPr="007F4843">
              <w:t xml:space="preserve">. The Hunter Valley </w:t>
            </w:r>
            <w:r w:rsidR="008856B0">
              <w:t>in New South Wales</w:t>
            </w:r>
            <w:r w:rsidRPr="007F4843">
              <w:t xml:space="preserve"> (2.1 per cent) and </w:t>
            </w:r>
            <w:r w:rsidR="008856B0">
              <w:t xml:space="preserve">the </w:t>
            </w:r>
            <w:r w:rsidRPr="007F4843">
              <w:t xml:space="preserve">Sunshine Coast </w:t>
            </w:r>
            <w:r w:rsidR="008856B0">
              <w:t>in Queensland</w:t>
            </w:r>
            <w:r w:rsidRPr="007F4843">
              <w:t xml:space="preserve"> (1.9 per cent) followed in third and fourth place.</w:t>
            </w:r>
            <w:bookmarkEnd w:id="7"/>
          </w:p>
          <w:p w14:paraId="4CFA9EA8" w14:textId="50C5096C" w:rsidR="00E40E2E" w:rsidRPr="00E40E2E" w:rsidRDefault="004B4A70" w:rsidP="00E40E2E">
            <w:pPr>
              <w:pStyle w:val="Heading9"/>
            </w:pPr>
            <w:r>
              <w:t xml:space="preserve">Contribution of components of population change to growth </w:t>
            </w:r>
            <w:r w:rsidR="007F4843">
              <w:t xml:space="preserve">– </w:t>
            </w:r>
            <w:r w:rsidR="00981454">
              <w:t>Rest of state areas</w:t>
            </w:r>
            <w:r w:rsidR="007F4843">
              <w:t>, as at 30 June</w:t>
            </w:r>
          </w:p>
          <w:p w14:paraId="49331DED" w14:textId="229ED1E6" w:rsidR="00743091" w:rsidRDefault="00743091" w:rsidP="007F4843">
            <w:pPr>
              <w:spacing w:after="0"/>
            </w:pPr>
            <w:r w:rsidRPr="00743091">
              <w:rPr>
                <w:noProof/>
              </w:rPr>
              <w:drawing>
                <wp:inline distT="0" distB="0" distL="0" distR="0" wp14:anchorId="64A4E83F" wp14:editId="63BBAE74">
                  <wp:extent cx="5724525" cy="23145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526D1" w14:textId="3D2154D0" w:rsidR="005B7C56" w:rsidRDefault="00743091" w:rsidP="00E40E2E">
            <w:pPr>
              <w:spacing w:before="0"/>
            </w:pPr>
            <w:r w:rsidRPr="00743091">
              <w:rPr>
                <w:noProof/>
              </w:rPr>
              <w:drawing>
                <wp:inline distT="0" distB="0" distL="0" distR="0" wp14:anchorId="00A23079" wp14:editId="5DCA52A1">
                  <wp:extent cx="5724525" cy="23145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83582" w14:textId="77777777" w:rsidR="00380651" w:rsidRDefault="00380651" w:rsidP="009E0607">
            <w:pPr>
              <w:pStyle w:val="Heading3"/>
            </w:pPr>
          </w:p>
          <w:p w14:paraId="2EB371A5" w14:textId="464D2083" w:rsidR="009E0607" w:rsidRPr="006579A0" w:rsidRDefault="00545C3A" w:rsidP="009E0607">
            <w:pPr>
              <w:pStyle w:val="Heading3"/>
            </w:pPr>
            <w:r>
              <w:lastRenderedPageBreak/>
              <w:t>D</w:t>
            </w:r>
            <w:r w:rsidR="00380651">
              <w:t>ata</w:t>
            </w:r>
            <w:r>
              <w:t xml:space="preserve"> </w:t>
            </w:r>
            <w:r w:rsidR="009E0607" w:rsidRPr="00897710">
              <w:t>N</w:t>
            </w:r>
            <w:r w:rsidR="00380651">
              <w:t>otes</w:t>
            </w:r>
          </w:p>
          <w:p w14:paraId="351B9DB6" w14:textId="120B756F" w:rsidR="009E0607" w:rsidRDefault="009E0607" w:rsidP="009E0607">
            <w:pPr>
              <w:pStyle w:val="Bullet"/>
            </w:pPr>
            <w:r>
              <w:t>Further detail</w:t>
            </w:r>
            <w:r w:rsidR="00576E89">
              <w:t>, including data quality notes, are</w:t>
            </w:r>
            <w:r>
              <w:t xml:space="preserve"> available from the </w:t>
            </w:r>
            <w:hyperlink r:id="rId16" w:history="1">
              <w:r w:rsidRPr="00576E89">
                <w:rPr>
                  <w:rStyle w:val="Hyperlink"/>
                </w:rPr>
                <w:t>Australian Bureau of Statistics</w:t>
              </w:r>
            </w:hyperlink>
            <w:r>
              <w:t>.</w:t>
            </w:r>
          </w:p>
          <w:p w14:paraId="5CA4E3C3" w14:textId="3AF19F5C" w:rsidR="00197F0A" w:rsidRDefault="00545C3A" w:rsidP="009E0607">
            <w:pPr>
              <w:pStyle w:val="Bullet"/>
            </w:pPr>
            <w:r>
              <w:t xml:space="preserve">The high internal migration figures should be interpreted with some caution as ABS data </w:t>
            </w:r>
            <w:r w:rsidR="00197F0A">
              <w:t xml:space="preserve">show a high number of interstate moves in </w:t>
            </w:r>
            <w:r>
              <w:t xml:space="preserve">the </w:t>
            </w:r>
            <w:r w:rsidR="00C17872">
              <w:t>June quarter of</w:t>
            </w:r>
            <w:r>
              <w:t xml:space="preserve"> 2020-</w:t>
            </w:r>
            <w:r w:rsidR="00197F0A">
              <w:t>21</w:t>
            </w:r>
            <w:r>
              <w:t xml:space="preserve"> which are unlikely to accurately reflect the occurrence of internal movements. This was</w:t>
            </w:r>
            <w:r w:rsidR="00197F0A">
              <w:t xml:space="preserve"> driven by increased numbers of people updating their Medicare address during the mass vaccination program.</w:t>
            </w:r>
          </w:p>
          <w:p w14:paraId="01465E56" w14:textId="691A1D62" w:rsidR="009E0607" w:rsidRPr="002A7FEB" w:rsidRDefault="009E0607" w:rsidP="002B535E">
            <w:pPr>
              <w:pStyle w:val="Bullet"/>
              <w:spacing w:after="240"/>
              <w:ind w:left="471" w:hanging="471"/>
              <w:rPr>
                <w:color w:val="4470A7"/>
              </w:rPr>
            </w:pPr>
            <w:r w:rsidRPr="009E0607">
              <w:t>Figures</w:t>
            </w:r>
            <w:r>
              <w:t xml:space="preserve"> in this publication will not exactly match the data presented in </w:t>
            </w:r>
            <w:r w:rsidR="009F1F0D">
              <w:t xml:space="preserve">the </w:t>
            </w:r>
            <w:r>
              <w:t xml:space="preserve">ABS </w:t>
            </w:r>
            <w:r w:rsidR="00C17872">
              <w:t xml:space="preserve">publication </w:t>
            </w:r>
            <w:r>
              <w:rPr>
                <w:i/>
              </w:rPr>
              <w:t>National, State and Territory Population</w:t>
            </w:r>
            <w:r w:rsidR="00C17872">
              <w:rPr>
                <w:iCs/>
              </w:rPr>
              <w:t xml:space="preserve">. </w:t>
            </w:r>
            <w:r w:rsidR="005E0B85">
              <w:t>Sub-state population data does not incorporate the ABS revisions published on 19 March 2022.</w:t>
            </w:r>
          </w:p>
          <w:p w14:paraId="75144DB0" w14:textId="77777777" w:rsidR="00167155" w:rsidRDefault="00167155" w:rsidP="00167155">
            <w:pPr>
              <w:pStyle w:val="TableHeadingContinued"/>
            </w:pPr>
            <w:r w:rsidRPr="00737787">
              <w:t>Upcoming major population releases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701"/>
              <w:gridCol w:w="1898"/>
            </w:tblGrid>
            <w:tr w:rsidR="00167155" w:rsidRPr="009C2B09" w14:paraId="647D94ED" w14:textId="77777777" w:rsidTr="004522C0">
              <w:trPr>
                <w:trHeight w:val="271"/>
                <w:jc w:val="center"/>
              </w:trPr>
              <w:tc>
                <w:tcPr>
                  <w:tcW w:w="3053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53C38" w14:textId="3FBAA737" w:rsidR="00167155" w:rsidRPr="00DC62D9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bookmarkStart w:id="8" w:name="_Hlk99468571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</w:t>
                  </w:r>
                  <w:r w:rsidR="001067CE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ference period</w:t>
                  </w:r>
                </w:p>
              </w:tc>
              <w:tc>
                <w:tcPr>
                  <w:tcW w:w="920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913FDBF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027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7EFA5436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2A7559" w14:paraId="158D1F0A" w14:textId="77777777" w:rsidTr="00757729">
              <w:trPr>
                <w:trHeight w:val="204"/>
                <w:jc w:val="center"/>
              </w:trPr>
              <w:tc>
                <w:tcPr>
                  <w:tcW w:w="30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18B23FA9" w14:textId="0C897698" w:rsidR="002A7559" w:rsidRDefault="002A7559" w:rsidP="00757729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Provisional mortality statistics, January 2020-December 2021</w:t>
                  </w:r>
                </w:p>
              </w:tc>
              <w:tc>
                <w:tcPr>
                  <w:tcW w:w="9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40FAF5" w14:textId="29D9D320" w:rsidR="002A7559" w:rsidRPr="00C86822" w:rsidRDefault="002A7559" w:rsidP="00757729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NA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84433" w14:textId="44FDA9EB" w:rsidR="002A7559" w:rsidRDefault="002A7559" w:rsidP="00757729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30/03/2022</w:t>
                  </w:r>
                </w:p>
              </w:tc>
            </w:tr>
            <w:tr w:rsidR="001067CE" w:rsidRPr="009C2B09" w14:paraId="438335F9" w14:textId="77777777" w:rsidTr="002A7559">
              <w:trPr>
                <w:trHeight w:val="204"/>
                <w:jc w:val="center"/>
              </w:trPr>
              <w:tc>
                <w:tcPr>
                  <w:tcW w:w="30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7B0ECFAF" w14:textId="2335FC87" w:rsidR="001067CE" w:rsidRDefault="001067CE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5136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</w:t>
                  </w:r>
                  <w:r w:rsidR="00E2282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December 2021</w:t>
                  </w:r>
                </w:p>
              </w:tc>
              <w:tc>
                <w:tcPr>
                  <w:tcW w:w="9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26CB5" w14:textId="7B24259C" w:rsidR="001067CE" w:rsidRPr="00C86822" w:rsidRDefault="001067CE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51003E" w14:textId="7D7E6792" w:rsidR="001067CE" w:rsidRDefault="001067CE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28/06/2022</w:t>
                  </w:r>
                </w:p>
              </w:tc>
            </w:tr>
            <w:tr w:rsidR="00167155" w:rsidRPr="009C2B09" w14:paraId="6D273FCD" w14:textId="77777777" w:rsidTr="004522C0">
              <w:trPr>
                <w:trHeight w:val="204"/>
                <w:jc w:val="center"/>
              </w:trPr>
              <w:tc>
                <w:tcPr>
                  <w:tcW w:w="3053" w:type="pct"/>
                  <w:tcBorders>
                    <w:top w:val="nil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ADD8446" w14:textId="692599B0" w:rsidR="00167155" w:rsidRPr="009C2B09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5136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</w:t>
                  </w:r>
                  <w:r w:rsidR="00E2282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March 202</w:t>
                  </w:r>
                  <w:r w:rsidR="005C4A8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920" w:type="pct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859E0" w14:textId="77777777" w:rsidR="00167155" w:rsidRPr="009C2B09" w:rsidRDefault="00167155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CEE85" w14:textId="79C3EE7F" w:rsidR="00167155" w:rsidRPr="009C2B09" w:rsidRDefault="005C4A89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22/09/2022</w:t>
                  </w:r>
                </w:p>
              </w:tc>
            </w:tr>
            <w:bookmarkEnd w:id="8"/>
          </w:tbl>
          <w:p w14:paraId="0C2E9871" w14:textId="467B37CE" w:rsidR="00725216" w:rsidRDefault="00725216" w:rsidP="00F21FAB"/>
          <w:p w14:paraId="0018BACC" w14:textId="77777777" w:rsidR="00B70BE1" w:rsidRDefault="00B70BE1" w:rsidP="00F21FAB"/>
          <w:p w14:paraId="2D0644AA" w14:textId="73C5F400" w:rsidR="00725216" w:rsidRPr="00945E30" w:rsidRDefault="00725216" w:rsidP="00F21FAB"/>
        </w:tc>
      </w:tr>
    </w:tbl>
    <w:p w14:paraId="341F92A2" w14:textId="77777777" w:rsidR="008E718C" w:rsidRPr="00C13F52" w:rsidRDefault="008E718C" w:rsidP="00C13F52">
      <w:pPr>
        <w:spacing w:before="0" w:after="0" w:line="276" w:lineRule="auto"/>
        <w:rPr>
          <w:color w:val="000000"/>
          <w:sz w:val="2"/>
          <w:szCs w:val="2"/>
        </w:rPr>
      </w:pPr>
    </w:p>
    <w:sectPr w:rsidR="008E718C" w:rsidRPr="00C13F52" w:rsidSect="00051B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40" w:bottom="1276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45FE" w14:textId="77777777" w:rsidR="00DD30C6" w:rsidRDefault="00DD30C6" w:rsidP="008F6A37">
      <w:r>
        <w:separator/>
      </w:r>
    </w:p>
  </w:endnote>
  <w:endnote w:type="continuationSeparator" w:id="0">
    <w:p w14:paraId="40C44DB7" w14:textId="77777777" w:rsidR="00DD30C6" w:rsidRDefault="00DD30C6" w:rsidP="008F6A37">
      <w:r>
        <w:continuationSeparator/>
      </w:r>
    </w:p>
  </w:endnote>
  <w:endnote w:type="continuationNotice" w:id="1">
    <w:p w14:paraId="2ACD98D8" w14:textId="77777777" w:rsidR="00DD30C6" w:rsidRDefault="00DD3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69520E" w:rsidRDefault="0069520E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69520E" w:rsidRDefault="0069520E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69520E" w:rsidRDefault="0069520E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0DE2" w14:textId="77777777" w:rsidR="00DD30C6" w:rsidRDefault="00DD30C6" w:rsidP="008F6A37">
      <w:r>
        <w:separator/>
      </w:r>
    </w:p>
  </w:footnote>
  <w:footnote w:type="continuationSeparator" w:id="0">
    <w:p w14:paraId="25FA21D0" w14:textId="77777777" w:rsidR="00DD30C6" w:rsidRDefault="00DD30C6" w:rsidP="008F6A37">
      <w:r>
        <w:continuationSeparator/>
      </w:r>
    </w:p>
  </w:footnote>
  <w:footnote w:type="continuationNotice" w:id="1">
    <w:p w14:paraId="18A27441" w14:textId="77777777" w:rsidR="00DD30C6" w:rsidRDefault="00DD30C6"/>
  </w:footnote>
  <w:footnote w:id="2">
    <w:p w14:paraId="4B670E8D" w14:textId="1E397A9C" w:rsidR="00081A3D" w:rsidRDefault="00081A3D" w:rsidP="002B535E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Regional areas </w:t>
      </w:r>
      <w:r w:rsidR="00CE5F8F">
        <w:t xml:space="preserve">include </w:t>
      </w:r>
      <w:r>
        <w:t>all areas outside of capital cities, includ</w:t>
      </w:r>
      <w:r w:rsidR="00773CBC">
        <w:t>ing</w:t>
      </w:r>
      <w:r>
        <w:t xml:space="preserve"> non-capital cities </w:t>
      </w:r>
      <w:r w:rsidR="0025192E">
        <w:t xml:space="preserve">such as </w:t>
      </w:r>
      <w:r>
        <w:t>the Gold Coast and Newcastle.</w:t>
      </w:r>
    </w:p>
  </w:footnote>
  <w:footnote w:id="3">
    <w:p w14:paraId="5950AEAC" w14:textId="78B1CDD9" w:rsidR="004C4140" w:rsidRDefault="004C4140" w:rsidP="00380651">
      <w:pPr>
        <w:pStyle w:val="FootnoteText"/>
        <w:spacing w:before="80" w:after="80"/>
      </w:pPr>
      <w:r>
        <w:rPr>
          <w:rStyle w:val="FootnoteReference"/>
        </w:rPr>
        <w:footnoteRef/>
      </w:r>
      <w:r w:rsidRPr="00F61350">
        <w:t xml:space="preserve"> </w:t>
      </w:r>
      <w:r w:rsidR="00BF796A" w:rsidRPr="001910C3">
        <w:t>Statistical Area</w:t>
      </w:r>
      <w:r w:rsidR="00837020" w:rsidRPr="001910C3">
        <w:t>s</w:t>
      </w:r>
      <w:r w:rsidR="00BF796A" w:rsidRPr="001910C3">
        <w:t xml:space="preserve"> </w:t>
      </w:r>
      <w:r w:rsidR="00837020" w:rsidRPr="001910C3">
        <w:t xml:space="preserve">Level </w:t>
      </w:r>
      <w:r w:rsidR="00BF796A" w:rsidRPr="001910C3">
        <w:t xml:space="preserve">2 (SA2s) are </w:t>
      </w:r>
      <w:r w:rsidR="001910C3">
        <w:t xml:space="preserve">the </w:t>
      </w:r>
      <w:r w:rsidR="00837020" w:rsidRPr="001910C3">
        <w:t>second smallest</w:t>
      </w:r>
      <w:r w:rsidR="00BF796A" w:rsidRPr="001910C3">
        <w:t xml:space="preserve"> </w:t>
      </w:r>
      <w:r w:rsidR="00837020" w:rsidRPr="001910C3">
        <w:t xml:space="preserve">geographic </w:t>
      </w:r>
      <w:r w:rsidR="00BF796A" w:rsidRPr="001910C3">
        <w:t>area</w:t>
      </w:r>
      <w:r w:rsidR="00837020" w:rsidRPr="001910C3">
        <w:t>s</w:t>
      </w:r>
      <w:r w:rsidR="00BF796A" w:rsidRPr="001910C3">
        <w:t xml:space="preserve"> </w:t>
      </w:r>
      <w:r w:rsidR="00837020" w:rsidRPr="001910C3">
        <w:t xml:space="preserve">that the ABS use and represent a </w:t>
      </w:r>
      <w:r w:rsidR="00F61350" w:rsidRPr="001910C3">
        <w:t>community that interacts together socially and economically.</w:t>
      </w:r>
      <w:r w:rsidR="00837020" w:rsidRPr="001910C3">
        <w:t xml:space="preserve"> </w:t>
      </w:r>
      <w:r w:rsidR="00A905CC">
        <w:t>There are 2,292 SA2s in Australia, with an average population of 11,000 people.</w:t>
      </w:r>
    </w:p>
  </w:footnote>
  <w:footnote w:id="4">
    <w:p w14:paraId="069E9BE3" w14:textId="09637170" w:rsidR="00643E1A" w:rsidRDefault="00643E1A" w:rsidP="00380651">
      <w:pPr>
        <w:pStyle w:val="FootnoteText"/>
        <w:spacing w:before="80" w:after="80"/>
      </w:pPr>
      <w:r>
        <w:rPr>
          <w:rStyle w:val="FootnoteReference"/>
        </w:rPr>
        <w:footnoteRef/>
      </w:r>
      <w:r>
        <w:t xml:space="preserve"> Statistical Areas Level 4 (SA4s) are the largest substate geographical areas that the ABS use and represent labour force regions.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69520E" w:rsidRPr="00763EB8" w:rsidRDefault="0069520E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20EB0ACC" w:rsidR="0069520E" w:rsidRPr="00F3063C" w:rsidRDefault="00F3063C" w:rsidP="00F3063C">
    <w:pPr>
      <w:pStyle w:val="Header"/>
    </w:pPr>
    <w:r w:rsidRPr="00F3063C">
      <w:rPr>
        <w:bCs/>
        <w:color w:val="002C47" w:themeColor="accent1"/>
        <w:sz w:val="18"/>
      </w:rPr>
      <w:t xml:space="preserve">Analysis of National, state and territory population, </w:t>
    </w:r>
    <w:r>
      <w:rPr>
        <w:bCs/>
        <w:color w:val="002C47" w:themeColor="accent1"/>
        <w:sz w:val="18"/>
      </w:rPr>
      <w:t>June</w:t>
    </w:r>
    <w:r w:rsidRPr="00F3063C">
      <w:rPr>
        <w:bCs/>
        <w:color w:val="002C47" w:themeColor="accent1"/>
        <w:sz w:val="1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69520E" w:rsidRPr="00725216" w:rsidRDefault="0069520E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D2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0A1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F40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00C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4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0D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A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C8D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2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01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07B"/>
    <w:multiLevelType w:val="hybridMultilevel"/>
    <w:tmpl w:val="CEF897D6"/>
    <w:lvl w:ilvl="0" w:tplc="F8149FB0">
      <w:start w:val="3101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D3FC7"/>
    <w:multiLevelType w:val="multilevel"/>
    <w:tmpl w:val="E94000D2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2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5" w15:restartNumberingAfterBreak="0">
    <w:nsid w:val="1DCC5466"/>
    <w:multiLevelType w:val="hybridMultilevel"/>
    <w:tmpl w:val="8D50B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326A3C"/>
    <w:multiLevelType w:val="multilevel"/>
    <w:tmpl w:val="F476D4E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8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A02C0"/>
    <w:multiLevelType w:val="hybridMultilevel"/>
    <w:tmpl w:val="CB224C8E"/>
    <w:lvl w:ilvl="0" w:tplc="70DACDBC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51B3A"/>
    <w:multiLevelType w:val="hybridMultilevel"/>
    <w:tmpl w:val="6DA49136"/>
    <w:lvl w:ilvl="0" w:tplc="829C0DA2">
      <w:start w:val="1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6"/>
  </w:num>
  <w:num w:numId="18">
    <w:abstractNumId w:val="19"/>
  </w:num>
  <w:num w:numId="19">
    <w:abstractNumId w:val="13"/>
  </w:num>
  <w:num w:numId="20">
    <w:abstractNumId w:val="22"/>
  </w:num>
  <w:num w:numId="21">
    <w:abstractNumId w:val="14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21"/>
  </w:num>
  <w:num w:numId="27">
    <w:abstractNumId w:val="25"/>
  </w:num>
  <w:num w:numId="28">
    <w:abstractNumId w:val="28"/>
  </w:num>
  <w:num w:numId="29">
    <w:abstractNumId w:val="27"/>
  </w:num>
  <w:num w:numId="30">
    <w:abstractNumId w:val="23"/>
  </w:num>
  <w:num w:numId="31">
    <w:abstractNumId w:val="28"/>
  </w:num>
  <w:num w:numId="32">
    <w:abstractNumId w:val="17"/>
  </w:num>
  <w:num w:numId="33">
    <w:abstractNumId w:val="17"/>
  </w:num>
  <w:num w:numId="34">
    <w:abstractNumId w:val="17"/>
  </w:num>
  <w:num w:numId="35">
    <w:abstractNumId w:val="28"/>
  </w:num>
  <w:num w:numId="36">
    <w:abstractNumId w:val="28"/>
  </w:num>
  <w:num w:numId="37">
    <w:abstractNumId w:val="28"/>
  </w:num>
  <w:num w:numId="38">
    <w:abstractNumId w:val="17"/>
  </w:num>
  <w:num w:numId="39">
    <w:abstractNumId w:val="28"/>
  </w:num>
  <w:num w:numId="40">
    <w:abstractNumId w:val="10"/>
  </w:num>
  <w:num w:numId="41">
    <w:abstractNumId w:val="17"/>
  </w:num>
  <w:num w:numId="42">
    <w:abstractNumId w:val="15"/>
  </w:num>
  <w:num w:numId="43">
    <w:abstractNumId w:val="28"/>
  </w:num>
  <w:num w:numId="44">
    <w:abstractNumId w:val="28"/>
  </w:num>
  <w:num w:numId="45">
    <w:abstractNumId w:val="30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25C3"/>
    <w:rsid w:val="00005552"/>
    <w:rsid w:val="00005857"/>
    <w:rsid w:val="00005C33"/>
    <w:rsid w:val="00005FDD"/>
    <w:rsid w:val="000075D6"/>
    <w:rsid w:val="00011360"/>
    <w:rsid w:val="00011E58"/>
    <w:rsid w:val="000120DC"/>
    <w:rsid w:val="0001297A"/>
    <w:rsid w:val="0001357F"/>
    <w:rsid w:val="000135AD"/>
    <w:rsid w:val="000138FE"/>
    <w:rsid w:val="00014B3E"/>
    <w:rsid w:val="00016E11"/>
    <w:rsid w:val="00017247"/>
    <w:rsid w:val="000176F3"/>
    <w:rsid w:val="000212AE"/>
    <w:rsid w:val="000219AA"/>
    <w:rsid w:val="00022B42"/>
    <w:rsid w:val="00022C7A"/>
    <w:rsid w:val="00023A43"/>
    <w:rsid w:val="00023CBA"/>
    <w:rsid w:val="00024A4C"/>
    <w:rsid w:val="00024D0B"/>
    <w:rsid w:val="00027731"/>
    <w:rsid w:val="00027CE2"/>
    <w:rsid w:val="000321E4"/>
    <w:rsid w:val="000330A2"/>
    <w:rsid w:val="00033313"/>
    <w:rsid w:val="00035525"/>
    <w:rsid w:val="00036886"/>
    <w:rsid w:val="00037A0D"/>
    <w:rsid w:val="00037C4A"/>
    <w:rsid w:val="0004038D"/>
    <w:rsid w:val="00040405"/>
    <w:rsid w:val="000405D3"/>
    <w:rsid w:val="000409F3"/>
    <w:rsid w:val="0004496F"/>
    <w:rsid w:val="00044A6C"/>
    <w:rsid w:val="00044BD0"/>
    <w:rsid w:val="00046DAC"/>
    <w:rsid w:val="0004718D"/>
    <w:rsid w:val="00047BA9"/>
    <w:rsid w:val="000507D3"/>
    <w:rsid w:val="000512DC"/>
    <w:rsid w:val="00051B41"/>
    <w:rsid w:val="0005310A"/>
    <w:rsid w:val="00053DE3"/>
    <w:rsid w:val="00053FF1"/>
    <w:rsid w:val="0005424F"/>
    <w:rsid w:val="0005568F"/>
    <w:rsid w:val="00056E4C"/>
    <w:rsid w:val="00057D34"/>
    <w:rsid w:val="0006007C"/>
    <w:rsid w:val="000611AE"/>
    <w:rsid w:val="00062440"/>
    <w:rsid w:val="00064D04"/>
    <w:rsid w:val="00065FAE"/>
    <w:rsid w:val="0006731A"/>
    <w:rsid w:val="000702C0"/>
    <w:rsid w:val="00073631"/>
    <w:rsid w:val="00074148"/>
    <w:rsid w:val="000741B6"/>
    <w:rsid w:val="0007513C"/>
    <w:rsid w:val="000760F0"/>
    <w:rsid w:val="0008139F"/>
    <w:rsid w:val="00081822"/>
    <w:rsid w:val="00081A3D"/>
    <w:rsid w:val="00081BE4"/>
    <w:rsid w:val="000833DC"/>
    <w:rsid w:val="00085F2A"/>
    <w:rsid w:val="000920EA"/>
    <w:rsid w:val="00093E21"/>
    <w:rsid w:val="000941A8"/>
    <w:rsid w:val="00094A06"/>
    <w:rsid w:val="000951FC"/>
    <w:rsid w:val="00096136"/>
    <w:rsid w:val="0009629A"/>
    <w:rsid w:val="000967BC"/>
    <w:rsid w:val="00096E22"/>
    <w:rsid w:val="000A130F"/>
    <w:rsid w:val="000A2E8D"/>
    <w:rsid w:val="000A599D"/>
    <w:rsid w:val="000A709B"/>
    <w:rsid w:val="000A7411"/>
    <w:rsid w:val="000A77D4"/>
    <w:rsid w:val="000B065B"/>
    <w:rsid w:val="000B2BC3"/>
    <w:rsid w:val="000B43F7"/>
    <w:rsid w:val="000B4C4B"/>
    <w:rsid w:val="000B65B8"/>
    <w:rsid w:val="000B6715"/>
    <w:rsid w:val="000B7540"/>
    <w:rsid w:val="000C1DC4"/>
    <w:rsid w:val="000C2920"/>
    <w:rsid w:val="000C2BBD"/>
    <w:rsid w:val="000C57F7"/>
    <w:rsid w:val="000C5C34"/>
    <w:rsid w:val="000D0233"/>
    <w:rsid w:val="000D079A"/>
    <w:rsid w:val="000D0E89"/>
    <w:rsid w:val="000D1ADE"/>
    <w:rsid w:val="000D2084"/>
    <w:rsid w:val="000D2602"/>
    <w:rsid w:val="000D4B22"/>
    <w:rsid w:val="000D63F6"/>
    <w:rsid w:val="000D7E77"/>
    <w:rsid w:val="000E1BCE"/>
    <w:rsid w:val="000E283D"/>
    <w:rsid w:val="000E2C7E"/>
    <w:rsid w:val="000E3CD8"/>
    <w:rsid w:val="000E3E0C"/>
    <w:rsid w:val="000E50BC"/>
    <w:rsid w:val="000E68E6"/>
    <w:rsid w:val="000F0031"/>
    <w:rsid w:val="000F04C1"/>
    <w:rsid w:val="000F1A5D"/>
    <w:rsid w:val="000F1A81"/>
    <w:rsid w:val="000F1F16"/>
    <w:rsid w:val="000F25D6"/>
    <w:rsid w:val="000F3422"/>
    <w:rsid w:val="000F60AE"/>
    <w:rsid w:val="000F60CF"/>
    <w:rsid w:val="000F6912"/>
    <w:rsid w:val="001039A8"/>
    <w:rsid w:val="00103D2E"/>
    <w:rsid w:val="0010418C"/>
    <w:rsid w:val="001055E0"/>
    <w:rsid w:val="001067CE"/>
    <w:rsid w:val="0011222F"/>
    <w:rsid w:val="001140DF"/>
    <w:rsid w:val="00115812"/>
    <w:rsid w:val="00116FB0"/>
    <w:rsid w:val="00120861"/>
    <w:rsid w:val="001211DA"/>
    <w:rsid w:val="00122466"/>
    <w:rsid w:val="00122485"/>
    <w:rsid w:val="001225FF"/>
    <w:rsid w:val="00124FC9"/>
    <w:rsid w:val="00125244"/>
    <w:rsid w:val="00126350"/>
    <w:rsid w:val="00126AFC"/>
    <w:rsid w:val="00131306"/>
    <w:rsid w:val="00133512"/>
    <w:rsid w:val="00133E61"/>
    <w:rsid w:val="001348BE"/>
    <w:rsid w:val="00134C75"/>
    <w:rsid w:val="00135022"/>
    <w:rsid w:val="00136321"/>
    <w:rsid w:val="00137116"/>
    <w:rsid w:val="001418C5"/>
    <w:rsid w:val="00142B23"/>
    <w:rsid w:val="00142FC9"/>
    <w:rsid w:val="0014336B"/>
    <w:rsid w:val="0014401F"/>
    <w:rsid w:val="001452FF"/>
    <w:rsid w:val="0014580B"/>
    <w:rsid w:val="00146268"/>
    <w:rsid w:val="00150047"/>
    <w:rsid w:val="00150552"/>
    <w:rsid w:val="001506DB"/>
    <w:rsid w:val="00153143"/>
    <w:rsid w:val="00153E9E"/>
    <w:rsid w:val="001540C3"/>
    <w:rsid w:val="00154658"/>
    <w:rsid w:val="001548EE"/>
    <w:rsid w:val="001555CA"/>
    <w:rsid w:val="00157EB6"/>
    <w:rsid w:val="0016052C"/>
    <w:rsid w:val="00160A10"/>
    <w:rsid w:val="00161F19"/>
    <w:rsid w:val="00164431"/>
    <w:rsid w:val="00164BB5"/>
    <w:rsid w:val="0016506A"/>
    <w:rsid w:val="00165497"/>
    <w:rsid w:val="00166D3E"/>
    <w:rsid w:val="00167034"/>
    <w:rsid w:val="00167155"/>
    <w:rsid w:val="0016769B"/>
    <w:rsid w:val="001703EC"/>
    <w:rsid w:val="00170425"/>
    <w:rsid w:val="00171B99"/>
    <w:rsid w:val="0017330F"/>
    <w:rsid w:val="001737E2"/>
    <w:rsid w:val="00174442"/>
    <w:rsid w:val="0017622D"/>
    <w:rsid w:val="0017717F"/>
    <w:rsid w:val="00180671"/>
    <w:rsid w:val="001831C2"/>
    <w:rsid w:val="00184350"/>
    <w:rsid w:val="001844D9"/>
    <w:rsid w:val="00186406"/>
    <w:rsid w:val="001869A8"/>
    <w:rsid w:val="00187276"/>
    <w:rsid w:val="001872A4"/>
    <w:rsid w:val="00187C81"/>
    <w:rsid w:val="00187E5F"/>
    <w:rsid w:val="00187EAE"/>
    <w:rsid w:val="00190A0A"/>
    <w:rsid w:val="001910C3"/>
    <w:rsid w:val="00192757"/>
    <w:rsid w:val="0019481A"/>
    <w:rsid w:val="00194E8F"/>
    <w:rsid w:val="00195F96"/>
    <w:rsid w:val="001963E9"/>
    <w:rsid w:val="00197182"/>
    <w:rsid w:val="00197F0A"/>
    <w:rsid w:val="001A1254"/>
    <w:rsid w:val="001A24B0"/>
    <w:rsid w:val="001A2F62"/>
    <w:rsid w:val="001A51C5"/>
    <w:rsid w:val="001A534F"/>
    <w:rsid w:val="001A7061"/>
    <w:rsid w:val="001A7D8E"/>
    <w:rsid w:val="001B0934"/>
    <w:rsid w:val="001B0EDA"/>
    <w:rsid w:val="001B0EE4"/>
    <w:rsid w:val="001B275D"/>
    <w:rsid w:val="001B2923"/>
    <w:rsid w:val="001B5029"/>
    <w:rsid w:val="001B690A"/>
    <w:rsid w:val="001B7251"/>
    <w:rsid w:val="001B77E1"/>
    <w:rsid w:val="001C0224"/>
    <w:rsid w:val="001C0964"/>
    <w:rsid w:val="001C0A7C"/>
    <w:rsid w:val="001C0F70"/>
    <w:rsid w:val="001C2DAA"/>
    <w:rsid w:val="001C37DE"/>
    <w:rsid w:val="001C38B5"/>
    <w:rsid w:val="001C530B"/>
    <w:rsid w:val="001C6454"/>
    <w:rsid w:val="001C6A41"/>
    <w:rsid w:val="001C6E25"/>
    <w:rsid w:val="001D0043"/>
    <w:rsid w:val="001D123F"/>
    <w:rsid w:val="001D259D"/>
    <w:rsid w:val="001D5713"/>
    <w:rsid w:val="001D5A3A"/>
    <w:rsid w:val="001D76C7"/>
    <w:rsid w:val="001E17A9"/>
    <w:rsid w:val="001E20B9"/>
    <w:rsid w:val="001E2E52"/>
    <w:rsid w:val="001E45E2"/>
    <w:rsid w:val="001E5CC1"/>
    <w:rsid w:val="001E641B"/>
    <w:rsid w:val="001E7B9B"/>
    <w:rsid w:val="001F15DF"/>
    <w:rsid w:val="001F2369"/>
    <w:rsid w:val="001F5C62"/>
    <w:rsid w:val="001F62EA"/>
    <w:rsid w:val="001F67C7"/>
    <w:rsid w:val="001F6AFA"/>
    <w:rsid w:val="001F7C99"/>
    <w:rsid w:val="00201021"/>
    <w:rsid w:val="00201F7A"/>
    <w:rsid w:val="002046A2"/>
    <w:rsid w:val="002065FF"/>
    <w:rsid w:val="00206C8B"/>
    <w:rsid w:val="00206FD6"/>
    <w:rsid w:val="0021002C"/>
    <w:rsid w:val="0021212C"/>
    <w:rsid w:val="0021232B"/>
    <w:rsid w:val="002123E7"/>
    <w:rsid w:val="00215C3B"/>
    <w:rsid w:val="00216791"/>
    <w:rsid w:val="00220979"/>
    <w:rsid w:val="00220B32"/>
    <w:rsid w:val="00221231"/>
    <w:rsid w:val="00221300"/>
    <w:rsid w:val="002216FA"/>
    <w:rsid w:val="002237C5"/>
    <w:rsid w:val="00223EE9"/>
    <w:rsid w:val="002240CA"/>
    <w:rsid w:val="00224C78"/>
    <w:rsid w:val="00226111"/>
    <w:rsid w:val="00227BC1"/>
    <w:rsid w:val="00230525"/>
    <w:rsid w:val="00230721"/>
    <w:rsid w:val="00230EB4"/>
    <w:rsid w:val="00232104"/>
    <w:rsid w:val="0023398A"/>
    <w:rsid w:val="00233AC7"/>
    <w:rsid w:val="00233BBC"/>
    <w:rsid w:val="00233E46"/>
    <w:rsid w:val="002343E2"/>
    <w:rsid w:val="00235115"/>
    <w:rsid w:val="0023583C"/>
    <w:rsid w:val="00235CD5"/>
    <w:rsid w:val="00235E14"/>
    <w:rsid w:val="00236C31"/>
    <w:rsid w:val="0023709A"/>
    <w:rsid w:val="00237879"/>
    <w:rsid w:val="0023795B"/>
    <w:rsid w:val="002406D2"/>
    <w:rsid w:val="0024076E"/>
    <w:rsid w:val="00242515"/>
    <w:rsid w:val="00242910"/>
    <w:rsid w:val="002430F1"/>
    <w:rsid w:val="00244526"/>
    <w:rsid w:val="0024512B"/>
    <w:rsid w:val="00245B70"/>
    <w:rsid w:val="00245C98"/>
    <w:rsid w:val="0024662A"/>
    <w:rsid w:val="0024753F"/>
    <w:rsid w:val="00247742"/>
    <w:rsid w:val="0025079E"/>
    <w:rsid w:val="00250DCD"/>
    <w:rsid w:val="0025192E"/>
    <w:rsid w:val="002526C9"/>
    <w:rsid w:val="002550B9"/>
    <w:rsid w:val="002561C1"/>
    <w:rsid w:val="0025672B"/>
    <w:rsid w:val="00256CAD"/>
    <w:rsid w:val="00257970"/>
    <w:rsid w:val="00257D71"/>
    <w:rsid w:val="002622FF"/>
    <w:rsid w:val="00262582"/>
    <w:rsid w:val="0026394B"/>
    <w:rsid w:val="002668C3"/>
    <w:rsid w:val="00275740"/>
    <w:rsid w:val="00275A41"/>
    <w:rsid w:val="00275C6D"/>
    <w:rsid w:val="00277157"/>
    <w:rsid w:val="00277DCD"/>
    <w:rsid w:val="0028136C"/>
    <w:rsid w:val="002830CF"/>
    <w:rsid w:val="00283A37"/>
    <w:rsid w:val="00284FDF"/>
    <w:rsid w:val="00286824"/>
    <w:rsid w:val="0028692E"/>
    <w:rsid w:val="00287D12"/>
    <w:rsid w:val="002919A7"/>
    <w:rsid w:val="00291D2F"/>
    <w:rsid w:val="002929EF"/>
    <w:rsid w:val="00292EFE"/>
    <w:rsid w:val="00293C4B"/>
    <w:rsid w:val="002950F4"/>
    <w:rsid w:val="00295FCF"/>
    <w:rsid w:val="0029648A"/>
    <w:rsid w:val="002A2AB7"/>
    <w:rsid w:val="002A4563"/>
    <w:rsid w:val="002A5AFC"/>
    <w:rsid w:val="002A7559"/>
    <w:rsid w:val="002A7BB1"/>
    <w:rsid w:val="002A7FEB"/>
    <w:rsid w:val="002B09EB"/>
    <w:rsid w:val="002B0CAC"/>
    <w:rsid w:val="002B144B"/>
    <w:rsid w:val="002B1DF1"/>
    <w:rsid w:val="002B40ED"/>
    <w:rsid w:val="002B455A"/>
    <w:rsid w:val="002B535E"/>
    <w:rsid w:val="002B5824"/>
    <w:rsid w:val="002B598F"/>
    <w:rsid w:val="002B684F"/>
    <w:rsid w:val="002B6A32"/>
    <w:rsid w:val="002B6EB2"/>
    <w:rsid w:val="002B79AF"/>
    <w:rsid w:val="002B7F64"/>
    <w:rsid w:val="002C03D9"/>
    <w:rsid w:val="002C0D7D"/>
    <w:rsid w:val="002C107B"/>
    <w:rsid w:val="002C2D5A"/>
    <w:rsid w:val="002C6622"/>
    <w:rsid w:val="002C7447"/>
    <w:rsid w:val="002D0177"/>
    <w:rsid w:val="002D01D9"/>
    <w:rsid w:val="002D0D59"/>
    <w:rsid w:val="002D1DDD"/>
    <w:rsid w:val="002D2D64"/>
    <w:rsid w:val="002D4BDD"/>
    <w:rsid w:val="002D4EB4"/>
    <w:rsid w:val="002D5196"/>
    <w:rsid w:val="002D5D79"/>
    <w:rsid w:val="002D63FB"/>
    <w:rsid w:val="002E1020"/>
    <w:rsid w:val="002E1867"/>
    <w:rsid w:val="002E23DC"/>
    <w:rsid w:val="002E290A"/>
    <w:rsid w:val="002E2FAA"/>
    <w:rsid w:val="002E5373"/>
    <w:rsid w:val="002E540B"/>
    <w:rsid w:val="002E57F5"/>
    <w:rsid w:val="002E5932"/>
    <w:rsid w:val="002E6DD2"/>
    <w:rsid w:val="002F0ECB"/>
    <w:rsid w:val="002F1DE2"/>
    <w:rsid w:val="002F323C"/>
    <w:rsid w:val="002F77A5"/>
    <w:rsid w:val="00301330"/>
    <w:rsid w:val="00301C62"/>
    <w:rsid w:val="0030289A"/>
    <w:rsid w:val="00302A94"/>
    <w:rsid w:val="0030553F"/>
    <w:rsid w:val="003077E7"/>
    <w:rsid w:val="00310F7B"/>
    <w:rsid w:val="003110F0"/>
    <w:rsid w:val="00312AD4"/>
    <w:rsid w:val="00313B83"/>
    <w:rsid w:val="00314C76"/>
    <w:rsid w:val="0031558E"/>
    <w:rsid w:val="00317D6E"/>
    <w:rsid w:val="003207E9"/>
    <w:rsid w:val="00322590"/>
    <w:rsid w:val="00323571"/>
    <w:rsid w:val="00325741"/>
    <w:rsid w:val="003266FB"/>
    <w:rsid w:val="00330482"/>
    <w:rsid w:val="003348F5"/>
    <w:rsid w:val="0033680E"/>
    <w:rsid w:val="003369A9"/>
    <w:rsid w:val="00336E85"/>
    <w:rsid w:val="003413C9"/>
    <w:rsid w:val="00341522"/>
    <w:rsid w:val="00341E00"/>
    <w:rsid w:val="00342E40"/>
    <w:rsid w:val="0034464F"/>
    <w:rsid w:val="00344B69"/>
    <w:rsid w:val="003478BF"/>
    <w:rsid w:val="00347F56"/>
    <w:rsid w:val="003506EB"/>
    <w:rsid w:val="00351A5B"/>
    <w:rsid w:val="00354BA3"/>
    <w:rsid w:val="00354D7A"/>
    <w:rsid w:val="003558C3"/>
    <w:rsid w:val="0035639A"/>
    <w:rsid w:val="00357348"/>
    <w:rsid w:val="003600B6"/>
    <w:rsid w:val="00360567"/>
    <w:rsid w:val="00362537"/>
    <w:rsid w:val="00364843"/>
    <w:rsid w:val="00365126"/>
    <w:rsid w:val="00365E78"/>
    <w:rsid w:val="00366737"/>
    <w:rsid w:val="00367101"/>
    <w:rsid w:val="003675AD"/>
    <w:rsid w:val="00370607"/>
    <w:rsid w:val="0037217C"/>
    <w:rsid w:val="0037393C"/>
    <w:rsid w:val="003770CC"/>
    <w:rsid w:val="003779E2"/>
    <w:rsid w:val="0038054F"/>
    <w:rsid w:val="00380633"/>
    <w:rsid w:val="00380651"/>
    <w:rsid w:val="00381B77"/>
    <w:rsid w:val="00381C48"/>
    <w:rsid w:val="003826CF"/>
    <w:rsid w:val="00382FCC"/>
    <w:rsid w:val="0039159A"/>
    <w:rsid w:val="00392D15"/>
    <w:rsid w:val="0039311D"/>
    <w:rsid w:val="00393ABA"/>
    <w:rsid w:val="00394E0D"/>
    <w:rsid w:val="003A06BD"/>
    <w:rsid w:val="003A1707"/>
    <w:rsid w:val="003A3DD6"/>
    <w:rsid w:val="003A5CFB"/>
    <w:rsid w:val="003A748B"/>
    <w:rsid w:val="003A7FFE"/>
    <w:rsid w:val="003B06DE"/>
    <w:rsid w:val="003B09E8"/>
    <w:rsid w:val="003B2EFD"/>
    <w:rsid w:val="003B47F5"/>
    <w:rsid w:val="003B702A"/>
    <w:rsid w:val="003C01A4"/>
    <w:rsid w:val="003C0D7B"/>
    <w:rsid w:val="003C354E"/>
    <w:rsid w:val="003C3E27"/>
    <w:rsid w:val="003C63DE"/>
    <w:rsid w:val="003C667A"/>
    <w:rsid w:val="003C6B84"/>
    <w:rsid w:val="003C759F"/>
    <w:rsid w:val="003C7EF8"/>
    <w:rsid w:val="003D148A"/>
    <w:rsid w:val="003D2BB8"/>
    <w:rsid w:val="003D3445"/>
    <w:rsid w:val="003D3941"/>
    <w:rsid w:val="003D4110"/>
    <w:rsid w:val="003D4771"/>
    <w:rsid w:val="003D5324"/>
    <w:rsid w:val="003D69EB"/>
    <w:rsid w:val="003D7915"/>
    <w:rsid w:val="003E1B45"/>
    <w:rsid w:val="003E5E43"/>
    <w:rsid w:val="003E679C"/>
    <w:rsid w:val="003F00FC"/>
    <w:rsid w:val="003F1886"/>
    <w:rsid w:val="003F2541"/>
    <w:rsid w:val="003F3B05"/>
    <w:rsid w:val="003F3F0B"/>
    <w:rsid w:val="003F4900"/>
    <w:rsid w:val="003F56A6"/>
    <w:rsid w:val="003F5859"/>
    <w:rsid w:val="003F5DC8"/>
    <w:rsid w:val="003F60A7"/>
    <w:rsid w:val="00400285"/>
    <w:rsid w:val="00400C70"/>
    <w:rsid w:val="0040187C"/>
    <w:rsid w:val="00401FAD"/>
    <w:rsid w:val="00402BBA"/>
    <w:rsid w:val="004033FC"/>
    <w:rsid w:val="00403CA5"/>
    <w:rsid w:val="0040438A"/>
    <w:rsid w:val="00404954"/>
    <w:rsid w:val="00405536"/>
    <w:rsid w:val="004056DC"/>
    <w:rsid w:val="00405AD5"/>
    <w:rsid w:val="00410B21"/>
    <w:rsid w:val="0041132A"/>
    <w:rsid w:val="00412425"/>
    <w:rsid w:val="004175A1"/>
    <w:rsid w:val="00420363"/>
    <w:rsid w:val="00422FEA"/>
    <w:rsid w:val="00423191"/>
    <w:rsid w:val="00425448"/>
    <w:rsid w:val="0042650B"/>
    <w:rsid w:val="0042763C"/>
    <w:rsid w:val="00430957"/>
    <w:rsid w:val="0043150E"/>
    <w:rsid w:val="00431FE2"/>
    <w:rsid w:val="00432389"/>
    <w:rsid w:val="004329A7"/>
    <w:rsid w:val="00432A34"/>
    <w:rsid w:val="004331C1"/>
    <w:rsid w:val="0043774A"/>
    <w:rsid w:val="0044091A"/>
    <w:rsid w:val="00441AEB"/>
    <w:rsid w:val="004431B7"/>
    <w:rsid w:val="004448D6"/>
    <w:rsid w:val="00445CD9"/>
    <w:rsid w:val="004464EF"/>
    <w:rsid w:val="004465FC"/>
    <w:rsid w:val="00447B0D"/>
    <w:rsid w:val="00447EDC"/>
    <w:rsid w:val="00450BCE"/>
    <w:rsid w:val="00451C6F"/>
    <w:rsid w:val="00451FF6"/>
    <w:rsid w:val="004522C0"/>
    <w:rsid w:val="00453087"/>
    <w:rsid w:val="0045436B"/>
    <w:rsid w:val="004547F8"/>
    <w:rsid w:val="00454BBD"/>
    <w:rsid w:val="0045794D"/>
    <w:rsid w:val="0046058D"/>
    <w:rsid w:val="0046094C"/>
    <w:rsid w:val="0046136D"/>
    <w:rsid w:val="00461D8E"/>
    <w:rsid w:val="00463005"/>
    <w:rsid w:val="0046456E"/>
    <w:rsid w:val="00465BC9"/>
    <w:rsid w:val="00465C90"/>
    <w:rsid w:val="004671F2"/>
    <w:rsid w:val="004711B6"/>
    <w:rsid w:val="0047306C"/>
    <w:rsid w:val="00473C45"/>
    <w:rsid w:val="0047532A"/>
    <w:rsid w:val="0047768D"/>
    <w:rsid w:val="004820B2"/>
    <w:rsid w:val="00482FE6"/>
    <w:rsid w:val="0048321B"/>
    <w:rsid w:val="00484CB6"/>
    <w:rsid w:val="0048560C"/>
    <w:rsid w:val="004862E0"/>
    <w:rsid w:val="00487540"/>
    <w:rsid w:val="00487CB6"/>
    <w:rsid w:val="00490182"/>
    <w:rsid w:val="00491076"/>
    <w:rsid w:val="00491E2A"/>
    <w:rsid w:val="00491EE7"/>
    <w:rsid w:val="00492430"/>
    <w:rsid w:val="004927CF"/>
    <w:rsid w:val="00493780"/>
    <w:rsid w:val="00493AC7"/>
    <w:rsid w:val="0049519B"/>
    <w:rsid w:val="004962F4"/>
    <w:rsid w:val="004A0FDE"/>
    <w:rsid w:val="004A1D45"/>
    <w:rsid w:val="004A4CBA"/>
    <w:rsid w:val="004A6A96"/>
    <w:rsid w:val="004A6BC4"/>
    <w:rsid w:val="004A6ECE"/>
    <w:rsid w:val="004A6FE6"/>
    <w:rsid w:val="004A7907"/>
    <w:rsid w:val="004B157E"/>
    <w:rsid w:val="004B25F7"/>
    <w:rsid w:val="004B31F7"/>
    <w:rsid w:val="004B32ED"/>
    <w:rsid w:val="004B4A70"/>
    <w:rsid w:val="004B523D"/>
    <w:rsid w:val="004B5358"/>
    <w:rsid w:val="004B53AF"/>
    <w:rsid w:val="004B6C21"/>
    <w:rsid w:val="004B7B91"/>
    <w:rsid w:val="004C38EA"/>
    <w:rsid w:val="004C4140"/>
    <w:rsid w:val="004C5118"/>
    <w:rsid w:val="004C55AE"/>
    <w:rsid w:val="004C6AEA"/>
    <w:rsid w:val="004C7D44"/>
    <w:rsid w:val="004C7F2B"/>
    <w:rsid w:val="004D06C2"/>
    <w:rsid w:val="004D1E83"/>
    <w:rsid w:val="004D5E45"/>
    <w:rsid w:val="004E0A7F"/>
    <w:rsid w:val="004E1632"/>
    <w:rsid w:val="004E1C71"/>
    <w:rsid w:val="004E2245"/>
    <w:rsid w:val="004E3630"/>
    <w:rsid w:val="004E51B7"/>
    <w:rsid w:val="004E6D11"/>
    <w:rsid w:val="004F0C24"/>
    <w:rsid w:val="004F0F96"/>
    <w:rsid w:val="004F1F0E"/>
    <w:rsid w:val="004F2F34"/>
    <w:rsid w:val="004F34F6"/>
    <w:rsid w:val="004F37AA"/>
    <w:rsid w:val="004F3C30"/>
    <w:rsid w:val="004F427D"/>
    <w:rsid w:val="004F4E43"/>
    <w:rsid w:val="004F4FDD"/>
    <w:rsid w:val="004F55F6"/>
    <w:rsid w:val="004F6486"/>
    <w:rsid w:val="00500E7E"/>
    <w:rsid w:val="005016A1"/>
    <w:rsid w:val="00501723"/>
    <w:rsid w:val="00501C0E"/>
    <w:rsid w:val="00502CCE"/>
    <w:rsid w:val="00503542"/>
    <w:rsid w:val="00504F21"/>
    <w:rsid w:val="005060E0"/>
    <w:rsid w:val="00507E46"/>
    <w:rsid w:val="00513619"/>
    <w:rsid w:val="00513C8B"/>
    <w:rsid w:val="0051477F"/>
    <w:rsid w:val="0051509F"/>
    <w:rsid w:val="005152E5"/>
    <w:rsid w:val="00515427"/>
    <w:rsid w:val="00516060"/>
    <w:rsid w:val="005163B4"/>
    <w:rsid w:val="00516F2E"/>
    <w:rsid w:val="00517F9D"/>
    <w:rsid w:val="00520867"/>
    <w:rsid w:val="005211B9"/>
    <w:rsid w:val="0052246A"/>
    <w:rsid w:val="00523E0B"/>
    <w:rsid w:val="00526238"/>
    <w:rsid w:val="00526B87"/>
    <w:rsid w:val="0052762D"/>
    <w:rsid w:val="00527E02"/>
    <w:rsid w:val="00527FAF"/>
    <w:rsid w:val="0053040C"/>
    <w:rsid w:val="0053056E"/>
    <w:rsid w:val="00531D28"/>
    <w:rsid w:val="00532145"/>
    <w:rsid w:val="00532759"/>
    <w:rsid w:val="00532BEE"/>
    <w:rsid w:val="005330EA"/>
    <w:rsid w:val="005346B7"/>
    <w:rsid w:val="0053664F"/>
    <w:rsid w:val="00536BB7"/>
    <w:rsid w:val="00540F12"/>
    <w:rsid w:val="005433F9"/>
    <w:rsid w:val="005444B1"/>
    <w:rsid w:val="00545C3A"/>
    <w:rsid w:val="005461A1"/>
    <w:rsid w:val="0055087C"/>
    <w:rsid w:val="00552451"/>
    <w:rsid w:val="00552C94"/>
    <w:rsid w:val="00553293"/>
    <w:rsid w:val="0055406A"/>
    <w:rsid w:val="00555C4A"/>
    <w:rsid w:val="00556113"/>
    <w:rsid w:val="00556908"/>
    <w:rsid w:val="00556E65"/>
    <w:rsid w:val="005579B8"/>
    <w:rsid w:val="0056128B"/>
    <w:rsid w:val="0056171F"/>
    <w:rsid w:val="00562190"/>
    <w:rsid w:val="0056226B"/>
    <w:rsid w:val="00562946"/>
    <w:rsid w:val="00562A8F"/>
    <w:rsid w:val="005630EA"/>
    <w:rsid w:val="00563336"/>
    <w:rsid w:val="00563395"/>
    <w:rsid w:val="0056611C"/>
    <w:rsid w:val="00570AEF"/>
    <w:rsid w:val="0057167F"/>
    <w:rsid w:val="00571B6B"/>
    <w:rsid w:val="0057381D"/>
    <w:rsid w:val="00576E89"/>
    <w:rsid w:val="00581D1C"/>
    <w:rsid w:val="00583823"/>
    <w:rsid w:val="00583A6A"/>
    <w:rsid w:val="00583B2D"/>
    <w:rsid w:val="00583E28"/>
    <w:rsid w:val="0058746B"/>
    <w:rsid w:val="005877C2"/>
    <w:rsid w:val="00590175"/>
    <w:rsid w:val="00591A94"/>
    <w:rsid w:val="00592F47"/>
    <w:rsid w:val="0059471F"/>
    <w:rsid w:val="00594D73"/>
    <w:rsid w:val="00595444"/>
    <w:rsid w:val="00596A22"/>
    <w:rsid w:val="0059709A"/>
    <w:rsid w:val="005A05F8"/>
    <w:rsid w:val="005A272D"/>
    <w:rsid w:val="005A2937"/>
    <w:rsid w:val="005A2F15"/>
    <w:rsid w:val="005A3A4F"/>
    <w:rsid w:val="005A4869"/>
    <w:rsid w:val="005A56FC"/>
    <w:rsid w:val="005A5838"/>
    <w:rsid w:val="005A6F54"/>
    <w:rsid w:val="005A74B5"/>
    <w:rsid w:val="005B0F00"/>
    <w:rsid w:val="005B1D19"/>
    <w:rsid w:val="005B1EB3"/>
    <w:rsid w:val="005B2A7E"/>
    <w:rsid w:val="005B347F"/>
    <w:rsid w:val="005B4AE8"/>
    <w:rsid w:val="005B6F26"/>
    <w:rsid w:val="005B74A2"/>
    <w:rsid w:val="005B7C56"/>
    <w:rsid w:val="005C0314"/>
    <w:rsid w:val="005C0D05"/>
    <w:rsid w:val="005C0DCD"/>
    <w:rsid w:val="005C15BD"/>
    <w:rsid w:val="005C2132"/>
    <w:rsid w:val="005C2327"/>
    <w:rsid w:val="005C4011"/>
    <w:rsid w:val="005C4800"/>
    <w:rsid w:val="005C4A89"/>
    <w:rsid w:val="005C606E"/>
    <w:rsid w:val="005C6849"/>
    <w:rsid w:val="005C6A65"/>
    <w:rsid w:val="005C6E7A"/>
    <w:rsid w:val="005C7473"/>
    <w:rsid w:val="005C7560"/>
    <w:rsid w:val="005D04BB"/>
    <w:rsid w:val="005D06AA"/>
    <w:rsid w:val="005D0F9B"/>
    <w:rsid w:val="005D5CC8"/>
    <w:rsid w:val="005D6768"/>
    <w:rsid w:val="005D6939"/>
    <w:rsid w:val="005D75B6"/>
    <w:rsid w:val="005D798F"/>
    <w:rsid w:val="005D7E76"/>
    <w:rsid w:val="005E01D8"/>
    <w:rsid w:val="005E0B85"/>
    <w:rsid w:val="005E373A"/>
    <w:rsid w:val="005E58EF"/>
    <w:rsid w:val="005E5E67"/>
    <w:rsid w:val="005E6F5E"/>
    <w:rsid w:val="005E7E57"/>
    <w:rsid w:val="005F1051"/>
    <w:rsid w:val="005F1701"/>
    <w:rsid w:val="005F2160"/>
    <w:rsid w:val="005F55A2"/>
    <w:rsid w:val="005F5ABA"/>
    <w:rsid w:val="005F63FE"/>
    <w:rsid w:val="006001CF"/>
    <w:rsid w:val="00601733"/>
    <w:rsid w:val="00610280"/>
    <w:rsid w:val="00610743"/>
    <w:rsid w:val="006110E2"/>
    <w:rsid w:val="0061154B"/>
    <w:rsid w:val="006129E0"/>
    <w:rsid w:val="00613513"/>
    <w:rsid w:val="00613A8B"/>
    <w:rsid w:val="0061472C"/>
    <w:rsid w:val="00615AB6"/>
    <w:rsid w:val="00615B10"/>
    <w:rsid w:val="00616494"/>
    <w:rsid w:val="00621790"/>
    <w:rsid w:val="00622667"/>
    <w:rsid w:val="0062490B"/>
    <w:rsid w:val="00624B5A"/>
    <w:rsid w:val="00626060"/>
    <w:rsid w:val="006263EE"/>
    <w:rsid w:val="006264E9"/>
    <w:rsid w:val="00630139"/>
    <w:rsid w:val="00630B4C"/>
    <w:rsid w:val="00630CC8"/>
    <w:rsid w:val="006317B5"/>
    <w:rsid w:val="00632D1F"/>
    <w:rsid w:val="00633548"/>
    <w:rsid w:val="00634A4B"/>
    <w:rsid w:val="00635BCC"/>
    <w:rsid w:val="00635F69"/>
    <w:rsid w:val="00637CEF"/>
    <w:rsid w:val="006403A5"/>
    <w:rsid w:val="00640B92"/>
    <w:rsid w:val="00641342"/>
    <w:rsid w:val="00641A0F"/>
    <w:rsid w:val="00643E14"/>
    <w:rsid w:val="00643E1A"/>
    <w:rsid w:val="00645F4A"/>
    <w:rsid w:val="006528FC"/>
    <w:rsid w:val="00657485"/>
    <w:rsid w:val="006579A0"/>
    <w:rsid w:val="0066085E"/>
    <w:rsid w:val="00660B67"/>
    <w:rsid w:val="00663FE2"/>
    <w:rsid w:val="0066539C"/>
    <w:rsid w:val="006665A6"/>
    <w:rsid w:val="006669AF"/>
    <w:rsid w:val="00671AC6"/>
    <w:rsid w:val="00671AFD"/>
    <w:rsid w:val="00675B6D"/>
    <w:rsid w:val="006769BF"/>
    <w:rsid w:val="006777D1"/>
    <w:rsid w:val="006827FB"/>
    <w:rsid w:val="006834DE"/>
    <w:rsid w:val="00684AA5"/>
    <w:rsid w:val="00685EE6"/>
    <w:rsid w:val="00690549"/>
    <w:rsid w:val="00690ABA"/>
    <w:rsid w:val="00690D8D"/>
    <w:rsid w:val="006910AB"/>
    <w:rsid w:val="006912A0"/>
    <w:rsid w:val="00691847"/>
    <w:rsid w:val="00691AD0"/>
    <w:rsid w:val="00692645"/>
    <w:rsid w:val="00692771"/>
    <w:rsid w:val="00692B90"/>
    <w:rsid w:val="006945A0"/>
    <w:rsid w:val="00694A0F"/>
    <w:rsid w:val="00694C37"/>
    <w:rsid w:val="0069520E"/>
    <w:rsid w:val="00695C56"/>
    <w:rsid w:val="00696CC2"/>
    <w:rsid w:val="006A1463"/>
    <w:rsid w:val="006A2509"/>
    <w:rsid w:val="006A298B"/>
    <w:rsid w:val="006A3DBE"/>
    <w:rsid w:val="006A5224"/>
    <w:rsid w:val="006B1110"/>
    <w:rsid w:val="006B1551"/>
    <w:rsid w:val="006B257F"/>
    <w:rsid w:val="006B5086"/>
    <w:rsid w:val="006B533A"/>
    <w:rsid w:val="006B5943"/>
    <w:rsid w:val="006B6449"/>
    <w:rsid w:val="006C0DD5"/>
    <w:rsid w:val="006C170F"/>
    <w:rsid w:val="006C3AB6"/>
    <w:rsid w:val="006C4875"/>
    <w:rsid w:val="006C761C"/>
    <w:rsid w:val="006D19E6"/>
    <w:rsid w:val="006D3393"/>
    <w:rsid w:val="006D479B"/>
    <w:rsid w:val="006D6440"/>
    <w:rsid w:val="006D66A4"/>
    <w:rsid w:val="006D6F90"/>
    <w:rsid w:val="006D78FA"/>
    <w:rsid w:val="006E0008"/>
    <w:rsid w:val="006E00A4"/>
    <w:rsid w:val="006E0227"/>
    <w:rsid w:val="006E12FF"/>
    <w:rsid w:val="006E2A16"/>
    <w:rsid w:val="006E2D65"/>
    <w:rsid w:val="006E3108"/>
    <w:rsid w:val="006E32B5"/>
    <w:rsid w:val="006E6499"/>
    <w:rsid w:val="006E70F1"/>
    <w:rsid w:val="006E78BC"/>
    <w:rsid w:val="006F18E6"/>
    <w:rsid w:val="006F2478"/>
    <w:rsid w:val="006F3364"/>
    <w:rsid w:val="006F3A88"/>
    <w:rsid w:val="006F3F34"/>
    <w:rsid w:val="006F5827"/>
    <w:rsid w:val="00701525"/>
    <w:rsid w:val="00702824"/>
    <w:rsid w:val="0070296C"/>
    <w:rsid w:val="0070388B"/>
    <w:rsid w:val="00704125"/>
    <w:rsid w:val="00704F10"/>
    <w:rsid w:val="00706F04"/>
    <w:rsid w:val="00706FDC"/>
    <w:rsid w:val="00707C5B"/>
    <w:rsid w:val="00710C0E"/>
    <w:rsid w:val="00711D07"/>
    <w:rsid w:val="00711D48"/>
    <w:rsid w:val="0071211E"/>
    <w:rsid w:val="007137D3"/>
    <w:rsid w:val="00715B7D"/>
    <w:rsid w:val="007171AE"/>
    <w:rsid w:val="007173FA"/>
    <w:rsid w:val="00721E28"/>
    <w:rsid w:val="007222AC"/>
    <w:rsid w:val="007225ED"/>
    <w:rsid w:val="007227AD"/>
    <w:rsid w:val="00722C5A"/>
    <w:rsid w:val="0072327E"/>
    <w:rsid w:val="00723DB1"/>
    <w:rsid w:val="00724625"/>
    <w:rsid w:val="00725216"/>
    <w:rsid w:val="00725EFC"/>
    <w:rsid w:val="00725F91"/>
    <w:rsid w:val="007261C9"/>
    <w:rsid w:val="007320B1"/>
    <w:rsid w:val="007321EE"/>
    <w:rsid w:val="00732D37"/>
    <w:rsid w:val="00732E1E"/>
    <w:rsid w:val="007331FC"/>
    <w:rsid w:val="007334B1"/>
    <w:rsid w:val="00733961"/>
    <w:rsid w:val="00733EAB"/>
    <w:rsid w:val="00734CC6"/>
    <w:rsid w:val="0073520B"/>
    <w:rsid w:val="00735369"/>
    <w:rsid w:val="00737787"/>
    <w:rsid w:val="00742228"/>
    <w:rsid w:val="00742302"/>
    <w:rsid w:val="00742B87"/>
    <w:rsid w:val="00742C49"/>
    <w:rsid w:val="00743091"/>
    <w:rsid w:val="00743156"/>
    <w:rsid w:val="0074554C"/>
    <w:rsid w:val="007456C8"/>
    <w:rsid w:val="00745F3D"/>
    <w:rsid w:val="007464C1"/>
    <w:rsid w:val="00747C31"/>
    <w:rsid w:val="00751B0F"/>
    <w:rsid w:val="0075220D"/>
    <w:rsid w:val="007522A2"/>
    <w:rsid w:val="0075318B"/>
    <w:rsid w:val="007540EE"/>
    <w:rsid w:val="0075418B"/>
    <w:rsid w:val="0075511A"/>
    <w:rsid w:val="007553F0"/>
    <w:rsid w:val="00756761"/>
    <w:rsid w:val="00760413"/>
    <w:rsid w:val="00760EC7"/>
    <w:rsid w:val="00761231"/>
    <w:rsid w:val="00761B9D"/>
    <w:rsid w:val="0076249E"/>
    <w:rsid w:val="00762525"/>
    <w:rsid w:val="007634BF"/>
    <w:rsid w:val="00763A12"/>
    <w:rsid w:val="00763CD0"/>
    <w:rsid w:val="00763EB8"/>
    <w:rsid w:val="00766305"/>
    <w:rsid w:val="00766669"/>
    <w:rsid w:val="0076752E"/>
    <w:rsid w:val="007700BD"/>
    <w:rsid w:val="00772131"/>
    <w:rsid w:val="00773CBC"/>
    <w:rsid w:val="00775370"/>
    <w:rsid w:val="00775DE1"/>
    <w:rsid w:val="007760E2"/>
    <w:rsid w:val="007774A8"/>
    <w:rsid w:val="00777BBA"/>
    <w:rsid w:val="00780790"/>
    <w:rsid w:val="00781150"/>
    <w:rsid w:val="00782662"/>
    <w:rsid w:val="0078346F"/>
    <w:rsid w:val="007835B6"/>
    <w:rsid w:val="007847A7"/>
    <w:rsid w:val="0078581E"/>
    <w:rsid w:val="00786115"/>
    <w:rsid w:val="00787BD7"/>
    <w:rsid w:val="00791202"/>
    <w:rsid w:val="00791A7A"/>
    <w:rsid w:val="007928A8"/>
    <w:rsid w:val="00792B9D"/>
    <w:rsid w:val="00792C05"/>
    <w:rsid w:val="00793EB3"/>
    <w:rsid w:val="00794495"/>
    <w:rsid w:val="00795601"/>
    <w:rsid w:val="00796621"/>
    <w:rsid w:val="007A1AB1"/>
    <w:rsid w:val="007A263A"/>
    <w:rsid w:val="007A277F"/>
    <w:rsid w:val="007A612C"/>
    <w:rsid w:val="007A7FB2"/>
    <w:rsid w:val="007B22F6"/>
    <w:rsid w:val="007B5F18"/>
    <w:rsid w:val="007C116A"/>
    <w:rsid w:val="007C3E5F"/>
    <w:rsid w:val="007C4E46"/>
    <w:rsid w:val="007C5639"/>
    <w:rsid w:val="007C5763"/>
    <w:rsid w:val="007C62E2"/>
    <w:rsid w:val="007D4C47"/>
    <w:rsid w:val="007D50B8"/>
    <w:rsid w:val="007E0422"/>
    <w:rsid w:val="007E0789"/>
    <w:rsid w:val="007E21C1"/>
    <w:rsid w:val="007E2901"/>
    <w:rsid w:val="007E2D43"/>
    <w:rsid w:val="007E4C4E"/>
    <w:rsid w:val="007E50DE"/>
    <w:rsid w:val="007E6552"/>
    <w:rsid w:val="007E74A1"/>
    <w:rsid w:val="007E765D"/>
    <w:rsid w:val="007F0E78"/>
    <w:rsid w:val="007F1239"/>
    <w:rsid w:val="007F1AF5"/>
    <w:rsid w:val="007F2B56"/>
    <w:rsid w:val="007F2E6E"/>
    <w:rsid w:val="007F31EF"/>
    <w:rsid w:val="007F42E2"/>
    <w:rsid w:val="007F4843"/>
    <w:rsid w:val="007F4F41"/>
    <w:rsid w:val="007F6E09"/>
    <w:rsid w:val="00800B84"/>
    <w:rsid w:val="00801461"/>
    <w:rsid w:val="00804227"/>
    <w:rsid w:val="00804C84"/>
    <w:rsid w:val="008072F4"/>
    <w:rsid w:val="008112A2"/>
    <w:rsid w:val="008125C8"/>
    <w:rsid w:val="00812992"/>
    <w:rsid w:val="0081325C"/>
    <w:rsid w:val="008144E1"/>
    <w:rsid w:val="00815BB9"/>
    <w:rsid w:val="00815D89"/>
    <w:rsid w:val="00815FD8"/>
    <w:rsid w:val="00816A93"/>
    <w:rsid w:val="0082060D"/>
    <w:rsid w:val="00821F2F"/>
    <w:rsid w:val="008236F8"/>
    <w:rsid w:val="00824A42"/>
    <w:rsid w:val="008253F3"/>
    <w:rsid w:val="00825A1C"/>
    <w:rsid w:val="00825E9E"/>
    <w:rsid w:val="00826993"/>
    <w:rsid w:val="00826B87"/>
    <w:rsid w:val="00826C73"/>
    <w:rsid w:val="0082762B"/>
    <w:rsid w:val="00831ED3"/>
    <w:rsid w:val="00834409"/>
    <w:rsid w:val="008348BA"/>
    <w:rsid w:val="00835272"/>
    <w:rsid w:val="00837020"/>
    <w:rsid w:val="00842A5E"/>
    <w:rsid w:val="0084300C"/>
    <w:rsid w:val="0084333D"/>
    <w:rsid w:val="00845DF0"/>
    <w:rsid w:val="00846AD4"/>
    <w:rsid w:val="008476E8"/>
    <w:rsid w:val="00850157"/>
    <w:rsid w:val="00850D87"/>
    <w:rsid w:val="00852284"/>
    <w:rsid w:val="008534E3"/>
    <w:rsid w:val="008537F6"/>
    <w:rsid w:val="00854DF4"/>
    <w:rsid w:val="00854FFD"/>
    <w:rsid w:val="00855928"/>
    <w:rsid w:val="008561EE"/>
    <w:rsid w:val="00856E74"/>
    <w:rsid w:val="008573CB"/>
    <w:rsid w:val="008579FA"/>
    <w:rsid w:val="0086127A"/>
    <w:rsid w:val="00862857"/>
    <w:rsid w:val="008639F0"/>
    <w:rsid w:val="00864133"/>
    <w:rsid w:val="008657D5"/>
    <w:rsid w:val="00867744"/>
    <w:rsid w:val="00867E88"/>
    <w:rsid w:val="00870C89"/>
    <w:rsid w:val="0087108A"/>
    <w:rsid w:val="0087207B"/>
    <w:rsid w:val="00873508"/>
    <w:rsid w:val="0087451E"/>
    <w:rsid w:val="00875DB7"/>
    <w:rsid w:val="00876539"/>
    <w:rsid w:val="0087674A"/>
    <w:rsid w:val="0088087A"/>
    <w:rsid w:val="0088375A"/>
    <w:rsid w:val="0088505B"/>
    <w:rsid w:val="008852F9"/>
    <w:rsid w:val="008856B0"/>
    <w:rsid w:val="00885AD0"/>
    <w:rsid w:val="008865CF"/>
    <w:rsid w:val="00886DCF"/>
    <w:rsid w:val="00887B7F"/>
    <w:rsid w:val="00887FC5"/>
    <w:rsid w:val="00890083"/>
    <w:rsid w:val="00891418"/>
    <w:rsid w:val="008927A2"/>
    <w:rsid w:val="0089326C"/>
    <w:rsid w:val="00894841"/>
    <w:rsid w:val="00894A5B"/>
    <w:rsid w:val="008965DE"/>
    <w:rsid w:val="00896C7B"/>
    <w:rsid w:val="00897710"/>
    <w:rsid w:val="008A11D2"/>
    <w:rsid w:val="008A12DF"/>
    <w:rsid w:val="008A14ED"/>
    <w:rsid w:val="008A1AED"/>
    <w:rsid w:val="008A21C0"/>
    <w:rsid w:val="008A2F0C"/>
    <w:rsid w:val="008A3ADA"/>
    <w:rsid w:val="008A3B8F"/>
    <w:rsid w:val="008A4660"/>
    <w:rsid w:val="008A530A"/>
    <w:rsid w:val="008A5B6C"/>
    <w:rsid w:val="008A6100"/>
    <w:rsid w:val="008A7180"/>
    <w:rsid w:val="008A721E"/>
    <w:rsid w:val="008B01DD"/>
    <w:rsid w:val="008B12A5"/>
    <w:rsid w:val="008B4A6F"/>
    <w:rsid w:val="008B5AF4"/>
    <w:rsid w:val="008B76FB"/>
    <w:rsid w:val="008C0026"/>
    <w:rsid w:val="008C321C"/>
    <w:rsid w:val="008C3336"/>
    <w:rsid w:val="008C60D2"/>
    <w:rsid w:val="008C621D"/>
    <w:rsid w:val="008C6B04"/>
    <w:rsid w:val="008C6C1B"/>
    <w:rsid w:val="008C7635"/>
    <w:rsid w:val="008C76FC"/>
    <w:rsid w:val="008C7FFA"/>
    <w:rsid w:val="008D36E2"/>
    <w:rsid w:val="008D3F5B"/>
    <w:rsid w:val="008D5237"/>
    <w:rsid w:val="008D5CD8"/>
    <w:rsid w:val="008D5F1B"/>
    <w:rsid w:val="008D754E"/>
    <w:rsid w:val="008D773A"/>
    <w:rsid w:val="008D7C09"/>
    <w:rsid w:val="008D7CA9"/>
    <w:rsid w:val="008E0014"/>
    <w:rsid w:val="008E050E"/>
    <w:rsid w:val="008E1539"/>
    <w:rsid w:val="008E2FAB"/>
    <w:rsid w:val="008E32C9"/>
    <w:rsid w:val="008E41C6"/>
    <w:rsid w:val="008E4B5F"/>
    <w:rsid w:val="008E58A4"/>
    <w:rsid w:val="008E718C"/>
    <w:rsid w:val="008E71A6"/>
    <w:rsid w:val="008E73DE"/>
    <w:rsid w:val="008E7D96"/>
    <w:rsid w:val="008F0FB0"/>
    <w:rsid w:val="008F1209"/>
    <w:rsid w:val="008F24C6"/>
    <w:rsid w:val="008F38FB"/>
    <w:rsid w:val="008F3E7F"/>
    <w:rsid w:val="008F3EEE"/>
    <w:rsid w:val="008F58C6"/>
    <w:rsid w:val="008F6A37"/>
    <w:rsid w:val="008F6B4D"/>
    <w:rsid w:val="00900E15"/>
    <w:rsid w:val="00900E6C"/>
    <w:rsid w:val="00901055"/>
    <w:rsid w:val="00901266"/>
    <w:rsid w:val="00901CF0"/>
    <w:rsid w:val="00902539"/>
    <w:rsid w:val="009026D2"/>
    <w:rsid w:val="00903315"/>
    <w:rsid w:val="009033F7"/>
    <w:rsid w:val="0090605A"/>
    <w:rsid w:val="009064B8"/>
    <w:rsid w:val="009064D6"/>
    <w:rsid w:val="00910EB7"/>
    <w:rsid w:val="00912B87"/>
    <w:rsid w:val="00913488"/>
    <w:rsid w:val="00913F02"/>
    <w:rsid w:val="00913F36"/>
    <w:rsid w:val="00916421"/>
    <w:rsid w:val="00916CCF"/>
    <w:rsid w:val="009171FE"/>
    <w:rsid w:val="0092086C"/>
    <w:rsid w:val="009220D8"/>
    <w:rsid w:val="00922D4A"/>
    <w:rsid w:val="00922FB5"/>
    <w:rsid w:val="00924741"/>
    <w:rsid w:val="009255A7"/>
    <w:rsid w:val="0093093F"/>
    <w:rsid w:val="00930D01"/>
    <w:rsid w:val="00931CCD"/>
    <w:rsid w:val="009335CD"/>
    <w:rsid w:val="00933C47"/>
    <w:rsid w:val="009351C8"/>
    <w:rsid w:val="00935940"/>
    <w:rsid w:val="0093604B"/>
    <w:rsid w:val="009366F5"/>
    <w:rsid w:val="0093776F"/>
    <w:rsid w:val="0094175A"/>
    <w:rsid w:val="009433EE"/>
    <w:rsid w:val="00943626"/>
    <w:rsid w:val="00943963"/>
    <w:rsid w:val="00943D31"/>
    <w:rsid w:val="00945AA7"/>
    <w:rsid w:val="00945E30"/>
    <w:rsid w:val="00946672"/>
    <w:rsid w:val="009467B9"/>
    <w:rsid w:val="0094681D"/>
    <w:rsid w:val="00947956"/>
    <w:rsid w:val="00950F36"/>
    <w:rsid w:val="00953A4F"/>
    <w:rsid w:val="00953BFB"/>
    <w:rsid w:val="0095566C"/>
    <w:rsid w:val="00956EC0"/>
    <w:rsid w:val="00957951"/>
    <w:rsid w:val="00960079"/>
    <w:rsid w:val="00961BB0"/>
    <w:rsid w:val="00966184"/>
    <w:rsid w:val="00966FC9"/>
    <w:rsid w:val="0096704E"/>
    <w:rsid w:val="009719B5"/>
    <w:rsid w:val="00971B39"/>
    <w:rsid w:val="00972DB2"/>
    <w:rsid w:val="00973E10"/>
    <w:rsid w:val="00975BC4"/>
    <w:rsid w:val="0097666E"/>
    <w:rsid w:val="0097778D"/>
    <w:rsid w:val="00977DC6"/>
    <w:rsid w:val="00981454"/>
    <w:rsid w:val="009820F8"/>
    <w:rsid w:val="0098238E"/>
    <w:rsid w:val="00982CAB"/>
    <w:rsid w:val="00984A49"/>
    <w:rsid w:val="00986D9B"/>
    <w:rsid w:val="00987C1E"/>
    <w:rsid w:val="0099072E"/>
    <w:rsid w:val="009912F7"/>
    <w:rsid w:val="009947E7"/>
    <w:rsid w:val="00995774"/>
    <w:rsid w:val="00997D47"/>
    <w:rsid w:val="009A2AFF"/>
    <w:rsid w:val="009A6918"/>
    <w:rsid w:val="009A71C9"/>
    <w:rsid w:val="009B0D1E"/>
    <w:rsid w:val="009B1ACF"/>
    <w:rsid w:val="009B3992"/>
    <w:rsid w:val="009B4278"/>
    <w:rsid w:val="009B548A"/>
    <w:rsid w:val="009B6D04"/>
    <w:rsid w:val="009B777C"/>
    <w:rsid w:val="009C180E"/>
    <w:rsid w:val="009C29F4"/>
    <w:rsid w:val="009C2B09"/>
    <w:rsid w:val="009C3C53"/>
    <w:rsid w:val="009C665E"/>
    <w:rsid w:val="009C6C28"/>
    <w:rsid w:val="009C6FA2"/>
    <w:rsid w:val="009C7EE8"/>
    <w:rsid w:val="009D0275"/>
    <w:rsid w:val="009D3AF8"/>
    <w:rsid w:val="009D3B86"/>
    <w:rsid w:val="009D3FBE"/>
    <w:rsid w:val="009D46EF"/>
    <w:rsid w:val="009D4A71"/>
    <w:rsid w:val="009E0607"/>
    <w:rsid w:val="009E166B"/>
    <w:rsid w:val="009E35C4"/>
    <w:rsid w:val="009E3D0C"/>
    <w:rsid w:val="009E5E56"/>
    <w:rsid w:val="009E6C57"/>
    <w:rsid w:val="009E70CE"/>
    <w:rsid w:val="009E7153"/>
    <w:rsid w:val="009E76AE"/>
    <w:rsid w:val="009F05B9"/>
    <w:rsid w:val="009F17A9"/>
    <w:rsid w:val="009F1F0D"/>
    <w:rsid w:val="009F2865"/>
    <w:rsid w:val="009F2887"/>
    <w:rsid w:val="009F2977"/>
    <w:rsid w:val="009F2BC9"/>
    <w:rsid w:val="009F3160"/>
    <w:rsid w:val="009F3694"/>
    <w:rsid w:val="009F4B8B"/>
    <w:rsid w:val="009F5FBF"/>
    <w:rsid w:val="009F62BD"/>
    <w:rsid w:val="009F6670"/>
    <w:rsid w:val="00A006AD"/>
    <w:rsid w:val="00A018DF"/>
    <w:rsid w:val="00A039F7"/>
    <w:rsid w:val="00A04B36"/>
    <w:rsid w:val="00A05AE0"/>
    <w:rsid w:val="00A05B9B"/>
    <w:rsid w:val="00A0663C"/>
    <w:rsid w:val="00A07A65"/>
    <w:rsid w:val="00A11A2E"/>
    <w:rsid w:val="00A11D2A"/>
    <w:rsid w:val="00A14612"/>
    <w:rsid w:val="00A150C6"/>
    <w:rsid w:val="00A152DC"/>
    <w:rsid w:val="00A15F83"/>
    <w:rsid w:val="00A1708A"/>
    <w:rsid w:val="00A17A92"/>
    <w:rsid w:val="00A20910"/>
    <w:rsid w:val="00A21A3E"/>
    <w:rsid w:val="00A21F5F"/>
    <w:rsid w:val="00A235AE"/>
    <w:rsid w:val="00A25CBD"/>
    <w:rsid w:val="00A26589"/>
    <w:rsid w:val="00A268EF"/>
    <w:rsid w:val="00A26B26"/>
    <w:rsid w:val="00A27683"/>
    <w:rsid w:val="00A27E10"/>
    <w:rsid w:val="00A30016"/>
    <w:rsid w:val="00A30727"/>
    <w:rsid w:val="00A30B2E"/>
    <w:rsid w:val="00A323F4"/>
    <w:rsid w:val="00A325A5"/>
    <w:rsid w:val="00A32BC3"/>
    <w:rsid w:val="00A335C0"/>
    <w:rsid w:val="00A34F3B"/>
    <w:rsid w:val="00A36A25"/>
    <w:rsid w:val="00A37C09"/>
    <w:rsid w:val="00A37F00"/>
    <w:rsid w:val="00A40FCB"/>
    <w:rsid w:val="00A43EFE"/>
    <w:rsid w:val="00A44BFB"/>
    <w:rsid w:val="00A45BD3"/>
    <w:rsid w:val="00A462B2"/>
    <w:rsid w:val="00A46483"/>
    <w:rsid w:val="00A468B5"/>
    <w:rsid w:val="00A46D50"/>
    <w:rsid w:val="00A47833"/>
    <w:rsid w:val="00A50BB2"/>
    <w:rsid w:val="00A50D2F"/>
    <w:rsid w:val="00A52029"/>
    <w:rsid w:val="00A537A5"/>
    <w:rsid w:val="00A543AD"/>
    <w:rsid w:val="00A54E21"/>
    <w:rsid w:val="00A57D21"/>
    <w:rsid w:val="00A615B2"/>
    <w:rsid w:val="00A62B45"/>
    <w:rsid w:val="00A647E5"/>
    <w:rsid w:val="00A666D2"/>
    <w:rsid w:val="00A66836"/>
    <w:rsid w:val="00A669D8"/>
    <w:rsid w:val="00A70BE6"/>
    <w:rsid w:val="00A711D0"/>
    <w:rsid w:val="00A711E0"/>
    <w:rsid w:val="00A728CD"/>
    <w:rsid w:val="00A76C65"/>
    <w:rsid w:val="00A80D2C"/>
    <w:rsid w:val="00A82889"/>
    <w:rsid w:val="00A82BB9"/>
    <w:rsid w:val="00A85A5B"/>
    <w:rsid w:val="00A85D3A"/>
    <w:rsid w:val="00A90167"/>
    <w:rsid w:val="00A905CC"/>
    <w:rsid w:val="00A909B6"/>
    <w:rsid w:val="00A90FA0"/>
    <w:rsid w:val="00A92B32"/>
    <w:rsid w:val="00A951DC"/>
    <w:rsid w:val="00A95B50"/>
    <w:rsid w:val="00A95F73"/>
    <w:rsid w:val="00A97ADB"/>
    <w:rsid w:val="00A97C3E"/>
    <w:rsid w:val="00A97CBF"/>
    <w:rsid w:val="00AA0DAF"/>
    <w:rsid w:val="00AA49BC"/>
    <w:rsid w:val="00AA635F"/>
    <w:rsid w:val="00AA6C45"/>
    <w:rsid w:val="00AB2849"/>
    <w:rsid w:val="00AB2E11"/>
    <w:rsid w:val="00AB402D"/>
    <w:rsid w:val="00AB557E"/>
    <w:rsid w:val="00AB6652"/>
    <w:rsid w:val="00AB712E"/>
    <w:rsid w:val="00AB7A16"/>
    <w:rsid w:val="00AB7C17"/>
    <w:rsid w:val="00AC02E5"/>
    <w:rsid w:val="00AC28E2"/>
    <w:rsid w:val="00AC2D06"/>
    <w:rsid w:val="00AC4112"/>
    <w:rsid w:val="00AC6243"/>
    <w:rsid w:val="00AC707A"/>
    <w:rsid w:val="00AD00CE"/>
    <w:rsid w:val="00AD1299"/>
    <w:rsid w:val="00AD191E"/>
    <w:rsid w:val="00AD343E"/>
    <w:rsid w:val="00AD39F4"/>
    <w:rsid w:val="00AD4AB7"/>
    <w:rsid w:val="00AD7E4D"/>
    <w:rsid w:val="00AE0060"/>
    <w:rsid w:val="00AE11D3"/>
    <w:rsid w:val="00AE18E7"/>
    <w:rsid w:val="00AE1BF4"/>
    <w:rsid w:val="00AE213D"/>
    <w:rsid w:val="00AE290E"/>
    <w:rsid w:val="00AE3249"/>
    <w:rsid w:val="00AE436C"/>
    <w:rsid w:val="00AE446A"/>
    <w:rsid w:val="00AE5C6D"/>
    <w:rsid w:val="00AE5E6A"/>
    <w:rsid w:val="00AE6BF9"/>
    <w:rsid w:val="00AF097C"/>
    <w:rsid w:val="00AF27D8"/>
    <w:rsid w:val="00AF289D"/>
    <w:rsid w:val="00AF2DF2"/>
    <w:rsid w:val="00AF3E5D"/>
    <w:rsid w:val="00AF6645"/>
    <w:rsid w:val="00B00596"/>
    <w:rsid w:val="00B02A26"/>
    <w:rsid w:val="00B03A6F"/>
    <w:rsid w:val="00B05480"/>
    <w:rsid w:val="00B068F8"/>
    <w:rsid w:val="00B07849"/>
    <w:rsid w:val="00B132BD"/>
    <w:rsid w:val="00B14ECA"/>
    <w:rsid w:val="00B16E9E"/>
    <w:rsid w:val="00B16EF4"/>
    <w:rsid w:val="00B17212"/>
    <w:rsid w:val="00B172A1"/>
    <w:rsid w:val="00B20545"/>
    <w:rsid w:val="00B2076D"/>
    <w:rsid w:val="00B20CF5"/>
    <w:rsid w:val="00B20F8A"/>
    <w:rsid w:val="00B2115F"/>
    <w:rsid w:val="00B219A5"/>
    <w:rsid w:val="00B21AA3"/>
    <w:rsid w:val="00B21D19"/>
    <w:rsid w:val="00B2322B"/>
    <w:rsid w:val="00B236FA"/>
    <w:rsid w:val="00B2384A"/>
    <w:rsid w:val="00B244B6"/>
    <w:rsid w:val="00B260C1"/>
    <w:rsid w:val="00B26556"/>
    <w:rsid w:val="00B31F4C"/>
    <w:rsid w:val="00B34BBD"/>
    <w:rsid w:val="00B35F1C"/>
    <w:rsid w:val="00B3615E"/>
    <w:rsid w:val="00B36485"/>
    <w:rsid w:val="00B40DD0"/>
    <w:rsid w:val="00B42261"/>
    <w:rsid w:val="00B4333E"/>
    <w:rsid w:val="00B44DF1"/>
    <w:rsid w:val="00B44EDC"/>
    <w:rsid w:val="00B4501B"/>
    <w:rsid w:val="00B45AD1"/>
    <w:rsid w:val="00B45D09"/>
    <w:rsid w:val="00B473E0"/>
    <w:rsid w:val="00B47917"/>
    <w:rsid w:val="00B47C4B"/>
    <w:rsid w:val="00B5174E"/>
    <w:rsid w:val="00B51CC3"/>
    <w:rsid w:val="00B5228D"/>
    <w:rsid w:val="00B52C44"/>
    <w:rsid w:val="00B52D42"/>
    <w:rsid w:val="00B5343C"/>
    <w:rsid w:val="00B54ABE"/>
    <w:rsid w:val="00B54E66"/>
    <w:rsid w:val="00B57359"/>
    <w:rsid w:val="00B6079A"/>
    <w:rsid w:val="00B60D13"/>
    <w:rsid w:val="00B627AC"/>
    <w:rsid w:val="00B63109"/>
    <w:rsid w:val="00B63885"/>
    <w:rsid w:val="00B63F5A"/>
    <w:rsid w:val="00B63FA7"/>
    <w:rsid w:val="00B64A02"/>
    <w:rsid w:val="00B65B37"/>
    <w:rsid w:val="00B671CF"/>
    <w:rsid w:val="00B67962"/>
    <w:rsid w:val="00B70BE1"/>
    <w:rsid w:val="00B70CAC"/>
    <w:rsid w:val="00B70D16"/>
    <w:rsid w:val="00B746C5"/>
    <w:rsid w:val="00B752A7"/>
    <w:rsid w:val="00B756DB"/>
    <w:rsid w:val="00B75D52"/>
    <w:rsid w:val="00B76189"/>
    <w:rsid w:val="00B765E8"/>
    <w:rsid w:val="00B77BDC"/>
    <w:rsid w:val="00B80049"/>
    <w:rsid w:val="00B80B96"/>
    <w:rsid w:val="00B80EF2"/>
    <w:rsid w:val="00B80F46"/>
    <w:rsid w:val="00B81FD3"/>
    <w:rsid w:val="00B830D8"/>
    <w:rsid w:val="00B86291"/>
    <w:rsid w:val="00B8733E"/>
    <w:rsid w:val="00B87814"/>
    <w:rsid w:val="00B90504"/>
    <w:rsid w:val="00B907AC"/>
    <w:rsid w:val="00B91E60"/>
    <w:rsid w:val="00B91E74"/>
    <w:rsid w:val="00B93011"/>
    <w:rsid w:val="00B938EC"/>
    <w:rsid w:val="00B96D10"/>
    <w:rsid w:val="00BA0D0C"/>
    <w:rsid w:val="00BA1883"/>
    <w:rsid w:val="00BA19B1"/>
    <w:rsid w:val="00BA21C3"/>
    <w:rsid w:val="00BA2F4C"/>
    <w:rsid w:val="00BA39C7"/>
    <w:rsid w:val="00BA3C6C"/>
    <w:rsid w:val="00BA43C8"/>
    <w:rsid w:val="00BB0F09"/>
    <w:rsid w:val="00BB308B"/>
    <w:rsid w:val="00BB473C"/>
    <w:rsid w:val="00BB473D"/>
    <w:rsid w:val="00BB5ACD"/>
    <w:rsid w:val="00BB5D58"/>
    <w:rsid w:val="00BB5D8E"/>
    <w:rsid w:val="00BB6E28"/>
    <w:rsid w:val="00BC0F38"/>
    <w:rsid w:val="00BC14D8"/>
    <w:rsid w:val="00BC34A7"/>
    <w:rsid w:val="00BC45ED"/>
    <w:rsid w:val="00BC720A"/>
    <w:rsid w:val="00BD0DE0"/>
    <w:rsid w:val="00BD129C"/>
    <w:rsid w:val="00BD130D"/>
    <w:rsid w:val="00BD1754"/>
    <w:rsid w:val="00BD20D7"/>
    <w:rsid w:val="00BD21F3"/>
    <w:rsid w:val="00BD35A0"/>
    <w:rsid w:val="00BD4845"/>
    <w:rsid w:val="00BD6520"/>
    <w:rsid w:val="00BD6BBE"/>
    <w:rsid w:val="00BD74E6"/>
    <w:rsid w:val="00BE1677"/>
    <w:rsid w:val="00BE1CA4"/>
    <w:rsid w:val="00BE4E40"/>
    <w:rsid w:val="00BE52CC"/>
    <w:rsid w:val="00BE5B63"/>
    <w:rsid w:val="00BE63F4"/>
    <w:rsid w:val="00BE643A"/>
    <w:rsid w:val="00BF094C"/>
    <w:rsid w:val="00BF2D3E"/>
    <w:rsid w:val="00BF2E06"/>
    <w:rsid w:val="00BF3EAA"/>
    <w:rsid w:val="00BF796A"/>
    <w:rsid w:val="00BF7CAE"/>
    <w:rsid w:val="00C01057"/>
    <w:rsid w:val="00C02ADF"/>
    <w:rsid w:val="00C03D2B"/>
    <w:rsid w:val="00C07255"/>
    <w:rsid w:val="00C10BA2"/>
    <w:rsid w:val="00C1149E"/>
    <w:rsid w:val="00C11FEB"/>
    <w:rsid w:val="00C127E6"/>
    <w:rsid w:val="00C131A4"/>
    <w:rsid w:val="00C13F52"/>
    <w:rsid w:val="00C1582D"/>
    <w:rsid w:val="00C16FED"/>
    <w:rsid w:val="00C17872"/>
    <w:rsid w:val="00C205B0"/>
    <w:rsid w:val="00C21766"/>
    <w:rsid w:val="00C21EC4"/>
    <w:rsid w:val="00C226FF"/>
    <w:rsid w:val="00C227A0"/>
    <w:rsid w:val="00C228C0"/>
    <w:rsid w:val="00C2347B"/>
    <w:rsid w:val="00C2486B"/>
    <w:rsid w:val="00C24C23"/>
    <w:rsid w:val="00C25AB6"/>
    <w:rsid w:val="00C2674F"/>
    <w:rsid w:val="00C32B99"/>
    <w:rsid w:val="00C32CD0"/>
    <w:rsid w:val="00C3453B"/>
    <w:rsid w:val="00C34D4D"/>
    <w:rsid w:val="00C36A62"/>
    <w:rsid w:val="00C37489"/>
    <w:rsid w:val="00C40097"/>
    <w:rsid w:val="00C40A17"/>
    <w:rsid w:val="00C40EC1"/>
    <w:rsid w:val="00C40F18"/>
    <w:rsid w:val="00C4288D"/>
    <w:rsid w:val="00C42F37"/>
    <w:rsid w:val="00C441C0"/>
    <w:rsid w:val="00C45528"/>
    <w:rsid w:val="00C4623A"/>
    <w:rsid w:val="00C465AF"/>
    <w:rsid w:val="00C47491"/>
    <w:rsid w:val="00C531FE"/>
    <w:rsid w:val="00C533D6"/>
    <w:rsid w:val="00C56765"/>
    <w:rsid w:val="00C56F5E"/>
    <w:rsid w:val="00C572F2"/>
    <w:rsid w:val="00C5750E"/>
    <w:rsid w:val="00C575C2"/>
    <w:rsid w:val="00C6197C"/>
    <w:rsid w:val="00C64EA9"/>
    <w:rsid w:val="00C657C5"/>
    <w:rsid w:val="00C661D7"/>
    <w:rsid w:val="00C67BC4"/>
    <w:rsid w:val="00C707DB"/>
    <w:rsid w:val="00C71259"/>
    <w:rsid w:val="00C717E8"/>
    <w:rsid w:val="00C73072"/>
    <w:rsid w:val="00C757A4"/>
    <w:rsid w:val="00C757B6"/>
    <w:rsid w:val="00C76570"/>
    <w:rsid w:val="00C76C98"/>
    <w:rsid w:val="00C76E95"/>
    <w:rsid w:val="00C77BFF"/>
    <w:rsid w:val="00C80F13"/>
    <w:rsid w:val="00C84C42"/>
    <w:rsid w:val="00C84C4B"/>
    <w:rsid w:val="00C859DC"/>
    <w:rsid w:val="00C863A8"/>
    <w:rsid w:val="00C86463"/>
    <w:rsid w:val="00C86822"/>
    <w:rsid w:val="00C878BA"/>
    <w:rsid w:val="00C87D89"/>
    <w:rsid w:val="00C92F85"/>
    <w:rsid w:val="00C9332E"/>
    <w:rsid w:val="00C942F3"/>
    <w:rsid w:val="00C95707"/>
    <w:rsid w:val="00C97DFC"/>
    <w:rsid w:val="00CA128B"/>
    <w:rsid w:val="00CA1F09"/>
    <w:rsid w:val="00CA2965"/>
    <w:rsid w:val="00CA3C73"/>
    <w:rsid w:val="00CA41CB"/>
    <w:rsid w:val="00CA4A4C"/>
    <w:rsid w:val="00CA508D"/>
    <w:rsid w:val="00CA5A13"/>
    <w:rsid w:val="00CA5B1B"/>
    <w:rsid w:val="00CA6BAA"/>
    <w:rsid w:val="00CB0D90"/>
    <w:rsid w:val="00CB1136"/>
    <w:rsid w:val="00CB1AAA"/>
    <w:rsid w:val="00CB327E"/>
    <w:rsid w:val="00CB381C"/>
    <w:rsid w:val="00CB41AF"/>
    <w:rsid w:val="00CB4FAC"/>
    <w:rsid w:val="00CB6235"/>
    <w:rsid w:val="00CC035F"/>
    <w:rsid w:val="00CC0E8E"/>
    <w:rsid w:val="00CC1466"/>
    <w:rsid w:val="00CC384F"/>
    <w:rsid w:val="00CC3994"/>
    <w:rsid w:val="00CC3A04"/>
    <w:rsid w:val="00CC3F37"/>
    <w:rsid w:val="00CC410C"/>
    <w:rsid w:val="00CC4995"/>
    <w:rsid w:val="00CC546A"/>
    <w:rsid w:val="00CC5E84"/>
    <w:rsid w:val="00CC65A8"/>
    <w:rsid w:val="00CD0899"/>
    <w:rsid w:val="00CD0AC5"/>
    <w:rsid w:val="00CD34B7"/>
    <w:rsid w:val="00CD4C9A"/>
    <w:rsid w:val="00CD4EF3"/>
    <w:rsid w:val="00CD70A7"/>
    <w:rsid w:val="00CD71E8"/>
    <w:rsid w:val="00CD7611"/>
    <w:rsid w:val="00CD7F98"/>
    <w:rsid w:val="00CE07B3"/>
    <w:rsid w:val="00CE0946"/>
    <w:rsid w:val="00CE0C4B"/>
    <w:rsid w:val="00CE1706"/>
    <w:rsid w:val="00CE21AC"/>
    <w:rsid w:val="00CE4489"/>
    <w:rsid w:val="00CE5F8F"/>
    <w:rsid w:val="00CE659C"/>
    <w:rsid w:val="00CE7048"/>
    <w:rsid w:val="00CE7E13"/>
    <w:rsid w:val="00CF0D2F"/>
    <w:rsid w:val="00CF1000"/>
    <w:rsid w:val="00CF11F0"/>
    <w:rsid w:val="00CF255E"/>
    <w:rsid w:val="00D00033"/>
    <w:rsid w:val="00D00095"/>
    <w:rsid w:val="00D006FC"/>
    <w:rsid w:val="00D0114F"/>
    <w:rsid w:val="00D01681"/>
    <w:rsid w:val="00D025C8"/>
    <w:rsid w:val="00D04755"/>
    <w:rsid w:val="00D05994"/>
    <w:rsid w:val="00D06E07"/>
    <w:rsid w:val="00D07E1B"/>
    <w:rsid w:val="00D1059B"/>
    <w:rsid w:val="00D1182D"/>
    <w:rsid w:val="00D13E37"/>
    <w:rsid w:val="00D1406D"/>
    <w:rsid w:val="00D1440C"/>
    <w:rsid w:val="00D14E2C"/>
    <w:rsid w:val="00D15E18"/>
    <w:rsid w:val="00D16271"/>
    <w:rsid w:val="00D164AE"/>
    <w:rsid w:val="00D2209B"/>
    <w:rsid w:val="00D22A12"/>
    <w:rsid w:val="00D231BE"/>
    <w:rsid w:val="00D23F6A"/>
    <w:rsid w:val="00D24804"/>
    <w:rsid w:val="00D24DBE"/>
    <w:rsid w:val="00D264B5"/>
    <w:rsid w:val="00D26B53"/>
    <w:rsid w:val="00D27A24"/>
    <w:rsid w:val="00D27C88"/>
    <w:rsid w:val="00D27DAE"/>
    <w:rsid w:val="00D30817"/>
    <w:rsid w:val="00D30E24"/>
    <w:rsid w:val="00D32A7F"/>
    <w:rsid w:val="00D33516"/>
    <w:rsid w:val="00D33FF5"/>
    <w:rsid w:val="00D349BD"/>
    <w:rsid w:val="00D3694E"/>
    <w:rsid w:val="00D36A32"/>
    <w:rsid w:val="00D36F10"/>
    <w:rsid w:val="00D40FBF"/>
    <w:rsid w:val="00D41C90"/>
    <w:rsid w:val="00D41ED9"/>
    <w:rsid w:val="00D45BA9"/>
    <w:rsid w:val="00D539EF"/>
    <w:rsid w:val="00D53CC9"/>
    <w:rsid w:val="00D54F77"/>
    <w:rsid w:val="00D567A0"/>
    <w:rsid w:val="00D57B4A"/>
    <w:rsid w:val="00D57C8A"/>
    <w:rsid w:val="00D601FC"/>
    <w:rsid w:val="00D603B1"/>
    <w:rsid w:val="00D623C3"/>
    <w:rsid w:val="00D629D8"/>
    <w:rsid w:val="00D63032"/>
    <w:rsid w:val="00D63CAE"/>
    <w:rsid w:val="00D65302"/>
    <w:rsid w:val="00D65D4B"/>
    <w:rsid w:val="00D66535"/>
    <w:rsid w:val="00D67FCF"/>
    <w:rsid w:val="00D71FDA"/>
    <w:rsid w:val="00D723BE"/>
    <w:rsid w:val="00D735CC"/>
    <w:rsid w:val="00D73A95"/>
    <w:rsid w:val="00D73D5A"/>
    <w:rsid w:val="00D74D30"/>
    <w:rsid w:val="00D759FD"/>
    <w:rsid w:val="00D76690"/>
    <w:rsid w:val="00D77423"/>
    <w:rsid w:val="00D827F9"/>
    <w:rsid w:val="00D82DD9"/>
    <w:rsid w:val="00D83861"/>
    <w:rsid w:val="00D84026"/>
    <w:rsid w:val="00D86334"/>
    <w:rsid w:val="00D87101"/>
    <w:rsid w:val="00D91FD0"/>
    <w:rsid w:val="00D930C9"/>
    <w:rsid w:val="00D9354F"/>
    <w:rsid w:val="00D971C5"/>
    <w:rsid w:val="00D97356"/>
    <w:rsid w:val="00D97789"/>
    <w:rsid w:val="00D97D3A"/>
    <w:rsid w:val="00DA0706"/>
    <w:rsid w:val="00DA3824"/>
    <w:rsid w:val="00DA55BE"/>
    <w:rsid w:val="00DA5649"/>
    <w:rsid w:val="00DA56A8"/>
    <w:rsid w:val="00DA5CB9"/>
    <w:rsid w:val="00DB124C"/>
    <w:rsid w:val="00DB2622"/>
    <w:rsid w:val="00DB2661"/>
    <w:rsid w:val="00DB266A"/>
    <w:rsid w:val="00DB2EFC"/>
    <w:rsid w:val="00DB3380"/>
    <w:rsid w:val="00DB43A3"/>
    <w:rsid w:val="00DB5ECA"/>
    <w:rsid w:val="00DC3B5B"/>
    <w:rsid w:val="00DC5081"/>
    <w:rsid w:val="00DC62D9"/>
    <w:rsid w:val="00DD063F"/>
    <w:rsid w:val="00DD23B1"/>
    <w:rsid w:val="00DD30C6"/>
    <w:rsid w:val="00DD3237"/>
    <w:rsid w:val="00DD57EE"/>
    <w:rsid w:val="00DD7BA5"/>
    <w:rsid w:val="00DE078A"/>
    <w:rsid w:val="00DE0AC2"/>
    <w:rsid w:val="00DE0FC1"/>
    <w:rsid w:val="00DE3394"/>
    <w:rsid w:val="00DE37D8"/>
    <w:rsid w:val="00DE3C40"/>
    <w:rsid w:val="00DE4105"/>
    <w:rsid w:val="00DE465F"/>
    <w:rsid w:val="00DE5598"/>
    <w:rsid w:val="00DE57BB"/>
    <w:rsid w:val="00DE5C34"/>
    <w:rsid w:val="00DE5C82"/>
    <w:rsid w:val="00DE5E22"/>
    <w:rsid w:val="00DE68EA"/>
    <w:rsid w:val="00DE6F79"/>
    <w:rsid w:val="00DE7648"/>
    <w:rsid w:val="00DF0A2B"/>
    <w:rsid w:val="00DF13A6"/>
    <w:rsid w:val="00DF2E14"/>
    <w:rsid w:val="00DF484F"/>
    <w:rsid w:val="00DF7589"/>
    <w:rsid w:val="00E02757"/>
    <w:rsid w:val="00E02DAA"/>
    <w:rsid w:val="00E02EF7"/>
    <w:rsid w:val="00E03D34"/>
    <w:rsid w:val="00E03DEA"/>
    <w:rsid w:val="00E05319"/>
    <w:rsid w:val="00E05AB9"/>
    <w:rsid w:val="00E06B2E"/>
    <w:rsid w:val="00E07196"/>
    <w:rsid w:val="00E073D6"/>
    <w:rsid w:val="00E07A10"/>
    <w:rsid w:val="00E108FF"/>
    <w:rsid w:val="00E1518F"/>
    <w:rsid w:val="00E165F6"/>
    <w:rsid w:val="00E17B4A"/>
    <w:rsid w:val="00E21E8D"/>
    <w:rsid w:val="00E221ED"/>
    <w:rsid w:val="00E22821"/>
    <w:rsid w:val="00E24284"/>
    <w:rsid w:val="00E2787C"/>
    <w:rsid w:val="00E2791F"/>
    <w:rsid w:val="00E27EDC"/>
    <w:rsid w:val="00E30550"/>
    <w:rsid w:val="00E3055C"/>
    <w:rsid w:val="00E32F5A"/>
    <w:rsid w:val="00E36999"/>
    <w:rsid w:val="00E36B42"/>
    <w:rsid w:val="00E36C8E"/>
    <w:rsid w:val="00E37907"/>
    <w:rsid w:val="00E40677"/>
    <w:rsid w:val="00E40E2E"/>
    <w:rsid w:val="00E43609"/>
    <w:rsid w:val="00E437E9"/>
    <w:rsid w:val="00E4504F"/>
    <w:rsid w:val="00E4512C"/>
    <w:rsid w:val="00E45E0D"/>
    <w:rsid w:val="00E466F4"/>
    <w:rsid w:val="00E467E8"/>
    <w:rsid w:val="00E468D3"/>
    <w:rsid w:val="00E50386"/>
    <w:rsid w:val="00E525DF"/>
    <w:rsid w:val="00E52C87"/>
    <w:rsid w:val="00E52CC2"/>
    <w:rsid w:val="00E53111"/>
    <w:rsid w:val="00E540A4"/>
    <w:rsid w:val="00E56C41"/>
    <w:rsid w:val="00E608DA"/>
    <w:rsid w:val="00E63252"/>
    <w:rsid w:val="00E63B9B"/>
    <w:rsid w:val="00E63BEA"/>
    <w:rsid w:val="00E641D6"/>
    <w:rsid w:val="00E65310"/>
    <w:rsid w:val="00E679EC"/>
    <w:rsid w:val="00E7118E"/>
    <w:rsid w:val="00E71211"/>
    <w:rsid w:val="00E71F4F"/>
    <w:rsid w:val="00E73158"/>
    <w:rsid w:val="00E7374B"/>
    <w:rsid w:val="00E73D5B"/>
    <w:rsid w:val="00E77607"/>
    <w:rsid w:val="00E81CCC"/>
    <w:rsid w:val="00E8218D"/>
    <w:rsid w:val="00E82DC3"/>
    <w:rsid w:val="00E85477"/>
    <w:rsid w:val="00E857CC"/>
    <w:rsid w:val="00E86659"/>
    <w:rsid w:val="00E86FE5"/>
    <w:rsid w:val="00E9016D"/>
    <w:rsid w:val="00E9144E"/>
    <w:rsid w:val="00E91460"/>
    <w:rsid w:val="00E91824"/>
    <w:rsid w:val="00E93E5D"/>
    <w:rsid w:val="00E95384"/>
    <w:rsid w:val="00E954D5"/>
    <w:rsid w:val="00E95677"/>
    <w:rsid w:val="00E979E3"/>
    <w:rsid w:val="00EA01E9"/>
    <w:rsid w:val="00EA1380"/>
    <w:rsid w:val="00EA1A20"/>
    <w:rsid w:val="00EA1D52"/>
    <w:rsid w:val="00EA2A0E"/>
    <w:rsid w:val="00EA322E"/>
    <w:rsid w:val="00EA3499"/>
    <w:rsid w:val="00EA60CD"/>
    <w:rsid w:val="00EA6DED"/>
    <w:rsid w:val="00EB1339"/>
    <w:rsid w:val="00EB17C1"/>
    <w:rsid w:val="00EB40A1"/>
    <w:rsid w:val="00EB7027"/>
    <w:rsid w:val="00EB7718"/>
    <w:rsid w:val="00EC0A48"/>
    <w:rsid w:val="00EC100F"/>
    <w:rsid w:val="00EC20E8"/>
    <w:rsid w:val="00EC3E6C"/>
    <w:rsid w:val="00EC5223"/>
    <w:rsid w:val="00EC61DC"/>
    <w:rsid w:val="00EC646E"/>
    <w:rsid w:val="00ED1AF6"/>
    <w:rsid w:val="00ED3451"/>
    <w:rsid w:val="00ED3D77"/>
    <w:rsid w:val="00ED45CE"/>
    <w:rsid w:val="00ED5877"/>
    <w:rsid w:val="00EE1086"/>
    <w:rsid w:val="00EE1538"/>
    <w:rsid w:val="00EE2115"/>
    <w:rsid w:val="00EE28D3"/>
    <w:rsid w:val="00EE571E"/>
    <w:rsid w:val="00EE660F"/>
    <w:rsid w:val="00EE66AA"/>
    <w:rsid w:val="00EF015B"/>
    <w:rsid w:val="00EF0326"/>
    <w:rsid w:val="00EF04A4"/>
    <w:rsid w:val="00EF0966"/>
    <w:rsid w:val="00EF1F02"/>
    <w:rsid w:val="00EF26AA"/>
    <w:rsid w:val="00EF3965"/>
    <w:rsid w:val="00EF4C0F"/>
    <w:rsid w:val="00EF4F80"/>
    <w:rsid w:val="00EF65E2"/>
    <w:rsid w:val="00EF6CFF"/>
    <w:rsid w:val="00EF6EA4"/>
    <w:rsid w:val="00EF7DCC"/>
    <w:rsid w:val="00F01530"/>
    <w:rsid w:val="00F01CFC"/>
    <w:rsid w:val="00F01FF2"/>
    <w:rsid w:val="00F041A6"/>
    <w:rsid w:val="00F0585B"/>
    <w:rsid w:val="00F0590E"/>
    <w:rsid w:val="00F0626A"/>
    <w:rsid w:val="00F07155"/>
    <w:rsid w:val="00F11E82"/>
    <w:rsid w:val="00F13BFE"/>
    <w:rsid w:val="00F155B0"/>
    <w:rsid w:val="00F164A2"/>
    <w:rsid w:val="00F21FAB"/>
    <w:rsid w:val="00F269F0"/>
    <w:rsid w:val="00F26EF6"/>
    <w:rsid w:val="00F3063C"/>
    <w:rsid w:val="00F31639"/>
    <w:rsid w:val="00F31EDA"/>
    <w:rsid w:val="00F3311B"/>
    <w:rsid w:val="00F342FD"/>
    <w:rsid w:val="00F344E2"/>
    <w:rsid w:val="00F35070"/>
    <w:rsid w:val="00F355F2"/>
    <w:rsid w:val="00F35C1D"/>
    <w:rsid w:val="00F3669E"/>
    <w:rsid w:val="00F36D22"/>
    <w:rsid w:val="00F377EC"/>
    <w:rsid w:val="00F37DC6"/>
    <w:rsid w:val="00F404CA"/>
    <w:rsid w:val="00F40638"/>
    <w:rsid w:val="00F40CF7"/>
    <w:rsid w:val="00F40D86"/>
    <w:rsid w:val="00F42143"/>
    <w:rsid w:val="00F421BD"/>
    <w:rsid w:val="00F43BD4"/>
    <w:rsid w:val="00F464FC"/>
    <w:rsid w:val="00F509A2"/>
    <w:rsid w:val="00F50EFD"/>
    <w:rsid w:val="00F51FD7"/>
    <w:rsid w:val="00F55052"/>
    <w:rsid w:val="00F557C4"/>
    <w:rsid w:val="00F5608A"/>
    <w:rsid w:val="00F563B6"/>
    <w:rsid w:val="00F565FB"/>
    <w:rsid w:val="00F608E1"/>
    <w:rsid w:val="00F61350"/>
    <w:rsid w:val="00F62229"/>
    <w:rsid w:val="00F63D8F"/>
    <w:rsid w:val="00F644EA"/>
    <w:rsid w:val="00F64A52"/>
    <w:rsid w:val="00F64D0B"/>
    <w:rsid w:val="00F65D1B"/>
    <w:rsid w:val="00F718C9"/>
    <w:rsid w:val="00F73591"/>
    <w:rsid w:val="00F7448B"/>
    <w:rsid w:val="00F75275"/>
    <w:rsid w:val="00F75DA9"/>
    <w:rsid w:val="00F76C50"/>
    <w:rsid w:val="00F774B4"/>
    <w:rsid w:val="00F812D7"/>
    <w:rsid w:val="00F8353E"/>
    <w:rsid w:val="00F842D1"/>
    <w:rsid w:val="00F8475C"/>
    <w:rsid w:val="00F84A12"/>
    <w:rsid w:val="00F850BC"/>
    <w:rsid w:val="00F854A1"/>
    <w:rsid w:val="00F873F5"/>
    <w:rsid w:val="00F91541"/>
    <w:rsid w:val="00F91C3E"/>
    <w:rsid w:val="00F92416"/>
    <w:rsid w:val="00F92649"/>
    <w:rsid w:val="00F92929"/>
    <w:rsid w:val="00F92F36"/>
    <w:rsid w:val="00F92F61"/>
    <w:rsid w:val="00F9368C"/>
    <w:rsid w:val="00F94C79"/>
    <w:rsid w:val="00F9551B"/>
    <w:rsid w:val="00F95D43"/>
    <w:rsid w:val="00F9611A"/>
    <w:rsid w:val="00F961E8"/>
    <w:rsid w:val="00FA0D48"/>
    <w:rsid w:val="00FA27C6"/>
    <w:rsid w:val="00FA3347"/>
    <w:rsid w:val="00FA35CB"/>
    <w:rsid w:val="00FA3ADA"/>
    <w:rsid w:val="00FA409F"/>
    <w:rsid w:val="00FA67B9"/>
    <w:rsid w:val="00FA72E9"/>
    <w:rsid w:val="00FB1D86"/>
    <w:rsid w:val="00FB46F8"/>
    <w:rsid w:val="00FB70B7"/>
    <w:rsid w:val="00FB7490"/>
    <w:rsid w:val="00FB74A3"/>
    <w:rsid w:val="00FB769D"/>
    <w:rsid w:val="00FC00C7"/>
    <w:rsid w:val="00FC15F6"/>
    <w:rsid w:val="00FC1B7C"/>
    <w:rsid w:val="00FC29A7"/>
    <w:rsid w:val="00FC2C02"/>
    <w:rsid w:val="00FC45D4"/>
    <w:rsid w:val="00FC495A"/>
    <w:rsid w:val="00FC5735"/>
    <w:rsid w:val="00FC7B44"/>
    <w:rsid w:val="00FD19C7"/>
    <w:rsid w:val="00FD3601"/>
    <w:rsid w:val="00FD45DF"/>
    <w:rsid w:val="00FD4915"/>
    <w:rsid w:val="00FD4B42"/>
    <w:rsid w:val="00FD62AF"/>
    <w:rsid w:val="00FD7E05"/>
    <w:rsid w:val="00FE106B"/>
    <w:rsid w:val="00FE1824"/>
    <w:rsid w:val="00FE3E28"/>
    <w:rsid w:val="00FE4092"/>
    <w:rsid w:val="00FE4320"/>
    <w:rsid w:val="00FE46BF"/>
    <w:rsid w:val="00FE4DF8"/>
    <w:rsid w:val="00FE57CB"/>
    <w:rsid w:val="00FE627E"/>
    <w:rsid w:val="00FE63E5"/>
    <w:rsid w:val="00FF0CC6"/>
    <w:rsid w:val="00FF29AA"/>
    <w:rsid w:val="00FF3F89"/>
    <w:rsid w:val="00FF4428"/>
    <w:rsid w:val="00FF4CC4"/>
    <w:rsid w:val="00FF56D7"/>
    <w:rsid w:val="00FF5AC5"/>
    <w:rsid w:val="00FF5AC6"/>
    <w:rsid w:val="00FF5E4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hAnsi="Calibri" w:cs="Times New Roman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313B83"/>
    <w:pPr>
      <w:numPr>
        <w:numId w:val="15"/>
      </w:numPr>
      <w:spacing w:before="80" w:after="80"/>
      <w:ind w:left="284" w:hanging="284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313B83"/>
    <w:rPr>
      <w:rFonts w:ascii="Calibri" w:eastAsiaTheme="minorEastAsia" w:hAnsi="Calibri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ascii="Calibri" w:eastAsiaTheme="minorEastAsia" w:hAnsi="Calibri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bs.gov.au/statistics/people/population/regional-population/latest-relea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CF0-0848-436B-8E42-2B49FBC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7579</Characters>
  <Application>Microsoft Office Word</Application>
  <DocSecurity>0</DocSecurity>
  <Lines>140</Lines>
  <Paragraphs>72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2022-03-30T23:39:00Z</dcterms:created>
  <dcterms:modified xsi:type="dcterms:W3CDTF">2022-03-30T23:39:00Z</dcterms:modified>
</cp:coreProperties>
</file>