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B3D" w14:textId="62E42E67" w:rsidR="00725216" w:rsidRPr="00463005" w:rsidRDefault="004076A7" w:rsidP="00463005">
      <w:pPr>
        <w:spacing w:before="240" w:after="360"/>
        <w:jc w:val="right"/>
        <w:rPr>
          <w:b/>
          <w:bCs/>
          <w:i/>
          <w:iCs/>
          <w:color w:val="FFFFFF" w:themeColor="background1"/>
          <w:sz w:val="28"/>
          <w:szCs w:val="28"/>
        </w:rPr>
      </w:pPr>
      <w:bookmarkStart w:id="0" w:name="_Hlk74846628"/>
      <w:r>
        <w:rPr>
          <w:b/>
          <w:i/>
          <w:color w:val="FFFFFF" w:themeColor="background1"/>
          <w:sz w:val="28"/>
          <w:szCs w:val="28"/>
        </w:rPr>
        <w:t>30</w:t>
      </w:r>
      <w:r w:rsidR="00D739EF" w:rsidRPr="002B2C11">
        <w:rPr>
          <w:b/>
          <w:i/>
          <w:color w:val="FFFFFF" w:themeColor="background1"/>
          <w:sz w:val="28"/>
          <w:szCs w:val="28"/>
        </w:rPr>
        <w:t xml:space="preserve"> </w:t>
      </w:r>
      <w:r>
        <w:rPr>
          <w:b/>
          <w:i/>
          <w:color w:val="FFFFFF" w:themeColor="background1"/>
          <w:sz w:val="28"/>
          <w:szCs w:val="28"/>
        </w:rPr>
        <w:t>March</w:t>
      </w:r>
      <w:r w:rsidR="006351DC">
        <w:rPr>
          <w:b/>
          <w:bCs/>
          <w:i/>
          <w:iCs/>
          <w:color w:val="FFFFFF" w:themeColor="background1"/>
          <w:sz w:val="28"/>
          <w:szCs w:val="28"/>
        </w:rPr>
        <w:t xml:space="preserve"> 202</w:t>
      </w:r>
      <w:r>
        <w:rPr>
          <w:b/>
          <w:bCs/>
          <w:i/>
          <w:iCs/>
          <w:color w:val="FFFFFF" w:themeColor="background1"/>
          <w:sz w:val="28"/>
          <w:szCs w:val="28"/>
        </w:rPr>
        <w:t>2</w:t>
      </w:r>
    </w:p>
    <w:tbl>
      <w:tblPr>
        <w:tblW w:w="9320" w:type="dxa"/>
        <w:tblLayout w:type="fixed"/>
        <w:tblLook w:val="04A0" w:firstRow="1" w:lastRow="0" w:firstColumn="1" w:lastColumn="0" w:noHBand="0" w:noVBand="1"/>
      </w:tblPr>
      <w:tblGrid>
        <w:gridCol w:w="9320"/>
      </w:tblGrid>
      <w:tr w:rsidR="00725216" w:rsidRPr="00F21FAB" w14:paraId="57BC2909" w14:textId="77777777" w:rsidTr="00781694">
        <w:trPr>
          <w:trHeight w:val="300"/>
        </w:trPr>
        <w:tc>
          <w:tcPr>
            <w:tcW w:w="5000" w:type="pct"/>
            <w:shd w:val="clear" w:color="auto" w:fill="auto"/>
            <w:vAlign w:val="center"/>
          </w:tcPr>
          <w:p w14:paraId="0EB52E41" w14:textId="663C4ED8" w:rsidR="00725216" w:rsidRPr="003A7FFE" w:rsidRDefault="0064050E" w:rsidP="00463005">
            <w:pPr>
              <w:pStyle w:val="Heading2"/>
            </w:pPr>
            <w:bookmarkStart w:id="1" w:name="_Ref75254943"/>
            <w:bookmarkStart w:id="2" w:name="_Hlk83912548"/>
            <w:bookmarkEnd w:id="0"/>
            <w:r>
              <w:t>Mortality during the COVID-19 pandemic</w:t>
            </w:r>
            <w:bookmarkEnd w:id="1"/>
          </w:p>
        </w:tc>
      </w:tr>
      <w:tr w:rsidR="00725216" w:rsidRPr="0023709A" w14:paraId="37605938" w14:textId="77777777" w:rsidTr="00781694">
        <w:trPr>
          <w:trHeight w:val="300"/>
        </w:trPr>
        <w:tc>
          <w:tcPr>
            <w:tcW w:w="5000" w:type="pct"/>
            <w:shd w:val="clear" w:color="auto" w:fill="CCE3F6" w:themeFill="accent2" w:themeFillTint="33"/>
            <w:vAlign w:val="center"/>
          </w:tcPr>
          <w:p w14:paraId="6DB62350" w14:textId="2B9DB5DD" w:rsidR="00693022" w:rsidRDefault="00693022" w:rsidP="00251AE8">
            <w:r>
              <w:t xml:space="preserve">This note draws on data from </w:t>
            </w:r>
            <w:hyperlink r:id="rId13" w:history="1">
              <w:r w:rsidRPr="00E50B91">
                <w:rPr>
                  <w:rStyle w:val="Hyperlink"/>
                  <w:i/>
                  <w:iCs/>
                  <w:u w:val="single"/>
                </w:rPr>
                <w:t>Provisional Mortality Statistics, Jan 2020 – Dec 2021</w:t>
              </w:r>
            </w:hyperlink>
            <w:r w:rsidRPr="008E61EF">
              <w:t xml:space="preserve"> and</w:t>
            </w:r>
            <w:r w:rsidR="001841B3">
              <w:t xml:space="preserve"> from</w:t>
            </w:r>
            <w:r>
              <w:rPr>
                <w:i/>
                <w:iCs/>
              </w:rPr>
              <w:t xml:space="preserve"> </w:t>
            </w:r>
            <w:hyperlink r:id="rId14" w:history="1">
              <w:r w:rsidRPr="00E50B91">
                <w:rPr>
                  <w:rStyle w:val="Hyperlink"/>
                  <w:i/>
                  <w:iCs/>
                  <w:u w:val="single"/>
                </w:rPr>
                <w:t>Measuring Australia’s excess mortality during the COVID-19 pandemic</w:t>
              </w:r>
            </w:hyperlink>
            <w:r>
              <w:rPr>
                <w:i/>
                <w:iCs/>
              </w:rPr>
              <w:t xml:space="preserve"> </w:t>
            </w:r>
            <w:r>
              <w:t>from the Australian Bureau of Statistics</w:t>
            </w:r>
            <w:r w:rsidR="00FC5B3C">
              <w:t>.</w:t>
            </w:r>
            <w:r w:rsidR="00C907F7">
              <w:t xml:space="preserve"> It covers the period when infections and deaths from the Delta variant were most prevalent. While the Omicron variant was first detected in Australia in November 2021, deaths from the virus have been highest in early 2022.</w:t>
            </w:r>
          </w:p>
          <w:p w14:paraId="4D3AF6F5" w14:textId="7F841D76" w:rsidR="00A71268" w:rsidRDefault="001E6FB8" w:rsidP="00251AE8">
            <w:r>
              <w:t>I</w:t>
            </w:r>
            <w:r w:rsidR="006351DC" w:rsidRPr="00C36281">
              <w:t>n 2021, the total number of doctor-certified deaths (</w:t>
            </w:r>
            <w:r w:rsidR="001B5B2D" w:rsidRPr="001B5B2D">
              <w:t>1</w:t>
            </w:r>
            <w:r w:rsidR="00A71268">
              <w:t>49</w:t>
            </w:r>
            <w:r w:rsidR="00B21D49" w:rsidRPr="001B5B2D">
              <w:t>,</w:t>
            </w:r>
            <w:r w:rsidR="00036CE7" w:rsidRPr="001B5B2D">
              <w:t>200</w:t>
            </w:r>
            <w:r w:rsidR="006351DC" w:rsidRPr="00C36281">
              <w:t xml:space="preserve">) was </w:t>
            </w:r>
            <w:r w:rsidR="000E2FED" w:rsidRPr="001B5B2D">
              <w:t>higher</w:t>
            </w:r>
            <w:r w:rsidR="000E2FED" w:rsidRPr="00C36281">
              <w:t xml:space="preserve"> than </w:t>
            </w:r>
            <w:r w:rsidR="006351DC" w:rsidRPr="00C36281">
              <w:t>the number of doctor-certified deaths in 2020</w:t>
            </w:r>
            <w:r w:rsidR="00B21D49" w:rsidRPr="00C36281">
              <w:t xml:space="preserve"> (</w:t>
            </w:r>
            <w:r w:rsidR="001B5B2D" w:rsidRPr="001B5B2D">
              <w:t>1</w:t>
            </w:r>
            <w:r w:rsidR="00A71268">
              <w:t>41</w:t>
            </w:r>
            <w:r w:rsidR="001B5B2D" w:rsidRPr="001B5B2D">
              <w:t>,</w:t>
            </w:r>
            <w:r w:rsidR="00A71268">
              <w:t>5</w:t>
            </w:r>
            <w:r w:rsidR="00036CE7" w:rsidRPr="001B5B2D">
              <w:t>00</w:t>
            </w:r>
            <w:r w:rsidR="00B21D49" w:rsidRPr="001B5B2D">
              <w:t>)</w:t>
            </w:r>
            <w:r w:rsidR="006351DC" w:rsidRPr="001B5B2D">
              <w:t xml:space="preserve">, and </w:t>
            </w:r>
            <w:r w:rsidR="00B21D49" w:rsidRPr="001B5B2D">
              <w:t>higher</w:t>
            </w:r>
            <w:r w:rsidR="006351DC" w:rsidRPr="00C36281">
              <w:t xml:space="preserve"> than the average over 2015-19 (</w:t>
            </w:r>
            <w:r w:rsidR="001B5B2D" w:rsidRPr="001B5B2D">
              <w:t>1</w:t>
            </w:r>
            <w:r w:rsidR="00A71268">
              <w:t>40</w:t>
            </w:r>
            <w:r w:rsidR="002B19D4" w:rsidRPr="001B5B2D">
              <w:t>,</w:t>
            </w:r>
            <w:r w:rsidR="00A71268">
              <w:t>6</w:t>
            </w:r>
            <w:r w:rsidR="00036CE7" w:rsidRPr="001B5B2D">
              <w:t>00</w:t>
            </w:r>
            <w:r w:rsidR="006351DC" w:rsidRPr="00C36281">
              <w:t>)</w:t>
            </w:r>
            <w:r w:rsidR="00DC469A">
              <w:t>.</w:t>
            </w:r>
          </w:p>
          <w:p w14:paraId="67754956" w14:textId="1EEBE291" w:rsidR="00747AFF" w:rsidRDefault="001412F0" w:rsidP="00747AFF">
            <w:r>
              <w:t>A</w:t>
            </w:r>
            <w:r w:rsidR="00B21D49" w:rsidRPr="00C36281">
              <w:t>ge standardised death rate</w:t>
            </w:r>
            <w:r w:rsidR="00747AFF">
              <w:t>s</w:t>
            </w:r>
            <w:r w:rsidR="00B21D49">
              <w:t xml:space="preserve"> </w:t>
            </w:r>
            <w:r>
              <w:t>for total doctor-certified deaths</w:t>
            </w:r>
            <w:r w:rsidR="00B21D49" w:rsidRPr="00C36281">
              <w:t xml:space="preserve"> </w:t>
            </w:r>
            <w:r w:rsidR="00CB3341" w:rsidRPr="00C36281">
              <w:t>in</w:t>
            </w:r>
            <w:r w:rsidR="002B19D4" w:rsidRPr="00C36281">
              <w:t xml:space="preserve"> </w:t>
            </w:r>
            <w:r>
              <w:t xml:space="preserve">2021 </w:t>
            </w:r>
            <w:r w:rsidR="00765C8A">
              <w:t xml:space="preserve">were </w:t>
            </w:r>
            <w:r w:rsidR="00B36E6D" w:rsidRPr="001B5B2D">
              <w:t>below</w:t>
            </w:r>
            <w:r w:rsidR="00CB3341" w:rsidRPr="00C36281">
              <w:t xml:space="preserve"> the 2015-19 </w:t>
            </w:r>
            <w:r w:rsidR="00DC469A">
              <w:t xml:space="preserve">historical </w:t>
            </w:r>
            <w:r w:rsidR="00CB3341" w:rsidRPr="00C36281">
              <w:t>average</w:t>
            </w:r>
            <w:r w:rsidR="00E23819" w:rsidRPr="00C36281">
              <w:t>,</w:t>
            </w:r>
            <w:r w:rsidR="00FD7CF1">
              <w:t xml:space="preserve"> </w:t>
            </w:r>
            <w:r w:rsidR="00FC248C">
              <w:t xml:space="preserve">but </w:t>
            </w:r>
            <w:r w:rsidR="00FD7CF1">
              <w:t>higher than</w:t>
            </w:r>
            <w:r w:rsidR="00DC469A">
              <w:t xml:space="preserve"> </w:t>
            </w:r>
            <w:r w:rsidR="00EE3196">
              <w:t>in</w:t>
            </w:r>
            <w:r w:rsidR="00FD7CF1">
              <w:t xml:space="preserve"> 2020 </w:t>
            </w:r>
            <w:r w:rsidR="00EE3196">
              <w:t>(</w:t>
            </w:r>
            <w:r w:rsidR="00FD7CF1">
              <w:t>from May 2021 onwards</w:t>
            </w:r>
            <w:r w:rsidR="00EE3196">
              <w:t>)</w:t>
            </w:r>
            <w:r w:rsidR="00FC248C">
              <w:t>. This suggest</w:t>
            </w:r>
            <w:r w:rsidR="00EE3196">
              <w:t>s</w:t>
            </w:r>
            <w:r w:rsidR="00FC248C">
              <w:t xml:space="preserve"> that </w:t>
            </w:r>
            <w:r w:rsidR="00EE3196">
              <w:t xml:space="preserve">the </w:t>
            </w:r>
            <w:r w:rsidR="00FC248C">
              <w:t xml:space="preserve">increase in </w:t>
            </w:r>
            <w:r w:rsidR="00765C8A">
              <w:t xml:space="preserve">deaths </w:t>
            </w:r>
            <w:r w:rsidR="003F67AE">
              <w:t xml:space="preserve">in </w:t>
            </w:r>
            <w:r w:rsidR="00FC248C">
              <w:t xml:space="preserve">2021 (when compared to 2015-19) </w:t>
            </w:r>
            <w:r w:rsidR="00EE3196">
              <w:t xml:space="preserve">reflects a </w:t>
            </w:r>
            <w:r w:rsidR="00765C8A">
              <w:t>large</w:t>
            </w:r>
            <w:r w:rsidR="00F577BB">
              <w:t>r</w:t>
            </w:r>
            <w:r w:rsidR="00765C8A">
              <w:t xml:space="preserve"> and older population, </w:t>
            </w:r>
            <w:r w:rsidR="00FC248C">
              <w:t>rather than an increase in mortality</w:t>
            </w:r>
            <w:r w:rsidR="00747AFF">
              <w:t>.</w:t>
            </w:r>
          </w:p>
          <w:p w14:paraId="4440B56D" w14:textId="69330D10" w:rsidR="004864EB" w:rsidRDefault="00E52F72" w:rsidP="00251AE8">
            <w:r w:rsidRPr="00CF09B6">
              <w:t>Excess mortality is an epidemiological concept defined as the difference between the</w:t>
            </w:r>
            <w:r>
              <w:t xml:space="preserve"> number of</w:t>
            </w:r>
            <w:r w:rsidRPr="00CF09B6">
              <w:t xml:space="preserve"> observed and expected deaths </w:t>
            </w:r>
            <w:r>
              <w:t xml:space="preserve">in a </w:t>
            </w:r>
            <w:r w:rsidRPr="00CF09B6">
              <w:t>period</w:t>
            </w:r>
            <w:r w:rsidR="00615F4B">
              <w:rPr>
                <w:rStyle w:val="FootnoteReference"/>
              </w:rPr>
              <w:footnoteReference w:id="2"/>
            </w:r>
            <w:r w:rsidR="005E002B">
              <w:t xml:space="preserve">, </w:t>
            </w:r>
            <w:r w:rsidR="00F03C11">
              <w:t xml:space="preserve">with </w:t>
            </w:r>
            <w:r w:rsidR="005E002B">
              <w:t>e</w:t>
            </w:r>
            <w:r w:rsidR="004864EB">
              <w:t xml:space="preserve">xpected deaths </w:t>
            </w:r>
            <w:r w:rsidR="005E002B">
              <w:t>modelled using data from the previous 5 calendar years</w:t>
            </w:r>
            <w:r w:rsidR="004864EB">
              <w:t>.</w:t>
            </w:r>
          </w:p>
          <w:p w14:paraId="3ACB7C7B" w14:textId="5A0C002E" w:rsidR="00AA71E6" w:rsidRDefault="00292603" w:rsidP="00251AE8">
            <w:r>
              <w:t xml:space="preserve">In 2021, </w:t>
            </w:r>
            <w:r w:rsidR="00CE52D7">
              <w:t xml:space="preserve">Australia had </w:t>
            </w:r>
            <w:r>
              <w:t>5,</w:t>
            </w:r>
            <w:r w:rsidR="004909EF">
              <w:t>100</w:t>
            </w:r>
            <w:r>
              <w:t xml:space="preserve"> more deaths than expected</w:t>
            </w:r>
            <w:r w:rsidR="001841B3">
              <w:t xml:space="preserve">. However, </w:t>
            </w:r>
            <w:r w:rsidR="00CE52D7">
              <w:t xml:space="preserve">only </w:t>
            </w:r>
            <w:r w:rsidR="00A57AE2">
              <w:t xml:space="preserve">5 </w:t>
            </w:r>
            <w:r w:rsidR="00CE52D7">
              <w:t xml:space="preserve">weeks recorded </w:t>
            </w:r>
            <w:r w:rsidR="00765C8A">
              <w:t xml:space="preserve">excess </w:t>
            </w:r>
            <w:r w:rsidR="00CE52D7">
              <w:t xml:space="preserve">deaths that </w:t>
            </w:r>
            <w:r w:rsidR="00765C8A">
              <w:t xml:space="preserve">were </w:t>
            </w:r>
            <w:r w:rsidR="00CE52D7">
              <w:t>statistical</w:t>
            </w:r>
            <w:r w:rsidR="00765C8A">
              <w:t>ly</w:t>
            </w:r>
            <w:r w:rsidR="00CE52D7">
              <w:t xml:space="preserve"> significan</w:t>
            </w:r>
            <w:r w:rsidR="00765C8A">
              <w:t>t</w:t>
            </w:r>
            <w:r w:rsidR="001841B3">
              <w:t xml:space="preserve">, </w:t>
            </w:r>
            <w:r w:rsidR="00C23816">
              <w:t xml:space="preserve">totalling </w:t>
            </w:r>
            <w:r>
              <w:t>10</w:t>
            </w:r>
            <w:r w:rsidR="004909EF">
              <w:t>0</w:t>
            </w:r>
            <w:r>
              <w:t xml:space="preserve"> </w:t>
            </w:r>
            <w:r w:rsidR="00CA69FA">
              <w:t xml:space="preserve">deaths above the weekly </w:t>
            </w:r>
            <w:r>
              <w:t>upper threshold</w:t>
            </w:r>
            <w:r w:rsidR="00C23816">
              <w:t>s</w:t>
            </w:r>
            <w:r>
              <w:t xml:space="preserve"> of statistical significance.</w:t>
            </w:r>
            <w:r w:rsidR="00CA69FA">
              <w:t xml:space="preserve"> </w:t>
            </w:r>
          </w:p>
          <w:p w14:paraId="5C4A3652" w14:textId="1DE5F4C0" w:rsidR="00AA71E6" w:rsidRDefault="001440E4" w:rsidP="00251AE8">
            <w:r>
              <w:t xml:space="preserve">All states and territories except the </w:t>
            </w:r>
            <w:r w:rsidR="004F2C4F">
              <w:t xml:space="preserve">Northern </w:t>
            </w:r>
            <w:r w:rsidR="00E52F72">
              <w:t>T</w:t>
            </w:r>
            <w:r w:rsidR="004F2C4F">
              <w:t>erritory</w:t>
            </w:r>
            <w:r>
              <w:t xml:space="preserve"> experienced higher</w:t>
            </w:r>
            <w:r w:rsidR="001841B3">
              <w:t xml:space="preserve"> </w:t>
            </w:r>
            <w:r>
              <w:t>than</w:t>
            </w:r>
            <w:r w:rsidR="001841B3">
              <w:t xml:space="preserve"> </w:t>
            </w:r>
            <w:r>
              <w:t xml:space="preserve">expected deaths in 2021. </w:t>
            </w:r>
            <w:r w:rsidR="00BC2DFA">
              <w:t xml:space="preserve">Victoria </w:t>
            </w:r>
            <w:r w:rsidR="00990011">
              <w:t xml:space="preserve">experienced the highest number of statistically significant </w:t>
            </w:r>
            <w:r w:rsidR="003F67AE">
              <w:t xml:space="preserve">excess </w:t>
            </w:r>
            <w:r w:rsidR="00990011">
              <w:t xml:space="preserve">deaths </w:t>
            </w:r>
            <w:r w:rsidR="00BC2DFA">
              <w:t>(</w:t>
            </w:r>
            <w:r w:rsidR="004909EF">
              <w:t>400</w:t>
            </w:r>
            <w:r w:rsidR="00B646F5">
              <w:t xml:space="preserve"> </w:t>
            </w:r>
            <w:r w:rsidR="00BC2DFA">
              <w:t>deaths above the threshold)</w:t>
            </w:r>
            <w:r w:rsidR="00990011">
              <w:t>.</w:t>
            </w:r>
            <w:r w:rsidR="00BC2DFA">
              <w:t xml:space="preserve"> N</w:t>
            </w:r>
            <w:r w:rsidR="004F2C4F">
              <w:t xml:space="preserve">ew </w:t>
            </w:r>
            <w:r w:rsidR="00BC2DFA">
              <w:t>S</w:t>
            </w:r>
            <w:r w:rsidR="004F2C4F">
              <w:t xml:space="preserve">outh </w:t>
            </w:r>
            <w:r w:rsidR="00BC2DFA">
              <w:t>W</w:t>
            </w:r>
            <w:r w:rsidR="004F2C4F">
              <w:t>ales</w:t>
            </w:r>
            <w:r w:rsidR="00BC2DFA">
              <w:t xml:space="preserve"> did not experience </w:t>
            </w:r>
            <w:r w:rsidR="00ED6241">
              <w:t xml:space="preserve">any weeks with </w:t>
            </w:r>
            <w:r w:rsidR="00BC2DFA">
              <w:t xml:space="preserve">statistically significant excess mortality. </w:t>
            </w:r>
          </w:p>
          <w:p w14:paraId="2D191C53" w14:textId="6D093D84" w:rsidR="00A71268" w:rsidRPr="00C36281" w:rsidRDefault="00BC2DFA" w:rsidP="00251AE8">
            <w:r>
              <w:t xml:space="preserve">Across </w:t>
            </w:r>
            <w:r w:rsidR="00D77820">
              <w:t xml:space="preserve">the majority of </w:t>
            </w:r>
            <w:r>
              <w:t>2020 and 2021</w:t>
            </w:r>
            <w:r w:rsidR="00AA71E6">
              <w:t>,</w:t>
            </w:r>
            <w:r>
              <w:t xml:space="preserve"> </w:t>
            </w:r>
            <w:r w:rsidR="00990011">
              <w:t xml:space="preserve">deaths due to respiratory disease </w:t>
            </w:r>
            <w:r w:rsidR="00ED6241">
              <w:t>(excluding COVID</w:t>
            </w:r>
            <w:r w:rsidR="00ED6241">
              <w:noBreakHyphen/>
              <w:t xml:space="preserve">19) </w:t>
            </w:r>
            <w:r w:rsidR="001841B3">
              <w:t xml:space="preserve">were </w:t>
            </w:r>
            <w:r w:rsidR="00C23816">
              <w:t xml:space="preserve">significantly </w:t>
            </w:r>
            <w:r w:rsidR="00990011">
              <w:t>lower than expected.</w:t>
            </w:r>
          </w:p>
        </w:tc>
      </w:tr>
      <w:tr w:rsidR="00725216" w:rsidRPr="0023709A" w14:paraId="6484E700" w14:textId="77777777" w:rsidTr="00894032">
        <w:trPr>
          <w:trHeight w:val="300"/>
        </w:trPr>
        <w:tc>
          <w:tcPr>
            <w:tcW w:w="5000" w:type="pct"/>
            <w:shd w:val="clear" w:color="auto" w:fill="auto"/>
            <w:vAlign w:val="center"/>
          </w:tcPr>
          <w:p w14:paraId="01B59FD9" w14:textId="05D29778" w:rsidR="009E1BE5" w:rsidRPr="004C38EA" w:rsidRDefault="00E675E2" w:rsidP="00055F66">
            <w:pPr>
              <w:pStyle w:val="Heading3"/>
              <w:keepNext w:val="0"/>
              <w:spacing w:before="240"/>
            </w:pPr>
            <w:r>
              <w:t>Weekly</w:t>
            </w:r>
            <w:r w:rsidR="009E1BE5">
              <w:t xml:space="preserve"> </w:t>
            </w:r>
            <w:r w:rsidR="00A837D2">
              <w:t xml:space="preserve">and cumulative </w:t>
            </w:r>
            <w:r w:rsidR="009E1BE5">
              <w:t>deaths</w:t>
            </w:r>
          </w:p>
          <w:p w14:paraId="1F85D35B" w14:textId="32ABFB7B" w:rsidR="005D7CFD" w:rsidRDefault="001E6FB8" w:rsidP="00055F66">
            <w:pPr>
              <w:spacing w:after="240"/>
            </w:pPr>
            <w:r>
              <w:t>T</w:t>
            </w:r>
            <w:r w:rsidR="009E1BE5" w:rsidRPr="002123E7">
              <w:t>he number of deaths</w:t>
            </w:r>
            <w:r w:rsidR="009E1BE5">
              <w:t xml:space="preserve"> each </w:t>
            </w:r>
            <w:r w:rsidR="00E675E2">
              <w:t>week</w:t>
            </w:r>
            <w:r w:rsidR="009E1BE5" w:rsidRPr="002123E7">
              <w:t xml:space="preserve"> from January through to </w:t>
            </w:r>
            <w:r w:rsidR="00E46B19">
              <w:t>December</w:t>
            </w:r>
            <w:r w:rsidR="009E1BE5">
              <w:t xml:space="preserve"> </w:t>
            </w:r>
            <w:r w:rsidR="009E1BE5" w:rsidRPr="002123E7">
              <w:t>was</w:t>
            </w:r>
            <w:r w:rsidR="009E1BE5">
              <w:t xml:space="preserve"> </w:t>
            </w:r>
            <w:r w:rsidR="009E1BE5" w:rsidRPr="001B5B2D">
              <w:t>generally higher</w:t>
            </w:r>
            <w:r w:rsidR="009E1BE5">
              <w:t xml:space="preserve"> in 2021</w:t>
            </w:r>
            <w:r w:rsidR="009E1BE5" w:rsidRPr="002123E7">
              <w:t xml:space="preserve"> than</w:t>
            </w:r>
            <w:r w:rsidR="009E1BE5">
              <w:t xml:space="preserve"> </w:t>
            </w:r>
            <w:r w:rsidR="009E1BE5" w:rsidRPr="002123E7">
              <w:t>the 2015</w:t>
            </w:r>
            <w:r w:rsidR="009E1BE5" w:rsidRPr="002123E7">
              <w:noBreakHyphen/>
              <w:t>19 average</w:t>
            </w:r>
            <w:r w:rsidR="00F66CE9">
              <w:t xml:space="preserve"> </w:t>
            </w:r>
            <w:r w:rsidR="009E1BE5" w:rsidRPr="002123E7">
              <w:t>(Chart</w:t>
            </w:r>
            <w:r w:rsidR="009E1BE5">
              <w:t xml:space="preserve"> </w:t>
            </w:r>
            <w:r w:rsidR="009E1BE5" w:rsidRPr="002123E7">
              <w:t>1).</w:t>
            </w:r>
            <w:r w:rsidR="00F66CE9">
              <w:t xml:space="preserve"> </w:t>
            </w:r>
            <w:r w:rsidR="00FB4D7B">
              <w:t xml:space="preserve">In 2021, there were </w:t>
            </w:r>
            <w:r w:rsidR="004E48A2">
              <w:t xml:space="preserve">a total of </w:t>
            </w:r>
            <w:r w:rsidR="00FB4D7B">
              <w:t xml:space="preserve">149,200 doctor-certified deaths which was </w:t>
            </w:r>
            <w:r w:rsidR="00FB4D7B" w:rsidRPr="00C26F04">
              <w:t>higher</w:t>
            </w:r>
            <w:r w:rsidR="00FB4D7B">
              <w:t xml:space="preserve"> than the number of deaths in 2020 (141,500)</w:t>
            </w:r>
            <w:r w:rsidR="00FB4D7B" w:rsidRPr="00C26F04">
              <w:t xml:space="preserve"> </w:t>
            </w:r>
            <w:r w:rsidR="00FB4D7B">
              <w:t xml:space="preserve">and </w:t>
            </w:r>
            <w:r w:rsidR="00FB4D7B" w:rsidRPr="00C26F04">
              <w:t>above</w:t>
            </w:r>
            <w:r w:rsidR="00FB4D7B">
              <w:t xml:space="preserve"> the 2015-19 average (140,600)</w:t>
            </w:r>
            <w:r w:rsidR="00FB4D7B" w:rsidRPr="00C26F04">
              <w:t>.</w:t>
            </w:r>
          </w:p>
          <w:p w14:paraId="7A2A72DA" w14:textId="7BC782D6" w:rsidR="005D7CFD" w:rsidRDefault="005D7CFD" w:rsidP="00894032">
            <w:r w:rsidRPr="00DD1224">
              <w:t xml:space="preserve">Compared with the 2015-19 average, there </w:t>
            </w:r>
            <w:r>
              <w:t xml:space="preserve">were </w:t>
            </w:r>
            <w:r w:rsidRPr="00C26F04">
              <w:t>slightly more</w:t>
            </w:r>
            <w:r w:rsidRPr="0066337D">
              <w:t xml:space="preserve"> doctor</w:t>
            </w:r>
            <w:r w:rsidRPr="0066337D">
              <w:noBreakHyphen/>
              <w:t xml:space="preserve">certified deaths in 2021 </w:t>
            </w:r>
            <w:r w:rsidRPr="00C26F04">
              <w:t xml:space="preserve">for males and females aged over 65 years (an increase of </w:t>
            </w:r>
            <w:r>
              <w:t>9</w:t>
            </w:r>
            <w:r w:rsidRPr="00C26F04">
              <w:t xml:space="preserve"> and </w:t>
            </w:r>
            <w:r>
              <w:t>6</w:t>
            </w:r>
            <w:r w:rsidRPr="00C26F04">
              <w:t xml:space="preserve"> per cent respectively)</w:t>
            </w:r>
            <w:r w:rsidRPr="00DD1224">
              <w:t>.</w:t>
            </w:r>
            <w:r w:rsidR="00911CEA">
              <w:t xml:space="preserve"> </w:t>
            </w:r>
            <w:r>
              <w:t>Doctor</w:t>
            </w:r>
            <w:r>
              <w:noBreakHyphen/>
              <w:t xml:space="preserve">certified deaths </w:t>
            </w:r>
            <w:r w:rsidRPr="00E91824">
              <w:t>in 202</w:t>
            </w:r>
            <w:r>
              <w:t xml:space="preserve">1 </w:t>
            </w:r>
            <w:r w:rsidRPr="00EA60D3">
              <w:t xml:space="preserve">were </w:t>
            </w:r>
            <w:r w:rsidRPr="002A28A2">
              <w:t>higher</w:t>
            </w:r>
            <w:r w:rsidRPr="00EA60D3">
              <w:t xml:space="preserve"> in </w:t>
            </w:r>
            <w:r>
              <w:t>all</w:t>
            </w:r>
            <w:r w:rsidRPr="00EA60D3">
              <w:t xml:space="preserve"> states and territories when compared with</w:t>
            </w:r>
            <w:r>
              <w:t xml:space="preserve"> the 2015-19 average, and higher in all states except the Australian Capital Territory and Northern Territory when compared with</w:t>
            </w:r>
            <w:r w:rsidRPr="00EA60D3">
              <w:t xml:space="preserve"> 2020</w:t>
            </w:r>
            <w:r w:rsidRPr="00DE0171">
              <w:t>.</w:t>
            </w:r>
          </w:p>
          <w:p w14:paraId="3D084A52" w14:textId="08E0E42E" w:rsidR="005D7CFD" w:rsidRDefault="005D7CFD" w:rsidP="00894032">
            <w:pPr>
              <w:pStyle w:val="Bullet"/>
              <w:numPr>
                <w:ilvl w:val="0"/>
                <w:numId w:val="0"/>
              </w:numPr>
              <w:spacing w:after="240"/>
            </w:pPr>
            <w:r>
              <w:t>D</w:t>
            </w:r>
            <w:r w:rsidRPr="00606F89">
              <w:t>octor</w:t>
            </w:r>
            <w:r w:rsidRPr="00606F89">
              <w:noBreakHyphen/>
              <w:t xml:space="preserve">certified deaths due to </w:t>
            </w:r>
            <w:r w:rsidRPr="002A28A2">
              <w:t>influenza and pneumonia in 2021 were 3</w:t>
            </w:r>
            <w:r>
              <w:t>6</w:t>
            </w:r>
            <w:r w:rsidRPr="002A28A2">
              <w:t xml:space="preserve"> per cent lower than the 2015</w:t>
            </w:r>
            <w:r w:rsidRPr="002A28A2">
              <w:noBreakHyphen/>
              <w:t xml:space="preserve">19 </w:t>
            </w:r>
            <w:r w:rsidRPr="002A28A2" w:rsidDel="008F3E7F">
              <w:t>average</w:t>
            </w:r>
            <w:r w:rsidRPr="002A28A2">
              <w:t>, while doctor</w:t>
            </w:r>
            <w:r w:rsidRPr="002A28A2">
              <w:noBreakHyphen/>
              <w:t>certified d</w:t>
            </w:r>
            <w:r w:rsidRPr="00606F89">
              <w:t xml:space="preserve">eaths due </w:t>
            </w:r>
            <w:r w:rsidRPr="002A28A2">
              <w:t>to dementia and diabetes in 2021 were 1</w:t>
            </w:r>
            <w:r>
              <w:t>4</w:t>
            </w:r>
            <w:r w:rsidRPr="002A28A2">
              <w:t xml:space="preserve"> and </w:t>
            </w:r>
            <w:r>
              <w:t>11</w:t>
            </w:r>
            <w:r w:rsidRPr="002A28A2">
              <w:t xml:space="preserve"> per cent higher respectively than the 2015</w:t>
            </w:r>
            <w:r w:rsidRPr="002A28A2">
              <w:noBreakHyphen/>
              <w:t>19 average</w:t>
            </w:r>
            <w:r w:rsidRPr="004C1FAD">
              <w:t>.</w:t>
            </w:r>
            <w:r>
              <w:t xml:space="preserve"> D</w:t>
            </w:r>
            <w:r w:rsidRPr="00606F89">
              <w:t>octor</w:t>
            </w:r>
            <w:r w:rsidRPr="00606F89">
              <w:noBreakHyphen/>
              <w:t xml:space="preserve">certified deaths due to </w:t>
            </w:r>
            <w:r>
              <w:t>COVID-19</w:t>
            </w:r>
            <w:r w:rsidRPr="002A28A2">
              <w:t xml:space="preserve"> in 2021 were </w:t>
            </w:r>
            <w:r>
              <w:t>43</w:t>
            </w:r>
            <w:r w:rsidRPr="002A28A2">
              <w:t xml:space="preserve"> per cent </w:t>
            </w:r>
            <w:r>
              <w:t>higher in 2021</w:t>
            </w:r>
            <w:r w:rsidRPr="002A28A2">
              <w:t xml:space="preserve"> than in 202</w:t>
            </w:r>
            <w:r>
              <w:t>0 despite new infections being 460 per cent higher over the same period in 2021</w:t>
            </w:r>
            <w:r>
              <w:rPr>
                <w:rStyle w:val="FootnoteReference"/>
              </w:rPr>
              <w:footnoteReference w:id="3"/>
            </w:r>
            <w:r>
              <w:t xml:space="preserve">. </w:t>
            </w:r>
          </w:p>
          <w:p w14:paraId="14457E60" w14:textId="204FC2DE" w:rsidR="00EC38BC" w:rsidRPr="00B85825" w:rsidRDefault="00EC38BC" w:rsidP="00EC38BC">
            <w:pPr>
              <w:pStyle w:val="Chartheading"/>
            </w:pPr>
            <w:r>
              <w:lastRenderedPageBreak/>
              <w:t>Weekly d</w:t>
            </w:r>
            <w:r w:rsidRPr="009E1BE5">
              <w:t>octor</w:t>
            </w:r>
            <w:r w:rsidRPr="00B85825">
              <w:t>-certified deaths</w:t>
            </w:r>
            <w:r>
              <w:t xml:space="preserve"> and</w:t>
            </w:r>
            <w:r w:rsidRPr="00B85825">
              <w:t xml:space="preserve"> COVID-19 infections</w:t>
            </w:r>
            <w:r>
              <w:t>, 202</w:t>
            </w:r>
            <w:r w:rsidR="005717F2">
              <w:t>1</w:t>
            </w:r>
          </w:p>
          <w:p w14:paraId="0DE49B0D" w14:textId="54B57942" w:rsidR="00FB2ABF" w:rsidRDefault="00B36EEA" w:rsidP="002B2C11">
            <w:pPr>
              <w:pStyle w:val="Source"/>
              <w:ind w:left="0" w:firstLine="0"/>
            </w:pPr>
            <w:r>
              <w:rPr>
                <w:noProof/>
              </w:rPr>
              <w:drawing>
                <wp:inline distT="0" distB="0" distL="0" distR="0" wp14:anchorId="114EC2C1" wp14:editId="74738130">
                  <wp:extent cx="5695200" cy="2332800"/>
                  <wp:effectExtent l="0" t="0" r="127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5200" cy="2332800"/>
                          </a:xfrm>
                          <a:prstGeom prst="rect">
                            <a:avLst/>
                          </a:prstGeom>
                          <a:noFill/>
                        </pic:spPr>
                      </pic:pic>
                    </a:graphicData>
                  </a:graphic>
                </wp:inline>
              </w:drawing>
            </w:r>
          </w:p>
          <w:p w14:paraId="2FBD14BE" w14:textId="77777777" w:rsidR="00EC38BC" w:rsidRPr="009E1BE5" w:rsidRDefault="00EC38BC" w:rsidP="00EC38BC">
            <w:pPr>
              <w:pStyle w:val="Heading3"/>
            </w:pPr>
            <w:r w:rsidRPr="009E1BE5">
              <w:t>Age standardised death rates</w:t>
            </w:r>
          </w:p>
          <w:p w14:paraId="03D17C91" w14:textId="16881810" w:rsidR="00EC38BC" w:rsidRDefault="00EC38BC" w:rsidP="00EC38BC">
            <w:r>
              <w:t>Age standardised death rates allow</w:t>
            </w:r>
            <w:r w:rsidRPr="00831ED3">
              <w:t xml:space="preserve"> comparison of</w:t>
            </w:r>
            <w:r>
              <w:t xml:space="preserve"> mortality</w:t>
            </w:r>
            <w:r w:rsidRPr="00831ED3">
              <w:t xml:space="preserve"> </w:t>
            </w:r>
            <w:r>
              <w:t>trends across populations of different size and age structure. They are expressed as deaths per 100,000 population.</w:t>
            </w:r>
          </w:p>
          <w:p w14:paraId="4F27FC78" w14:textId="4EAF3181" w:rsidR="005D7CFD" w:rsidRDefault="00457CED" w:rsidP="00F648DD">
            <w:pPr>
              <w:spacing w:after="240"/>
            </w:pPr>
            <w:r>
              <w:t>In</w:t>
            </w:r>
            <w:r w:rsidR="00EC38BC">
              <w:t xml:space="preserve"> 2021,</w:t>
            </w:r>
            <w:r w:rsidR="00D4265D">
              <w:t xml:space="preserve"> </w:t>
            </w:r>
            <w:r w:rsidR="00E61714">
              <w:t>age standardised death rate</w:t>
            </w:r>
            <w:r w:rsidR="002C43E4">
              <w:t>s</w:t>
            </w:r>
            <w:r w:rsidR="00E61714">
              <w:t xml:space="preserve"> </w:t>
            </w:r>
            <w:r w:rsidR="00EC38BC">
              <w:t xml:space="preserve">for doctor-certified deaths </w:t>
            </w:r>
            <w:r w:rsidR="00EC38BC" w:rsidRPr="00465C90">
              <w:t xml:space="preserve">have </w:t>
            </w:r>
            <w:r w:rsidR="00EC38BC" w:rsidRPr="004C1FAD">
              <w:t xml:space="preserve">been </w:t>
            </w:r>
            <w:r w:rsidR="00EC38BC" w:rsidRPr="002A28A2">
              <w:t>lower</w:t>
            </w:r>
            <w:r w:rsidR="00EC38BC">
              <w:t xml:space="preserve"> when compared to the 2015</w:t>
            </w:r>
            <w:r w:rsidR="00EC38BC">
              <w:noBreakHyphen/>
              <w:t>19 average</w:t>
            </w:r>
            <w:r w:rsidR="009A07CD">
              <w:t xml:space="preserve"> </w:t>
            </w:r>
            <w:r w:rsidR="00EC38BC">
              <w:t xml:space="preserve">(Chart </w:t>
            </w:r>
            <w:r w:rsidR="00EF7050">
              <w:t>2</w:t>
            </w:r>
            <w:r w:rsidR="00EC38BC">
              <w:t>).</w:t>
            </w:r>
            <w:r w:rsidR="00BB1005">
              <w:t xml:space="preserve"> The age standardised death rate</w:t>
            </w:r>
            <w:r w:rsidR="002C43E4">
              <w:t xml:space="preserve"> for 20</w:t>
            </w:r>
            <w:r w:rsidR="000D0D23">
              <w:t>2</w:t>
            </w:r>
            <w:r w:rsidR="002C43E4">
              <w:t>1</w:t>
            </w:r>
            <w:r w:rsidR="00BB1005">
              <w:t xml:space="preserve"> was 431 deaths per 100,000 people</w:t>
            </w:r>
            <w:r w:rsidR="000D0D23">
              <w:t>,</w:t>
            </w:r>
            <w:r w:rsidR="00BB1005">
              <w:t xml:space="preserve"> which was lower tha</w:t>
            </w:r>
            <w:r w:rsidR="000D0D23">
              <w:t>n</w:t>
            </w:r>
            <w:r w:rsidR="00BB1005">
              <w:t xml:space="preserve"> the average for 2015-19 (459), but </w:t>
            </w:r>
            <w:r w:rsidR="00B15D7A">
              <w:t>above the rate for</w:t>
            </w:r>
            <w:r w:rsidR="00BB1005">
              <w:t xml:space="preserve"> 2020 (42</w:t>
            </w:r>
            <w:r w:rsidR="002C43E4">
              <w:t>4</w:t>
            </w:r>
            <w:r w:rsidR="00BB1005">
              <w:t>.5</w:t>
            </w:r>
            <w:r w:rsidR="002C43E4">
              <w:t>)</w:t>
            </w:r>
            <w:r w:rsidR="009A07CD">
              <w:t>.</w:t>
            </w:r>
            <w:r w:rsidR="00BC7927" w:rsidRPr="00C36281">
              <w:t xml:space="preserve"> </w:t>
            </w:r>
            <w:r w:rsidR="00BC7927">
              <w:t>This suggest</w:t>
            </w:r>
            <w:r w:rsidR="00222C95">
              <w:t>s</w:t>
            </w:r>
            <w:r w:rsidR="0088373B">
              <w:t xml:space="preserve"> that an increase in the </w:t>
            </w:r>
            <w:r w:rsidR="00222C95">
              <w:t>number of</w:t>
            </w:r>
            <w:r w:rsidR="0088373B">
              <w:t xml:space="preserve"> deaths observed in 2021</w:t>
            </w:r>
            <w:r w:rsidR="00AA1531">
              <w:t xml:space="preserve"> (</w:t>
            </w:r>
            <w:r w:rsidR="00FD7CF1">
              <w:t xml:space="preserve">when </w:t>
            </w:r>
            <w:r w:rsidR="00AA1531">
              <w:t>compared to 2015-19)</w:t>
            </w:r>
            <w:r w:rsidR="0088373B">
              <w:t xml:space="preserve"> </w:t>
            </w:r>
            <w:r w:rsidR="00222C95">
              <w:t xml:space="preserve">reflects </w:t>
            </w:r>
            <w:r w:rsidR="0088373B">
              <w:t xml:space="preserve">changes in the </w:t>
            </w:r>
            <w:r w:rsidR="00222C95">
              <w:t xml:space="preserve">size and age structure of the </w:t>
            </w:r>
            <w:r w:rsidR="0088373B">
              <w:t xml:space="preserve">population </w:t>
            </w:r>
            <w:r w:rsidR="00AA1531">
              <w:t xml:space="preserve">rather than an increase in mortality. </w:t>
            </w:r>
          </w:p>
          <w:p w14:paraId="76CE8AC3" w14:textId="203079CA" w:rsidR="00A71268" w:rsidRPr="00B85825" w:rsidRDefault="00EC52B1" w:rsidP="00A71268">
            <w:pPr>
              <w:pStyle w:val="Chartheading"/>
            </w:pPr>
            <w:r>
              <w:t xml:space="preserve">Weekly </w:t>
            </w:r>
            <w:r w:rsidR="00A71268">
              <w:t>a</w:t>
            </w:r>
            <w:r w:rsidR="00A71268" w:rsidRPr="00B85825">
              <w:t>ge standardised death rates</w:t>
            </w:r>
            <w:r w:rsidR="00A71268">
              <w:t xml:space="preserve"> for total doctor-certified deaths, </w:t>
            </w:r>
            <w:r w:rsidR="00457CED">
              <w:t>2020 and</w:t>
            </w:r>
            <w:r w:rsidR="00917F66">
              <w:t xml:space="preserve"> 2021</w:t>
            </w:r>
          </w:p>
          <w:p w14:paraId="34B6FA11" w14:textId="60A30069" w:rsidR="00693022" w:rsidRDefault="00122EB0" w:rsidP="00055F66">
            <w:pPr>
              <w:pStyle w:val="Source"/>
              <w:ind w:left="0" w:firstLine="0"/>
            </w:pPr>
            <w:r>
              <w:rPr>
                <w:noProof/>
              </w:rPr>
              <w:drawing>
                <wp:inline distT="0" distB="0" distL="0" distR="0" wp14:anchorId="75EB631C" wp14:editId="6BA0F014">
                  <wp:extent cx="5718810" cy="2322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8810" cy="2322830"/>
                          </a:xfrm>
                          <a:prstGeom prst="rect">
                            <a:avLst/>
                          </a:prstGeom>
                          <a:noFill/>
                        </pic:spPr>
                      </pic:pic>
                    </a:graphicData>
                  </a:graphic>
                </wp:inline>
              </w:drawing>
            </w:r>
            <w:r w:rsidR="00457CED">
              <w:t>Note: Data for 2020 refers to equivalent weeks in 2021</w:t>
            </w:r>
          </w:p>
          <w:p w14:paraId="4A597275" w14:textId="353C71B6" w:rsidR="003E7804" w:rsidRDefault="00473B83" w:rsidP="00055F66">
            <w:pPr>
              <w:pStyle w:val="Heading3"/>
              <w:spacing w:before="240"/>
            </w:pPr>
            <w:r>
              <w:t>Measuring Australia’s e</w:t>
            </w:r>
            <w:r w:rsidR="00693022">
              <w:t>xcess mortality</w:t>
            </w:r>
            <w:r>
              <w:t xml:space="preserve"> during the COVID-19 pandemic </w:t>
            </w:r>
          </w:p>
          <w:p w14:paraId="4A0C5F59" w14:textId="0717E257" w:rsidR="00257DF2" w:rsidRDefault="00693022" w:rsidP="00693022">
            <w:r w:rsidRPr="00CF09B6">
              <w:t>Excess mortality is an epidemiological concept defined as the difference between the</w:t>
            </w:r>
            <w:r>
              <w:t xml:space="preserve"> number of</w:t>
            </w:r>
            <w:r w:rsidRPr="00CF09B6">
              <w:t xml:space="preserve"> observed and expected deaths </w:t>
            </w:r>
            <w:r>
              <w:t>in a specified</w:t>
            </w:r>
            <w:r w:rsidRPr="00CF09B6">
              <w:t xml:space="preserve"> time period.</w:t>
            </w:r>
            <w:r>
              <w:t xml:space="preserve"> Excess deaths</w:t>
            </w:r>
            <w:r w:rsidRPr="00CF09B6">
              <w:t xml:space="preserve"> account for deaths </w:t>
            </w:r>
            <w:r w:rsidR="00281833">
              <w:t>beyond natural variation such as deaths</w:t>
            </w:r>
            <w:r w:rsidRPr="00CF09B6">
              <w:t xml:space="preserve"> due to COVID-19, potentially undiagnosed COVID-19 deaths, </w:t>
            </w:r>
            <w:r w:rsidRPr="00CF09B6" w:rsidDel="00BE69E0">
              <w:t>and</w:t>
            </w:r>
            <w:r w:rsidRPr="00CF09B6">
              <w:t xml:space="preserve"> other mortality that may be indirectly related to the</w:t>
            </w:r>
            <w:r>
              <w:t xml:space="preserve"> </w:t>
            </w:r>
            <w:r w:rsidRPr="00CF09B6">
              <w:t>pandemic (e.g. relating to social isolation or changed access to health care)</w:t>
            </w:r>
            <w:r w:rsidR="00281833">
              <w:t xml:space="preserve">. </w:t>
            </w:r>
          </w:p>
          <w:p w14:paraId="27ADF0EE" w14:textId="3A52DA74" w:rsidR="00693022" w:rsidRDefault="00693022" w:rsidP="00693022">
            <w:r w:rsidRPr="00E80253">
              <w:t>While the number of deaths may be different</w:t>
            </w:r>
            <w:r>
              <w:t xml:space="preserve"> </w:t>
            </w:r>
            <w:r w:rsidRPr="00E80253">
              <w:t>from the expected number of deaths, it should fall within an expected range (</w:t>
            </w:r>
            <w:r w:rsidR="00C0155B">
              <w:t>that is,</w:t>
            </w:r>
            <w:r w:rsidRPr="00E80253">
              <w:t xml:space="preserve"> there is a</w:t>
            </w:r>
            <w:r>
              <w:t xml:space="preserve"> </w:t>
            </w:r>
            <w:r w:rsidRPr="00E80253">
              <w:t>95% chance that the expected number of deaths would lie between the upper and lower</w:t>
            </w:r>
            <w:r>
              <w:t xml:space="preserve"> </w:t>
            </w:r>
            <w:r w:rsidRPr="00E80253">
              <w:t>bounds of the confidence intervals). When death</w:t>
            </w:r>
            <w:r>
              <w:t>s</w:t>
            </w:r>
            <w:r w:rsidRPr="00E80253">
              <w:t xml:space="preserve"> exceed the</w:t>
            </w:r>
            <w:r>
              <w:t xml:space="preserve"> </w:t>
            </w:r>
            <w:r w:rsidRPr="00E80253">
              <w:t>upper threshold or drop below the lower threshold this indicates a statistically significant</w:t>
            </w:r>
            <w:r>
              <w:t xml:space="preserve"> </w:t>
            </w:r>
            <w:r w:rsidRPr="00E80253">
              <w:t>change in the pattern of mortality.</w:t>
            </w:r>
          </w:p>
          <w:p w14:paraId="5700A2B1" w14:textId="481A98F0" w:rsidR="00693022" w:rsidRPr="004C38EA" w:rsidRDefault="0049314C" w:rsidP="00693022">
            <w:pPr>
              <w:pStyle w:val="Heading3"/>
              <w:keepNext w:val="0"/>
            </w:pPr>
            <w:r w:rsidRPr="002B2C11">
              <w:rPr>
                <w:b w:val="0"/>
                <w:bCs/>
              </w:rPr>
              <w:lastRenderedPageBreak/>
              <w:t>N</w:t>
            </w:r>
            <w:r w:rsidR="00693022" w:rsidRPr="002B2C11">
              <w:rPr>
                <w:b w:val="0"/>
                <w:bCs/>
              </w:rPr>
              <w:t>ational</w:t>
            </w:r>
          </w:p>
          <w:p w14:paraId="764EC206" w14:textId="4939E03F" w:rsidR="00DD147C" w:rsidRDefault="00693022" w:rsidP="00894032">
            <w:pPr>
              <w:spacing w:after="240"/>
            </w:pPr>
            <w:r>
              <w:t>In 2021</w:t>
            </w:r>
            <w:r w:rsidR="00CA69FA">
              <w:t>,</w:t>
            </w:r>
            <w:r>
              <w:t xml:space="preserve"> there were 5,</w:t>
            </w:r>
            <w:r w:rsidR="004909EF">
              <w:t>100</w:t>
            </w:r>
            <w:r>
              <w:t xml:space="preserve"> more deaths than expected, with </w:t>
            </w:r>
            <w:r w:rsidR="00C0155B">
              <w:t xml:space="preserve">a cumulative </w:t>
            </w:r>
            <w:r>
              <w:t>1</w:t>
            </w:r>
            <w:r w:rsidR="00776BBF">
              <w:t>0</w:t>
            </w:r>
            <w:r w:rsidR="004909EF">
              <w:t>0</w:t>
            </w:r>
            <w:r>
              <w:t xml:space="preserve"> </w:t>
            </w:r>
            <w:r w:rsidR="00C0155B">
              <w:t xml:space="preserve">deaths </w:t>
            </w:r>
            <w:r>
              <w:t xml:space="preserve">above the </w:t>
            </w:r>
            <w:r w:rsidR="00C0155B">
              <w:t xml:space="preserve">weekly </w:t>
            </w:r>
            <w:r>
              <w:t>upper threshold</w:t>
            </w:r>
            <w:r w:rsidR="006B0093">
              <w:t>s</w:t>
            </w:r>
            <w:r>
              <w:t xml:space="preserve"> of statistical significance</w:t>
            </w:r>
            <w:r w:rsidR="006B0093">
              <w:t xml:space="preserve"> (Table 1)</w:t>
            </w:r>
            <w:r>
              <w:t>. In 2020</w:t>
            </w:r>
            <w:r w:rsidR="00F1256F">
              <w:t xml:space="preserve"> there were</w:t>
            </w:r>
            <w:r>
              <w:t xml:space="preserve"> 1,7</w:t>
            </w:r>
            <w:r w:rsidR="004909EF">
              <w:t>00</w:t>
            </w:r>
            <w:r>
              <w:t xml:space="preserve"> </w:t>
            </w:r>
            <w:r w:rsidR="006B0093">
              <w:t xml:space="preserve">fewer </w:t>
            </w:r>
            <w:r>
              <w:t>deaths than expected,</w:t>
            </w:r>
            <w:r w:rsidR="00F1256F">
              <w:t xml:space="preserve"> though this includes periods where deaths were above (50 deaths</w:t>
            </w:r>
            <w:r w:rsidR="00C0155B">
              <w:t xml:space="preserve"> in total</w:t>
            </w:r>
            <w:r w:rsidR="00F1256F">
              <w:t>) and below (</w:t>
            </w:r>
            <w:r>
              <w:t>20</w:t>
            </w:r>
            <w:r w:rsidR="004909EF">
              <w:t>0</w:t>
            </w:r>
            <w:r w:rsidR="00F1256F">
              <w:t>)</w:t>
            </w:r>
            <w:r>
              <w:t xml:space="preserve"> the </w:t>
            </w:r>
            <w:r w:rsidR="00C0155B">
              <w:t xml:space="preserve">weekly </w:t>
            </w:r>
            <w:r>
              <w:t>threshold</w:t>
            </w:r>
            <w:r w:rsidR="00F1256F">
              <w:t>s</w:t>
            </w:r>
            <w:r>
              <w:t xml:space="preserve"> of statistical significance.</w:t>
            </w:r>
            <w:r w:rsidR="00F1256F">
              <w:t xml:space="preserve"> </w:t>
            </w:r>
            <w:r>
              <w:t xml:space="preserve">This compares with no statistically significant excess deaths in 2019, </w:t>
            </w:r>
            <w:r w:rsidR="004909EF">
              <w:t>20</w:t>
            </w:r>
            <w:r>
              <w:t xml:space="preserve"> </w:t>
            </w:r>
            <w:r w:rsidR="006B0093">
              <w:t xml:space="preserve">fewer </w:t>
            </w:r>
            <w:r>
              <w:t>deaths in 2018, and 1,50</w:t>
            </w:r>
            <w:r w:rsidR="004909EF">
              <w:t>0</w:t>
            </w:r>
            <w:r>
              <w:t xml:space="preserve"> more deaths in 2017 (due to </w:t>
            </w:r>
            <w:r w:rsidR="0070008F">
              <w:t xml:space="preserve">a </w:t>
            </w:r>
            <w:r>
              <w:t xml:space="preserve">severe </w:t>
            </w:r>
            <w:r w:rsidR="0070008F">
              <w:t>influenza</w:t>
            </w:r>
            <w:r>
              <w:t xml:space="preserve"> season that year).</w:t>
            </w:r>
          </w:p>
          <w:p w14:paraId="4649D809" w14:textId="5E126D57" w:rsidR="00DD147C" w:rsidRDefault="00DD147C" w:rsidP="00894032">
            <w:pPr>
              <w:pStyle w:val="Heading8"/>
            </w:pPr>
            <w:r w:rsidRPr="00F6699A">
              <w:t>Difference between expected and observed deaths</w:t>
            </w:r>
          </w:p>
          <w:tbl>
            <w:tblPr>
              <w:tblW w:w="9101" w:type="dxa"/>
              <w:tblLayout w:type="fixed"/>
              <w:tblLook w:val="04A0" w:firstRow="1" w:lastRow="0" w:firstColumn="1" w:lastColumn="0" w:noHBand="0" w:noVBand="1"/>
            </w:tblPr>
            <w:tblGrid>
              <w:gridCol w:w="587"/>
              <w:gridCol w:w="2838"/>
              <w:gridCol w:w="2838"/>
              <w:gridCol w:w="2838"/>
            </w:tblGrid>
            <w:tr w:rsidR="00DD147C" w:rsidRPr="004A6EE2" w14:paraId="4DE13979" w14:textId="77777777" w:rsidTr="00493365">
              <w:trPr>
                <w:cantSplit/>
                <w:trHeight w:val="294"/>
              </w:trPr>
              <w:tc>
                <w:tcPr>
                  <w:tcW w:w="587" w:type="dxa"/>
                  <w:tcBorders>
                    <w:top w:val="nil"/>
                    <w:left w:val="nil"/>
                    <w:bottom w:val="single" w:sz="8" w:space="0" w:color="auto"/>
                    <w:right w:val="nil"/>
                  </w:tcBorders>
                  <w:shd w:val="clear" w:color="auto" w:fill="auto"/>
                  <w:vAlign w:val="bottom"/>
                  <w:hideMark/>
                </w:tcPr>
                <w:p w14:paraId="2CE1F3AA" w14:textId="77777777" w:rsidR="00DD147C" w:rsidRPr="00FC5B3C" w:rsidRDefault="00DD147C" w:rsidP="00DD147C">
                  <w:pPr>
                    <w:spacing w:before="0" w:after="0"/>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Year</w:t>
                  </w:r>
                </w:p>
              </w:tc>
              <w:tc>
                <w:tcPr>
                  <w:tcW w:w="2838" w:type="dxa"/>
                  <w:tcBorders>
                    <w:top w:val="nil"/>
                    <w:left w:val="nil"/>
                    <w:bottom w:val="single" w:sz="8" w:space="0" w:color="auto"/>
                    <w:right w:val="nil"/>
                  </w:tcBorders>
                  <w:shd w:val="clear" w:color="auto" w:fill="auto"/>
                  <w:vAlign w:val="bottom"/>
                  <w:hideMark/>
                </w:tcPr>
                <w:p w14:paraId="734D834B" w14:textId="77777777" w:rsidR="00DD147C" w:rsidRPr="00FC5B3C" w:rsidRDefault="00DD147C" w:rsidP="00DD147C">
                  <w:pPr>
                    <w:spacing w:before="0" w:after="0"/>
                    <w:jc w:val="center"/>
                    <w:rPr>
                      <w:rFonts w:asciiTheme="minorHAnsi" w:eastAsia="Times New Roman" w:hAnsiTheme="minorHAnsi" w:cstheme="minorHAnsi"/>
                      <w:b/>
                      <w:bCs/>
                      <w:sz w:val="18"/>
                      <w:szCs w:val="18"/>
                      <w:lang w:eastAsia="en-AU"/>
                    </w:rPr>
                  </w:pPr>
                  <w:r>
                    <w:rPr>
                      <w:rFonts w:asciiTheme="minorHAnsi" w:eastAsia="Times New Roman" w:hAnsiTheme="minorHAnsi" w:cstheme="minorHAnsi"/>
                      <w:b/>
                      <w:bCs/>
                      <w:sz w:val="18"/>
                      <w:szCs w:val="18"/>
                      <w:lang w:eastAsia="en-AU"/>
                    </w:rPr>
                    <w:t>Difference from expected</w:t>
                  </w:r>
                </w:p>
              </w:tc>
              <w:tc>
                <w:tcPr>
                  <w:tcW w:w="2838" w:type="dxa"/>
                  <w:tcBorders>
                    <w:top w:val="nil"/>
                    <w:left w:val="nil"/>
                    <w:bottom w:val="single" w:sz="8" w:space="0" w:color="auto"/>
                    <w:right w:val="nil"/>
                  </w:tcBorders>
                  <w:shd w:val="clear" w:color="auto" w:fill="auto"/>
                  <w:vAlign w:val="bottom"/>
                  <w:hideMark/>
                </w:tcPr>
                <w:p w14:paraId="7FB2B978" w14:textId="77777777" w:rsidR="00DD147C" w:rsidRPr="00FC5B3C" w:rsidRDefault="00DD147C" w:rsidP="00DD147C">
                  <w:pPr>
                    <w:spacing w:before="0" w:after="0"/>
                    <w:jc w:val="center"/>
                    <w:rPr>
                      <w:rFonts w:asciiTheme="minorHAnsi" w:eastAsia="Times New Roman" w:hAnsiTheme="minorHAnsi" w:cstheme="minorHAnsi"/>
                      <w:b/>
                      <w:bCs/>
                      <w:sz w:val="18"/>
                      <w:szCs w:val="18"/>
                      <w:lang w:eastAsia="en-AU"/>
                    </w:rPr>
                  </w:pPr>
                  <w:r>
                    <w:rPr>
                      <w:rFonts w:asciiTheme="minorHAnsi" w:eastAsia="Times New Roman" w:hAnsiTheme="minorHAnsi" w:cstheme="minorHAnsi"/>
                      <w:b/>
                      <w:bCs/>
                      <w:sz w:val="18"/>
                      <w:szCs w:val="18"/>
                      <w:lang w:eastAsia="en-AU"/>
                    </w:rPr>
                    <w:t>Total above weekly upper thresholds</w:t>
                  </w:r>
                </w:p>
              </w:tc>
              <w:tc>
                <w:tcPr>
                  <w:tcW w:w="2838" w:type="dxa"/>
                  <w:tcBorders>
                    <w:top w:val="nil"/>
                    <w:left w:val="nil"/>
                    <w:bottom w:val="single" w:sz="8" w:space="0" w:color="auto"/>
                    <w:right w:val="nil"/>
                  </w:tcBorders>
                  <w:shd w:val="clear" w:color="auto" w:fill="auto"/>
                  <w:vAlign w:val="bottom"/>
                  <w:hideMark/>
                </w:tcPr>
                <w:p w14:paraId="06824016" w14:textId="77777777" w:rsidR="00DD147C" w:rsidRPr="00FC5B3C" w:rsidRDefault="00DD147C" w:rsidP="00DD147C">
                  <w:pPr>
                    <w:spacing w:before="0" w:after="0"/>
                    <w:jc w:val="center"/>
                    <w:rPr>
                      <w:rFonts w:asciiTheme="minorHAnsi" w:eastAsia="Times New Roman" w:hAnsiTheme="minorHAnsi" w:cstheme="minorHAnsi"/>
                      <w:b/>
                      <w:bCs/>
                      <w:sz w:val="18"/>
                      <w:szCs w:val="18"/>
                      <w:lang w:eastAsia="en-AU"/>
                    </w:rPr>
                  </w:pPr>
                  <w:r>
                    <w:rPr>
                      <w:rFonts w:asciiTheme="minorHAnsi" w:eastAsia="Times New Roman" w:hAnsiTheme="minorHAnsi" w:cstheme="minorHAnsi"/>
                      <w:b/>
                      <w:bCs/>
                      <w:sz w:val="18"/>
                      <w:szCs w:val="18"/>
                      <w:lang w:eastAsia="en-AU"/>
                    </w:rPr>
                    <w:t>Total below weekly lower thresholds</w:t>
                  </w:r>
                </w:p>
              </w:tc>
            </w:tr>
            <w:tr w:rsidR="00DD147C" w:rsidRPr="004A6EE2" w14:paraId="5D1AEE95" w14:textId="77777777" w:rsidTr="00493365">
              <w:trPr>
                <w:cantSplit/>
                <w:trHeight w:val="241"/>
              </w:trPr>
              <w:tc>
                <w:tcPr>
                  <w:tcW w:w="587" w:type="dxa"/>
                  <w:tcBorders>
                    <w:top w:val="single" w:sz="8" w:space="0" w:color="auto"/>
                    <w:left w:val="nil"/>
                    <w:bottom w:val="single" w:sz="4" w:space="0" w:color="auto"/>
                    <w:right w:val="nil"/>
                  </w:tcBorders>
                  <w:shd w:val="clear" w:color="auto" w:fill="auto"/>
                  <w:noWrap/>
                  <w:vAlign w:val="center"/>
                </w:tcPr>
                <w:p w14:paraId="5466BA9C" w14:textId="77777777" w:rsidR="00DD147C" w:rsidRPr="00FC5B3C" w:rsidRDefault="00DD147C" w:rsidP="00DD147C">
                  <w:pPr>
                    <w:spacing w:before="0" w:after="0"/>
                    <w:jc w:val="center"/>
                    <w:rPr>
                      <w:rFonts w:asciiTheme="minorHAnsi" w:eastAsia="Times New Roman" w:hAnsiTheme="minorHAnsi" w:cstheme="minorHAnsi"/>
                      <w:b/>
                      <w:bCs/>
                      <w:sz w:val="18"/>
                      <w:szCs w:val="18"/>
                      <w:lang w:eastAsia="en-AU"/>
                    </w:rPr>
                  </w:pPr>
                  <w:r>
                    <w:rPr>
                      <w:rFonts w:asciiTheme="minorHAnsi" w:eastAsia="Times New Roman" w:hAnsiTheme="minorHAnsi" w:cstheme="minorHAnsi"/>
                      <w:b/>
                      <w:bCs/>
                      <w:sz w:val="18"/>
                      <w:szCs w:val="18"/>
                      <w:lang w:eastAsia="en-AU"/>
                    </w:rPr>
                    <w:t>2017</w:t>
                  </w:r>
                </w:p>
              </w:tc>
              <w:tc>
                <w:tcPr>
                  <w:tcW w:w="2838" w:type="dxa"/>
                  <w:tcBorders>
                    <w:top w:val="single" w:sz="8" w:space="0" w:color="auto"/>
                    <w:left w:val="nil"/>
                    <w:bottom w:val="single" w:sz="4" w:space="0" w:color="auto"/>
                    <w:right w:val="nil"/>
                  </w:tcBorders>
                  <w:shd w:val="clear" w:color="auto" w:fill="auto"/>
                  <w:noWrap/>
                  <w:vAlign w:val="bottom"/>
                </w:tcPr>
                <w:p w14:paraId="0411E2D8"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sidRPr="006B0093">
                    <w:rPr>
                      <w:rFonts w:asciiTheme="minorHAnsi" w:eastAsia="Times New Roman" w:hAnsiTheme="minorHAnsi" w:cstheme="minorHAnsi"/>
                      <w:sz w:val="18"/>
                      <w:szCs w:val="18"/>
                      <w:lang w:eastAsia="en-AU"/>
                    </w:rPr>
                    <w:t>3</w:t>
                  </w:r>
                  <w:r>
                    <w:rPr>
                      <w:rFonts w:asciiTheme="minorHAnsi" w:eastAsia="Times New Roman" w:hAnsiTheme="minorHAnsi" w:cstheme="minorHAnsi"/>
                      <w:sz w:val="18"/>
                      <w:szCs w:val="18"/>
                      <w:lang w:eastAsia="en-AU"/>
                    </w:rPr>
                    <w:t>,</w:t>
                  </w:r>
                  <w:r w:rsidRPr="006B0093">
                    <w:rPr>
                      <w:rFonts w:asciiTheme="minorHAnsi" w:eastAsia="Times New Roman" w:hAnsiTheme="minorHAnsi" w:cstheme="minorHAnsi"/>
                      <w:sz w:val="18"/>
                      <w:szCs w:val="18"/>
                      <w:lang w:eastAsia="en-AU"/>
                    </w:rPr>
                    <w:t>630</w:t>
                  </w:r>
                </w:p>
              </w:tc>
              <w:tc>
                <w:tcPr>
                  <w:tcW w:w="2838" w:type="dxa"/>
                  <w:tcBorders>
                    <w:top w:val="single" w:sz="8" w:space="0" w:color="auto"/>
                    <w:left w:val="nil"/>
                    <w:bottom w:val="single" w:sz="4" w:space="0" w:color="auto"/>
                    <w:right w:val="nil"/>
                  </w:tcBorders>
                  <w:shd w:val="clear" w:color="auto" w:fill="auto"/>
                  <w:noWrap/>
                  <w:vAlign w:val="bottom"/>
                </w:tcPr>
                <w:p w14:paraId="3D3828B9"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sidRPr="00781694">
                    <w:rPr>
                      <w:rFonts w:asciiTheme="minorHAnsi" w:eastAsia="Times New Roman" w:hAnsiTheme="minorHAnsi" w:cstheme="minorHAnsi"/>
                      <w:sz w:val="18"/>
                      <w:szCs w:val="18"/>
                      <w:lang w:eastAsia="en-AU"/>
                    </w:rPr>
                    <w:t>1</w:t>
                  </w:r>
                  <w:r>
                    <w:rPr>
                      <w:rFonts w:asciiTheme="minorHAnsi" w:eastAsia="Times New Roman" w:hAnsiTheme="minorHAnsi" w:cstheme="minorHAnsi"/>
                      <w:sz w:val="18"/>
                      <w:szCs w:val="18"/>
                      <w:lang w:eastAsia="en-AU"/>
                    </w:rPr>
                    <w:t>,</w:t>
                  </w:r>
                  <w:r w:rsidRPr="00781694">
                    <w:rPr>
                      <w:rFonts w:asciiTheme="minorHAnsi" w:eastAsia="Times New Roman" w:hAnsiTheme="minorHAnsi" w:cstheme="minorHAnsi"/>
                      <w:sz w:val="18"/>
                      <w:szCs w:val="18"/>
                      <w:lang w:eastAsia="en-AU"/>
                    </w:rPr>
                    <w:t>501</w:t>
                  </w:r>
                </w:p>
              </w:tc>
              <w:tc>
                <w:tcPr>
                  <w:tcW w:w="2838" w:type="dxa"/>
                  <w:tcBorders>
                    <w:top w:val="single" w:sz="8" w:space="0" w:color="auto"/>
                    <w:left w:val="nil"/>
                    <w:bottom w:val="single" w:sz="4" w:space="0" w:color="auto"/>
                    <w:right w:val="nil"/>
                  </w:tcBorders>
                  <w:shd w:val="clear" w:color="auto" w:fill="auto"/>
                  <w:noWrap/>
                  <w:vAlign w:val="bottom"/>
                </w:tcPr>
                <w:p w14:paraId="2E7F1A26"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sidRPr="00781694">
                    <w:rPr>
                      <w:rFonts w:asciiTheme="minorHAnsi" w:eastAsia="Times New Roman" w:hAnsiTheme="minorHAnsi" w:cstheme="minorHAnsi"/>
                      <w:sz w:val="18"/>
                      <w:szCs w:val="18"/>
                      <w:lang w:eastAsia="en-AU"/>
                    </w:rPr>
                    <w:t>0</w:t>
                  </w:r>
                </w:p>
              </w:tc>
            </w:tr>
            <w:tr w:rsidR="00DD147C" w:rsidRPr="004A6EE2" w14:paraId="54796AB6" w14:textId="77777777" w:rsidTr="00493365">
              <w:trPr>
                <w:cantSplit/>
                <w:trHeight w:val="241"/>
              </w:trPr>
              <w:tc>
                <w:tcPr>
                  <w:tcW w:w="587" w:type="dxa"/>
                  <w:tcBorders>
                    <w:top w:val="single" w:sz="8" w:space="0" w:color="auto"/>
                    <w:left w:val="nil"/>
                    <w:bottom w:val="single" w:sz="4" w:space="0" w:color="auto"/>
                    <w:right w:val="nil"/>
                  </w:tcBorders>
                  <w:shd w:val="clear" w:color="auto" w:fill="auto"/>
                  <w:noWrap/>
                  <w:vAlign w:val="center"/>
                </w:tcPr>
                <w:p w14:paraId="6D3FAE9B" w14:textId="77777777" w:rsidR="00DD147C" w:rsidRPr="00FC5B3C" w:rsidRDefault="00DD147C" w:rsidP="00DD147C">
                  <w:pPr>
                    <w:spacing w:before="0" w:after="0"/>
                    <w:jc w:val="center"/>
                    <w:rPr>
                      <w:rFonts w:asciiTheme="minorHAnsi" w:eastAsia="Times New Roman" w:hAnsiTheme="minorHAnsi" w:cstheme="minorHAnsi"/>
                      <w:b/>
                      <w:bCs/>
                      <w:sz w:val="18"/>
                      <w:szCs w:val="18"/>
                      <w:lang w:eastAsia="en-AU"/>
                    </w:rPr>
                  </w:pPr>
                  <w:r>
                    <w:rPr>
                      <w:rFonts w:asciiTheme="minorHAnsi" w:eastAsia="Times New Roman" w:hAnsiTheme="minorHAnsi" w:cstheme="minorHAnsi"/>
                      <w:b/>
                      <w:bCs/>
                      <w:sz w:val="18"/>
                      <w:szCs w:val="18"/>
                      <w:lang w:eastAsia="en-AU"/>
                    </w:rPr>
                    <w:t>2018</w:t>
                  </w:r>
                </w:p>
              </w:tc>
              <w:tc>
                <w:tcPr>
                  <w:tcW w:w="2838" w:type="dxa"/>
                  <w:tcBorders>
                    <w:top w:val="single" w:sz="8" w:space="0" w:color="auto"/>
                    <w:left w:val="nil"/>
                    <w:bottom w:val="single" w:sz="4" w:space="0" w:color="auto"/>
                    <w:right w:val="nil"/>
                  </w:tcBorders>
                  <w:shd w:val="clear" w:color="auto" w:fill="auto"/>
                  <w:noWrap/>
                  <w:vAlign w:val="bottom"/>
                </w:tcPr>
                <w:p w14:paraId="3F1A6067"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sidRPr="006B0093">
                    <w:rPr>
                      <w:rFonts w:asciiTheme="minorHAnsi" w:eastAsia="Times New Roman" w:hAnsiTheme="minorHAnsi" w:cstheme="minorHAnsi"/>
                      <w:sz w:val="18"/>
                      <w:szCs w:val="18"/>
                      <w:lang w:eastAsia="en-AU"/>
                    </w:rPr>
                    <w:t>-</w:t>
                  </w:r>
                  <w:r>
                    <w:rPr>
                      <w:rFonts w:asciiTheme="minorHAnsi" w:eastAsia="Times New Roman" w:hAnsiTheme="minorHAnsi" w:cstheme="minorHAnsi"/>
                      <w:sz w:val="18"/>
                      <w:szCs w:val="18"/>
                      <w:lang w:eastAsia="en-AU"/>
                    </w:rPr>
                    <w:t>2,003</w:t>
                  </w:r>
                </w:p>
              </w:tc>
              <w:tc>
                <w:tcPr>
                  <w:tcW w:w="2838" w:type="dxa"/>
                  <w:tcBorders>
                    <w:top w:val="single" w:sz="8" w:space="0" w:color="auto"/>
                    <w:left w:val="nil"/>
                    <w:bottom w:val="single" w:sz="4" w:space="0" w:color="auto"/>
                    <w:right w:val="nil"/>
                  </w:tcBorders>
                  <w:shd w:val="clear" w:color="auto" w:fill="auto"/>
                  <w:noWrap/>
                  <w:vAlign w:val="bottom"/>
                </w:tcPr>
                <w:p w14:paraId="71F11F10"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sidRPr="00781694">
                    <w:rPr>
                      <w:rFonts w:asciiTheme="minorHAnsi" w:eastAsia="Times New Roman" w:hAnsiTheme="minorHAnsi" w:cstheme="minorHAnsi"/>
                      <w:sz w:val="18"/>
                      <w:szCs w:val="18"/>
                      <w:lang w:eastAsia="en-AU"/>
                    </w:rPr>
                    <w:t>0</w:t>
                  </w:r>
                </w:p>
              </w:tc>
              <w:tc>
                <w:tcPr>
                  <w:tcW w:w="2838" w:type="dxa"/>
                  <w:tcBorders>
                    <w:top w:val="single" w:sz="8" w:space="0" w:color="auto"/>
                    <w:left w:val="nil"/>
                    <w:bottom w:val="single" w:sz="4" w:space="0" w:color="auto"/>
                    <w:right w:val="nil"/>
                  </w:tcBorders>
                  <w:shd w:val="clear" w:color="auto" w:fill="auto"/>
                  <w:noWrap/>
                  <w:vAlign w:val="bottom"/>
                </w:tcPr>
                <w:p w14:paraId="4A41AC3D"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w:t>
                  </w:r>
                  <w:r w:rsidRPr="00781694">
                    <w:rPr>
                      <w:rFonts w:asciiTheme="minorHAnsi" w:eastAsia="Times New Roman" w:hAnsiTheme="minorHAnsi" w:cstheme="minorHAnsi"/>
                      <w:sz w:val="18"/>
                      <w:szCs w:val="18"/>
                      <w:lang w:eastAsia="en-AU"/>
                    </w:rPr>
                    <w:t>19</w:t>
                  </w:r>
                </w:p>
              </w:tc>
            </w:tr>
            <w:tr w:rsidR="00DD147C" w:rsidRPr="004A6EE2" w14:paraId="01EC9618" w14:textId="77777777" w:rsidTr="00493365">
              <w:trPr>
                <w:cantSplit/>
                <w:trHeight w:val="241"/>
              </w:trPr>
              <w:tc>
                <w:tcPr>
                  <w:tcW w:w="587" w:type="dxa"/>
                  <w:tcBorders>
                    <w:top w:val="single" w:sz="8" w:space="0" w:color="auto"/>
                    <w:left w:val="nil"/>
                    <w:bottom w:val="single" w:sz="4" w:space="0" w:color="auto"/>
                    <w:right w:val="nil"/>
                  </w:tcBorders>
                  <w:shd w:val="clear" w:color="auto" w:fill="auto"/>
                  <w:noWrap/>
                  <w:vAlign w:val="center"/>
                </w:tcPr>
                <w:p w14:paraId="50FFBE0E" w14:textId="77777777" w:rsidR="00DD147C" w:rsidRPr="00FC5B3C" w:rsidRDefault="00DD147C" w:rsidP="00DD147C">
                  <w:pPr>
                    <w:spacing w:before="0" w:after="0"/>
                    <w:jc w:val="center"/>
                    <w:rPr>
                      <w:rFonts w:asciiTheme="minorHAnsi" w:eastAsia="Times New Roman" w:hAnsiTheme="minorHAnsi" w:cstheme="minorHAnsi"/>
                      <w:b/>
                      <w:bCs/>
                      <w:sz w:val="18"/>
                      <w:szCs w:val="18"/>
                      <w:lang w:eastAsia="en-AU"/>
                    </w:rPr>
                  </w:pPr>
                  <w:r>
                    <w:rPr>
                      <w:rFonts w:asciiTheme="minorHAnsi" w:eastAsia="Times New Roman" w:hAnsiTheme="minorHAnsi" w:cstheme="minorHAnsi"/>
                      <w:b/>
                      <w:bCs/>
                      <w:sz w:val="18"/>
                      <w:szCs w:val="18"/>
                      <w:lang w:eastAsia="en-AU"/>
                    </w:rPr>
                    <w:t>2019</w:t>
                  </w:r>
                </w:p>
              </w:tc>
              <w:tc>
                <w:tcPr>
                  <w:tcW w:w="2838" w:type="dxa"/>
                  <w:tcBorders>
                    <w:top w:val="single" w:sz="8" w:space="0" w:color="auto"/>
                    <w:left w:val="nil"/>
                    <w:bottom w:val="single" w:sz="4" w:space="0" w:color="auto"/>
                    <w:right w:val="nil"/>
                  </w:tcBorders>
                  <w:shd w:val="clear" w:color="auto" w:fill="auto"/>
                  <w:noWrap/>
                  <w:vAlign w:val="bottom"/>
                </w:tcPr>
                <w:p w14:paraId="7E2AF52D"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1,277</w:t>
                  </w:r>
                </w:p>
              </w:tc>
              <w:tc>
                <w:tcPr>
                  <w:tcW w:w="2838" w:type="dxa"/>
                  <w:tcBorders>
                    <w:top w:val="single" w:sz="8" w:space="0" w:color="auto"/>
                    <w:left w:val="nil"/>
                    <w:bottom w:val="single" w:sz="4" w:space="0" w:color="auto"/>
                    <w:right w:val="nil"/>
                  </w:tcBorders>
                  <w:shd w:val="clear" w:color="auto" w:fill="auto"/>
                  <w:noWrap/>
                  <w:vAlign w:val="bottom"/>
                </w:tcPr>
                <w:p w14:paraId="510CB43C"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sidRPr="00781694">
                    <w:rPr>
                      <w:rFonts w:asciiTheme="minorHAnsi" w:eastAsia="Times New Roman" w:hAnsiTheme="minorHAnsi" w:cstheme="minorHAnsi"/>
                      <w:sz w:val="18"/>
                      <w:szCs w:val="18"/>
                      <w:lang w:eastAsia="en-AU"/>
                    </w:rPr>
                    <w:t>0</w:t>
                  </w:r>
                </w:p>
              </w:tc>
              <w:tc>
                <w:tcPr>
                  <w:tcW w:w="2838" w:type="dxa"/>
                  <w:tcBorders>
                    <w:top w:val="single" w:sz="8" w:space="0" w:color="auto"/>
                    <w:left w:val="nil"/>
                    <w:bottom w:val="single" w:sz="4" w:space="0" w:color="auto"/>
                    <w:right w:val="nil"/>
                  </w:tcBorders>
                  <w:shd w:val="clear" w:color="auto" w:fill="auto"/>
                  <w:noWrap/>
                  <w:vAlign w:val="bottom"/>
                </w:tcPr>
                <w:p w14:paraId="6F6B496C"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sidRPr="00781694">
                    <w:rPr>
                      <w:rFonts w:asciiTheme="minorHAnsi" w:eastAsia="Times New Roman" w:hAnsiTheme="minorHAnsi" w:cstheme="minorHAnsi"/>
                      <w:sz w:val="18"/>
                      <w:szCs w:val="18"/>
                      <w:lang w:eastAsia="en-AU"/>
                    </w:rPr>
                    <w:t>0</w:t>
                  </w:r>
                </w:p>
              </w:tc>
            </w:tr>
            <w:tr w:rsidR="00DD147C" w:rsidRPr="004A6EE2" w14:paraId="3E555C84" w14:textId="77777777" w:rsidTr="00493365">
              <w:trPr>
                <w:cantSplit/>
                <w:trHeight w:val="241"/>
              </w:trPr>
              <w:tc>
                <w:tcPr>
                  <w:tcW w:w="587" w:type="dxa"/>
                  <w:tcBorders>
                    <w:top w:val="single" w:sz="8" w:space="0" w:color="auto"/>
                    <w:left w:val="nil"/>
                    <w:bottom w:val="single" w:sz="4" w:space="0" w:color="auto"/>
                    <w:right w:val="nil"/>
                  </w:tcBorders>
                  <w:shd w:val="clear" w:color="auto" w:fill="auto"/>
                  <w:noWrap/>
                  <w:vAlign w:val="center"/>
                  <w:hideMark/>
                </w:tcPr>
                <w:p w14:paraId="6C46D2E2" w14:textId="77777777" w:rsidR="00DD147C" w:rsidRPr="00FC5B3C" w:rsidRDefault="00DD147C" w:rsidP="00DD147C">
                  <w:pPr>
                    <w:spacing w:before="0" w:after="0"/>
                    <w:jc w:val="center"/>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2020</w:t>
                  </w:r>
                </w:p>
              </w:tc>
              <w:tc>
                <w:tcPr>
                  <w:tcW w:w="2838" w:type="dxa"/>
                  <w:tcBorders>
                    <w:top w:val="single" w:sz="8" w:space="0" w:color="auto"/>
                    <w:left w:val="nil"/>
                    <w:bottom w:val="single" w:sz="4" w:space="0" w:color="auto"/>
                    <w:right w:val="nil"/>
                  </w:tcBorders>
                  <w:shd w:val="clear" w:color="auto" w:fill="auto"/>
                  <w:noWrap/>
                  <w:vAlign w:val="bottom"/>
                  <w:hideMark/>
                </w:tcPr>
                <w:p w14:paraId="741522D5" w14:textId="77777777" w:rsidR="00DD147C" w:rsidRPr="00D73BD9" w:rsidRDefault="00DD147C" w:rsidP="00DD147C">
                  <w:pPr>
                    <w:spacing w:before="0" w:after="0"/>
                    <w:jc w:val="center"/>
                    <w:rPr>
                      <w:rFonts w:asciiTheme="minorHAnsi" w:eastAsia="Times New Roman" w:hAnsiTheme="minorHAnsi" w:cstheme="minorHAnsi"/>
                      <w:sz w:val="18"/>
                      <w:szCs w:val="18"/>
                      <w:lang w:eastAsia="en-AU"/>
                    </w:rPr>
                  </w:pPr>
                  <w:r w:rsidRPr="006B0093">
                    <w:rPr>
                      <w:rFonts w:asciiTheme="minorHAnsi" w:eastAsia="Times New Roman" w:hAnsiTheme="minorHAnsi" w:cstheme="minorHAnsi"/>
                      <w:sz w:val="18"/>
                      <w:szCs w:val="18"/>
                      <w:lang w:eastAsia="en-AU"/>
                    </w:rPr>
                    <w:t>-1</w:t>
                  </w:r>
                  <w:r>
                    <w:rPr>
                      <w:rFonts w:asciiTheme="minorHAnsi" w:eastAsia="Times New Roman" w:hAnsiTheme="minorHAnsi" w:cstheme="minorHAnsi"/>
                      <w:sz w:val="18"/>
                      <w:szCs w:val="18"/>
                      <w:lang w:eastAsia="en-AU"/>
                    </w:rPr>
                    <w:t>,</w:t>
                  </w:r>
                  <w:r w:rsidRPr="006B0093">
                    <w:rPr>
                      <w:rFonts w:asciiTheme="minorHAnsi" w:eastAsia="Times New Roman" w:hAnsiTheme="minorHAnsi" w:cstheme="minorHAnsi"/>
                      <w:sz w:val="18"/>
                      <w:szCs w:val="18"/>
                      <w:lang w:eastAsia="en-AU"/>
                    </w:rPr>
                    <w:t>7</w:t>
                  </w:r>
                  <w:r>
                    <w:rPr>
                      <w:rFonts w:asciiTheme="minorHAnsi" w:eastAsia="Times New Roman" w:hAnsiTheme="minorHAnsi" w:cstheme="minorHAnsi"/>
                      <w:sz w:val="18"/>
                      <w:szCs w:val="18"/>
                      <w:lang w:eastAsia="en-AU"/>
                    </w:rPr>
                    <w:t>34</w:t>
                  </w:r>
                </w:p>
              </w:tc>
              <w:tc>
                <w:tcPr>
                  <w:tcW w:w="2838" w:type="dxa"/>
                  <w:tcBorders>
                    <w:top w:val="single" w:sz="8" w:space="0" w:color="auto"/>
                    <w:left w:val="nil"/>
                    <w:bottom w:val="single" w:sz="4" w:space="0" w:color="auto"/>
                    <w:right w:val="nil"/>
                  </w:tcBorders>
                  <w:shd w:val="clear" w:color="auto" w:fill="auto"/>
                  <w:noWrap/>
                  <w:vAlign w:val="bottom"/>
                  <w:hideMark/>
                </w:tcPr>
                <w:p w14:paraId="69E64A86"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sidRPr="00781694">
                    <w:rPr>
                      <w:rFonts w:asciiTheme="minorHAnsi" w:eastAsia="Times New Roman" w:hAnsiTheme="minorHAnsi" w:cstheme="minorHAnsi"/>
                      <w:sz w:val="18"/>
                      <w:szCs w:val="18"/>
                      <w:lang w:eastAsia="en-AU"/>
                    </w:rPr>
                    <w:t>48</w:t>
                  </w:r>
                </w:p>
              </w:tc>
              <w:tc>
                <w:tcPr>
                  <w:tcW w:w="2838" w:type="dxa"/>
                  <w:tcBorders>
                    <w:top w:val="single" w:sz="8" w:space="0" w:color="auto"/>
                    <w:left w:val="nil"/>
                    <w:bottom w:val="single" w:sz="4" w:space="0" w:color="auto"/>
                    <w:right w:val="nil"/>
                  </w:tcBorders>
                  <w:shd w:val="clear" w:color="auto" w:fill="auto"/>
                  <w:noWrap/>
                  <w:vAlign w:val="bottom"/>
                  <w:hideMark/>
                </w:tcPr>
                <w:p w14:paraId="42C5EE57"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w:t>
                  </w:r>
                  <w:r w:rsidRPr="00781694">
                    <w:rPr>
                      <w:rFonts w:asciiTheme="minorHAnsi" w:eastAsia="Times New Roman" w:hAnsiTheme="minorHAnsi" w:cstheme="minorHAnsi"/>
                      <w:sz w:val="18"/>
                      <w:szCs w:val="18"/>
                      <w:lang w:eastAsia="en-AU"/>
                    </w:rPr>
                    <w:t>209</w:t>
                  </w:r>
                </w:p>
              </w:tc>
            </w:tr>
            <w:tr w:rsidR="00DD147C" w:rsidRPr="004A6EE2" w14:paraId="7279067D" w14:textId="77777777" w:rsidTr="00493365">
              <w:trPr>
                <w:cantSplit/>
                <w:trHeight w:val="255"/>
              </w:trPr>
              <w:tc>
                <w:tcPr>
                  <w:tcW w:w="587" w:type="dxa"/>
                  <w:tcBorders>
                    <w:top w:val="single" w:sz="4" w:space="0" w:color="auto"/>
                    <w:left w:val="nil"/>
                    <w:bottom w:val="single" w:sz="8" w:space="0" w:color="auto"/>
                    <w:right w:val="nil"/>
                  </w:tcBorders>
                  <w:shd w:val="clear" w:color="auto" w:fill="auto"/>
                  <w:noWrap/>
                  <w:vAlign w:val="center"/>
                  <w:hideMark/>
                </w:tcPr>
                <w:p w14:paraId="6BCB16C8" w14:textId="77777777" w:rsidR="00DD147C" w:rsidRPr="00FC5B3C" w:rsidRDefault="00DD147C" w:rsidP="00DD147C">
                  <w:pPr>
                    <w:spacing w:before="0" w:after="0"/>
                    <w:jc w:val="center"/>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2021</w:t>
                  </w:r>
                </w:p>
              </w:tc>
              <w:tc>
                <w:tcPr>
                  <w:tcW w:w="2838" w:type="dxa"/>
                  <w:tcBorders>
                    <w:top w:val="single" w:sz="4" w:space="0" w:color="auto"/>
                    <w:left w:val="nil"/>
                    <w:bottom w:val="single" w:sz="8" w:space="0" w:color="auto"/>
                    <w:right w:val="nil"/>
                  </w:tcBorders>
                  <w:shd w:val="clear" w:color="auto" w:fill="auto"/>
                  <w:noWrap/>
                  <w:vAlign w:val="bottom"/>
                  <w:hideMark/>
                </w:tcPr>
                <w:p w14:paraId="6935E6E6"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5,090</w:t>
                  </w:r>
                </w:p>
              </w:tc>
              <w:tc>
                <w:tcPr>
                  <w:tcW w:w="2838" w:type="dxa"/>
                  <w:tcBorders>
                    <w:top w:val="single" w:sz="4" w:space="0" w:color="auto"/>
                    <w:left w:val="nil"/>
                    <w:bottom w:val="single" w:sz="8" w:space="0" w:color="auto"/>
                    <w:right w:val="nil"/>
                  </w:tcBorders>
                  <w:shd w:val="clear" w:color="auto" w:fill="auto"/>
                  <w:noWrap/>
                  <w:vAlign w:val="bottom"/>
                  <w:hideMark/>
                </w:tcPr>
                <w:p w14:paraId="53E7E34A"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108</w:t>
                  </w:r>
                </w:p>
              </w:tc>
              <w:tc>
                <w:tcPr>
                  <w:tcW w:w="2838" w:type="dxa"/>
                  <w:tcBorders>
                    <w:top w:val="single" w:sz="4" w:space="0" w:color="auto"/>
                    <w:left w:val="nil"/>
                    <w:bottom w:val="single" w:sz="8" w:space="0" w:color="auto"/>
                    <w:right w:val="nil"/>
                  </w:tcBorders>
                  <w:shd w:val="clear" w:color="auto" w:fill="auto"/>
                  <w:noWrap/>
                  <w:vAlign w:val="bottom"/>
                  <w:hideMark/>
                </w:tcPr>
                <w:p w14:paraId="020770A4" w14:textId="77777777" w:rsidR="00DD147C" w:rsidRPr="00FC5B3C" w:rsidRDefault="00DD147C" w:rsidP="00DD147C">
                  <w:pPr>
                    <w:spacing w:before="0" w:after="0"/>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0</w:t>
                  </w:r>
                </w:p>
              </w:tc>
            </w:tr>
          </w:tbl>
          <w:p w14:paraId="6497C15D" w14:textId="77777777" w:rsidR="00DD147C" w:rsidRDefault="00DD147C" w:rsidP="00894032">
            <w:pPr>
              <w:pStyle w:val="Source"/>
            </w:pPr>
          </w:p>
          <w:p w14:paraId="3B3F688D" w14:textId="4C5CB2D1" w:rsidR="00781694" w:rsidRDefault="00781694" w:rsidP="00781694">
            <w:r>
              <w:t xml:space="preserve">At the national level, there were 5 weeks in 2021 where the number of deaths exceeded the upper threshold of statistical significance. These weeks were spread across the year in January, May, June, July, and December. </w:t>
            </w:r>
          </w:p>
          <w:p w14:paraId="2338E2DD" w14:textId="4C3CE570" w:rsidR="006B0093" w:rsidRDefault="00781694" w:rsidP="00894032">
            <w:pPr>
              <w:spacing w:after="240"/>
            </w:pPr>
            <w:r>
              <w:t>In 2021, deaths due to COVID-19 impacted all-cause mortality from July till the end of the year. In 2020, there was a period from July to September where deaths due to COVID-19 had a statistically significant impact on all</w:t>
            </w:r>
            <w:r>
              <w:noBreakHyphen/>
              <w:t>cause mortality (Chart 3), this time-period coincided with higher rates of COVID-19 infections.</w:t>
            </w:r>
          </w:p>
          <w:p w14:paraId="5BAD1C12" w14:textId="411E1C0A" w:rsidR="00693022" w:rsidRPr="00B85825" w:rsidRDefault="00D85958" w:rsidP="00693022">
            <w:pPr>
              <w:pStyle w:val="Chartheading"/>
            </w:pPr>
            <w:r>
              <w:t>Expected vs observed deaths</w:t>
            </w:r>
            <w:r w:rsidR="00693022">
              <w:t xml:space="preserve"> </w:t>
            </w:r>
            <w:r>
              <w:t>- Australia</w:t>
            </w:r>
          </w:p>
          <w:p w14:paraId="3BD841D0" w14:textId="0C3991A0" w:rsidR="0058621F" w:rsidRDefault="00541102" w:rsidP="00F6699A">
            <w:pPr>
              <w:pStyle w:val="Heading3"/>
              <w:keepNext w:val="0"/>
            </w:pPr>
            <w:r>
              <w:rPr>
                <w:noProof/>
              </w:rPr>
              <w:drawing>
                <wp:inline distT="0" distB="0" distL="0" distR="0" wp14:anchorId="64891771" wp14:editId="4CF60BD8">
                  <wp:extent cx="5724525" cy="2341245"/>
                  <wp:effectExtent l="0" t="0" r="952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2341245"/>
                          </a:xfrm>
                          <a:prstGeom prst="rect">
                            <a:avLst/>
                          </a:prstGeom>
                          <a:noFill/>
                        </pic:spPr>
                      </pic:pic>
                    </a:graphicData>
                  </a:graphic>
                </wp:inline>
              </w:drawing>
            </w:r>
          </w:p>
          <w:p w14:paraId="75813A55" w14:textId="39D89756" w:rsidR="00F6699A" w:rsidRDefault="0049314C" w:rsidP="00F6699A">
            <w:pPr>
              <w:pStyle w:val="Heading3"/>
              <w:keepNext w:val="0"/>
            </w:pPr>
            <w:r w:rsidRPr="002B2C11">
              <w:rPr>
                <w:b w:val="0"/>
                <w:bCs/>
              </w:rPr>
              <w:t>S</w:t>
            </w:r>
            <w:r w:rsidR="00F6699A" w:rsidRPr="002B2C11">
              <w:rPr>
                <w:b w:val="0"/>
                <w:bCs/>
              </w:rPr>
              <w:t>tate and territory</w:t>
            </w:r>
          </w:p>
          <w:p w14:paraId="79A7B77A" w14:textId="385E28CD" w:rsidR="00F6699A" w:rsidRDefault="00F6699A" w:rsidP="00F6699A">
            <w:r>
              <w:t xml:space="preserve">States and territories were impacted differently by the pandemic, with those differences including </w:t>
            </w:r>
            <w:r w:rsidR="000613EE">
              <w:t>COVID</w:t>
            </w:r>
            <w:r w:rsidR="000613EE">
              <w:noBreakHyphen/>
              <w:t xml:space="preserve">19 </w:t>
            </w:r>
            <w:r>
              <w:t xml:space="preserve">infection rates, COVID-19 mortality and public health measures. </w:t>
            </w:r>
            <w:r w:rsidR="007952E7">
              <w:t>However, t</w:t>
            </w:r>
            <w:r>
              <w:t>here does not appear to be a clear relationship between levels of COVID-19 infection</w:t>
            </w:r>
            <w:r w:rsidR="004A4707">
              <w:t>s</w:t>
            </w:r>
            <w:r>
              <w:t xml:space="preserve"> and statistically significant deaths.</w:t>
            </w:r>
          </w:p>
          <w:p w14:paraId="64A8A09A" w14:textId="3E4BF54C" w:rsidR="005D4CD1" w:rsidRDefault="00F6699A" w:rsidP="005D4CD1">
            <w:r>
              <w:t>In 2021 all states and territories (except the N</w:t>
            </w:r>
            <w:r w:rsidR="007B21ED">
              <w:t>orthern Territory</w:t>
            </w:r>
            <w:r>
              <w:t>) recorded higher</w:t>
            </w:r>
            <w:r w:rsidR="00D937F6">
              <w:noBreakHyphen/>
            </w:r>
            <w:r>
              <w:t>than</w:t>
            </w:r>
            <w:r w:rsidR="00D937F6">
              <w:noBreakHyphen/>
            </w:r>
            <w:r>
              <w:t>expected deaths. However, only</w:t>
            </w:r>
            <w:r w:rsidR="007952E7">
              <w:t xml:space="preserve"> in</w:t>
            </w:r>
            <w:r>
              <w:t xml:space="preserve"> Victoria, Queensland, South </w:t>
            </w:r>
            <w:r w:rsidR="001307E9">
              <w:t>Australia and</w:t>
            </w:r>
            <w:r>
              <w:t xml:space="preserve"> Tasmania </w:t>
            </w:r>
            <w:r w:rsidR="000613EE">
              <w:t xml:space="preserve">did this include weeks in which deaths were </w:t>
            </w:r>
            <w:r>
              <w:t>statistically significant (Table 1).</w:t>
            </w:r>
            <w:r w:rsidR="005D4CD1">
              <w:t xml:space="preserve"> </w:t>
            </w:r>
          </w:p>
          <w:p w14:paraId="152B2643" w14:textId="77628A21" w:rsidR="005D7CFD" w:rsidRDefault="00980C0A" w:rsidP="00894032">
            <w:pPr>
              <w:spacing w:after="240"/>
            </w:pPr>
            <w:r>
              <w:t>Despite elevated rates of COVID-19 infection in 2020 and 2021, NSW experienced weeks with statistically significant lower mortality in 2020 and no weeks with statistically significant rise in deaths in 2021.</w:t>
            </w:r>
          </w:p>
          <w:p w14:paraId="3BE92B32" w14:textId="334AA728" w:rsidR="00F6699A" w:rsidRDefault="00F6699A" w:rsidP="00F6699A">
            <w:pPr>
              <w:pStyle w:val="Heading8"/>
            </w:pPr>
            <w:r w:rsidRPr="00F6699A">
              <w:lastRenderedPageBreak/>
              <w:t>Difference between expected and observed number of deaths</w:t>
            </w:r>
            <w:r>
              <w:t xml:space="preserve"> by state</w:t>
            </w:r>
          </w:p>
          <w:tbl>
            <w:tblPr>
              <w:tblW w:w="9104" w:type="dxa"/>
              <w:tblLayout w:type="fixed"/>
              <w:tblLook w:val="04A0" w:firstRow="1" w:lastRow="0" w:firstColumn="1" w:lastColumn="0" w:noHBand="0" w:noVBand="1"/>
            </w:tblPr>
            <w:tblGrid>
              <w:gridCol w:w="587"/>
              <w:gridCol w:w="1151"/>
              <w:gridCol w:w="851"/>
              <w:gridCol w:w="1134"/>
              <w:gridCol w:w="992"/>
              <w:gridCol w:w="992"/>
              <w:gridCol w:w="992"/>
              <w:gridCol w:w="993"/>
              <w:gridCol w:w="1412"/>
            </w:tblGrid>
            <w:tr w:rsidR="00B15320" w:rsidRPr="004A6EE2" w14:paraId="6ADE9035" w14:textId="77777777" w:rsidTr="00781694">
              <w:trPr>
                <w:trHeight w:val="294"/>
              </w:trPr>
              <w:tc>
                <w:tcPr>
                  <w:tcW w:w="587" w:type="dxa"/>
                  <w:tcBorders>
                    <w:top w:val="nil"/>
                    <w:left w:val="nil"/>
                    <w:bottom w:val="single" w:sz="8" w:space="0" w:color="auto"/>
                    <w:right w:val="nil"/>
                  </w:tcBorders>
                  <w:shd w:val="clear" w:color="auto" w:fill="auto"/>
                  <w:vAlign w:val="bottom"/>
                  <w:hideMark/>
                </w:tcPr>
                <w:p w14:paraId="18923761" w14:textId="77777777" w:rsidR="004A6EE2" w:rsidRPr="00FC5B3C" w:rsidRDefault="004A6EE2" w:rsidP="004A6EE2">
                  <w:pPr>
                    <w:keepLines w:val="0"/>
                    <w:spacing w:before="0" w:after="0"/>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Year</w:t>
                  </w:r>
                </w:p>
              </w:tc>
              <w:tc>
                <w:tcPr>
                  <w:tcW w:w="1151" w:type="dxa"/>
                  <w:tcBorders>
                    <w:top w:val="nil"/>
                    <w:left w:val="nil"/>
                    <w:bottom w:val="single" w:sz="8" w:space="0" w:color="auto"/>
                    <w:right w:val="nil"/>
                  </w:tcBorders>
                  <w:shd w:val="clear" w:color="auto" w:fill="auto"/>
                  <w:vAlign w:val="bottom"/>
                  <w:hideMark/>
                </w:tcPr>
                <w:p w14:paraId="3C634DF8" w14:textId="77777777" w:rsidR="004A6EE2" w:rsidRPr="00FC5B3C" w:rsidRDefault="004A6EE2" w:rsidP="00055F66">
                  <w:pPr>
                    <w:keepLines w:val="0"/>
                    <w:spacing w:before="0" w:after="0"/>
                    <w:jc w:val="center"/>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New South Wales</w:t>
                  </w:r>
                </w:p>
              </w:tc>
              <w:tc>
                <w:tcPr>
                  <w:tcW w:w="851" w:type="dxa"/>
                  <w:tcBorders>
                    <w:top w:val="nil"/>
                    <w:left w:val="nil"/>
                    <w:bottom w:val="single" w:sz="8" w:space="0" w:color="auto"/>
                    <w:right w:val="nil"/>
                  </w:tcBorders>
                  <w:shd w:val="clear" w:color="auto" w:fill="auto"/>
                  <w:vAlign w:val="bottom"/>
                  <w:hideMark/>
                </w:tcPr>
                <w:p w14:paraId="48B2F2BE" w14:textId="77777777" w:rsidR="004A6EE2" w:rsidRPr="00FC5B3C" w:rsidRDefault="004A6EE2" w:rsidP="00055F66">
                  <w:pPr>
                    <w:keepLines w:val="0"/>
                    <w:spacing w:before="0" w:after="0"/>
                    <w:jc w:val="center"/>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Victoria</w:t>
                  </w:r>
                </w:p>
              </w:tc>
              <w:tc>
                <w:tcPr>
                  <w:tcW w:w="1134" w:type="dxa"/>
                  <w:tcBorders>
                    <w:top w:val="nil"/>
                    <w:left w:val="nil"/>
                    <w:bottom w:val="single" w:sz="8" w:space="0" w:color="auto"/>
                    <w:right w:val="nil"/>
                  </w:tcBorders>
                  <w:shd w:val="clear" w:color="auto" w:fill="auto"/>
                  <w:vAlign w:val="bottom"/>
                  <w:hideMark/>
                </w:tcPr>
                <w:p w14:paraId="14174016" w14:textId="77777777" w:rsidR="004A6EE2" w:rsidRPr="00FC5B3C" w:rsidRDefault="004A6EE2" w:rsidP="00055F66">
                  <w:pPr>
                    <w:keepLines w:val="0"/>
                    <w:spacing w:before="0" w:after="0"/>
                    <w:jc w:val="center"/>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Queensland</w:t>
                  </w:r>
                </w:p>
              </w:tc>
              <w:tc>
                <w:tcPr>
                  <w:tcW w:w="992" w:type="dxa"/>
                  <w:tcBorders>
                    <w:top w:val="nil"/>
                    <w:left w:val="nil"/>
                    <w:bottom w:val="single" w:sz="8" w:space="0" w:color="auto"/>
                    <w:right w:val="nil"/>
                  </w:tcBorders>
                  <w:shd w:val="clear" w:color="auto" w:fill="auto"/>
                  <w:vAlign w:val="bottom"/>
                  <w:hideMark/>
                </w:tcPr>
                <w:p w14:paraId="5B025665" w14:textId="4B04DBEA" w:rsidR="004A6EE2" w:rsidRPr="00FC5B3C" w:rsidRDefault="004A6EE2" w:rsidP="00055F66">
                  <w:pPr>
                    <w:keepLines w:val="0"/>
                    <w:spacing w:before="0" w:after="0"/>
                    <w:jc w:val="center"/>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South Australia</w:t>
                  </w:r>
                </w:p>
              </w:tc>
              <w:tc>
                <w:tcPr>
                  <w:tcW w:w="992" w:type="dxa"/>
                  <w:tcBorders>
                    <w:top w:val="nil"/>
                    <w:left w:val="nil"/>
                    <w:bottom w:val="single" w:sz="8" w:space="0" w:color="auto"/>
                    <w:right w:val="nil"/>
                  </w:tcBorders>
                  <w:shd w:val="clear" w:color="auto" w:fill="auto"/>
                  <w:vAlign w:val="bottom"/>
                  <w:hideMark/>
                </w:tcPr>
                <w:p w14:paraId="03B948B2" w14:textId="14757A73" w:rsidR="004A6EE2" w:rsidRPr="00FC5B3C" w:rsidRDefault="004A6EE2" w:rsidP="00055F66">
                  <w:pPr>
                    <w:keepLines w:val="0"/>
                    <w:spacing w:before="0" w:after="0"/>
                    <w:jc w:val="center"/>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Western Australia</w:t>
                  </w:r>
                </w:p>
              </w:tc>
              <w:tc>
                <w:tcPr>
                  <w:tcW w:w="992" w:type="dxa"/>
                  <w:tcBorders>
                    <w:top w:val="nil"/>
                    <w:left w:val="nil"/>
                    <w:bottom w:val="single" w:sz="8" w:space="0" w:color="auto"/>
                    <w:right w:val="nil"/>
                  </w:tcBorders>
                  <w:shd w:val="clear" w:color="auto" w:fill="auto"/>
                  <w:vAlign w:val="bottom"/>
                  <w:hideMark/>
                </w:tcPr>
                <w:p w14:paraId="76268CA2" w14:textId="77777777" w:rsidR="004A6EE2" w:rsidRPr="00FC5B3C" w:rsidRDefault="004A6EE2" w:rsidP="00055F66">
                  <w:pPr>
                    <w:keepLines w:val="0"/>
                    <w:spacing w:before="0" w:after="0"/>
                    <w:jc w:val="center"/>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Tasmania</w:t>
                  </w:r>
                </w:p>
              </w:tc>
              <w:tc>
                <w:tcPr>
                  <w:tcW w:w="993" w:type="dxa"/>
                  <w:tcBorders>
                    <w:top w:val="nil"/>
                    <w:left w:val="nil"/>
                    <w:bottom w:val="single" w:sz="8" w:space="0" w:color="auto"/>
                    <w:right w:val="nil"/>
                  </w:tcBorders>
                  <w:shd w:val="clear" w:color="auto" w:fill="auto"/>
                  <w:vAlign w:val="bottom"/>
                  <w:hideMark/>
                </w:tcPr>
                <w:p w14:paraId="3FEE16FE" w14:textId="77777777" w:rsidR="004A6EE2" w:rsidRPr="00FC5B3C" w:rsidRDefault="004A6EE2" w:rsidP="00055F66">
                  <w:pPr>
                    <w:keepLines w:val="0"/>
                    <w:spacing w:before="0" w:after="0"/>
                    <w:jc w:val="center"/>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Northern Territory</w:t>
                  </w:r>
                </w:p>
              </w:tc>
              <w:tc>
                <w:tcPr>
                  <w:tcW w:w="1412" w:type="dxa"/>
                  <w:tcBorders>
                    <w:top w:val="nil"/>
                    <w:left w:val="nil"/>
                    <w:bottom w:val="single" w:sz="8" w:space="0" w:color="auto"/>
                    <w:right w:val="nil"/>
                  </w:tcBorders>
                  <w:shd w:val="clear" w:color="auto" w:fill="auto"/>
                  <w:vAlign w:val="bottom"/>
                  <w:hideMark/>
                </w:tcPr>
                <w:p w14:paraId="2BF4D6BB" w14:textId="77777777" w:rsidR="004A6EE2" w:rsidRPr="00FC5B3C" w:rsidRDefault="004A6EE2" w:rsidP="00055F66">
                  <w:pPr>
                    <w:keepLines w:val="0"/>
                    <w:spacing w:before="0" w:after="0"/>
                    <w:jc w:val="center"/>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Australian Capital Territory</w:t>
                  </w:r>
                </w:p>
              </w:tc>
            </w:tr>
            <w:tr w:rsidR="00C07D8A" w:rsidRPr="004A6EE2" w14:paraId="656397A8" w14:textId="77777777" w:rsidTr="00781694">
              <w:trPr>
                <w:trHeight w:val="241"/>
              </w:trPr>
              <w:tc>
                <w:tcPr>
                  <w:tcW w:w="587" w:type="dxa"/>
                  <w:tcBorders>
                    <w:top w:val="single" w:sz="8" w:space="0" w:color="auto"/>
                    <w:left w:val="nil"/>
                    <w:bottom w:val="single" w:sz="4" w:space="0" w:color="auto"/>
                    <w:right w:val="nil"/>
                  </w:tcBorders>
                  <w:shd w:val="clear" w:color="auto" w:fill="auto"/>
                  <w:noWrap/>
                  <w:vAlign w:val="center"/>
                  <w:hideMark/>
                </w:tcPr>
                <w:p w14:paraId="774F3E02" w14:textId="77777777" w:rsidR="004A6EE2" w:rsidRPr="00FC5B3C" w:rsidRDefault="004A6EE2" w:rsidP="00071BBE">
                  <w:pPr>
                    <w:keepLines w:val="0"/>
                    <w:spacing w:before="0" w:after="0"/>
                    <w:jc w:val="center"/>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2020</w:t>
                  </w:r>
                </w:p>
              </w:tc>
              <w:tc>
                <w:tcPr>
                  <w:tcW w:w="1151" w:type="dxa"/>
                  <w:tcBorders>
                    <w:top w:val="single" w:sz="8" w:space="0" w:color="auto"/>
                    <w:left w:val="nil"/>
                    <w:bottom w:val="single" w:sz="4" w:space="0" w:color="auto"/>
                    <w:right w:val="nil"/>
                  </w:tcBorders>
                  <w:shd w:val="clear" w:color="auto" w:fill="auto"/>
                  <w:noWrap/>
                  <w:vAlign w:val="bottom"/>
                  <w:hideMark/>
                </w:tcPr>
                <w:p w14:paraId="0A4DCAF3" w14:textId="77777777" w:rsidR="00D73BD9" w:rsidRDefault="004A6EE2" w:rsidP="004A6EE2">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-1</w:t>
                  </w:r>
                  <w:r w:rsidR="00FC455F">
                    <w:rPr>
                      <w:rFonts w:asciiTheme="minorHAnsi" w:eastAsia="Times New Roman" w:hAnsiTheme="minorHAnsi" w:cstheme="minorHAnsi"/>
                      <w:sz w:val="18"/>
                      <w:szCs w:val="18"/>
                      <w:lang w:eastAsia="en-AU"/>
                    </w:rPr>
                    <w:t>,</w:t>
                  </w:r>
                  <w:r w:rsidRPr="00FC5B3C">
                    <w:rPr>
                      <w:rFonts w:asciiTheme="minorHAnsi" w:eastAsia="Times New Roman" w:hAnsiTheme="minorHAnsi" w:cstheme="minorHAnsi"/>
                      <w:sz w:val="18"/>
                      <w:szCs w:val="18"/>
                      <w:lang w:eastAsia="en-AU"/>
                    </w:rPr>
                    <w:t>292</w:t>
                  </w:r>
                  <w:r w:rsidR="00B15320" w:rsidRPr="00D73BD9">
                    <w:rPr>
                      <w:rFonts w:asciiTheme="minorHAnsi" w:eastAsia="Times New Roman" w:hAnsiTheme="minorHAnsi" w:cstheme="minorHAnsi"/>
                      <w:sz w:val="16"/>
                      <w:szCs w:val="16"/>
                      <w:lang w:eastAsia="en-AU"/>
                    </w:rPr>
                    <w:t>*</w:t>
                  </w:r>
                </w:p>
                <w:p w14:paraId="360ABD33" w14:textId="656F91E2" w:rsidR="004A6EE2" w:rsidRPr="00D73BD9" w:rsidRDefault="007D3F45" w:rsidP="004A6EE2">
                  <w:pPr>
                    <w:keepLines w:val="0"/>
                    <w:spacing w:before="0" w:after="0"/>
                    <w:jc w:val="center"/>
                    <w:rPr>
                      <w:rFonts w:asciiTheme="minorHAnsi" w:eastAsia="Times New Roman" w:hAnsiTheme="minorHAnsi" w:cstheme="minorHAnsi"/>
                      <w:sz w:val="18"/>
                      <w:szCs w:val="18"/>
                      <w:lang w:eastAsia="en-AU"/>
                    </w:rPr>
                  </w:pPr>
                  <w:r w:rsidRPr="00D73BD9">
                    <w:rPr>
                      <w:rFonts w:asciiTheme="minorHAnsi" w:eastAsia="Times New Roman" w:hAnsiTheme="minorHAnsi" w:cstheme="minorHAnsi"/>
                      <w:sz w:val="18"/>
                      <w:szCs w:val="18"/>
                      <w:lang w:eastAsia="en-AU"/>
                    </w:rPr>
                    <w:t>(</w:t>
                  </w:r>
                  <w:r w:rsidRPr="00D73BD9">
                    <w:rPr>
                      <w:rFonts w:asciiTheme="minorHAnsi" w:eastAsia="Times New Roman" w:hAnsiTheme="minorHAnsi" w:cstheme="minorHAnsi"/>
                      <w:i/>
                      <w:iCs/>
                      <w:sz w:val="18"/>
                      <w:szCs w:val="18"/>
                      <w:lang w:eastAsia="en-AU"/>
                    </w:rPr>
                    <w:t>-124</w:t>
                  </w:r>
                  <w:r w:rsidRPr="00D73BD9">
                    <w:rPr>
                      <w:rFonts w:asciiTheme="minorHAnsi" w:eastAsia="Times New Roman" w:hAnsiTheme="minorHAnsi" w:cstheme="minorHAnsi"/>
                      <w:sz w:val="18"/>
                      <w:szCs w:val="18"/>
                      <w:lang w:eastAsia="en-AU"/>
                    </w:rPr>
                    <w:t>)</w:t>
                  </w:r>
                </w:p>
              </w:tc>
              <w:tc>
                <w:tcPr>
                  <w:tcW w:w="851" w:type="dxa"/>
                  <w:tcBorders>
                    <w:top w:val="single" w:sz="8" w:space="0" w:color="auto"/>
                    <w:left w:val="nil"/>
                    <w:bottom w:val="single" w:sz="4" w:space="0" w:color="auto"/>
                    <w:right w:val="nil"/>
                  </w:tcBorders>
                  <w:shd w:val="clear" w:color="auto" w:fill="auto"/>
                  <w:noWrap/>
                  <w:vAlign w:val="bottom"/>
                  <w:hideMark/>
                </w:tcPr>
                <w:p w14:paraId="204071F4" w14:textId="77777777" w:rsidR="00D73BD9" w:rsidRDefault="004A6EE2" w:rsidP="004A6EE2">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 xml:space="preserve"> 382</w:t>
                  </w:r>
                  <w:r w:rsidR="00B15320" w:rsidRPr="00D73BD9">
                    <w:rPr>
                      <w:rFonts w:asciiTheme="minorHAnsi" w:eastAsia="Times New Roman" w:hAnsiTheme="minorHAnsi" w:cstheme="minorHAnsi"/>
                      <w:sz w:val="16"/>
                      <w:szCs w:val="16"/>
                      <w:lang w:eastAsia="en-AU"/>
                    </w:rPr>
                    <w:t>*</w:t>
                  </w:r>
                </w:p>
                <w:p w14:paraId="55092BB6" w14:textId="63605370" w:rsidR="004A6EE2" w:rsidRPr="00FC5B3C" w:rsidRDefault="007D3F45" w:rsidP="004A6EE2">
                  <w:pPr>
                    <w:keepLines w:val="0"/>
                    <w:spacing w:before="0" w:after="0"/>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w:t>
                  </w:r>
                  <w:r w:rsidRPr="00D73BD9">
                    <w:rPr>
                      <w:rFonts w:asciiTheme="minorHAnsi" w:eastAsia="Times New Roman" w:hAnsiTheme="minorHAnsi" w:cstheme="minorHAnsi"/>
                      <w:i/>
                      <w:iCs/>
                      <w:sz w:val="18"/>
                      <w:szCs w:val="18"/>
                      <w:lang w:eastAsia="en-AU"/>
                    </w:rPr>
                    <w:t>93</w:t>
                  </w:r>
                  <w:r>
                    <w:rPr>
                      <w:rFonts w:asciiTheme="minorHAnsi" w:eastAsia="Times New Roman" w:hAnsiTheme="minorHAnsi" w:cstheme="minorHAnsi"/>
                      <w:sz w:val="18"/>
                      <w:szCs w:val="18"/>
                      <w:lang w:eastAsia="en-AU"/>
                    </w:rPr>
                    <w:t>)</w:t>
                  </w:r>
                  <w:r w:rsidR="004A6EE2" w:rsidRPr="00FC5B3C">
                    <w:rPr>
                      <w:rFonts w:asciiTheme="minorHAnsi" w:eastAsia="Times New Roman" w:hAnsiTheme="minorHAnsi" w:cstheme="minorHAnsi"/>
                      <w:sz w:val="18"/>
                      <w:szCs w:val="18"/>
                      <w:lang w:eastAsia="en-AU"/>
                    </w:rPr>
                    <w:t xml:space="preserve"> </w:t>
                  </w:r>
                </w:p>
              </w:tc>
              <w:tc>
                <w:tcPr>
                  <w:tcW w:w="1134" w:type="dxa"/>
                  <w:tcBorders>
                    <w:top w:val="single" w:sz="8" w:space="0" w:color="auto"/>
                    <w:left w:val="nil"/>
                    <w:bottom w:val="single" w:sz="4" w:space="0" w:color="auto"/>
                    <w:right w:val="nil"/>
                  </w:tcBorders>
                  <w:shd w:val="clear" w:color="auto" w:fill="auto"/>
                  <w:noWrap/>
                  <w:vAlign w:val="bottom"/>
                  <w:hideMark/>
                </w:tcPr>
                <w:p w14:paraId="1F9CBBD6" w14:textId="77777777" w:rsidR="00D73BD9" w:rsidRDefault="004A6EE2" w:rsidP="004A6EE2">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-786</w:t>
                  </w:r>
                  <w:r w:rsidR="00B15320" w:rsidRPr="00D73BD9">
                    <w:rPr>
                      <w:rFonts w:asciiTheme="minorHAnsi" w:eastAsia="Times New Roman" w:hAnsiTheme="minorHAnsi" w:cstheme="minorHAnsi"/>
                      <w:sz w:val="16"/>
                      <w:szCs w:val="16"/>
                      <w:lang w:eastAsia="en-AU"/>
                    </w:rPr>
                    <w:t>*</w:t>
                  </w:r>
                </w:p>
                <w:p w14:paraId="5BDECB51" w14:textId="5ADEB604" w:rsidR="004A6EE2" w:rsidRPr="00FC5B3C" w:rsidRDefault="007D3F45" w:rsidP="004A6EE2">
                  <w:pPr>
                    <w:keepLines w:val="0"/>
                    <w:spacing w:before="0" w:after="0"/>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w:t>
                  </w:r>
                  <w:r w:rsidRPr="00D73BD9">
                    <w:rPr>
                      <w:rFonts w:asciiTheme="minorHAnsi" w:eastAsia="Times New Roman" w:hAnsiTheme="minorHAnsi" w:cstheme="minorHAnsi"/>
                      <w:i/>
                      <w:iCs/>
                      <w:sz w:val="18"/>
                      <w:szCs w:val="18"/>
                      <w:lang w:eastAsia="en-AU"/>
                    </w:rPr>
                    <w:t>-55</w:t>
                  </w:r>
                  <w:r>
                    <w:rPr>
                      <w:rFonts w:asciiTheme="minorHAnsi" w:eastAsia="Times New Roman" w:hAnsiTheme="minorHAnsi" w:cstheme="minorHAnsi"/>
                      <w:sz w:val="18"/>
                      <w:szCs w:val="18"/>
                      <w:lang w:eastAsia="en-AU"/>
                    </w:rPr>
                    <w:t>)</w:t>
                  </w:r>
                </w:p>
              </w:tc>
              <w:tc>
                <w:tcPr>
                  <w:tcW w:w="992" w:type="dxa"/>
                  <w:tcBorders>
                    <w:top w:val="single" w:sz="8" w:space="0" w:color="auto"/>
                    <w:left w:val="nil"/>
                    <w:bottom w:val="single" w:sz="4" w:space="0" w:color="auto"/>
                    <w:right w:val="nil"/>
                  </w:tcBorders>
                  <w:shd w:val="clear" w:color="auto" w:fill="auto"/>
                  <w:noWrap/>
                  <w:hideMark/>
                </w:tcPr>
                <w:p w14:paraId="0D2AD957" w14:textId="7BAF62A8" w:rsidR="004A6EE2" w:rsidRPr="00FC5B3C" w:rsidRDefault="004A6EE2" w:rsidP="007E17FD">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102</w:t>
                  </w:r>
                </w:p>
              </w:tc>
              <w:tc>
                <w:tcPr>
                  <w:tcW w:w="992" w:type="dxa"/>
                  <w:tcBorders>
                    <w:top w:val="single" w:sz="8" w:space="0" w:color="auto"/>
                    <w:left w:val="nil"/>
                    <w:bottom w:val="single" w:sz="4" w:space="0" w:color="auto"/>
                    <w:right w:val="nil"/>
                  </w:tcBorders>
                  <w:shd w:val="clear" w:color="auto" w:fill="auto"/>
                  <w:noWrap/>
                  <w:hideMark/>
                </w:tcPr>
                <w:p w14:paraId="3FE09C32" w14:textId="70553578" w:rsidR="004A6EE2" w:rsidRPr="00FC5B3C" w:rsidRDefault="004A6EE2" w:rsidP="007E17FD">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-63</w:t>
                  </w:r>
                </w:p>
              </w:tc>
              <w:tc>
                <w:tcPr>
                  <w:tcW w:w="992" w:type="dxa"/>
                  <w:tcBorders>
                    <w:top w:val="single" w:sz="8" w:space="0" w:color="auto"/>
                    <w:left w:val="nil"/>
                    <w:bottom w:val="single" w:sz="4" w:space="0" w:color="auto"/>
                    <w:right w:val="nil"/>
                  </w:tcBorders>
                  <w:shd w:val="clear" w:color="auto" w:fill="auto"/>
                  <w:noWrap/>
                  <w:vAlign w:val="bottom"/>
                  <w:hideMark/>
                </w:tcPr>
                <w:p w14:paraId="10E3BA93" w14:textId="77777777" w:rsidR="00D73BD9" w:rsidRDefault="004A6EE2" w:rsidP="004A6EE2">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-68</w:t>
                  </w:r>
                  <w:r w:rsidR="00B15320" w:rsidRPr="00D73BD9">
                    <w:rPr>
                      <w:rFonts w:asciiTheme="minorHAnsi" w:eastAsia="Times New Roman" w:hAnsiTheme="minorHAnsi" w:cstheme="minorHAnsi"/>
                      <w:sz w:val="16"/>
                      <w:szCs w:val="16"/>
                      <w:lang w:eastAsia="en-AU"/>
                    </w:rPr>
                    <w:t>*</w:t>
                  </w:r>
                </w:p>
                <w:p w14:paraId="26D50FD8" w14:textId="0B795FD7" w:rsidR="004A6EE2" w:rsidRPr="00FC5B3C" w:rsidRDefault="003A6173" w:rsidP="004A6EE2">
                  <w:pPr>
                    <w:keepLines w:val="0"/>
                    <w:spacing w:before="0" w:after="0"/>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w:t>
                  </w:r>
                  <w:r w:rsidRPr="00D73BD9">
                    <w:rPr>
                      <w:rFonts w:asciiTheme="minorHAnsi" w:eastAsia="Times New Roman" w:hAnsiTheme="minorHAnsi" w:cstheme="minorHAnsi"/>
                      <w:i/>
                      <w:iCs/>
                      <w:sz w:val="18"/>
                      <w:szCs w:val="18"/>
                      <w:lang w:eastAsia="en-AU"/>
                    </w:rPr>
                    <w:t>-10</w:t>
                  </w:r>
                  <w:r>
                    <w:rPr>
                      <w:rFonts w:asciiTheme="minorHAnsi" w:eastAsia="Times New Roman" w:hAnsiTheme="minorHAnsi" w:cstheme="minorHAnsi"/>
                      <w:sz w:val="18"/>
                      <w:szCs w:val="18"/>
                      <w:lang w:eastAsia="en-AU"/>
                    </w:rPr>
                    <w:t>)</w:t>
                  </w:r>
                  <w:r w:rsidR="004A6EE2" w:rsidRPr="00FC5B3C">
                    <w:rPr>
                      <w:rFonts w:asciiTheme="minorHAnsi" w:eastAsia="Times New Roman" w:hAnsiTheme="minorHAnsi" w:cstheme="minorHAnsi"/>
                      <w:sz w:val="18"/>
                      <w:szCs w:val="18"/>
                      <w:lang w:eastAsia="en-AU"/>
                    </w:rPr>
                    <w:t xml:space="preserve"> </w:t>
                  </w:r>
                </w:p>
              </w:tc>
              <w:tc>
                <w:tcPr>
                  <w:tcW w:w="993" w:type="dxa"/>
                  <w:tcBorders>
                    <w:top w:val="single" w:sz="8" w:space="0" w:color="auto"/>
                    <w:left w:val="nil"/>
                    <w:bottom w:val="single" w:sz="4" w:space="0" w:color="auto"/>
                    <w:right w:val="nil"/>
                  </w:tcBorders>
                  <w:shd w:val="clear" w:color="auto" w:fill="auto"/>
                  <w:noWrap/>
                  <w:hideMark/>
                </w:tcPr>
                <w:p w14:paraId="56CD979A" w14:textId="3476F2B4" w:rsidR="004A6EE2" w:rsidRPr="00FC5B3C" w:rsidRDefault="004A6EE2" w:rsidP="007E17FD">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18</w:t>
                  </w:r>
                </w:p>
              </w:tc>
              <w:tc>
                <w:tcPr>
                  <w:tcW w:w="1412" w:type="dxa"/>
                  <w:tcBorders>
                    <w:top w:val="single" w:sz="8" w:space="0" w:color="auto"/>
                    <w:left w:val="nil"/>
                    <w:bottom w:val="single" w:sz="4" w:space="0" w:color="auto"/>
                    <w:right w:val="nil"/>
                  </w:tcBorders>
                  <w:shd w:val="clear" w:color="auto" w:fill="auto"/>
                  <w:noWrap/>
                  <w:hideMark/>
                </w:tcPr>
                <w:p w14:paraId="283DC963" w14:textId="6F3E5103" w:rsidR="004A6EE2" w:rsidRPr="00FC5B3C" w:rsidRDefault="004A6EE2" w:rsidP="007E17FD">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24</w:t>
                  </w:r>
                </w:p>
              </w:tc>
            </w:tr>
            <w:tr w:rsidR="00C07D8A" w:rsidRPr="004A6EE2" w14:paraId="2271BDF1" w14:textId="77777777" w:rsidTr="00781694">
              <w:trPr>
                <w:trHeight w:val="255"/>
              </w:trPr>
              <w:tc>
                <w:tcPr>
                  <w:tcW w:w="587" w:type="dxa"/>
                  <w:tcBorders>
                    <w:top w:val="single" w:sz="4" w:space="0" w:color="auto"/>
                    <w:left w:val="nil"/>
                    <w:bottom w:val="single" w:sz="8" w:space="0" w:color="auto"/>
                    <w:right w:val="nil"/>
                  </w:tcBorders>
                  <w:shd w:val="clear" w:color="auto" w:fill="auto"/>
                  <w:noWrap/>
                  <w:vAlign w:val="center"/>
                  <w:hideMark/>
                </w:tcPr>
                <w:p w14:paraId="38BDE6D1" w14:textId="77777777" w:rsidR="004A6EE2" w:rsidRPr="00FC5B3C" w:rsidRDefault="004A6EE2" w:rsidP="00071BBE">
                  <w:pPr>
                    <w:keepLines w:val="0"/>
                    <w:spacing w:before="0" w:after="0"/>
                    <w:jc w:val="center"/>
                    <w:rPr>
                      <w:rFonts w:asciiTheme="minorHAnsi" w:eastAsia="Times New Roman" w:hAnsiTheme="minorHAnsi" w:cstheme="minorHAnsi"/>
                      <w:b/>
                      <w:bCs/>
                      <w:sz w:val="18"/>
                      <w:szCs w:val="18"/>
                      <w:lang w:eastAsia="en-AU"/>
                    </w:rPr>
                  </w:pPr>
                  <w:r w:rsidRPr="00FC5B3C">
                    <w:rPr>
                      <w:rFonts w:asciiTheme="minorHAnsi" w:eastAsia="Times New Roman" w:hAnsiTheme="minorHAnsi" w:cstheme="minorHAnsi"/>
                      <w:b/>
                      <w:bCs/>
                      <w:sz w:val="18"/>
                      <w:szCs w:val="18"/>
                      <w:lang w:eastAsia="en-AU"/>
                    </w:rPr>
                    <w:t>2021</w:t>
                  </w:r>
                </w:p>
              </w:tc>
              <w:tc>
                <w:tcPr>
                  <w:tcW w:w="1151" w:type="dxa"/>
                  <w:tcBorders>
                    <w:top w:val="single" w:sz="4" w:space="0" w:color="auto"/>
                    <w:left w:val="nil"/>
                    <w:bottom w:val="single" w:sz="8" w:space="0" w:color="auto"/>
                    <w:right w:val="nil"/>
                  </w:tcBorders>
                  <w:shd w:val="clear" w:color="auto" w:fill="auto"/>
                  <w:noWrap/>
                  <w:hideMark/>
                </w:tcPr>
                <w:p w14:paraId="684CB125" w14:textId="10C5D5C5" w:rsidR="004A6EE2" w:rsidRPr="00FC5B3C" w:rsidRDefault="004A6EE2" w:rsidP="007E17FD">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13</w:t>
                  </w:r>
                </w:p>
              </w:tc>
              <w:tc>
                <w:tcPr>
                  <w:tcW w:w="851" w:type="dxa"/>
                  <w:tcBorders>
                    <w:top w:val="single" w:sz="4" w:space="0" w:color="auto"/>
                    <w:left w:val="nil"/>
                    <w:bottom w:val="single" w:sz="8" w:space="0" w:color="auto"/>
                    <w:right w:val="nil"/>
                  </w:tcBorders>
                  <w:shd w:val="clear" w:color="auto" w:fill="auto"/>
                  <w:noWrap/>
                  <w:vAlign w:val="bottom"/>
                  <w:hideMark/>
                </w:tcPr>
                <w:p w14:paraId="6E403609" w14:textId="77777777" w:rsidR="00D73BD9" w:rsidRDefault="004A6EE2" w:rsidP="004A6EE2">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2</w:t>
                  </w:r>
                  <w:r w:rsidR="00FC455F">
                    <w:rPr>
                      <w:rFonts w:asciiTheme="minorHAnsi" w:eastAsia="Times New Roman" w:hAnsiTheme="minorHAnsi" w:cstheme="minorHAnsi"/>
                      <w:sz w:val="18"/>
                      <w:szCs w:val="18"/>
                      <w:lang w:eastAsia="en-AU"/>
                    </w:rPr>
                    <w:t>,</w:t>
                  </w:r>
                  <w:r w:rsidRPr="00FC5B3C">
                    <w:rPr>
                      <w:rFonts w:asciiTheme="minorHAnsi" w:eastAsia="Times New Roman" w:hAnsiTheme="minorHAnsi" w:cstheme="minorHAnsi"/>
                      <w:sz w:val="18"/>
                      <w:szCs w:val="18"/>
                      <w:lang w:eastAsia="en-AU"/>
                    </w:rPr>
                    <w:t>782</w:t>
                  </w:r>
                  <w:r w:rsidR="00B15320" w:rsidRPr="00D73BD9">
                    <w:rPr>
                      <w:rFonts w:asciiTheme="minorHAnsi" w:eastAsia="Times New Roman" w:hAnsiTheme="minorHAnsi" w:cstheme="minorHAnsi"/>
                      <w:sz w:val="16"/>
                      <w:szCs w:val="16"/>
                      <w:lang w:eastAsia="en-AU"/>
                    </w:rPr>
                    <w:t>*</w:t>
                  </w:r>
                </w:p>
                <w:p w14:paraId="6134D4BF" w14:textId="3065F779" w:rsidR="004A6EE2" w:rsidRPr="00FC5B3C" w:rsidRDefault="007D3F45" w:rsidP="004A6EE2">
                  <w:pPr>
                    <w:keepLines w:val="0"/>
                    <w:spacing w:before="0" w:after="0"/>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w:t>
                  </w:r>
                  <w:r w:rsidRPr="00D73BD9">
                    <w:rPr>
                      <w:rFonts w:asciiTheme="minorHAnsi" w:eastAsia="Times New Roman" w:hAnsiTheme="minorHAnsi" w:cstheme="minorHAnsi"/>
                      <w:i/>
                      <w:iCs/>
                      <w:sz w:val="18"/>
                      <w:szCs w:val="18"/>
                      <w:lang w:eastAsia="en-AU"/>
                    </w:rPr>
                    <w:t>394</w:t>
                  </w:r>
                  <w:r>
                    <w:rPr>
                      <w:rFonts w:asciiTheme="minorHAnsi" w:eastAsia="Times New Roman" w:hAnsiTheme="minorHAnsi" w:cstheme="minorHAnsi"/>
                      <w:sz w:val="18"/>
                      <w:szCs w:val="18"/>
                      <w:lang w:eastAsia="en-AU"/>
                    </w:rPr>
                    <w:t>)</w:t>
                  </w:r>
                </w:p>
              </w:tc>
              <w:tc>
                <w:tcPr>
                  <w:tcW w:w="1134" w:type="dxa"/>
                  <w:tcBorders>
                    <w:top w:val="single" w:sz="4" w:space="0" w:color="auto"/>
                    <w:left w:val="nil"/>
                    <w:bottom w:val="single" w:sz="8" w:space="0" w:color="auto"/>
                    <w:right w:val="nil"/>
                  </w:tcBorders>
                  <w:shd w:val="clear" w:color="auto" w:fill="auto"/>
                  <w:noWrap/>
                  <w:vAlign w:val="bottom"/>
                  <w:hideMark/>
                </w:tcPr>
                <w:p w14:paraId="7E1F5237" w14:textId="77777777" w:rsidR="00D73BD9" w:rsidRDefault="004A6EE2" w:rsidP="004A6EE2">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853</w:t>
                  </w:r>
                  <w:r w:rsidR="00B15320" w:rsidRPr="00D73BD9">
                    <w:rPr>
                      <w:rFonts w:asciiTheme="minorHAnsi" w:eastAsia="Times New Roman" w:hAnsiTheme="minorHAnsi" w:cstheme="minorHAnsi"/>
                      <w:sz w:val="16"/>
                      <w:szCs w:val="16"/>
                      <w:lang w:eastAsia="en-AU"/>
                    </w:rPr>
                    <w:t>*</w:t>
                  </w:r>
                </w:p>
                <w:p w14:paraId="42D28A57" w14:textId="12A20590" w:rsidR="004A6EE2" w:rsidRPr="00FC5B3C" w:rsidRDefault="007D3F45" w:rsidP="004A6EE2">
                  <w:pPr>
                    <w:keepLines w:val="0"/>
                    <w:spacing w:before="0" w:after="0"/>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w:t>
                  </w:r>
                  <w:r w:rsidRPr="00D73BD9">
                    <w:rPr>
                      <w:rFonts w:asciiTheme="minorHAnsi" w:eastAsia="Times New Roman" w:hAnsiTheme="minorHAnsi" w:cstheme="minorHAnsi"/>
                      <w:i/>
                      <w:iCs/>
                      <w:sz w:val="18"/>
                      <w:szCs w:val="18"/>
                      <w:lang w:eastAsia="en-AU"/>
                    </w:rPr>
                    <w:t>52</w:t>
                  </w:r>
                  <w:r>
                    <w:rPr>
                      <w:rFonts w:asciiTheme="minorHAnsi" w:eastAsia="Times New Roman" w:hAnsiTheme="minorHAnsi" w:cstheme="minorHAnsi"/>
                      <w:sz w:val="18"/>
                      <w:szCs w:val="18"/>
                      <w:lang w:eastAsia="en-AU"/>
                    </w:rPr>
                    <w:t>)</w:t>
                  </w:r>
                </w:p>
              </w:tc>
              <w:tc>
                <w:tcPr>
                  <w:tcW w:w="992" w:type="dxa"/>
                  <w:tcBorders>
                    <w:top w:val="single" w:sz="4" w:space="0" w:color="auto"/>
                    <w:left w:val="nil"/>
                    <w:bottom w:val="single" w:sz="8" w:space="0" w:color="auto"/>
                    <w:right w:val="nil"/>
                  </w:tcBorders>
                  <w:shd w:val="clear" w:color="auto" w:fill="auto"/>
                  <w:noWrap/>
                  <w:vAlign w:val="bottom"/>
                  <w:hideMark/>
                </w:tcPr>
                <w:p w14:paraId="0988329B" w14:textId="77777777" w:rsidR="00D73BD9" w:rsidRDefault="004A6EE2" w:rsidP="004A6EE2">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891</w:t>
                  </w:r>
                  <w:r w:rsidR="00B15320" w:rsidRPr="00D73BD9">
                    <w:rPr>
                      <w:rFonts w:asciiTheme="minorHAnsi" w:eastAsia="Times New Roman" w:hAnsiTheme="minorHAnsi" w:cstheme="minorHAnsi"/>
                      <w:sz w:val="16"/>
                      <w:szCs w:val="16"/>
                      <w:lang w:eastAsia="en-AU"/>
                    </w:rPr>
                    <w:t>*</w:t>
                  </w:r>
                </w:p>
                <w:p w14:paraId="2211F51D" w14:textId="490A2592" w:rsidR="004A6EE2" w:rsidRPr="00FC5B3C" w:rsidRDefault="003A6173" w:rsidP="004A6EE2">
                  <w:pPr>
                    <w:keepLines w:val="0"/>
                    <w:spacing w:before="0" w:after="0"/>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w:t>
                  </w:r>
                  <w:r w:rsidRPr="00D73BD9">
                    <w:rPr>
                      <w:rFonts w:asciiTheme="minorHAnsi" w:eastAsia="Times New Roman" w:hAnsiTheme="minorHAnsi" w:cstheme="minorHAnsi"/>
                      <w:i/>
                      <w:iCs/>
                      <w:sz w:val="18"/>
                      <w:szCs w:val="18"/>
                      <w:lang w:eastAsia="en-AU"/>
                    </w:rPr>
                    <w:t>70</w:t>
                  </w:r>
                  <w:r>
                    <w:rPr>
                      <w:rFonts w:asciiTheme="minorHAnsi" w:eastAsia="Times New Roman" w:hAnsiTheme="minorHAnsi" w:cstheme="minorHAnsi"/>
                      <w:sz w:val="18"/>
                      <w:szCs w:val="18"/>
                      <w:lang w:eastAsia="en-AU"/>
                    </w:rPr>
                    <w:t>)</w:t>
                  </w:r>
                </w:p>
              </w:tc>
              <w:tc>
                <w:tcPr>
                  <w:tcW w:w="992" w:type="dxa"/>
                  <w:tcBorders>
                    <w:top w:val="single" w:sz="4" w:space="0" w:color="auto"/>
                    <w:left w:val="nil"/>
                    <w:bottom w:val="single" w:sz="8" w:space="0" w:color="auto"/>
                    <w:right w:val="nil"/>
                  </w:tcBorders>
                  <w:shd w:val="clear" w:color="auto" w:fill="auto"/>
                  <w:noWrap/>
                  <w:hideMark/>
                </w:tcPr>
                <w:p w14:paraId="25F51448" w14:textId="2FF3594A" w:rsidR="004A6EE2" w:rsidRPr="00FC5B3C" w:rsidRDefault="004A6EE2" w:rsidP="007E17FD">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804</w:t>
                  </w:r>
                </w:p>
              </w:tc>
              <w:tc>
                <w:tcPr>
                  <w:tcW w:w="992" w:type="dxa"/>
                  <w:tcBorders>
                    <w:top w:val="single" w:sz="4" w:space="0" w:color="auto"/>
                    <w:left w:val="nil"/>
                    <w:bottom w:val="single" w:sz="8" w:space="0" w:color="auto"/>
                    <w:right w:val="nil"/>
                  </w:tcBorders>
                  <w:shd w:val="clear" w:color="auto" w:fill="auto"/>
                  <w:noWrap/>
                  <w:vAlign w:val="bottom"/>
                  <w:hideMark/>
                </w:tcPr>
                <w:p w14:paraId="2249ACE0" w14:textId="77777777" w:rsidR="00D73BD9" w:rsidRDefault="004A6EE2" w:rsidP="004A6EE2">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 xml:space="preserve"> 366</w:t>
                  </w:r>
                  <w:r w:rsidR="00B15320" w:rsidRPr="00D73BD9">
                    <w:rPr>
                      <w:rFonts w:asciiTheme="minorHAnsi" w:eastAsia="Times New Roman" w:hAnsiTheme="minorHAnsi" w:cstheme="minorHAnsi"/>
                      <w:sz w:val="16"/>
                      <w:szCs w:val="16"/>
                      <w:lang w:eastAsia="en-AU"/>
                    </w:rPr>
                    <w:t>*</w:t>
                  </w:r>
                </w:p>
                <w:p w14:paraId="4617D138" w14:textId="7F79C74B" w:rsidR="004A6EE2" w:rsidRPr="00FC5B3C" w:rsidRDefault="003A6173" w:rsidP="004A6EE2">
                  <w:pPr>
                    <w:keepLines w:val="0"/>
                    <w:spacing w:before="0" w:after="0"/>
                    <w:jc w:val="center"/>
                    <w:rPr>
                      <w:rFonts w:asciiTheme="minorHAnsi" w:eastAsia="Times New Roman" w:hAnsiTheme="minorHAnsi" w:cstheme="minorHAnsi"/>
                      <w:sz w:val="18"/>
                      <w:szCs w:val="18"/>
                      <w:lang w:eastAsia="en-AU"/>
                    </w:rPr>
                  </w:pPr>
                  <w:r>
                    <w:rPr>
                      <w:rFonts w:asciiTheme="minorHAnsi" w:eastAsia="Times New Roman" w:hAnsiTheme="minorHAnsi" w:cstheme="minorHAnsi"/>
                      <w:sz w:val="18"/>
                      <w:szCs w:val="18"/>
                      <w:lang w:eastAsia="en-AU"/>
                    </w:rPr>
                    <w:t>(</w:t>
                  </w:r>
                  <w:r w:rsidRPr="00D73BD9">
                    <w:rPr>
                      <w:rFonts w:asciiTheme="minorHAnsi" w:eastAsia="Times New Roman" w:hAnsiTheme="minorHAnsi" w:cstheme="minorHAnsi"/>
                      <w:i/>
                      <w:iCs/>
                      <w:sz w:val="18"/>
                      <w:szCs w:val="18"/>
                      <w:lang w:eastAsia="en-AU"/>
                    </w:rPr>
                    <w:t>28</w:t>
                  </w:r>
                  <w:r>
                    <w:rPr>
                      <w:rFonts w:asciiTheme="minorHAnsi" w:eastAsia="Times New Roman" w:hAnsiTheme="minorHAnsi" w:cstheme="minorHAnsi"/>
                      <w:sz w:val="18"/>
                      <w:szCs w:val="18"/>
                      <w:lang w:eastAsia="en-AU"/>
                    </w:rPr>
                    <w:t>)</w:t>
                  </w:r>
                </w:p>
              </w:tc>
              <w:tc>
                <w:tcPr>
                  <w:tcW w:w="993" w:type="dxa"/>
                  <w:tcBorders>
                    <w:top w:val="single" w:sz="4" w:space="0" w:color="auto"/>
                    <w:left w:val="nil"/>
                    <w:bottom w:val="single" w:sz="8" w:space="0" w:color="auto"/>
                    <w:right w:val="nil"/>
                  </w:tcBorders>
                  <w:shd w:val="clear" w:color="auto" w:fill="auto"/>
                  <w:noWrap/>
                  <w:hideMark/>
                </w:tcPr>
                <w:p w14:paraId="1AC21AA0" w14:textId="44B6D354" w:rsidR="004A6EE2" w:rsidRPr="00FC5B3C" w:rsidRDefault="004A6EE2" w:rsidP="007E17FD">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-96</w:t>
                  </w:r>
                </w:p>
              </w:tc>
              <w:tc>
                <w:tcPr>
                  <w:tcW w:w="1412" w:type="dxa"/>
                  <w:tcBorders>
                    <w:top w:val="single" w:sz="4" w:space="0" w:color="auto"/>
                    <w:left w:val="nil"/>
                    <w:bottom w:val="single" w:sz="8" w:space="0" w:color="auto"/>
                    <w:right w:val="nil"/>
                  </w:tcBorders>
                  <w:shd w:val="clear" w:color="auto" w:fill="auto"/>
                  <w:noWrap/>
                  <w:hideMark/>
                </w:tcPr>
                <w:p w14:paraId="23843854" w14:textId="1667376C" w:rsidR="004A6EE2" w:rsidRPr="00FC5B3C" w:rsidRDefault="004A6EE2" w:rsidP="007E17FD">
                  <w:pPr>
                    <w:keepLines w:val="0"/>
                    <w:spacing w:before="0" w:after="0"/>
                    <w:jc w:val="center"/>
                    <w:rPr>
                      <w:rFonts w:asciiTheme="minorHAnsi" w:eastAsia="Times New Roman" w:hAnsiTheme="minorHAnsi" w:cstheme="minorHAnsi"/>
                      <w:sz w:val="18"/>
                      <w:szCs w:val="18"/>
                      <w:lang w:eastAsia="en-AU"/>
                    </w:rPr>
                  </w:pPr>
                  <w:r w:rsidRPr="00FC5B3C">
                    <w:rPr>
                      <w:rFonts w:asciiTheme="minorHAnsi" w:eastAsia="Times New Roman" w:hAnsiTheme="minorHAnsi" w:cstheme="minorHAnsi"/>
                      <w:sz w:val="18"/>
                      <w:szCs w:val="18"/>
                      <w:lang w:eastAsia="en-AU"/>
                    </w:rPr>
                    <w:t>102</w:t>
                  </w:r>
                </w:p>
              </w:tc>
            </w:tr>
            <w:tr w:rsidR="008301F3" w:rsidRPr="004A6EE2" w14:paraId="7E9227B6" w14:textId="77777777" w:rsidTr="00781694">
              <w:trPr>
                <w:trHeight w:val="241"/>
              </w:trPr>
              <w:tc>
                <w:tcPr>
                  <w:tcW w:w="9104" w:type="dxa"/>
                  <w:gridSpan w:val="9"/>
                  <w:tcBorders>
                    <w:top w:val="nil"/>
                    <w:left w:val="nil"/>
                    <w:bottom w:val="nil"/>
                    <w:right w:val="nil"/>
                  </w:tcBorders>
                  <w:shd w:val="clear" w:color="auto" w:fill="auto"/>
                  <w:noWrap/>
                  <w:vAlign w:val="bottom"/>
                  <w:hideMark/>
                </w:tcPr>
                <w:p w14:paraId="41052FE1" w14:textId="77777777" w:rsidR="00D73BD9" w:rsidRDefault="008301F3" w:rsidP="004A6EE2">
                  <w:pPr>
                    <w:keepLines w:val="0"/>
                    <w:spacing w:before="0" w:after="0"/>
                    <w:rPr>
                      <w:rFonts w:ascii="Arial" w:eastAsia="Times New Roman" w:hAnsi="Arial" w:cs="Arial"/>
                      <w:sz w:val="16"/>
                      <w:szCs w:val="16"/>
                      <w:lang w:eastAsia="en-AU"/>
                    </w:rPr>
                  </w:pPr>
                  <w:r>
                    <w:rPr>
                      <w:rFonts w:ascii="Arial" w:eastAsia="Times New Roman" w:hAnsi="Arial" w:cs="Arial"/>
                      <w:sz w:val="16"/>
                      <w:szCs w:val="16"/>
                      <w:lang w:eastAsia="en-AU"/>
                    </w:rPr>
                    <w:t xml:space="preserve">Note: </w:t>
                  </w:r>
                  <w:r w:rsidR="00795045">
                    <w:rPr>
                      <w:rFonts w:ascii="Arial" w:eastAsia="Times New Roman" w:hAnsi="Arial" w:cs="Arial"/>
                      <w:sz w:val="16"/>
                      <w:szCs w:val="16"/>
                      <w:lang w:eastAsia="en-AU"/>
                    </w:rPr>
                    <w:t>* notes years that have periods of statistically significant excess mortality</w:t>
                  </w:r>
                  <w:r w:rsidR="00E735D0">
                    <w:rPr>
                      <w:rFonts w:ascii="Arial" w:eastAsia="Times New Roman" w:hAnsi="Arial" w:cs="Arial"/>
                      <w:sz w:val="16"/>
                      <w:szCs w:val="16"/>
                      <w:lang w:eastAsia="en-AU"/>
                    </w:rPr>
                    <w:t xml:space="preserve"> or lower than expected mortality (2 weeks or more above or below the threshold)</w:t>
                  </w:r>
                  <w:r w:rsidR="00795045">
                    <w:rPr>
                      <w:rFonts w:ascii="Arial" w:eastAsia="Times New Roman" w:hAnsi="Arial" w:cs="Arial"/>
                      <w:sz w:val="16"/>
                      <w:szCs w:val="16"/>
                      <w:lang w:eastAsia="en-AU"/>
                    </w:rPr>
                    <w:t xml:space="preserve">. Other years fall within the expected range. </w:t>
                  </w:r>
                </w:p>
                <w:p w14:paraId="00F97F38" w14:textId="4DAEABE4" w:rsidR="008301F3" w:rsidRPr="004A6EE2" w:rsidRDefault="008301F3" w:rsidP="004A6EE2">
                  <w:pPr>
                    <w:keepLines w:val="0"/>
                    <w:spacing w:before="0" w:after="0"/>
                    <w:rPr>
                      <w:rFonts w:ascii="Times New Roman" w:eastAsia="Times New Roman" w:hAnsi="Times New Roman" w:cs="Times New Roman"/>
                      <w:lang w:eastAsia="en-AU"/>
                    </w:rPr>
                  </w:pPr>
                  <w:r>
                    <w:rPr>
                      <w:rFonts w:ascii="Arial" w:eastAsia="Times New Roman" w:hAnsi="Arial" w:cs="Arial"/>
                      <w:sz w:val="16"/>
                      <w:szCs w:val="16"/>
                      <w:lang w:eastAsia="en-AU"/>
                    </w:rPr>
                    <w:t xml:space="preserve">Numbers in () </w:t>
                  </w:r>
                  <w:r w:rsidR="00795045">
                    <w:rPr>
                      <w:rFonts w:ascii="Arial" w:eastAsia="Times New Roman" w:hAnsi="Arial" w:cs="Arial"/>
                      <w:sz w:val="16"/>
                      <w:szCs w:val="16"/>
                      <w:lang w:eastAsia="en-AU"/>
                    </w:rPr>
                    <w:t xml:space="preserve">show the net </w:t>
                  </w:r>
                  <w:r w:rsidRPr="004A6EE2">
                    <w:rPr>
                      <w:rFonts w:ascii="Arial" w:eastAsia="Times New Roman" w:hAnsi="Arial" w:cs="Arial"/>
                      <w:sz w:val="16"/>
                      <w:szCs w:val="16"/>
                      <w:lang w:eastAsia="en-AU"/>
                    </w:rPr>
                    <w:t>statistically significant</w:t>
                  </w:r>
                  <w:r w:rsidR="00795045">
                    <w:rPr>
                      <w:rFonts w:ascii="Arial" w:eastAsia="Times New Roman" w:hAnsi="Arial" w:cs="Arial"/>
                      <w:sz w:val="16"/>
                      <w:szCs w:val="16"/>
                      <w:lang w:eastAsia="en-AU"/>
                    </w:rPr>
                    <w:t xml:space="preserve"> excess</w:t>
                  </w:r>
                  <w:r w:rsidR="00640059">
                    <w:rPr>
                      <w:rFonts w:ascii="Arial" w:eastAsia="Times New Roman" w:hAnsi="Arial" w:cs="Arial"/>
                      <w:sz w:val="16"/>
                      <w:szCs w:val="16"/>
                      <w:lang w:eastAsia="en-AU"/>
                    </w:rPr>
                    <w:t xml:space="preserve"> deaths</w:t>
                  </w:r>
                  <w:r w:rsidR="00C07D8A">
                    <w:rPr>
                      <w:rFonts w:ascii="Arial" w:eastAsia="Times New Roman" w:hAnsi="Arial" w:cs="Arial"/>
                      <w:sz w:val="16"/>
                      <w:szCs w:val="16"/>
                      <w:lang w:eastAsia="en-AU"/>
                    </w:rPr>
                    <w:t>.</w:t>
                  </w:r>
                </w:p>
              </w:tc>
            </w:tr>
          </w:tbl>
          <w:p w14:paraId="25ECFA1B" w14:textId="77777777" w:rsidR="004A6EE2" w:rsidRDefault="004A6EE2" w:rsidP="00055F66">
            <w:pPr>
              <w:pStyle w:val="Heading8"/>
              <w:numPr>
                <w:ilvl w:val="0"/>
                <w:numId w:val="0"/>
              </w:numPr>
              <w:spacing w:after="0"/>
            </w:pPr>
          </w:p>
          <w:p w14:paraId="6C9EE02F" w14:textId="09030272" w:rsidR="00DD147C" w:rsidRDefault="00F6699A" w:rsidP="00055F66">
            <w:pPr>
              <w:spacing w:before="0" w:after="240"/>
            </w:pPr>
            <w:r>
              <w:t>In 2020 and 2021</w:t>
            </w:r>
            <w:r w:rsidR="001307E9">
              <w:t>,</w:t>
            </w:r>
            <w:r>
              <w:t xml:space="preserve"> Victoria experienced the highest number of</w:t>
            </w:r>
            <w:r w:rsidR="007A7520">
              <w:t xml:space="preserve"> deaths above the </w:t>
            </w:r>
            <w:r>
              <w:t xml:space="preserve"> </w:t>
            </w:r>
            <w:r w:rsidR="0049314C">
              <w:t xml:space="preserve">expected </w:t>
            </w:r>
            <w:r w:rsidR="007A7520">
              <w:t>number</w:t>
            </w:r>
            <w:r>
              <w:t>, including the highest number of</w:t>
            </w:r>
            <w:r w:rsidR="001307E9">
              <w:t xml:space="preserve"> deaths exceeding the weekly upper thresholds</w:t>
            </w:r>
            <w:r>
              <w:t>. Deaths due to COVID-19 significantly contributed to all</w:t>
            </w:r>
            <w:r w:rsidR="006D273D">
              <w:t>-</w:t>
            </w:r>
            <w:r>
              <w:t xml:space="preserve">cause mortality, and led to </w:t>
            </w:r>
            <w:r w:rsidR="001307E9">
              <w:t xml:space="preserve">statistically significant weekly </w:t>
            </w:r>
            <w:r>
              <w:t xml:space="preserve">deaths during July and August 2020, and between </w:t>
            </w:r>
            <w:r w:rsidR="007A7520">
              <w:t>October</w:t>
            </w:r>
            <w:r>
              <w:t xml:space="preserve"> and </w:t>
            </w:r>
            <w:r w:rsidR="00297F00">
              <w:t>December</w:t>
            </w:r>
            <w:r>
              <w:t xml:space="preserve"> 2021 (Chart </w:t>
            </w:r>
            <w:r w:rsidR="00D85958">
              <w:t>4</w:t>
            </w:r>
            <w:r w:rsidRPr="004909EF">
              <w:t xml:space="preserve">). In 2021, deaths </w:t>
            </w:r>
            <w:r w:rsidR="00904997">
              <w:t xml:space="preserve">in Victoria </w:t>
            </w:r>
            <w:r w:rsidRPr="004909EF">
              <w:t xml:space="preserve">were above expectation in all but two weeks. </w:t>
            </w:r>
          </w:p>
          <w:p w14:paraId="5C3A426D" w14:textId="6F9767E9" w:rsidR="00D85958" w:rsidRDefault="00D85958" w:rsidP="00D85958">
            <w:pPr>
              <w:pStyle w:val="Chartheading"/>
            </w:pPr>
            <w:r>
              <w:t>Expected vs observed deaths - Victoria</w:t>
            </w:r>
          </w:p>
          <w:p w14:paraId="28945956" w14:textId="53817E8B" w:rsidR="002C3E2B" w:rsidRDefault="00266A47" w:rsidP="00055F66">
            <w:pPr>
              <w:pStyle w:val="Source"/>
            </w:pPr>
            <w:r>
              <w:rPr>
                <w:noProof/>
              </w:rPr>
              <w:drawing>
                <wp:inline distT="0" distB="0" distL="0" distR="0" wp14:anchorId="7B4F133A" wp14:editId="720D7AE7">
                  <wp:extent cx="5712460" cy="2316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2460" cy="2316480"/>
                          </a:xfrm>
                          <a:prstGeom prst="rect">
                            <a:avLst/>
                          </a:prstGeom>
                          <a:noFill/>
                        </pic:spPr>
                      </pic:pic>
                    </a:graphicData>
                  </a:graphic>
                </wp:inline>
              </w:drawing>
            </w:r>
          </w:p>
          <w:p w14:paraId="305A0FC0" w14:textId="61AEE42E" w:rsidR="00D85958" w:rsidRDefault="006D273D" w:rsidP="00894032">
            <w:pPr>
              <w:pStyle w:val="Heading3"/>
              <w:keepNext w:val="0"/>
              <w:spacing w:before="240"/>
            </w:pPr>
            <w:r w:rsidRPr="002B2C11">
              <w:rPr>
                <w:b w:val="0"/>
                <w:bCs/>
              </w:rPr>
              <w:t>C</w:t>
            </w:r>
            <w:r w:rsidR="00D85958" w:rsidRPr="002B2C11">
              <w:rPr>
                <w:b w:val="0"/>
                <w:bCs/>
              </w:rPr>
              <w:t>ause-specific mortality</w:t>
            </w:r>
          </w:p>
          <w:p w14:paraId="4090BD7C" w14:textId="244EA83C" w:rsidR="002846B1" w:rsidRDefault="00D85958" w:rsidP="00D85958">
            <w:r>
              <w:t>Deaths due to respiratory disease</w:t>
            </w:r>
            <w:r w:rsidR="0065411F">
              <w:t xml:space="preserve"> (excluding COVID-19)</w:t>
            </w:r>
            <w:r>
              <w:t xml:space="preserve"> were most impacted during the pandemic, while </w:t>
            </w:r>
            <w:r w:rsidR="008029C8">
              <w:t xml:space="preserve">deaths from </w:t>
            </w:r>
            <w:r>
              <w:t>other causes have been relatively unaffected.</w:t>
            </w:r>
            <w:r w:rsidR="002846B1">
              <w:t xml:space="preserve"> </w:t>
            </w:r>
          </w:p>
          <w:p w14:paraId="0E9CEECA" w14:textId="3C2E6996" w:rsidR="00550A53" w:rsidRDefault="005D4CD1" w:rsidP="00C55551">
            <w:r w:rsidRPr="002846B1">
              <w:t>Across 2020 and 2021 deaths due to respiratory disease</w:t>
            </w:r>
            <w:r>
              <w:t xml:space="preserve"> (</w:t>
            </w:r>
            <w:r w:rsidRPr="00055F66">
              <w:t>including influenza, pneumonia and chronic lower respiratory conditions)</w:t>
            </w:r>
            <w:r w:rsidRPr="002846B1">
              <w:t xml:space="preserve"> </w:t>
            </w:r>
            <w:r w:rsidR="008029C8">
              <w:t xml:space="preserve">were 6,000 </w:t>
            </w:r>
            <w:r w:rsidRPr="002846B1">
              <w:t>lower than expected.</w:t>
            </w:r>
            <w:r>
              <w:t xml:space="preserve"> This includes 1,600 deaths below the </w:t>
            </w:r>
            <w:r w:rsidR="00550A53">
              <w:t xml:space="preserve">weekly </w:t>
            </w:r>
            <w:r>
              <w:t>lower bound of statistical significance (Chart 5).</w:t>
            </w:r>
          </w:p>
          <w:p w14:paraId="41BB394C" w14:textId="61253E0E" w:rsidR="00911CEA" w:rsidRDefault="005D4CD1">
            <w:pPr>
              <w:spacing w:after="240"/>
            </w:pPr>
            <w:r>
              <w:t xml:space="preserve">There were 40 deaths due to influenza in 2020, and only </w:t>
            </w:r>
            <w:r w:rsidR="00550A53">
              <w:t xml:space="preserve">2 </w:t>
            </w:r>
            <w:r>
              <w:t>in 2021.</w:t>
            </w:r>
            <w:r w:rsidR="00C55551">
              <w:t xml:space="preserve"> </w:t>
            </w:r>
            <w:r>
              <w:t>Sustained statistically significant</w:t>
            </w:r>
            <w:r w:rsidR="000F2374">
              <w:t xml:space="preserve"> excess</w:t>
            </w:r>
            <w:r>
              <w:t xml:space="preserve"> mortality due to respiratory disease has not been recorded since 2017 (which occurred due to the influenza epidemic that year).</w:t>
            </w:r>
          </w:p>
          <w:p w14:paraId="672BED21" w14:textId="1B34EF05" w:rsidR="00911CEA" w:rsidRDefault="00911CEA">
            <w:pPr>
              <w:spacing w:after="240"/>
            </w:pPr>
          </w:p>
          <w:p w14:paraId="58C25919" w14:textId="32E0FC75" w:rsidR="00911CEA" w:rsidRDefault="00911CEA">
            <w:pPr>
              <w:spacing w:after="240"/>
            </w:pPr>
          </w:p>
          <w:p w14:paraId="7C41EF50" w14:textId="0886D5F7" w:rsidR="00911CEA" w:rsidRDefault="00911CEA">
            <w:pPr>
              <w:spacing w:after="240"/>
            </w:pPr>
          </w:p>
          <w:p w14:paraId="37CB089F" w14:textId="77777777" w:rsidR="00911CEA" w:rsidRDefault="00911CEA">
            <w:pPr>
              <w:spacing w:after="240"/>
            </w:pPr>
          </w:p>
          <w:p w14:paraId="63AAB17B" w14:textId="77777777" w:rsidR="00F648DD" w:rsidRDefault="00F648DD" w:rsidP="00894032">
            <w:pPr>
              <w:pStyle w:val="Normalbullet"/>
              <w:numPr>
                <w:ilvl w:val="0"/>
                <w:numId w:val="0"/>
              </w:numPr>
              <w:ind w:left="283" w:hanging="283"/>
            </w:pPr>
          </w:p>
          <w:p w14:paraId="5FADE943" w14:textId="05AECB40" w:rsidR="00D85958" w:rsidRDefault="00D85958" w:rsidP="00D85958">
            <w:pPr>
              <w:pStyle w:val="Chartheading"/>
            </w:pPr>
            <w:r>
              <w:lastRenderedPageBreak/>
              <w:t>Expected vs observed deaths - respiratory diseases</w:t>
            </w:r>
          </w:p>
          <w:p w14:paraId="2D0644AA" w14:textId="1550AA49" w:rsidR="00725216" w:rsidRPr="00945E30" w:rsidRDefault="00B13797" w:rsidP="0043597C">
            <w:pPr>
              <w:pStyle w:val="Source"/>
            </w:pPr>
            <w:r>
              <w:rPr>
                <w:noProof/>
              </w:rPr>
              <w:drawing>
                <wp:inline distT="0" distB="0" distL="0" distR="0" wp14:anchorId="07470D29" wp14:editId="450F1A61">
                  <wp:extent cx="5724525" cy="23412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2341245"/>
                          </a:xfrm>
                          <a:prstGeom prst="rect">
                            <a:avLst/>
                          </a:prstGeom>
                          <a:noFill/>
                        </pic:spPr>
                      </pic:pic>
                    </a:graphicData>
                  </a:graphic>
                </wp:inline>
              </w:drawing>
            </w:r>
          </w:p>
        </w:tc>
      </w:tr>
      <w:tr w:rsidR="008D4AB5" w:rsidRPr="0023709A" w14:paraId="092DEAA2" w14:textId="77777777" w:rsidTr="00781694">
        <w:trPr>
          <w:trHeight w:val="300"/>
        </w:trPr>
        <w:tc>
          <w:tcPr>
            <w:tcW w:w="5000" w:type="pct"/>
            <w:shd w:val="clear" w:color="auto" w:fill="auto"/>
            <w:vAlign w:val="center"/>
          </w:tcPr>
          <w:p w14:paraId="5EA24425" w14:textId="57A9B232" w:rsidR="008D4AB5" w:rsidRPr="00B85825" w:rsidRDefault="008D4AB5" w:rsidP="00C9745E">
            <w:pPr>
              <w:pStyle w:val="Heading8"/>
            </w:pPr>
            <w:r w:rsidRPr="00B85825">
              <w:lastRenderedPageBreak/>
              <w:t xml:space="preserve">Upcoming major population </w:t>
            </w:r>
            <w:r w:rsidRPr="00D739EF">
              <w:t>releases</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5442"/>
              <w:gridCol w:w="1832"/>
              <w:gridCol w:w="1830"/>
            </w:tblGrid>
            <w:tr w:rsidR="0065411F" w:rsidRPr="009C2B09" w14:paraId="4652FBAB" w14:textId="77777777" w:rsidTr="00781694">
              <w:trPr>
                <w:trHeight w:val="271"/>
                <w:jc w:val="center"/>
              </w:trPr>
              <w:tc>
                <w:tcPr>
                  <w:tcW w:w="2989" w:type="pct"/>
                  <w:tcBorders>
                    <w:top w:val="single" w:sz="4" w:space="0" w:color="002C47" w:themeColor="accent1"/>
                    <w:bottom w:val="single" w:sz="4" w:space="0" w:color="002C47" w:themeColor="accent1"/>
                  </w:tcBorders>
                  <w:shd w:val="clear" w:color="auto" w:fill="auto"/>
                  <w:noWrap/>
                  <w:tcMar>
                    <w:left w:w="28" w:type="dxa"/>
                    <w:right w:w="0" w:type="dxa"/>
                  </w:tcMar>
                  <w:hideMark/>
                </w:tcPr>
                <w:p w14:paraId="121D25B9" w14:textId="77777777" w:rsidR="0065411F" w:rsidRPr="006B0A79" w:rsidRDefault="0065411F" w:rsidP="008D4AB5">
                  <w:pPr>
                    <w:spacing w:before="40" w:after="40" w:line="276" w:lineRule="auto"/>
                    <w:rPr>
                      <w:rFonts w:asciiTheme="minorHAnsi" w:eastAsia="Times New Roman" w:hAnsiTheme="minorHAnsi" w:cstheme="minorHAnsi"/>
                      <w:b/>
                      <w:color w:val="002C47" w:themeColor="accent1"/>
                      <w:sz w:val="18"/>
                      <w:szCs w:val="18"/>
                      <w:lang w:eastAsia="en-AU"/>
                    </w:rPr>
                  </w:pPr>
                  <w:r w:rsidRPr="006B0A79">
                    <w:rPr>
                      <w:rFonts w:asciiTheme="minorHAnsi" w:eastAsia="Times New Roman" w:hAnsiTheme="minorHAnsi" w:cstheme="minorHAnsi"/>
                      <w:b/>
                      <w:color w:val="002C47" w:themeColor="accent1"/>
                      <w:sz w:val="18"/>
                      <w:szCs w:val="18"/>
                      <w:lang w:eastAsia="en-AU"/>
                    </w:rPr>
                    <w:t>Release</w:t>
                  </w:r>
                </w:p>
              </w:tc>
              <w:tc>
                <w:tcPr>
                  <w:tcW w:w="1006" w:type="pct"/>
                  <w:tcBorders>
                    <w:top w:val="single" w:sz="4" w:space="0" w:color="002C47" w:themeColor="accent1"/>
                    <w:bottom w:val="single" w:sz="4" w:space="0" w:color="002C47" w:themeColor="accent1"/>
                  </w:tcBorders>
                </w:tcPr>
                <w:p w14:paraId="21EE24CE" w14:textId="71A00802" w:rsidR="00E16422" w:rsidRDefault="00E16422" w:rsidP="00C9745E">
                  <w:pPr>
                    <w:spacing w:before="40" w:after="40" w:line="276" w:lineRule="auto"/>
                    <w:jc w:val="center"/>
                    <w:rPr>
                      <w:rFonts w:asciiTheme="minorHAnsi" w:eastAsia="Times New Roman" w:hAnsiTheme="minorHAnsi" w:cstheme="minorHAnsi"/>
                      <w:b/>
                      <w:color w:val="002C47" w:themeColor="accent1"/>
                      <w:sz w:val="18"/>
                      <w:szCs w:val="18"/>
                      <w:lang w:eastAsia="en-AU"/>
                    </w:rPr>
                  </w:pPr>
                  <w:r>
                    <w:rPr>
                      <w:rFonts w:asciiTheme="minorHAnsi" w:eastAsia="Times New Roman" w:hAnsiTheme="minorHAnsi" w:cstheme="minorHAnsi"/>
                      <w:b/>
                      <w:color w:val="002C47" w:themeColor="accent1"/>
                      <w:sz w:val="18"/>
                      <w:szCs w:val="18"/>
                      <w:lang w:eastAsia="en-AU"/>
                    </w:rPr>
                    <w:t>Former catalogue</w:t>
                  </w:r>
                </w:p>
              </w:tc>
              <w:tc>
                <w:tcPr>
                  <w:tcW w:w="1005" w:type="pct"/>
                  <w:tcBorders>
                    <w:top w:val="single" w:sz="4" w:space="0" w:color="002C47" w:themeColor="accent1"/>
                    <w:bottom w:val="single" w:sz="4" w:space="0" w:color="002C47" w:themeColor="accent1"/>
                  </w:tcBorders>
                  <w:shd w:val="clear" w:color="auto" w:fill="auto"/>
                  <w:tcMar>
                    <w:left w:w="28" w:type="dxa"/>
                    <w:right w:w="0" w:type="dxa"/>
                  </w:tcMar>
                  <w:hideMark/>
                </w:tcPr>
                <w:p w14:paraId="50B83841" w14:textId="77777777" w:rsidR="0065411F" w:rsidRPr="006B0A79" w:rsidRDefault="0065411F" w:rsidP="00C9745E">
                  <w:pPr>
                    <w:spacing w:before="40" w:after="40" w:line="276" w:lineRule="auto"/>
                    <w:jc w:val="center"/>
                    <w:rPr>
                      <w:rFonts w:asciiTheme="minorHAnsi" w:eastAsia="Times New Roman" w:hAnsiTheme="minorHAnsi" w:cstheme="minorHAnsi"/>
                      <w:b/>
                      <w:color w:val="002C47" w:themeColor="accent1"/>
                      <w:sz w:val="18"/>
                      <w:szCs w:val="18"/>
                      <w:lang w:eastAsia="en-AU"/>
                    </w:rPr>
                  </w:pPr>
                  <w:r w:rsidRPr="006B0A79">
                    <w:rPr>
                      <w:rFonts w:asciiTheme="minorHAnsi" w:eastAsia="Times New Roman" w:hAnsiTheme="minorHAnsi" w:cstheme="minorHAnsi"/>
                      <w:b/>
                      <w:color w:val="002C47" w:themeColor="accent1"/>
                      <w:sz w:val="18"/>
                      <w:szCs w:val="18"/>
                      <w:lang w:eastAsia="en-AU"/>
                    </w:rPr>
                    <w:t>Release date</w:t>
                  </w:r>
                </w:p>
              </w:tc>
            </w:tr>
            <w:tr w:rsidR="0065411F" w:rsidRPr="009C2B09" w14:paraId="14BE9467" w14:textId="77777777" w:rsidTr="00781694">
              <w:trPr>
                <w:trHeight w:val="204"/>
                <w:jc w:val="center"/>
              </w:trPr>
              <w:tc>
                <w:tcPr>
                  <w:tcW w:w="2989" w:type="pct"/>
                  <w:tcBorders>
                    <w:top w:val="single" w:sz="4" w:space="0" w:color="002C47" w:themeColor="accent1"/>
                    <w:bottom w:val="nil"/>
                  </w:tcBorders>
                  <w:shd w:val="clear" w:color="auto" w:fill="auto"/>
                  <w:noWrap/>
                  <w:tcMar>
                    <w:left w:w="28" w:type="dxa"/>
                  </w:tcMar>
                  <w:vAlign w:val="bottom"/>
                </w:tcPr>
                <w:p w14:paraId="1F39E0BB" w14:textId="77D4BFED" w:rsidR="0065411F" w:rsidRPr="00513619" w:rsidRDefault="0065411F" w:rsidP="008E61EF">
                  <w:pPr>
                    <w:spacing w:before="40" w:after="40" w:line="276" w:lineRule="auto"/>
                    <w:rPr>
                      <w:rFonts w:asciiTheme="minorHAnsi" w:eastAsia="Times New Roman" w:hAnsiTheme="minorHAnsi" w:cstheme="minorHAnsi"/>
                      <w:b/>
                      <w:bCs/>
                      <w:color w:val="000000"/>
                      <w:sz w:val="18"/>
                      <w:szCs w:val="18"/>
                      <w:lang w:eastAsia="en-AU"/>
                    </w:rPr>
                  </w:pPr>
                  <w:r>
                    <w:rPr>
                      <w:rFonts w:asciiTheme="minorHAnsi" w:eastAsia="Times New Roman" w:hAnsiTheme="minorHAnsi" w:cstheme="minorHAnsi"/>
                      <w:b/>
                      <w:bCs/>
                      <w:color w:val="000000"/>
                      <w:sz w:val="18"/>
                      <w:szCs w:val="18"/>
                      <w:lang w:eastAsia="en-AU"/>
                    </w:rPr>
                    <w:t>Causes of Death, Australia, 2021</w:t>
                  </w:r>
                </w:p>
              </w:tc>
              <w:tc>
                <w:tcPr>
                  <w:tcW w:w="1006" w:type="pct"/>
                  <w:tcBorders>
                    <w:top w:val="single" w:sz="4" w:space="0" w:color="002C47" w:themeColor="accent1"/>
                    <w:bottom w:val="nil"/>
                  </w:tcBorders>
                </w:tcPr>
                <w:p w14:paraId="63922D7B" w14:textId="72031F9D" w:rsidR="00E16422" w:rsidRDefault="00490AA7" w:rsidP="00C9745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3303.0</w:t>
                  </w:r>
                </w:p>
              </w:tc>
              <w:tc>
                <w:tcPr>
                  <w:tcW w:w="1005" w:type="pct"/>
                  <w:tcBorders>
                    <w:top w:val="single" w:sz="4" w:space="0" w:color="002C47" w:themeColor="accent1"/>
                    <w:left w:val="nil"/>
                    <w:bottom w:val="nil"/>
                    <w:right w:val="nil"/>
                  </w:tcBorders>
                  <w:shd w:val="clear" w:color="auto" w:fill="auto"/>
                  <w:noWrap/>
                  <w:vAlign w:val="bottom"/>
                </w:tcPr>
                <w:p w14:paraId="651FEC71" w14:textId="7BE140BA" w:rsidR="0065411F" w:rsidRDefault="0065411F" w:rsidP="00C9745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6/04/2022</w:t>
                  </w:r>
                </w:p>
              </w:tc>
            </w:tr>
            <w:tr w:rsidR="0065411F" w:rsidRPr="009C2B09" w14:paraId="1DD1A7BF" w14:textId="77777777" w:rsidTr="00781694">
              <w:trPr>
                <w:trHeight w:val="204"/>
                <w:jc w:val="center"/>
              </w:trPr>
              <w:tc>
                <w:tcPr>
                  <w:tcW w:w="2989" w:type="pct"/>
                  <w:tcBorders>
                    <w:top w:val="nil"/>
                    <w:bottom w:val="nil"/>
                  </w:tcBorders>
                  <w:shd w:val="clear" w:color="auto" w:fill="auto"/>
                  <w:noWrap/>
                  <w:tcMar>
                    <w:left w:w="28" w:type="dxa"/>
                  </w:tcMar>
                  <w:vAlign w:val="bottom"/>
                </w:tcPr>
                <w:p w14:paraId="788DA8BB" w14:textId="79EE570B" w:rsidR="0065411F" w:rsidRPr="009C7802" w:rsidRDefault="0065411F" w:rsidP="008E61EF">
                  <w:pPr>
                    <w:spacing w:before="40" w:after="40" w:line="276" w:lineRule="auto"/>
                    <w:rPr>
                      <w:rFonts w:asciiTheme="minorHAnsi" w:eastAsia="Times New Roman" w:hAnsiTheme="minorHAnsi" w:cstheme="minorHAnsi"/>
                      <w:b/>
                      <w:sz w:val="18"/>
                      <w:szCs w:val="18"/>
                      <w:lang w:eastAsia="en-AU"/>
                    </w:rPr>
                  </w:pPr>
                  <w:r w:rsidRPr="00513619">
                    <w:rPr>
                      <w:rFonts w:asciiTheme="minorHAnsi" w:eastAsia="Times New Roman" w:hAnsiTheme="minorHAnsi" w:cstheme="minorHAnsi"/>
                      <w:b/>
                      <w:bCs/>
                      <w:color w:val="000000"/>
                      <w:sz w:val="18"/>
                      <w:szCs w:val="18"/>
                      <w:lang w:eastAsia="en-AU"/>
                    </w:rPr>
                    <w:t>National, state and territory population</w:t>
                  </w:r>
                  <w:r>
                    <w:rPr>
                      <w:rFonts w:asciiTheme="minorHAnsi" w:eastAsia="Times New Roman" w:hAnsiTheme="minorHAnsi" w:cstheme="minorHAnsi"/>
                      <w:b/>
                      <w:bCs/>
                      <w:color w:val="000000"/>
                      <w:sz w:val="18"/>
                      <w:szCs w:val="18"/>
                      <w:lang w:eastAsia="en-AU"/>
                    </w:rPr>
                    <w:t>, December 2021</w:t>
                  </w:r>
                </w:p>
              </w:tc>
              <w:tc>
                <w:tcPr>
                  <w:tcW w:w="1006" w:type="pct"/>
                  <w:tcBorders>
                    <w:top w:val="nil"/>
                    <w:bottom w:val="nil"/>
                  </w:tcBorders>
                </w:tcPr>
                <w:p w14:paraId="399764CE" w14:textId="32791D50" w:rsidR="00E16422" w:rsidRDefault="00E16422" w:rsidP="00C9745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3101.0</w:t>
                  </w:r>
                </w:p>
              </w:tc>
              <w:tc>
                <w:tcPr>
                  <w:tcW w:w="1005" w:type="pct"/>
                  <w:tcBorders>
                    <w:top w:val="nil"/>
                    <w:left w:val="nil"/>
                    <w:bottom w:val="nil"/>
                    <w:right w:val="nil"/>
                  </w:tcBorders>
                  <w:shd w:val="clear" w:color="auto" w:fill="auto"/>
                  <w:noWrap/>
                  <w:vAlign w:val="bottom"/>
                </w:tcPr>
                <w:p w14:paraId="2582966D" w14:textId="38428972" w:rsidR="0065411F" w:rsidRPr="009C7802" w:rsidRDefault="0065411F" w:rsidP="00C9745E">
                  <w:pPr>
                    <w:tabs>
                      <w:tab w:val="decimal" w:pos="741"/>
                    </w:tabs>
                    <w:spacing w:before="40" w:after="40" w:line="276" w:lineRule="auto"/>
                    <w:jc w:val="right"/>
                    <w:rPr>
                      <w:rFonts w:asciiTheme="minorHAnsi" w:eastAsia="Times New Roman" w:hAnsiTheme="minorHAnsi" w:cstheme="minorHAnsi"/>
                      <w:sz w:val="18"/>
                      <w:szCs w:val="18"/>
                      <w:lang w:eastAsia="en-AU"/>
                    </w:rPr>
                  </w:pPr>
                  <w:r>
                    <w:rPr>
                      <w:rFonts w:asciiTheme="minorHAnsi" w:eastAsia="Times New Roman" w:hAnsiTheme="minorHAnsi" w:cstheme="minorHAnsi"/>
                      <w:color w:val="000000"/>
                      <w:sz w:val="18"/>
                      <w:szCs w:val="18"/>
                      <w:lang w:eastAsia="en-AU"/>
                    </w:rPr>
                    <w:t>28/06/2022</w:t>
                  </w:r>
                </w:p>
              </w:tc>
            </w:tr>
            <w:tr w:rsidR="0065411F" w:rsidRPr="009C2B09" w14:paraId="438B0717" w14:textId="77777777" w:rsidTr="00781694">
              <w:trPr>
                <w:trHeight w:val="204"/>
                <w:jc w:val="center"/>
              </w:trPr>
              <w:tc>
                <w:tcPr>
                  <w:tcW w:w="2989" w:type="pct"/>
                  <w:tcBorders>
                    <w:top w:val="nil"/>
                    <w:bottom w:val="single" w:sz="4" w:space="0" w:color="auto"/>
                  </w:tcBorders>
                  <w:shd w:val="clear" w:color="auto" w:fill="auto"/>
                  <w:noWrap/>
                  <w:tcMar>
                    <w:left w:w="28" w:type="dxa"/>
                  </w:tcMar>
                  <w:vAlign w:val="bottom"/>
                </w:tcPr>
                <w:p w14:paraId="0F1CFD31" w14:textId="4E26EC3E" w:rsidR="0065411F" w:rsidRPr="009C7802" w:rsidRDefault="0065411F" w:rsidP="008E61EF">
                  <w:pPr>
                    <w:spacing w:before="40" w:after="40" w:line="276" w:lineRule="auto"/>
                    <w:rPr>
                      <w:rFonts w:asciiTheme="minorHAnsi" w:eastAsia="Times New Roman" w:hAnsiTheme="minorHAnsi" w:cstheme="minorHAnsi"/>
                      <w:b/>
                      <w:sz w:val="18"/>
                      <w:szCs w:val="18"/>
                      <w:lang w:eastAsia="en-AU"/>
                    </w:rPr>
                  </w:pPr>
                  <w:r>
                    <w:rPr>
                      <w:rFonts w:asciiTheme="minorHAnsi" w:eastAsia="Times New Roman" w:hAnsiTheme="minorHAnsi" w:cstheme="minorHAnsi"/>
                      <w:b/>
                      <w:bCs/>
                      <w:color w:val="000000"/>
                      <w:sz w:val="18"/>
                      <w:szCs w:val="18"/>
                      <w:lang w:eastAsia="en-AU"/>
                    </w:rPr>
                    <w:t>Deaths, Australia, 2021</w:t>
                  </w:r>
                </w:p>
              </w:tc>
              <w:tc>
                <w:tcPr>
                  <w:tcW w:w="1006" w:type="pct"/>
                  <w:tcBorders>
                    <w:top w:val="nil"/>
                    <w:bottom w:val="single" w:sz="4" w:space="0" w:color="auto"/>
                  </w:tcBorders>
                </w:tcPr>
                <w:p w14:paraId="6BF8CC46" w14:textId="6FBF9AE3" w:rsidR="00E16422" w:rsidRDefault="00490AA7" w:rsidP="00C9745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3302.0</w:t>
                  </w:r>
                </w:p>
              </w:tc>
              <w:tc>
                <w:tcPr>
                  <w:tcW w:w="1005" w:type="pct"/>
                  <w:tcBorders>
                    <w:top w:val="nil"/>
                    <w:left w:val="nil"/>
                    <w:bottom w:val="single" w:sz="4" w:space="0" w:color="auto"/>
                    <w:right w:val="nil"/>
                  </w:tcBorders>
                  <w:shd w:val="clear" w:color="auto" w:fill="auto"/>
                  <w:noWrap/>
                  <w:vAlign w:val="bottom"/>
                </w:tcPr>
                <w:p w14:paraId="736D4F60" w14:textId="4641D86C" w:rsidR="0065411F" w:rsidRPr="009C7802" w:rsidRDefault="0065411F" w:rsidP="00C9745E">
                  <w:pPr>
                    <w:tabs>
                      <w:tab w:val="decimal" w:pos="741"/>
                    </w:tabs>
                    <w:spacing w:before="40" w:after="40" w:line="276" w:lineRule="auto"/>
                    <w:jc w:val="right"/>
                    <w:rPr>
                      <w:rFonts w:asciiTheme="minorHAnsi" w:eastAsia="Times New Roman" w:hAnsiTheme="minorHAnsi" w:cstheme="minorHAnsi"/>
                      <w:sz w:val="18"/>
                      <w:szCs w:val="18"/>
                      <w:lang w:eastAsia="en-AU"/>
                    </w:rPr>
                  </w:pPr>
                  <w:r>
                    <w:rPr>
                      <w:rFonts w:asciiTheme="minorHAnsi" w:eastAsia="Times New Roman" w:hAnsiTheme="minorHAnsi" w:cstheme="minorHAnsi"/>
                      <w:color w:val="000000"/>
                      <w:sz w:val="18"/>
                      <w:szCs w:val="18"/>
                      <w:lang w:eastAsia="en-AU"/>
                    </w:rPr>
                    <w:t>29/09/2022</w:t>
                  </w:r>
                </w:p>
              </w:tc>
            </w:tr>
          </w:tbl>
          <w:p w14:paraId="3334BC70" w14:textId="7C7DE6A7" w:rsidR="003C1993" w:rsidRPr="00FB2ABF" w:rsidRDefault="003C1993" w:rsidP="00FC5B3C"/>
        </w:tc>
      </w:tr>
      <w:tr w:rsidR="00725216" w:rsidRPr="0023709A" w14:paraId="5CA9948B" w14:textId="77777777" w:rsidTr="00A732ED">
        <w:trPr>
          <w:trHeight w:val="300"/>
        </w:trPr>
        <w:tc>
          <w:tcPr>
            <w:tcW w:w="5000" w:type="pct"/>
            <w:shd w:val="clear" w:color="auto" w:fill="auto"/>
          </w:tcPr>
          <w:p w14:paraId="4B60D3C9" w14:textId="77777777" w:rsidR="00725216" w:rsidRPr="00834409" w:rsidRDefault="00725216" w:rsidP="00FC5B3C">
            <w:pPr>
              <w:pStyle w:val="Source"/>
              <w:ind w:left="0" w:firstLine="0"/>
            </w:pPr>
          </w:p>
        </w:tc>
      </w:tr>
      <w:tr w:rsidR="00725216" w:rsidRPr="00D24DBE" w14:paraId="4AB1EC6E" w14:textId="77777777" w:rsidTr="00A732ED">
        <w:trPr>
          <w:trHeight w:val="300"/>
        </w:trPr>
        <w:tc>
          <w:tcPr>
            <w:tcW w:w="5000" w:type="pct"/>
            <w:shd w:val="clear" w:color="auto" w:fill="auto"/>
            <w:vAlign w:val="center"/>
          </w:tcPr>
          <w:p w14:paraId="70B4801F" w14:textId="5750273D" w:rsidR="00725216" w:rsidRDefault="00725216" w:rsidP="00F21FAB">
            <w:pPr>
              <w:pStyle w:val="Heading3"/>
            </w:pPr>
            <w:r>
              <w:t>NOTES</w:t>
            </w:r>
          </w:p>
          <w:p w14:paraId="390A021A" w14:textId="2F6D867C" w:rsidR="004C69C9" w:rsidRDefault="00B44BF7" w:rsidP="0035677A">
            <w:pPr>
              <w:rPr>
                <w:rFonts w:asciiTheme="minorHAnsi" w:hAnsiTheme="minorHAnsi"/>
                <w:shd w:val="clear" w:color="auto" w:fill="FFFFFF"/>
              </w:rPr>
            </w:pPr>
            <w:r>
              <w:t xml:space="preserve">Data for this release includes doctor-certified deaths that occurred by 31 </w:t>
            </w:r>
            <w:r w:rsidR="003D289B">
              <w:t>December</w:t>
            </w:r>
            <w:r>
              <w:t xml:space="preserve"> 2021 and were registered by </w:t>
            </w:r>
            <w:r w:rsidR="003D289B">
              <w:t>28</w:t>
            </w:r>
            <w:r>
              <w:t xml:space="preserve"> </w:t>
            </w:r>
            <w:r w:rsidR="003D289B">
              <w:t>February</w:t>
            </w:r>
            <w:r>
              <w:t xml:space="preserve"> 202</w:t>
            </w:r>
            <w:r w:rsidR="003D289B">
              <w:t>2</w:t>
            </w:r>
            <w:r>
              <w:t>.</w:t>
            </w:r>
            <w:r w:rsidR="009156FB">
              <w:t xml:space="preserve"> </w:t>
            </w:r>
            <w:r w:rsidR="0035677A">
              <w:t>Provisional data in this release only include</w:t>
            </w:r>
            <w:r w:rsidR="002156B8">
              <w:t>s</w:t>
            </w:r>
            <w:r w:rsidR="0035677A" w:rsidRPr="006579A0">
              <w:t xml:space="preserve"> doctor-certified deaths</w:t>
            </w:r>
            <w:r w:rsidR="0035677A">
              <w:t xml:space="preserve">, and therefore </w:t>
            </w:r>
            <w:r w:rsidR="0035677A" w:rsidRPr="006579A0">
              <w:t xml:space="preserve">not comparable with the annual </w:t>
            </w:r>
            <w:r w:rsidR="0035677A" w:rsidRPr="00A268EF">
              <w:rPr>
                <w:i/>
              </w:rPr>
              <w:t xml:space="preserve">Deaths </w:t>
            </w:r>
            <w:r w:rsidR="0035677A" w:rsidRPr="00957951">
              <w:t>and</w:t>
            </w:r>
            <w:r w:rsidR="0035677A" w:rsidRPr="00A268EF">
              <w:rPr>
                <w:i/>
              </w:rPr>
              <w:t xml:space="preserve"> Causes of Death</w:t>
            </w:r>
            <w:r w:rsidR="0035677A" w:rsidRPr="006579A0">
              <w:t xml:space="preserve"> </w:t>
            </w:r>
            <w:r w:rsidR="002156B8">
              <w:t xml:space="preserve">data released by the </w:t>
            </w:r>
            <w:r w:rsidR="00AC4BD4">
              <w:t>ABS</w:t>
            </w:r>
            <w:r w:rsidR="002156B8">
              <w:t xml:space="preserve">, </w:t>
            </w:r>
            <w:r w:rsidR="0035677A">
              <w:t>which also include coroner</w:t>
            </w:r>
            <w:r w:rsidR="0035677A">
              <w:noBreakHyphen/>
              <w:t>certified deaths</w:t>
            </w:r>
            <w:r w:rsidR="0035677A" w:rsidRPr="006579A0">
              <w:t xml:space="preserve">. </w:t>
            </w:r>
            <w:r w:rsidR="0035677A" w:rsidRPr="00145BAB">
              <w:rPr>
                <w:rFonts w:asciiTheme="minorHAnsi" w:hAnsiTheme="minorHAnsi"/>
                <w:shd w:val="clear" w:color="auto" w:fill="FFFFFF"/>
              </w:rPr>
              <w:t>Each year just over 10</w:t>
            </w:r>
            <w:r w:rsidR="0035677A">
              <w:rPr>
                <w:rFonts w:asciiTheme="minorHAnsi" w:hAnsiTheme="minorHAnsi"/>
                <w:shd w:val="clear" w:color="auto" w:fill="FFFFFF"/>
              </w:rPr>
              <w:t> per cent</w:t>
            </w:r>
            <w:r w:rsidR="0035677A" w:rsidRPr="00145BAB">
              <w:rPr>
                <w:rFonts w:asciiTheme="minorHAnsi" w:hAnsiTheme="minorHAnsi"/>
                <w:shd w:val="clear" w:color="auto" w:fill="FFFFFF"/>
              </w:rPr>
              <w:t xml:space="preserve"> of deaths in Australia are certified by a coroner. These include reportable deaths including suicides, drug overdoses and assaults</w:t>
            </w:r>
            <w:r w:rsidR="0035677A">
              <w:rPr>
                <w:rFonts w:asciiTheme="minorHAnsi" w:hAnsiTheme="minorHAnsi"/>
                <w:shd w:val="clear" w:color="auto" w:fill="FFFFFF"/>
              </w:rPr>
              <w:t>.</w:t>
            </w:r>
          </w:p>
          <w:p w14:paraId="2999BB93" w14:textId="4446F0F5" w:rsidR="009156FB" w:rsidRDefault="0035677A" w:rsidP="00F21FAB">
            <w:r w:rsidRPr="006579A0">
              <w:t xml:space="preserve">Each new </w:t>
            </w:r>
            <w:r w:rsidRPr="00A268EF">
              <w:rPr>
                <w:i/>
              </w:rPr>
              <w:t>Provisional Mortality Statistics</w:t>
            </w:r>
            <w:r w:rsidRPr="006579A0">
              <w:t xml:space="preserve"> release will include those deaths that have been registered and reported to the A</w:t>
            </w:r>
            <w:r>
              <w:t xml:space="preserve">ustralian </w:t>
            </w:r>
            <w:r w:rsidRPr="006579A0">
              <w:t>B</w:t>
            </w:r>
            <w:r>
              <w:t xml:space="preserve">ureau of </w:t>
            </w:r>
            <w:r w:rsidRPr="006579A0">
              <w:t>S</w:t>
            </w:r>
            <w:r>
              <w:t>tatistics</w:t>
            </w:r>
            <w:r w:rsidRPr="006579A0">
              <w:t xml:space="preserve"> since the previous </w:t>
            </w:r>
            <w:r>
              <w:t>release</w:t>
            </w:r>
            <w:r w:rsidRPr="006579A0">
              <w:t xml:space="preserve">. As some of those deaths will have occurred in time periods covered in previous reports, the counts of deaths for those time periods will change from one report to the next. As a result, </w:t>
            </w:r>
            <w:r>
              <w:t>the cumulative</w:t>
            </w:r>
            <w:r w:rsidRPr="006579A0">
              <w:t xml:space="preserve"> numbers </w:t>
            </w:r>
            <w:r>
              <w:t>of deaths for the January-December</w:t>
            </w:r>
            <w:r w:rsidRPr="006579A0">
              <w:t xml:space="preserve"> period will change in future releases. </w:t>
            </w:r>
            <w:r w:rsidR="00C74212">
              <w:rPr>
                <w:i/>
                <w:iCs/>
              </w:rPr>
              <w:t xml:space="preserve">Provisional Mortality Statistics </w:t>
            </w:r>
            <w:r w:rsidR="00C74212">
              <w:t>is release</w:t>
            </w:r>
            <w:r w:rsidR="00C6193B">
              <w:t>d</w:t>
            </w:r>
            <w:r w:rsidR="00C74212">
              <w:t xml:space="preserve"> </w:t>
            </w:r>
            <w:r w:rsidR="002156B8">
              <w:t xml:space="preserve">on a monthly basis </w:t>
            </w:r>
            <w:r w:rsidR="00C74212">
              <w:t>by the Australian Bureau of Statistics</w:t>
            </w:r>
            <w:r w:rsidR="009156FB">
              <w:t xml:space="preserve"> (ABS)</w:t>
            </w:r>
            <w:r w:rsidR="00C74212">
              <w:t>. The Centre for Population prepares notes analysing these releases on a quarterly basis.</w:t>
            </w:r>
          </w:p>
          <w:p w14:paraId="30F9E674" w14:textId="77777777" w:rsidR="00725216" w:rsidRDefault="009156FB" w:rsidP="00F21FAB">
            <w:r>
              <w:t xml:space="preserve">Care should be taken when comparing results from </w:t>
            </w:r>
            <w:r w:rsidR="00453AD2">
              <w:t xml:space="preserve">the ABS </w:t>
            </w:r>
            <w:r>
              <w:t>excess deaths analysis</w:t>
            </w:r>
            <w:r w:rsidR="00453AD2">
              <w:t xml:space="preserve"> published in </w:t>
            </w:r>
            <w:r w:rsidR="00453AD2">
              <w:rPr>
                <w:i/>
                <w:iCs/>
              </w:rPr>
              <w:t>Measuring Australia’s excess mortality during the COVID-19 pandemic</w:t>
            </w:r>
            <w:r>
              <w:t xml:space="preserve"> </w:t>
            </w:r>
            <w:r w:rsidR="00453AD2">
              <w:t>with excess deaths calculated elsewhere</w:t>
            </w:r>
            <w:r>
              <w:t xml:space="preserve"> due to differences in methodology and source data. </w:t>
            </w:r>
            <w:r w:rsidR="00453AD2">
              <w:t>T</w:t>
            </w:r>
            <w:r>
              <w:t xml:space="preserve">he ABS has adopted aspects of methodology used by New South Wales </w:t>
            </w:r>
            <w:r w:rsidR="008D2DFF">
              <w:t xml:space="preserve">Health </w:t>
            </w:r>
            <w:r w:rsidR="00453AD2">
              <w:t>in its analysis</w:t>
            </w:r>
            <w:r>
              <w:t>, applying cyclical linear regression with a robust estimation procedure to produce an expected number of deaths and a range of expected deaths</w:t>
            </w:r>
            <w:r w:rsidR="00453AD2">
              <w:t xml:space="preserve"> </w:t>
            </w:r>
            <w:r w:rsidR="00453AD2" w:rsidRPr="00453AD2">
              <w:t>for 2021 all cause and cause-specific</w:t>
            </w:r>
            <w:r w:rsidR="00453AD2">
              <w:t xml:space="preserve"> </w:t>
            </w:r>
            <w:r w:rsidR="00453AD2" w:rsidRPr="00453AD2">
              <w:t>mortality</w:t>
            </w:r>
            <w:r w:rsidR="00453AD2">
              <w:t>.</w:t>
            </w:r>
            <w:r w:rsidR="002C3E2B">
              <w:t xml:space="preserve"> </w:t>
            </w:r>
            <w:r w:rsidR="00725216">
              <w:t xml:space="preserve">Further detail is available from the </w:t>
            </w:r>
            <w:hyperlink r:id="rId20" w:history="1">
              <w:r w:rsidR="00801A20" w:rsidRPr="00801A20">
                <w:rPr>
                  <w:rStyle w:val="Hyperlink"/>
                </w:rPr>
                <w:t>Australian Bureau of Statistics</w:t>
              </w:r>
            </w:hyperlink>
            <w:r w:rsidR="00801A20">
              <w:t>.</w:t>
            </w:r>
          </w:p>
          <w:p w14:paraId="57A4071E" w14:textId="0D8E8E68" w:rsidR="00A732ED" w:rsidRPr="00D24DBE" w:rsidRDefault="00A732ED" w:rsidP="00F21FAB"/>
        </w:tc>
      </w:tr>
      <w:bookmarkEnd w:id="2"/>
    </w:tbl>
    <w:p w14:paraId="2748F8F0" w14:textId="1E67D6A1" w:rsidR="00725216" w:rsidRDefault="00725216" w:rsidP="002B2C11">
      <w:pPr>
        <w:rPr>
          <w:color w:val="000000"/>
        </w:rPr>
      </w:pPr>
    </w:p>
    <w:sectPr w:rsidR="00725216" w:rsidSect="00763EB8">
      <w:headerReference w:type="even" r:id="rId21"/>
      <w:headerReference w:type="default" r:id="rId22"/>
      <w:footerReference w:type="even" r:id="rId23"/>
      <w:footerReference w:type="default" r:id="rId24"/>
      <w:headerReference w:type="first" r:id="rId25"/>
      <w:footerReference w:type="first" r:id="rId26"/>
      <w:footnotePr>
        <w:pos w:val="beneathText"/>
      </w:footnotePr>
      <w:pgSz w:w="11906" w:h="16838" w:code="9"/>
      <w:pgMar w:top="1440" w:right="1440" w:bottom="1440"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A816" w14:textId="77777777" w:rsidR="00645C99" w:rsidRDefault="00645C99" w:rsidP="008F6A37">
      <w:r>
        <w:separator/>
      </w:r>
    </w:p>
  </w:endnote>
  <w:endnote w:type="continuationSeparator" w:id="0">
    <w:p w14:paraId="7718BCCA" w14:textId="77777777" w:rsidR="00645C99" w:rsidRDefault="00645C99" w:rsidP="008F6A37">
      <w:r>
        <w:continuationSeparator/>
      </w:r>
    </w:p>
  </w:endnote>
  <w:endnote w:type="continuationNotice" w:id="1">
    <w:p w14:paraId="6DDE29FF" w14:textId="77777777" w:rsidR="00645C99" w:rsidRDefault="00645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91A5" w14:textId="75752A09" w:rsidR="00934FD1" w:rsidRDefault="00934FD1">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3</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27CF" w14:textId="4DDB57AF" w:rsidR="00934FD1" w:rsidRDefault="00934FD1"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6305" w14:textId="7B5B23E0" w:rsidR="00934FD1" w:rsidRDefault="00934FD1"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923F" w14:textId="77777777" w:rsidR="00645C99" w:rsidRDefault="00645C99" w:rsidP="008F6A37">
      <w:r>
        <w:separator/>
      </w:r>
    </w:p>
  </w:footnote>
  <w:footnote w:type="continuationSeparator" w:id="0">
    <w:p w14:paraId="741E259B" w14:textId="77777777" w:rsidR="00645C99" w:rsidRDefault="00645C99" w:rsidP="008F6A37">
      <w:r>
        <w:continuationSeparator/>
      </w:r>
    </w:p>
  </w:footnote>
  <w:footnote w:type="continuationNotice" w:id="1">
    <w:p w14:paraId="60D30779" w14:textId="77777777" w:rsidR="00645C99" w:rsidRDefault="00645C99"/>
  </w:footnote>
  <w:footnote w:id="2">
    <w:p w14:paraId="5AF36763" w14:textId="560061F8" w:rsidR="00615F4B" w:rsidRDefault="00615F4B" w:rsidP="00894032">
      <w:r>
        <w:rPr>
          <w:rStyle w:val="FootnoteReference"/>
        </w:rPr>
        <w:footnoteRef/>
      </w:r>
      <w:r w:rsidRPr="00E52F72">
        <w:rPr>
          <w:sz w:val="18"/>
          <w:szCs w:val="18"/>
        </w:rPr>
        <w:t xml:space="preserve"> </w:t>
      </w:r>
      <w:r w:rsidR="00ED6241">
        <w:rPr>
          <w:sz w:val="18"/>
          <w:szCs w:val="18"/>
        </w:rPr>
        <w:t>T</w:t>
      </w:r>
      <w:r w:rsidRPr="00E52F72">
        <w:rPr>
          <w:sz w:val="16"/>
          <w:szCs w:val="16"/>
        </w:rPr>
        <w:t xml:space="preserve">here is natural variation in patterns of mortality. While </w:t>
      </w:r>
      <w:r w:rsidR="001841B3">
        <w:rPr>
          <w:sz w:val="16"/>
          <w:szCs w:val="16"/>
        </w:rPr>
        <w:t xml:space="preserve">observed </w:t>
      </w:r>
      <w:r w:rsidRPr="00E52F72">
        <w:rPr>
          <w:sz w:val="16"/>
          <w:szCs w:val="16"/>
        </w:rPr>
        <w:t xml:space="preserve">deaths may be different from </w:t>
      </w:r>
      <w:r w:rsidR="00ED6241">
        <w:rPr>
          <w:sz w:val="16"/>
          <w:szCs w:val="16"/>
        </w:rPr>
        <w:t xml:space="preserve">that </w:t>
      </w:r>
      <w:r w:rsidR="00CA69FA">
        <w:rPr>
          <w:sz w:val="16"/>
          <w:szCs w:val="16"/>
        </w:rPr>
        <w:t>expected</w:t>
      </w:r>
      <w:r w:rsidRPr="00E52F72">
        <w:rPr>
          <w:sz w:val="16"/>
          <w:szCs w:val="16"/>
        </w:rPr>
        <w:t xml:space="preserve">, it should fall within </w:t>
      </w:r>
      <w:r w:rsidR="00ED6241">
        <w:rPr>
          <w:sz w:val="16"/>
          <w:szCs w:val="16"/>
        </w:rPr>
        <w:t xml:space="preserve">a </w:t>
      </w:r>
      <w:r w:rsidRPr="00E52F72">
        <w:rPr>
          <w:sz w:val="16"/>
          <w:szCs w:val="16"/>
        </w:rPr>
        <w:t xml:space="preserve">range. When deaths </w:t>
      </w:r>
      <w:r w:rsidR="00C0155B">
        <w:rPr>
          <w:sz w:val="16"/>
          <w:szCs w:val="16"/>
        </w:rPr>
        <w:t xml:space="preserve">are outside the range </w:t>
      </w:r>
      <w:r w:rsidR="00ED6241">
        <w:rPr>
          <w:sz w:val="16"/>
          <w:szCs w:val="16"/>
        </w:rPr>
        <w:t xml:space="preserve">it </w:t>
      </w:r>
      <w:r w:rsidRPr="00E52F72">
        <w:rPr>
          <w:sz w:val="16"/>
          <w:szCs w:val="16"/>
        </w:rPr>
        <w:t>indicates a statistically significant change in the pattern of mortality.</w:t>
      </w:r>
    </w:p>
  </w:footnote>
  <w:footnote w:id="3">
    <w:p w14:paraId="3A1069A9" w14:textId="77777777" w:rsidR="005D7CFD" w:rsidRDefault="005D7CFD" w:rsidP="005D7CFD">
      <w:pPr>
        <w:pStyle w:val="FootnoteText"/>
      </w:pPr>
      <w:r>
        <w:rPr>
          <w:rStyle w:val="FootnoteReference"/>
        </w:rPr>
        <w:footnoteRef/>
      </w:r>
      <w:r>
        <w:t xml:space="preserve"> Daily new COVID-19 infection data sourced from </w:t>
      </w:r>
      <w:hyperlink r:id="rId1" w:history="1">
        <w:r w:rsidRPr="008E5A52">
          <w:rPr>
            <w:rStyle w:val="Hyperlink"/>
            <w:u w:val="single"/>
          </w:rPr>
          <w:t>Our World in Data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D1D4" w14:textId="0A9FACF2" w:rsidR="00934FD1" w:rsidRPr="00763EB8" w:rsidRDefault="00934FD1" w:rsidP="00763EB8">
    <w:pPr>
      <w:pStyle w:val="Header"/>
      <w:jc w:val="left"/>
      <w:rPr>
        <w:color w:val="002C47" w:themeColor="accent1"/>
      </w:rPr>
    </w:pPr>
    <w:r w:rsidRPr="00763EB8">
      <w:rPr>
        <w:color w:val="002C47" w:themeColor="accent1"/>
      </w:rPr>
      <w:t>Centre for Population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A917" w14:textId="5E710CD6" w:rsidR="00934FD1" w:rsidRPr="008E62BE" w:rsidRDefault="00934FD1" w:rsidP="008E62BE">
    <w:pPr>
      <w:pStyle w:val="HeaderOdd"/>
      <w:rPr>
        <w:b w:val="0"/>
        <w:i/>
        <w:iCs/>
      </w:rPr>
    </w:pPr>
    <w:r w:rsidRPr="008E62BE">
      <w:rPr>
        <w:b w:val="0"/>
        <w:i/>
        <w:iCs/>
      </w:rPr>
      <w:fldChar w:fldCharType="begin"/>
    </w:r>
    <w:r w:rsidRPr="008E62BE">
      <w:rPr>
        <w:b w:val="0"/>
        <w:i/>
        <w:iCs/>
      </w:rPr>
      <w:instrText xml:space="preserve"> REF _Ref75254943 \h  \* MERGEFORMAT </w:instrText>
    </w:r>
    <w:r w:rsidRPr="008E62BE">
      <w:rPr>
        <w:b w:val="0"/>
        <w:i/>
        <w:iCs/>
      </w:rPr>
    </w:r>
    <w:r w:rsidRPr="008E62BE">
      <w:rPr>
        <w:b w:val="0"/>
        <w:i/>
        <w:iCs/>
      </w:rPr>
      <w:fldChar w:fldCharType="separate"/>
    </w:r>
    <w:r w:rsidR="00012A0C" w:rsidRPr="00012A0C">
      <w:rPr>
        <w:b w:val="0"/>
        <w:i/>
        <w:iCs/>
      </w:rPr>
      <w:t>Mortality during the COVID-19 pandemic</w:t>
    </w:r>
    <w:r w:rsidRPr="008E62BE">
      <w:rPr>
        <w:b w:val="0"/>
        <w:i/>
        <w:iCs/>
      </w:rPr>
      <w:fldChar w:fldCharType="end"/>
    </w:r>
    <w:r w:rsidR="00A13E15" w:rsidRPr="008E62BE">
      <w:rPr>
        <w:b w:val="0"/>
        <w:i/>
        <w:i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CB3" w14:textId="5162B5A1" w:rsidR="00934FD1" w:rsidRPr="00725216" w:rsidRDefault="00934FD1" w:rsidP="00725216">
    <w:pPr>
      <w:pStyle w:val="Header"/>
    </w:pPr>
    <w:r>
      <w:rPr>
        <w:noProof/>
        <w:lang w:eastAsia="en-AU"/>
      </w:rPr>
      <w:drawing>
        <wp:anchor distT="0" distB="0" distL="114300" distR="114300" simplePos="0" relativeHeight="251658240" behindDoc="0" locked="0" layoutInCell="1" allowOverlap="1" wp14:anchorId="52DEB93A" wp14:editId="52D99F80">
          <wp:simplePos x="0" y="0"/>
          <wp:positionH relativeFrom="page">
            <wp:align>left</wp:align>
          </wp:positionH>
          <wp:positionV relativeFrom="paragraph">
            <wp:posOffset>-447675</wp:posOffset>
          </wp:positionV>
          <wp:extent cx="7559994" cy="144130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F43090"/>
    <w:lvl w:ilvl="0">
      <w:start w:val="1"/>
      <w:numFmt w:val="decimal"/>
      <w:lvlText w:val="%1."/>
      <w:lvlJc w:val="left"/>
      <w:pPr>
        <w:tabs>
          <w:tab w:val="num" w:pos="2201"/>
        </w:tabs>
        <w:ind w:left="2201" w:hanging="360"/>
      </w:pPr>
    </w:lvl>
  </w:abstractNum>
  <w:abstractNum w:abstractNumId="1" w15:restartNumberingAfterBreak="0">
    <w:nsid w:val="FFFFFF7D"/>
    <w:multiLevelType w:val="singleLevel"/>
    <w:tmpl w:val="728CD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E2B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AA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5AB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2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24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D2A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707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20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BA4874"/>
    <w:multiLevelType w:val="hybridMultilevel"/>
    <w:tmpl w:val="72C8C45E"/>
    <w:lvl w:ilvl="0" w:tplc="50101060">
      <w:start w:val="321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5"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326A3C"/>
    <w:multiLevelType w:val="multilevel"/>
    <w:tmpl w:val="0CEAE75A"/>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7"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68013C"/>
    <w:multiLevelType w:val="hybridMultilevel"/>
    <w:tmpl w:val="0B3AFBD8"/>
    <w:lvl w:ilvl="0" w:tplc="5112A3CA">
      <w:start w:val="1"/>
      <w:numFmt w:val="decimal"/>
      <w:pStyle w:val="Heading8"/>
      <w:lvlText w:val="Table %1."/>
      <w:lvlJc w:val="left"/>
      <w:pPr>
        <w:tabs>
          <w:tab w:val="num" w:pos="992"/>
        </w:tabs>
        <w:ind w:left="992" w:hanging="99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5A02C0"/>
    <w:multiLevelType w:val="hybridMultilevel"/>
    <w:tmpl w:val="C52A4FF2"/>
    <w:lvl w:ilvl="0" w:tplc="5EFA26C2">
      <w:start w:val="1"/>
      <w:numFmt w:val="decimal"/>
      <w:pStyle w:val="ChartMainHeading"/>
      <w:lvlText w:val="Chart %1."/>
      <w:lvlJc w:val="left"/>
      <w:pPr>
        <w:tabs>
          <w:tab w:val="num" w:pos="992"/>
        </w:tabs>
        <w:ind w:left="992" w:hanging="99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7"/>
  </w:num>
  <w:num w:numId="17">
    <w:abstractNumId w:val="25"/>
  </w:num>
  <w:num w:numId="18">
    <w:abstractNumId w:val="18"/>
  </w:num>
  <w:num w:numId="19">
    <w:abstractNumId w:val="13"/>
  </w:num>
  <w:num w:numId="20">
    <w:abstractNumId w:val="21"/>
  </w:num>
  <w:num w:numId="21">
    <w:abstractNumId w:val="14"/>
  </w:num>
  <w:num w:numId="22">
    <w:abstractNumId w:val="19"/>
  </w:num>
  <w:num w:numId="23">
    <w:abstractNumId w:val="11"/>
  </w:num>
  <w:num w:numId="24">
    <w:abstractNumId w:val="15"/>
  </w:num>
  <w:num w:numId="25">
    <w:abstractNumId w:val="23"/>
  </w:num>
  <w:num w:numId="26">
    <w:abstractNumId w:val="20"/>
  </w:num>
  <w:num w:numId="27">
    <w:abstractNumId w:val="24"/>
  </w:num>
  <w:num w:numId="28">
    <w:abstractNumId w:val="27"/>
  </w:num>
  <w:num w:numId="29">
    <w:abstractNumId w:val="26"/>
  </w:num>
  <w:num w:numId="30">
    <w:abstractNumId w:val="22"/>
  </w:num>
  <w:num w:numId="31">
    <w:abstractNumId w:val="27"/>
  </w:num>
  <w:num w:numId="32">
    <w:abstractNumId w:val="16"/>
  </w:num>
  <w:num w:numId="33">
    <w:abstractNumId w:val="16"/>
  </w:num>
  <w:num w:numId="34">
    <w:abstractNumId w:val="16"/>
  </w:num>
  <w:num w:numId="35">
    <w:abstractNumId w:val="27"/>
  </w:num>
  <w:num w:numId="36">
    <w:abstractNumId w:val="27"/>
  </w:num>
  <w:num w:numId="37">
    <w:abstractNumId w:val="27"/>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25C3"/>
    <w:rsid w:val="000037DE"/>
    <w:rsid w:val="00005552"/>
    <w:rsid w:val="00005C33"/>
    <w:rsid w:val="00005FDD"/>
    <w:rsid w:val="000075D6"/>
    <w:rsid w:val="00011E58"/>
    <w:rsid w:val="00012A0C"/>
    <w:rsid w:val="0001357F"/>
    <w:rsid w:val="000135AD"/>
    <w:rsid w:val="000138FE"/>
    <w:rsid w:val="00014B3E"/>
    <w:rsid w:val="00017247"/>
    <w:rsid w:val="000212AE"/>
    <w:rsid w:val="000219AA"/>
    <w:rsid w:val="00022B42"/>
    <w:rsid w:val="00022C7A"/>
    <w:rsid w:val="00023CBA"/>
    <w:rsid w:val="00024A4C"/>
    <w:rsid w:val="00024B99"/>
    <w:rsid w:val="00024D0B"/>
    <w:rsid w:val="00027731"/>
    <w:rsid w:val="00027CE2"/>
    <w:rsid w:val="000321E4"/>
    <w:rsid w:val="0003236B"/>
    <w:rsid w:val="00032A49"/>
    <w:rsid w:val="000330A2"/>
    <w:rsid w:val="00033AD3"/>
    <w:rsid w:val="0003479B"/>
    <w:rsid w:val="0003624B"/>
    <w:rsid w:val="00036886"/>
    <w:rsid w:val="00036CE7"/>
    <w:rsid w:val="0004038D"/>
    <w:rsid w:val="00040405"/>
    <w:rsid w:val="000405D3"/>
    <w:rsid w:val="000409F3"/>
    <w:rsid w:val="0004496F"/>
    <w:rsid w:val="00044A6C"/>
    <w:rsid w:val="00044BD0"/>
    <w:rsid w:val="00046CD7"/>
    <w:rsid w:val="00046DAC"/>
    <w:rsid w:val="0004718D"/>
    <w:rsid w:val="000479F6"/>
    <w:rsid w:val="00047BA9"/>
    <w:rsid w:val="000507D3"/>
    <w:rsid w:val="000537F3"/>
    <w:rsid w:val="00053DE3"/>
    <w:rsid w:val="00053FF1"/>
    <w:rsid w:val="0005424F"/>
    <w:rsid w:val="0005568F"/>
    <w:rsid w:val="00055F66"/>
    <w:rsid w:val="00056E4C"/>
    <w:rsid w:val="00057787"/>
    <w:rsid w:val="00057D34"/>
    <w:rsid w:val="0006007C"/>
    <w:rsid w:val="000613EE"/>
    <w:rsid w:val="00064D04"/>
    <w:rsid w:val="00065FAE"/>
    <w:rsid w:val="000702C0"/>
    <w:rsid w:val="00071BBE"/>
    <w:rsid w:val="00072387"/>
    <w:rsid w:val="00073631"/>
    <w:rsid w:val="000741B6"/>
    <w:rsid w:val="0007513C"/>
    <w:rsid w:val="0008139F"/>
    <w:rsid w:val="00081BE4"/>
    <w:rsid w:val="000833DC"/>
    <w:rsid w:val="00085343"/>
    <w:rsid w:val="00085F2A"/>
    <w:rsid w:val="000875E5"/>
    <w:rsid w:val="00093E21"/>
    <w:rsid w:val="00094A06"/>
    <w:rsid w:val="00096136"/>
    <w:rsid w:val="000967BC"/>
    <w:rsid w:val="000A130F"/>
    <w:rsid w:val="000A1BF3"/>
    <w:rsid w:val="000A26B6"/>
    <w:rsid w:val="000A2E8D"/>
    <w:rsid w:val="000A45D9"/>
    <w:rsid w:val="000A709B"/>
    <w:rsid w:val="000A77D4"/>
    <w:rsid w:val="000B065B"/>
    <w:rsid w:val="000B1417"/>
    <w:rsid w:val="000B2BC3"/>
    <w:rsid w:val="000B43F7"/>
    <w:rsid w:val="000B4C4B"/>
    <w:rsid w:val="000B6715"/>
    <w:rsid w:val="000B69FB"/>
    <w:rsid w:val="000B7540"/>
    <w:rsid w:val="000C1DC4"/>
    <w:rsid w:val="000C2BBD"/>
    <w:rsid w:val="000C3FE1"/>
    <w:rsid w:val="000C5C34"/>
    <w:rsid w:val="000C761F"/>
    <w:rsid w:val="000D0233"/>
    <w:rsid w:val="000D0D23"/>
    <w:rsid w:val="000D0E89"/>
    <w:rsid w:val="000D1ADE"/>
    <w:rsid w:val="000D2084"/>
    <w:rsid w:val="000D4B22"/>
    <w:rsid w:val="000D5DD1"/>
    <w:rsid w:val="000D63F6"/>
    <w:rsid w:val="000D7E77"/>
    <w:rsid w:val="000E0E24"/>
    <w:rsid w:val="000E1BCE"/>
    <w:rsid w:val="000E283D"/>
    <w:rsid w:val="000E2FED"/>
    <w:rsid w:val="000E3CD8"/>
    <w:rsid w:val="000E3E0C"/>
    <w:rsid w:val="000E68E6"/>
    <w:rsid w:val="000E773F"/>
    <w:rsid w:val="000F0031"/>
    <w:rsid w:val="000F04C1"/>
    <w:rsid w:val="000F1A5D"/>
    <w:rsid w:val="000F1F16"/>
    <w:rsid w:val="000F2374"/>
    <w:rsid w:val="000F5DB3"/>
    <w:rsid w:val="000F60AE"/>
    <w:rsid w:val="000F60CF"/>
    <w:rsid w:val="000F6912"/>
    <w:rsid w:val="00100C55"/>
    <w:rsid w:val="001039A8"/>
    <w:rsid w:val="00103DBA"/>
    <w:rsid w:val="0010505F"/>
    <w:rsid w:val="001140DF"/>
    <w:rsid w:val="00116FB0"/>
    <w:rsid w:val="00120861"/>
    <w:rsid w:val="001211DA"/>
    <w:rsid w:val="00122466"/>
    <w:rsid w:val="00122485"/>
    <w:rsid w:val="00122EB0"/>
    <w:rsid w:val="00125CDB"/>
    <w:rsid w:val="00126350"/>
    <w:rsid w:val="00126487"/>
    <w:rsid w:val="001307E9"/>
    <w:rsid w:val="00133E61"/>
    <w:rsid w:val="00135022"/>
    <w:rsid w:val="00137854"/>
    <w:rsid w:val="001412F0"/>
    <w:rsid w:val="001418C5"/>
    <w:rsid w:val="00142FC9"/>
    <w:rsid w:val="0014336B"/>
    <w:rsid w:val="001440E4"/>
    <w:rsid w:val="001452FF"/>
    <w:rsid w:val="0014580B"/>
    <w:rsid w:val="00150047"/>
    <w:rsid w:val="00150552"/>
    <w:rsid w:val="00152C52"/>
    <w:rsid w:val="00153143"/>
    <w:rsid w:val="00153193"/>
    <w:rsid w:val="001538EF"/>
    <w:rsid w:val="00153E9E"/>
    <w:rsid w:val="001540C3"/>
    <w:rsid w:val="00154658"/>
    <w:rsid w:val="001548EE"/>
    <w:rsid w:val="00154EA3"/>
    <w:rsid w:val="00157EB6"/>
    <w:rsid w:val="0016052C"/>
    <w:rsid w:val="001605A0"/>
    <w:rsid w:val="00160A10"/>
    <w:rsid w:val="001648F5"/>
    <w:rsid w:val="00164BB5"/>
    <w:rsid w:val="00165611"/>
    <w:rsid w:val="00166D3E"/>
    <w:rsid w:val="00167034"/>
    <w:rsid w:val="00167155"/>
    <w:rsid w:val="0016769B"/>
    <w:rsid w:val="00170425"/>
    <w:rsid w:val="00171B99"/>
    <w:rsid w:val="0017330F"/>
    <w:rsid w:val="001737E2"/>
    <w:rsid w:val="00174442"/>
    <w:rsid w:val="0017622D"/>
    <w:rsid w:val="00176BF7"/>
    <w:rsid w:val="0017717F"/>
    <w:rsid w:val="00180671"/>
    <w:rsid w:val="00182D56"/>
    <w:rsid w:val="001831C2"/>
    <w:rsid w:val="001841B3"/>
    <w:rsid w:val="00184350"/>
    <w:rsid w:val="001844D9"/>
    <w:rsid w:val="00186406"/>
    <w:rsid w:val="001869A8"/>
    <w:rsid w:val="00187C81"/>
    <w:rsid w:val="00187E5F"/>
    <w:rsid w:val="00187EAE"/>
    <w:rsid w:val="00190A0A"/>
    <w:rsid w:val="00191D6B"/>
    <w:rsid w:val="00192118"/>
    <w:rsid w:val="00192370"/>
    <w:rsid w:val="0019258B"/>
    <w:rsid w:val="00192757"/>
    <w:rsid w:val="00192C8E"/>
    <w:rsid w:val="00193324"/>
    <w:rsid w:val="00194E8F"/>
    <w:rsid w:val="00194F0E"/>
    <w:rsid w:val="00197182"/>
    <w:rsid w:val="00197F86"/>
    <w:rsid w:val="001A0533"/>
    <w:rsid w:val="001A1254"/>
    <w:rsid w:val="001A24B0"/>
    <w:rsid w:val="001A5B46"/>
    <w:rsid w:val="001B0934"/>
    <w:rsid w:val="001B0EDA"/>
    <w:rsid w:val="001B0EE4"/>
    <w:rsid w:val="001B2566"/>
    <w:rsid w:val="001B275D"/>
    <w:rsid w:val="001B2923"/>
    <w:rsid w:val="001B38F5"/>
    <w:rsid w:val="001B5B2D"/>
    <w:rsid w:val="001B690A"/>
    <w:rsid w:val="001C0224"/>
    <w:rsid w:val="001C0F70"/>
    <w:rsid w:val="001C1A91"/>
    <w:rsid w:val="001C2DAA"/>
    <w:rsid w:val="001C379B"/>
    <w:rsid w:val="001C38B5"/>
    <w:rsid w:val="001C6454"/>
    <w:rsid w:val="001C6A41"/>
    <w:rsid w:val="001C6E25"/>
    <w:rsid w:val="001C7C53"/>
    <w:rsid w:val="001D0043"/>
    <w:rsid w:val="001D205A"/>
    <w:rsid w:val="001D2233"/>
    <w:rsid w:val="001D259D"/>
    <w:rsid w:val="001D4EE0"/>
    <w:rsid w:val="001D5A3A"/>
    <w:rsid w:val="001D76C7"/>
    <w:rsid w:val="001D7FF7"/>
    <w:rsid w:val="001E17A9"/>
    <w:rsid w:val="001E20B9"/>
    <w:rsid w:val="001E2E52"/>
    <w:rsid w:val="001E41F3"/>
    <w:rsid w:val="001E6FB8"/>
    <w:rsid w:val="001F4A6E"/>
    <w:rsid w:val="001F5C62"/>
    <w:rsid w:val="001F62EA"/>
    <w:rsid w:val="001F65F9"/>
    <w:rsid w:val="001F67C7"/>
    <w:rsid w:val="001F6AFA"/>
    <w:rsid w:val="001F7C99"/>
    <w:rsid w:val="001F7EF5"/>
    <w:rsid w:val="00200C01"/>
    <w:rsid w:val="00201F7A"/>
    <w:rsid w:val="002046A2"/>
    <w:rsid w:val="002065FF"/>
    <w:rsid w:val="0021002C"/>
    <w:rsid w:val="0021212C"/>
    <w:rsid w:val="0021232B"/>
    <w:rsid w:val="002123E7"/>
    <w:rsid w:val="002156B8"/>
    <w:rsid w:val="00215C3B"/>
    <w:rsid w:val="00220979"/>
    <w:rsid w:val="00221231"/>
    <w:rsid w:val="00222C95"/>
    <w:rsid w:val="002237C5"/>
    <w:rsid w:val="00223EE9"/>
    <w:rsid w:val="002240CA"/>
    <w:rsid w:val="0022536D"/>
    <w:rsid w:val="00227D83"/>
    <w:rsid w:val="00230525"/>
    <w:rsid w:val="00230721"/>
    <w:rsid w:val="00230EB4"/>
    <w:rsid w:val="0023398A"/>
    <w:rsid w:val="00233AC7"/>
    <w:rsid w:val="00233BBC"/>
    <w:rsid w:val="00235115"/>
    <w:rsid w:val="0023583C"/>
    <w:rsid w:val="00235CD5"/>
    <w:rsid w:val="002367ED"/>
    <w:rsid w:val="00236C31"/>
    <w:rsid w:val="0023709A"/>
    <w:rsid w:val="00237879"/>
    <w:rsid w:val="0023795B"/>
    <w:rsid w:val="002406D2"/>
    <w:rsid w:val="0024076E"/>
    <w:rsid w:val="002428B9"/>
    <w:rsid w:val="00242910"/>
    <w:rsid w:val="00242C07"/>
    <w:rsid w:val="00244526"/>
    <w:rsid w:val="0024456D"/>
    <w:rsid w:val="0024484D"/>
    <w:rsid w:val="00245B70"/>
    <w:rsid w:val="00245C98"/>
    <w:rsid w:val="0024662A"/>
    <w:rsid w:val="0024753F"/>
    <w:rsid w:val="00247742"/>
    <w:rsid w:val="0025079E"/>
    <w:rsid w:val="00250DCD"/>
    <w:rsid w:val="00251AE8"/>
    <w:rsid w:val="002526C9"/>
    <w:rsid w:val="0025289F"/>
    <w:rsid w:val="00256CAD"/>
    <w:rsid w:val="00257970"/>
    <w:rsid w:val="00257D71"/>
    <w:rsid w:val="00257DF2"/>
    <w:rsid w:val="00261323"/>
    <w:rsid w:val="002622FF"/>
    <w:rsid w:val="00263AC6"/>
    <w:rsid w:val="00265530"/>
    <w:rsid w:val="002668C3"/>
    <w:rsid w:val="00266A47"/>
    <w:rsid w:val="00270E2B"/>
    <w:rsid w:val="002712A1"/>
    <w:rsid w:val="00275740"/>
    <w:rsid w:val="00275A41"/>
    <w:rsid w:val="00275C6D"/>
    <w:rsid w:val="00277157"/>
    <w:rsid w:val="00277DCD"/>
    <w:rsid w:val="00281833"/>
    <w:rsid w:val="002830CF"/>
    <w:rsid w:val="00283A37"/>
    <w:rsid w:val="002846B1"/>
    <w:rsid w:val="00284FDF"/>
    <w:rsid w:val="0028692E"/>
    <w:rsid w:val="00287D12"/>
    <w:rsid w:val="00290001"/>
    <w:rsid w:val="002919A7"/>
    <w:rsid w:val="002919BB"/>
    <w:rsid w:val="00291D22"/>
    <w:rsid w:val="00291D2F"/>
    <w:rsid w:val="00292603"/>
    <w:rsid w:val="002929EF"/>
    <w:rsid w:val="00292A6B"/>
    <w:rsid w:val="00292EFE"/>
    <w:rsid w:val="00293C4B"/>
    <w:rsid w:val="00294212"/>
    <w:rsid w:val="002950F4"/>
    <w:rsid w:val="00297F00"/>
    <w:rsid w:val="002A051B"/>
    <w:rsid w:val="002A28A2"/>
    <w:rsid w:val="002A2AB7"/>
    <w:rsid w:val="002A4563"/>
    <w:rsid w:val="002A6D22"/>
    <w:rsid w:val="002A7BB1"/>
    <w:rsid w:val="002B09EB"/>
    <w:rsid w:val="002B0CAC"/>
    <w:rsid w:val="002B16A3"/>
    <w:rsid w:val="002B19D4"/>
    <w:rsid w:val="002B1DF1"/>
    <w:rsid w:val="002B2C11"/>
    <w:rsid w:val="002B40ED"/>
    <w:rsid w:val="002B5824"/>
    <w:rsid w:val="002B684F"/>
    <w:rsid w:val="002B6A32"/>
    <w:rsid w:val="002B6C90"/>
    <w:rsid w:val="002C03D9"/>
    <w:rsid w:val="002C0D7D"/>
    <w:rsid w:val="002C184C"/>
    <w:rsid w:val="002C2D5A"/>
    <w:rsid w:val="002C2EA5"/>
    <w:rsid w:val="002C33B3"/>
    <w:rsid w:val="002C3E2B"/>
    <w:rsid w:val="002C43E4"/>
    <w:rsid w:val="002C48AB"/>
    <w:rsid w:val="002C4C64"/>
    <w:rsid w:val="002D01D9"/>
    <w:rsid w:val="002D0D59"/>
    <w:rsid w:val="002D1DDD"/>
    <w:rsid w:val="002D4BDD"/>
    <w:rsid w:val="002D4EB4"/>
    <w:rsid w:val="002D5196"/>
    <w:rsid w:val="002D5D79"/>
    <w:rsid w:val="002E1020"/>
    <w:rsid w:val="002E1867"/>
    <w:rsid w:val="002E1EF3"/>
    <w:rsid w:val="002E1FDA"/>
    <w:rsid w:val="002E25B3"/>
    <w:rsid w:val="002E290A"/>
    <w:rsid w:val="002E2FAA"/>
    <w:rsid w:val="002E505D"/>
    <w:rsid w:val="002E57F5"/>
    <w:rsid w:val="002E5932"/>
    <w:rsid w:val="002E6DD2"/>
    <w:rsid w:val="002F0ECB"/>
    <w:rsid w:val="002F1DE2"/>
    <w:rsid w:val="002F225C"/>
    <w:rsid w:val="002F291C"/>
    <w:rsid w:val="002F323C"/>
    <w:rsid w:val="002F77A5"/>
    <w:rsid w:val="0030289A"/>
    <w:rsid w:val="00302A94"/>
    <w:rsid w:val="0030553F"/>
    <w:rsid w:val="003072E8"/>
    <w:rsid w:val="00313A9B"/>
    <w:rsid w:val="00314767"/>
    <w:rsid w:val="00317D6E"/>
    <w:rsid w:val="00320430"/>
    <w:rsid w:val="003207E9"/>
    <w:rsid w:val="00323571"/>
    <w:rsid w:val="00325741"/>
    <w:rsid w:val="003266FB"/>
    <w:rsid w:val="00330482"/>
    <w:rsid w:val="00330761"/>
    <w:rsid w:val="00332434"/>
    <w:rsid w:val="003348F5"/>
    <w:rsid w:val="00334F02"/>
    <w:rsid w:val="003356CE"/>
    <w:rsid w:val="003369A9"/>
    <w:rsid w:val="00336E85"/>
    <w:rsid w:val="0033789B"/>
    <w:rsid w:val="0034138A"/>
    <w:rsid w:val="003413C9"/>
    <w:rsid w:val="00341522"/>
    <w:rsid w:val="00341E00"/>
    <w:rsid w:val="00343D8D"/>
    <w:rsid w:val="003442E6"/>
    <w:rsid w:val="0034464F"/>
    <w:rsid w:val="00344B69"/>
    <w:rsid w:val="00345D1E"/>
    <w:rsid w:val="00347177"/>
    <w:rsid w:val="003478BF"/>
    <w:rsid w:val="00347F56"/>
    <w:rsid w:val="00351A5B"/>
    <w:rsid w:val="00351A82"/>
    <w:rsid w:val="00354BA3"/>
    <w:rsid w:val="003558C3"/>
    <w:rsid w:val="0035639A"/>
    <w:rsid w:val="0035677A"/>
    <w:rsid w:val="00357348"/>
    <w:rsid w:val="003600B6"/>
    <w:rsid w:val="00362537"/>
    <w:rsid w:val="003627FF"/>
    <w:rsid w:val="00362D33"/>
    <w:rsid w:val="00364843"/>
    <w:rsid w:val="00365126"/>
    <w:rsid w:val="00365E78"/>
    <w:rsid w:val="00366737"/>
    <w:rsid w:val="0036737E"/>
    <w:rsid w:val="0037217C"/>
    <w:rsid w:val="00373636"/>
    <w:rsid w:val="0037393C"/>
    <w:rsid w:val="003770CC"/>
    <w:rsid w:val="0038054F"/>
    <w:rsid w:val="00380D07"/>
    <w:rsid w:val="00381B77"/>
    <w:rsid w:val="00381C48"/>
    <w:rsid w:val="003826CF"/>
    <w:rsid w:val="0039297F"/>
    <w:rsid w:val="00392D89"/>
    <w:rsid w:val="00392F55"/>
    <w:rsid w:val="00393ABA"/>
    <w:rsid w:val="00394E0D"/>
    <w:rsid w:val="00394F6D"/>
    <w:rsid w:val="003A06BD"/>
    <w:rsid w:val="003A0CFF"/>
    <w:rsid w:val="003A1707"/>
    <w:rsid w:val="003A3A41"/>
    <w:rsid w:val="003A3DD6"/>
    <w:rsid w:val="003A5AC5"/>
    <w:rsid w:val="003A5CFB"/>
    <w:rsid w:val="003A6148"/>
    <w:rsid w:val="003A6173"/>
    <w:rsid w:val="003A748B"/>
    <w:rsid w:val="003A7FFE"/>
    <w:rsid w:val="003B06DE"/>
    <w:rsid w:val="003B3658"/>
    <w:rsid w:val="003B47F5"/>
    <w:rsid w:val="003B486C"/>
    <w:rsid w:val="003B702A"/>
    <w:rsid w:val="003C01A4"/>
    <w:rsid w:val="003C1993"/>
    <w:rsid w:val="003C3E27"/>
    <w:rsid w:val="003C63DE"/>
    <w:rsid w:val="003C759F"/>
    <w:rsid w:val="003D0D5D"/>
    <w:rsid w:val="003D148A"/>
    <w:rsid w:val="003D289B"/>
    <w:rsid w:val="003D3445"/>
    <w:rsid w:val="003D4110"/>
    <w:rsid w:val="003D4771"/>
    <w:rsid w:val="003D5324"/>
    <w:rsid w:val="003D7915"/>
    <w:rsid w:val="003E1B45"/>
    <w:rsid w:val="003E4BCD"/>
    <w:rsid w:val="003E5E43"/>
    <w:rsid w:val="003E65A5"/>
    <w:rsid w:val="003E7804"/>
    <w:rsid w:val="003F00FC"/>
    <w:rsid w:val="003F1886"/>
    <w:rsid w:val="003F2541"/>
    <w:rsid w:val="003F3B05"/>
    <w:rsid w:val="003F3F0B"/>
    <w:rsid w:val="003F4900"/>
    <w:rsid w:val="003F5859"/>
    <w:rsid w:val="003F5DC8"/>
    <w:rsid w:val="003F60A7"/>
    <w:rsid w:val="003F67AE"/>
    <w:rsid w:val="003F6E10"/>
    <w:rsid w:val="00400285"/>
    <w:rsid w:val="00400C70"/>
    <w:rsid w:val="00400E17"/>
    <w:rsid w:val="00401FAD"/>
    <w:rsid w:val="00402BBA"/>
    <w:rsid w:val="004033C9"/>
    <w:rsid w:val="004033FC"/>
    <w:rsid w:val="00403CA5"/>
    <w:rsid w:val="0040438A"/>
    <w:rsid w:val="00404954"/>
    <w:rsid w:val="00405536"/>
    <w:rsid w:val="004056DC"/>
    <w:rsid w:val="00405AD5"/>
    <w:rsid w:val="00405D49"/>
    <w:rsid w:val="004076A7"/>
    <w:rsid w:val="00410B21"/>
    <w:rsid w:val="004168AC"/>
    <w:rsid w:val="004170D8"/>
    <w:rsid w:val="004173AB"/>
    <w:rsid w:val="004175A1"/>
    <w:rsid w:val="004201D3"/>
    <w:rsid w:val="00420363"/>
    <w:rsid w:val="00423191"/>
    <w:rsid w:val="004248C2"/>
    <w:rsid w:val="00425BF0"/>
    <w:rsid w:val="0042650B"/>
    <w:rsid w:val="0042763C"/>
    <w:rsid w:val="00431FE2"/>
    <w:rsid w:val="00432A34"/>
    <w:rsid w:val="004331C1"/>
    <w:rsid w:val="0043597C"/>
    <w:rsid w:val="004361AD"/>
    <w:rsid w:val="004367DF"/>
    <w:rsid w:val="00437458"/>
    <w:rsid w:val="0043774A"/>
    <w:rsid w:val="00437AEF"/>
    <w:rsid w:val="0044091A"/>
    <w:rsid w:val="00441319"/>
    <w:rsid w:val="00441829"/>
    <w:rsid w:val="00441873"/>
    <w:rsid w:val="00441AEB"/>
    <w:rsid w:val="004431B7"/>
    <w:rsid w:val="004452F2"/>
    <w:rsid w:val="00445817"/>
    <w:rsid w:val="00445CD9"/>
    <w:rsid w:val="004464EF"/>
    <w:rsid w:val="00447B0D"/>
    <w:rsid w:val="00447EDC"/>
    <w:rsid w:val="00450BCE"/>
    <w:rsid w:val="00450F6E"/>
    <w:rsid w:val="004510F2"/>
    <w:rsid w:val="00451C6F"/>
    <w:rsid w:val="00453087"/>
    <w:rsid w:val="00453822"/>
    <w:rsid w:val="00453AD2"/>
    <w:rsid w:val="004547F8"/>
    <w:rsid w:val="00455273"/>
    <w:rsid w:val="00456891"/>
    <w:rsid w:val="0045794D"/>
    <w:rsid w:val="00457B33"/>
    <w:rsid w:val="00457CED"/>
    <w:rsid w:val="0046058D"/>
    <w:rsid w:val="0046136D"/>
    <w:rsid w:val="00461D8E"/>
    <w:rsid w:val="00463005"/>
    <w:rsid w:val="0046456E"/>
    <w:rsid w:val="00465C90"/>
    <w:rsid w:val="00466FB4"/>
    <w:rsid w:val="004671F2"/>
    <w:rsid w:val="00467BA1"/>
    <w:rsid w:val="004711B6"/>
    <w:rsid w:val="00473B83"/>
    <w:rsid w:val="0047532A"/>
    <w:rsid w:val="00477318"/>
    <w:rsid w:val="0047768D"/>
    <w:rsid w:val="004804C4"/>
    <w:rsid w:val="00481185"/>
    <w:rsid w:val="004820B2"/>
    <w:rsid w:val="00482E87"/>
    <w:rsid w:val="00482FE6"/>
    <w:rsid w:val="0048321B"/>
    <w:rsid w:val="00484CB6"/>
    <w:rsid w:val="0048560C"/>
    <w:rsid w:val="004864EB"/>
    <w:rsid w:val="00487CB6"/>
    <w:rsid w:val="00490182"/>
    <w:rsid w:val="004901F9"/>
    <w:rsid w:val="004909EF"/>
    <w:rsid w:val="00490AA7"/>
    <w:rsid w:val="00491076"/>
    <w:rsid w:val="00491E2A"/>
    <w:rsid w:val="004927CF"/>
    <w:rsid w:val="0049314C"/>
    <w:rsid w:val="00493780"/>
    <w:rsid w:val="004A08DF"/>
    <w:rsid w:val="004A1D45"/>
    <w:rsid w:val="004A2AB1"/>
    <w:rsid w:val="004A4707"/>
    <w:rsid w:val="004A6A96"/>
    <w:rsid w:val="004A6BC4"/>
    <w:rsid w:val="004A6ECE"/>
    <w:rsid w:val="004A6EE2"/>
    <w:rsid w:val="004A6FE6"/>
    <w:rsid w:val="004A7907"/>
    <w:rsid w:val="004B220B"/>
    <w:rsid w:val="004B31F7"/>
    <w:rsid w:val="004B32ED"/>
    <w:rsid w:val="004B50BF"/>
    <w:rsid w:val="004B523D"/>
    <w:rsid w:val="004B5358"/>
    <w:rsid w:val="004B53AF"/>
    <w:rsid w:val="004B590F"/>
    <w:rsid w:val="004B7D1D"/>
    <w:rsid w:val="004C1FAD"/>
    <w:rsid w:val="004C38EA"/>
    <w:rsid w:val="004C5E69"/>
    <w:rsid w:val="004C69C9"/>
    <w:rsid w:val="004C6AEA"/>
    <w:rsid w:val="004D06C2"/>
    <w:rsid w:val="004D1E83"/>
    <w:rsid w:val="004D22DC"/>
    <w:rsid w:val="004D39B1"/>
    <w:rsid w:val="004D45BE"/>
    <w:rsid w:val="004D5E45"/>
    <w:rsid w:val="004E1632"/>
    <w:rsid w:val="004E1C71"/>
    <w:rsid w:val="004E2245"/>
    <w:rsid w:val="004E48A2"/>
    <w:rsid w:val="004E4C07"/>
    <w:rsid w:val="004E6D11"/>
    <w:rsid w:val="004E7EAB"/>
    <w:rsid w:val="004F0C24"/>
    <w:rsid w:val="004F2C4F"/>
    <w:rsid w:val="004F328A"/>
    <w:rsid w:val="004F34F6"/>
    <w:rsid w:val="004F427D"/>
    <w:rsid w:val="004F4E43"/>
    <w:rsid w:val="004F4FDD"/>
    <w:rsid w:val="004F55F6"/>
    <w:rsid w:val="004F5E06"/>
    <w:rsid w:val="00500E7E"/>
    <w:rsid w:val="00504F21"/>
    <w:rsid w:val="005060E0"/>
    <w:rsid w:val="00507E46"/>
    <w:rsid w:val="00513619"/>
    <w:rsid w:val="0051477F"/>
    <w:rsid w:val="0051509F"/>
    <w:rsid w:val="005152E5"/>
    <w:rsid w:val="00515427"/>
    <w:rsid w:val="00516060"/>
    <w:rsid w:val="005163B4"/>
    <w:rsid w:val="00516F2E"/>
    <w:rsid w:val="00517F9D"/>
    <w:rsid w:val="005211B9"/>
    <w:rsid w:val="005239AD"/>
    <w:rsid w:val="00523E0B"/>
    <w:rsid w:val="005267A9"/>
    <w:rsid w:val="00526FBB"/>
    <w:rsid w:val="00527E02"/>
    <w:rsid w:val="00527FAF"/>
    <w:rsid w:val="0053040C"/>
    <w:rsid w:val="00532145"/>
    <w:rsid w:val="00532725"/>
    <w:rsid w:val="00532759"/>
    <w:rsid w:val="00532BEE"/>
    <w:rsid w:val="005330EA"/>
    <w:rsid w:val="0053664F"/>
    <w:rsid w:val="00540721"/>
    <w:rsid w:val="00540F12"/>
    <w:rsid w:val="00541102"/>
    <w:rsid w:val="005433F9"/>
    <w:rsid w:val="005453C1"/>
    <w:rsid w:val="005461A1"/>
    <w:rsid w:val="00546C67"/>
    <w:rsid w:val="00550A53"/>
    <w:rsid w:val="00551FBF"/>
    <w:rsid w:val="00552451"/>
    <w:rsid w:val="00552726"/>
    <w:rsid w:val="00553293"/>
    <w:rsid w:val="0055406A"/>
    <w:rsid w:val="00554B59"/>
    <w:rsid w:val="00555C4A"/>
    <w:rsid w:val="00556113"/>
    <w:rsid w:val="005567EB"/>
    <w:rsid w:val="00556908"/>
    <w:rsid w:val="005579B8"/>
    <w:rsid w:val="00560F62"/>
    <w:rsid w:val="0056128B"/>
    <w:rsid w:val="0056171F"/>
    <w:rsid w:val="0056226B"/>
    <w:rsid w:val="00562946"/>
    <w:rsid w:val="00562A8F"/>
    <w:rsid w:val="005630EA"/>
    <w:rsid w:val="00563395"/>
    <w:rsid w:val="00565A33"/>
    <w:rsid w:val="0056611C"/>
    <w:rsid w:val="00570E42"/>
    <w:rsid w:val="0057167F"/>
    <w:rsid w:val="005717F2"/>
    <w:rsid w:val="00572ADF"/>
    <w:rsid w:val="005731BE"/>
    <w:rsid w:val="00581D1C"/>
    <w:rsid w:val="00583823"/>
    <w:rsid w:val="00583A6A"/>
    <w:rsid w:val="00583B2D"/>
    <w:rsid w:val="0058621F"/>
    <w:rsid w:val="0058746B"/>
    <w:rsid w:val="00590175"/>
    <w:rsid w:val="00591A94"/>
    <w:rsid w:val="00592F47"/>
    <w:rsid w:val="0059471F"/>
    <w:rsid w:val="00595444"/>
    <w:rsid w:val="00596A22"/>
    <w:rsid w:val="005A0A1E"/>
    <w:rsid w:val="005A1C64"/>
    <w:rsid w:val="005A272D"/>
    <w:rsid w:val="005A2937"/>
    <w:rsid w:val="005A2F15"/>
    <w:rsid w:val="005A394E"/>
    <w:rsid w:val="005A3A4F"/>
    <w:rsid w:val="005A56FC"/>
    <w:rsid w:val="005A5838"/>
    <w:rsid w:val="005A6AAB"/>
    <w:rsid w:val="005A74B5"/>
    <w:rsid w:val="005B1EB3"/>
    <w:rsid w:val="005B2A7E"/>
    <w:rsid w:val="005B347F"/>
    <w:rsid w:val="005B3D7F"/>
    <w:rsid w:val="005B74A2"/>
    <w:rsid w:val="005C0D05"/>
    <w:rsid w:val="005C0DCD"/>
    <w:rsid w:val="005C15BD"/>
    <w:rsid w:val="005C15DB"/>
    <w:rsid w:val="005C2132"/>
    <w:rsid w:val="005C2327"/>
    <w:rsid w:val="005C4011"/>
    <w:rsid w:val="005C4800"/>
    <w:rsid w:val="005C606E"/>
    <w:rsid w:val="005C65B2"/>
    <w:rsid w:val="005C6849"/>
    <w:rsid w:val="005C6A65"/>
    <w:rsid w:val="005C6E7A"/>
    <w:rsid w:val="005C7473"/>
    <w:rsid w:val="005D04BB"/>
    <w:rsid w:val="005D06AA"/>
    <w:rsid w:val="005D1C31"/>
    <w:rsid w:val="005D4CD1"/>
    <w:rsid w:val="005D5CC8"/>
    <w:rsid w:val="005D6768"/>
    <w:rsid w:val="005D6939"/>
    <w:rsid w:val="005D75B6"/>
    <w:rsid w:val="005D798F"/>
    <w:rsid w:val="005D7CFD"/>
    <w:rsid w:val="005D7E76"/>
    <w:rsid w:val="005E002B"/>
    <w:rsid w:val="005E1FC7"/>
    <w:rsid w:val="005E58EF"/>
    <w:rsid w:val="005E5F11"/>
    <w:rsid w:val="005E6F5E"/>
    <w:rsid w:val="005E7E57"/>
    <w:rsid w:val="005F1051"/>
    <w:rsid w:val="005F1701"/>
    <w:rsid w:val="005F55A2"/>
    <w:rsid w:val="005F5ABA"/>
    <w:rsid w:val="005F5F61"/>
    <w:rsid w:val="005F63FE"/>
    <w:rsid w:val="005F6B5A"/>
    <w:rsid w:val="006001CF"/>
    <w:rsid w:val="00601281"/>
    <w:rsid w:val="00601733"/>
    <w:rsid w:val="00602C72"/>
    <w:rsid w:val="00606F89"/>
    <w:rsid w:val="006074E9"/>
    <w:rsid w:val="00610743"/>
    <w:rsid w:val="006110E2"/>
    <w:rsid w:val="0061127B"/>
    <w:rsid w:val="006129E0"/>
    <w:rsid w:val="00614571"/>
    <w:rsid w:val="00615F4B"/>
    <w:rsid w:val="00616494"/>
    <w:rsid w:val="006177B9"/>
    <w:rsid w:val="00621790"/>
    <w:rsid w:val="00621F9E"/>
    <w:rsid w:val="00622667"/>
    <w:rsid w:val="0062490B"/>
    <w:rsid w:val="00624B5A"/>
    <w:rsid w:val="00625739"/>
    <w:rsid w:val="00626060"/>
    <w:rsid w:val="006263EE"/>
    <w:rsid w:val="006264E9"/>
    <w:rsid w:val="006272F0"/>
    <w:rsid w:val="00630CC8"/>
    <w:rsid w:val="006317B5"/>
    <w:rsid w:val="00633548"/>
    <w:rsid w:val="00633BFA"/>
    <w:rsid w:val="006351DC"/>
    <w:rsid w:val="00635BCC"/>
    <w:rsid w:val="00637D00"/>
    <w:rsid w:val="00640059"/>
    <w:rsid w:val="006403A5"/>
    <w:rsid w:val="0064050E"/>
    <w:rsid w:val="00640B92"/>
    <w:rsid w:val="00641342"/>
    <w:rsid w:val="00641A0F"/>
    <w:rsid w:val="00643E14"/>
    <w:rsid w:val="00645C99"/>
    <w:rsid w:val="00645F4A"/>
    <w:rsid w:val="006466E2"/>
    <w:rsid w:val="006528FC"/>
    <w:rsid w:val="00652CAA"/>
    <w:rsid w:val="00653F3C"/>
    <w:rsid w:val="0065411F"/>
    <w:rsid w:val="006579A0"/>
    <w:rsid w:val="00660B67"/>
    <w:rsid w:val="0066337D"/>
    <w:rsid w:val="00663FE2"/>
    <w:rsid w:val="0066539C"/>
    <w:rsid w:val="006669AF"/>
    <w:rsid w:val="00671AC6"/>
    <w:rsid w:val="00671AFD"/>
    <w:rsid w:val="00672963"/>
    <w:rsid w:val="00675B6D"/>
    <w:rsid w:val="0067763D"/>
    <w:rsid w:val="006834DE"/>
    <w:rsid w:val="00685EE6"/>
    <w:rsid w:val="006861CF"/>
    <w:rsid w:val="00690549"/>
    <w:rsid w:val="00690D8D"/>
    <w:rsid w:val="006910AB"/>
    <w:rsid w:val="006912A0"/>
    <w:rsid w:val="00691847"/>
    <w:rsid w:val="00692645"/>
    <w:rsid w:val="00692720"/>
    <w:rsid w:val="00692771"/>
    <w:rsid w:val="00692B90"/>
    <w:rsid w:val="00693022"/>
    <w:rsid w:val="006945A0"/>
    <w:rsid w:val="00694A0F"/>
    <w:rsid w:val="00694C37"/>
    <w:rsid w:val="006A1463"/>
    <w:rsid w:val="006A298B"/>
    <w:rsid w:val="006A3DBE"/>
    <w:rsid w:val="006A4861"/>
    <w:rsid w:val="006A5224"/>
    <w:rsid w:val="006A7959"/>
    <w:rsid w:val="006B0093"/>
    <w:rsid w:val="006B00F7"/>
    <w:rsid w:val="006B0A79"/>
    <w:rsid w:val="006B1110"/>
    <w:rsid w:val="006B257F"/>
    <w:rsid w:val="006B5086"/>
    <w:rsid w:val="006B533A"/>
    <w:rsid w:val="006B5943"/>
    <w:rsid w:val="006C3979"/>
    <w:rsid w:val="006C39F1"/>
    <w:rsid w:val="006C4875"/>
    <w:rsid w:val="006C761C"/>
    <w:rsid w:val="006C7BFF"/>
    <w:rsid w:val="006D19E6"/>
    <w:rsid w:val="006D1E27"/>
    <w:rsid w:val="006D273D"/>
    <w:rsid w:val="006D3CD8"/>
    <w:rsid w:val="006D66A4"/>
    <w:rsid w:val="006D6B43"/>
    <w:rsid w:val="006D78FA"/>
    <w:rsid w:val="006E12FF"/>
    <w:rsid w:val="006E2A16"/>
    <w:rsid w:val="006E2D65"/>
    <w:rsid w:val="006E32B5"/>
    <w:rsid w:val="006E39D4"/>
    <w:rsid w:val="006E5451"/>
    <w:rsid w:val="006E54BA"/>
    <w:rsid w:val="006F2478"/>
    <w:rsid w:val="006F2DED"/>
    <w:rsid w:val="006F3A88"/>
    <w:rsid w:val="006F3F34"/>
    <w:rsid w:val="006F541E"/>
    <w:rsid w:val="006F6539"/>
    <w:rsid w:val="0070008F"/>
    <w:rsid w:val="0070296C"/>
    <w:rsid w:val="0070388B"/>
    <w:rsid w:val="00704125"/>
    <w:rsid w:val="007042F6"/>
    <w:rsid w:val="00704F10"/>
    <w:rsid w:val="00706F04"/>
    <w:rsid w:val="00706FDC"/>
    <w:rsid w:val="00707C5B"/>
    <w:rsid w:val="00710466"/>
    <w:rsid w:val="00711D07"/>
    <w:rsid w:val="0071214F"/>
    <w:rsid w:val="007137D3"/>
    <w:rsid w:val="00715440"/>
    <w:rsid w:val="00715DD3"/>
    <w:rsid w:val="007168FE"/>
    <w:rsid w:val="007171AE"/>
    <w:rsid w:val="00721E28"/>
    <w:rsid w:val="007222AC"/>
    <w:rsid w:val="00722C5A"/>
    <w:rsid w:val="0072327E"/>
    <w:rsid w:val="00723D5E"/>
    <w:rsid w:val="00723DB1"/>
    <w:rsid w:val="00724625"/>
    <w:rsid w:val="00725216"/>
    <w:rsid w:val="0072526C"/>
    <w:rsid w:val="00725985"/>
    <w:rsid w:val="00725EFC"/>
    <w:rsid w:val="00725F91"/>
    <w:rsid w:val="007261C9"/>
    <w:rsid w:val="00727476"/>
    <w:rsid w:val="007321EE"/>
    <w:rsid w:val="00732299"/>
    <w:rsid w:val="00732D37"/>
    <w:rsid w:val="00732E1E"/>
    <w:rsid w:val="007331FC"/>
    <w:rsid w:val="00734CC6"/>
    <w:rsid w:val="0073520B"/>
    <w:rsid w:val="00735369"/>
    <w:rsid w:val="00737787"/>
    <w:rsid w:val="00742228"/>
    <w:rsid w:val="00742B87"/>
    <w:rsid w:val="00743156"/>
    <w:rsid w:val="0074360E"/>
    <w:rsid w:val="007439E4"/>
    <w:rsid w:val="00744FAD"/>
    <w:rsid w:val="00745D22"/>
    <w:rsid w:val="00745F3D"/>
    <w:rsid w:val="007464C1"/>
    <w:rsid w:val="00747370"/>
    <w:rsid w:val="00747AFF"/>
    <w:rsid w:val="00747BE1"/>
    <w:rsid w:val="00747C31"/>
    <w:rsid w:val="00750348"/>
    <w:rsid w:val="00750545"/>
    <w:rsid w:val="00751B0F"/>
    <w:rsid w:val="0075220D"/>
    <w:rsid w:val="007522A2"/>
    <w:rsid w:val="00753DE7"/>
    <w:rsid w:val="0075511A"/>
    <w:rsid w:val="007553B9"/>
    <w:rsid w:val="007553F0"/>
    <w:rsid w:val="00756761"/>
    <w:rsid w:val="00760EC7"/>
    <w:rsid w:val="00761231"/>
    <w:rsid w:val="00761B9D"/>
    <w:rsid w:val="0076249E"/>
    <w:rsid w:val="007634BF"/>
    <w:rsid w:val="00763CD0"/>
    <w:rsid w:val="00763EB8"/>
    <w:rsid w:val="00765C8A"/>
    <w:rsid w:val="007664A2"/>
    <w:rsid w:val="007704EB"/>
    <w:rsid w:val="00771E73"/>
    <w:rsid w:val="00772B52"/>
    <w:rsid w:val="00775370"/>
    <w:rsid w:val="00775DE1"/>
    <w:rsid w:val="00776BBF"/>
    <w:rsid w:val="00780A47"/>
    <w:rsid w:val="00780A59"/>
    <w:rsid w:val="00781150"/>
    <w:rsid w:val="00781694"/>
    <w:rsid w:val="0078330F"/>
    <w:rsid w:val="0078346F"/>
    <w:rsid w:val="007835B6"/>
    <w:rsid w:val="007847A7"/>
    <w:rsid w:val="00787BD7"/>
    <w:rsid w:val="00791A7A"/>
    <w:rsid w:val="00792B9D"/>
    <w:rsid w:val="00792C05"/>
    <w:rsid w:val="00793EB3"/>
    <w:rsid w:val="00794734"/>
    <w:rsid w:val="00795045"/>
    <w:rsid w:val="007952E7"/>
    <w:rsid w:val="007A1AB1"/>
    <w:rsid w:val="007A2B8F"/>
    <w:rsid w:val="007A71B4"/>
    <w:rsid w:val="007A7520"/>
    <w:rsid w:val="007B21ED"/>
    <w:rsid w:val="007C116A"/>
    <w:rsid w:val="007C3E5F"/>
    <w:rsid w:val="007C4E46"/>
    <w:rsid w:val="007C5639"/>
    <w:rsid w:val="007D1BB6"/>
    <w:rsid w:val="007D37D3"/>
    <w:rsid w:val="007D3F45"/>
    <w:rsid w:val="007D48D4"/>
    <w:rsid w:val="007D4C47"/>
    <w:rsid w:val="007E0422"/>
    <w:rsid w:val="007E0789"/>
    <w:rsid w:val="007E17FD"/>
    <w:rsid w:val="007E21C1"/>
    <w:rsid w:val="007E2901"/>
    <w:rsid w:val="007E2D43"/>
    <w:rsid w:val="007E4C4E"/>
    <w:rsid w:val="007E50DE"/>
    <w:rsid w:val="007E74A1"/>
    <w:rsid w:val="007E765D"/>
    <w:rsid w:val="007E77D6"/>
    <w:rsid w:val="007F31EF"/>
    <w:rsid w:val="007F6322"/>
    <w:rsid w:val="007F7CB0"/>
    <w:rsid w:val="00800B84"/>
    <w:rsid w:val="00801461"/>
    <w:rsid w:val="00801A20"/>
    <w:rsid w:val="008029C8"/>
    <w:rsid w:val="00804227"/>
    <w:rsid w:val="00804C84"/>
    <w:rsid w:val="00805622"/>
    <w:rsid w:val="008125C8"/>
    <w:rsid w:val="00812992"/>
    <w:rsid w:val="008144E1"/>
    <w:rsid w:val="00815D89"/>
    <w:rsid w:val="00815FD8"/>
    <w:rsid w:val="00816A93"/>
    <w:rsid w:val="0082060D"/>
    <w:rsid w:val="0082230F"/>
    <w:rsid w:val="00822C0E"/>
    <w:rsid w:val="00824174"/>
    <w:rsid w:val="008253F3"/>
    <w:rsid w:val="00825A1C"/>
    <w:rsid w:val="00826B87"/>
    <w:rsid w:val="0082762B"/>
    <w:rsid w:val="008301F3"/>
    <w:rsid w:val="00831ED3"/>
    <w:rsid w:val="00833468"/>
    <w:rsid w:val="00834409"/>
    <w:rsid w:val="008348BA"/>
    <w:rsid w:val="00841A6F"/>
    <w:rsid w:val="00845DF0"/>
    <w:rsid w:val="00846AD4"/>
    <w:rsid w:val="00846F85"/>
    <w:rsid w:val="0084773F"/>
    <w:rsid w:val="00850D87"/>
    <w:rsid w:val="00852284"/>
    <w:rsid w:val="008534E3"/>
    <w:rsid w:val="008537F6"/>
    <w:rsid w:val="00854CA4"/>
    <w:rsid w:val="00854DF4"/>
    <w:rsid w:val="00854FFD"/>
    <w:rsid w:val="00856E74"/>
    <w:rsid w:val="008579FA"/>
    <w:rsid w:val="0086127A"/>
    <w:rsid w:val="00862857"/>
    <w:rsid w:val="0086460F"/>
    <w:rsid w:val="008657D5"/>
    <w:rsid w:val="0086763C"/>
    <w:rsid w:val="00867744"/>
    <w:rsid w:val="00870C89"/>
    <w:rsid w:val="0087108A"/>
    <w:rsid w:val="0087207B"/>
    <w:rsid w:val="00875057"/>
    <w:rsid w:val="00876539"/>
    <w:rsid w:val="008817E6"/>
    <w:rsid w:val="0088373B"/>
    <w:rsid w:val="0088375A"/>
    <w:rsid w:val="00883C50"/>
    <w:rsid w:val="008852F9"/>
    <w:rsid w:val="00885AD0"/>
    <w:rsid w:val="00886DCF"/>
    <w:rsid w:val="00887B7F"/>
    <w:rsid w:val="00887FC5"/>
    <w:rsid w:val="00894032"/>
    <w:rsid w:val="00894841"/>
    <w:rsid w:val="00894A5B"/>
    <w:rsid w:val="00896C7B"/>
    <w:rsid w:val="008A12DF"/>
    <w:rsid w:val="008A1AED"/>
    <w:rsid w:val="008A21C0"/>
    <w:rsid w:val="008A3ADA"/>
    <w:rsid w:val="008A4660"/>
    <w:rsid w:val="008A55A7"/>
    <w:rsid w:val="008A5B6C"/>
    <w:rsid w:val="008A6100"/>
    <w:rsid w:val="008A7180"/>
    <w:rsid w:val="008B12A5"/>
    <w:rsid w:val="008B2390"/>
    <w:rsid w:val="008B4A6F"/>
    <w:rsid w:val="008B5AF4"/>
    <w:rsid w:val="008B6B90"/>
    <w:rsid w:val="008B76FB"/>
    <w:rsid w:val="008B7ECF"/>
    <w:rsid w:val="008C0026"/>
    <w:rsid w:val="008C31B7"/>
    <w:rsid w:val="008C321C"/>
    <w:rsid w:val="008C3336"/>
    <w:rsid w:val="008C5B10"/>
    <w:rsid w:val="008C60D2"/>
    <w:rsid w:val="008C6B04"/>
    <w:rsid w:val="008C6C1B"/>
    <w:rsid w:val="008C7635"/>
    <w:rsid w:val="008C76FC"/>
    <w:rsid w:val="008C7FFA"/>
    <w:rsid w:val="008D01E0"/>
    <w:rsid w:val="008D2DFF"/>
    <w:rsid w:val="008D36E2"/>
    <w:rsid w:val="008D3F5B"/>
    <w:rsid w:val="008D4AB5"/>
    <w:rsid w:val="008D5237"/>
    <w:rsid w:val="008D57DD"/>
    <w:rsid w:val="008D5CD8"/>
    <w:rsid w:val="008D5F1B"/>
    <w:rsid w:val="008D7C09"/>
    <w:rsid w:val="008D7CA9"/>
    <w:rsid w:val="008E0014"/>
    <w:rsid w:val="008E016E"/>
    <w:rsid w:val="008E0F4C"/>
    <w:rsid w:val="008E1539"/>
    <w:rsid w:val="008E2FAB"/>
    <w:rsid w:val="008E41C6"/>
    <w:rsid w:val="008E4B5F"/>
    <w:rsid w:val="008E58A4"/>
    <w:rsid w:val="008E5A52"/>
    <w:rsid w:val="008E61EF"/>
    <w:rsid w:val="008E62BE"/>
    <w:rsid w:val="008E71A6"/>
    <w:rsid w:val="008E73EF"/>
    <w:rsid w:val="008F0885"/>
    <w:rsid w:val="008F1CFD"/>
    <w:rsid w:val="008F245F"/>
    <w:rsid w:val="008F24C6"/>
    <w:rsid w:val="008F38FB"/>
    <w:rsid w:val="008F3E7F"/>
    <w:rsid w:val="008F3EEE"/>
    <w:rsid w:val="008F58C6"/>
    <w:rsid w:val="008F5E84"/>
    <w:rsid w:val="008F6A37"/>
    <w:rsid w:val="009009C2"/>
    <w:rsid w:val="00900E15"/>
    <w:rsid w:val="00900E6C"/>
    <w:rsid w:val="00901055"/>
    <w:rsid w:val="009010C2"/>
    <w:rsid w:val="00901CF0"/>
    <w:rsid w:val="00902539"/>
    <w:rsid w:val="009028D5"/>
    <w:rsid w:val="009033F7"/>
    <w:rsid w:val="00904997"/>
    <w:rsid w:val="00905D7E"/>
    <w:rsid w:val="0090605A"/>
    <w:rsid w:val="009064B8"/>
    <w:rsid w:val="009064D6"/>
    <w:rsid w:val="009070A6"/>
    <w:rsid w:val="00910EB7"/>
    <w:rsid w:val="00911CEA"/>
    <w:rsid w:val="00912B87"/>
    <w:rsid w:val="00913488"/>
    <w:rsid w:val="00913F02"/>
    <w:rsid w:val="009156FB"/>
    <w:rsid w:val="00916CCF"/>
    <w:rsid w:val="009171FE"/>
    <w:rsid w:val="00917F66"/>
    <w:rsid w:val="0092086C"/>
    <w:rsid w:val="009220D8"/>
    <w:rsid w:val="00922FB5"/>
    <w:rsid w:val="00924741"/>
    <w:rsid w:val="009255A7"/>
    <w:rsid w:val="00925CF8"/>
    <w:rsid w:val="009272CE"/>
    <w:rsid w:val="00931D70"/>
    <w:rsid w:val="00933270"/>
    <w:rsid w:val="00933C47"/>
    <w:rsid w:val="00934FD1"/>
    <w:rsid w:val="009351C8"/>
    <w:rsid w:val="00935940"/>
    <w:rsid w:val="0093776F"/>
    <w:rsid w:val="00937F30"/>
    <w:rsid w:val="0094175A"/>
    <w:rsid w:val="0094181A"/>
    <w:rsid w:val="009421FA"/>
    <w:rsid w:val="00942E81"/>
    <w:rsid w:val="009433EE"/>
    <w:rsid w:val="00943626"/>
    <w:rsid w:val="00944DFA"/>
    <w:rsid w:val="00945AA7"/>
    <w:rsid w:val="00945E30"/>
    <w:rsid w:val="00946672"/>
    <w:rsid w:val="009467B9"/>
    <w:rsid w:val="00947956"/>
    <w:rsid w:val="00947B76"/>
    <w:rsid w:val="00947CE6"/>
    <w:rsid w:val="00950F36"/>
    <w:rsid w:val="00951866"/>
    <w:rsid w:val="00953924"/>
    <w:rsid w:val="00953A4F"/>
    <w:rsid w:val="00953BFB"/>
    <w:rsid w:val="00954141"/>
    <w:rsid w:val="00955E72"/>
    <w:rsid w:val="00956EC0"/>
    <w:rsid w:val="00957951"/>
    <w:rsid w:val="00962C6B"/>
    <w:rsid w:val="00966184"/>
    <w:rsid w:val="00966FC9"/>
    <w:rsid w:val="0096704E"/>
    <w:rsid w:val="00967F9F"/>
    <w:rsid w:val="00974386"/>
    <w:rsid w:val="00975BC4"/>
    <w:rsid w:val="009765BE"/>
    <w:rsid w:val="0097778D"/>
    <w:rsid w:val="00977D3C"/>
    <w:rsid w:val="00977DC6"/>
    <w:rsid w:val="00980C0A"/>
    <w:rsid w:val="009820F8"/>
    <w:rsid w:val="0098238E"/>
    <w:rsid w:val="00984A49"/>
    <w:rsid w:val="009861D1"/>
    <w:rsid w:val="009871D8"/>
    <w:rsid w:val="00987C1E"/>
    <w:rsid w:val="00990011"/>
    <w:rsid w:val="00993D9B"/>
    <w:rsid w:val="009947E7"/>
    <w:rsid w:val="00994B07"/>
    <w:rsid w:val="009956D6"/>
    <w:rsid w:val="00995774"/>
    <w:rsid w:val="00997D47"/>
    <w:rsid w:val="009A01B8"/>
    <w:rsid w:val="009A07CD"/>
    <w:rsid w:val="009A0C58"/>
    <w:rsid w:val="009A1D36"/>
    <w:rsid w:val="009A2AFF"/>
    <w:rsid w:val="009A6918"/>
    <w:rsid w:val="009A71C9"/>
    <w:rsid w:val="009B3992"/>
    <w:rsid w:val="009B6516"/>
    <w:rsid w:val="009B6D04"/>
    <w:rsid w:val="009B777C"/>
    <w:rsid w:val="009C180E"/>
    <w:rsid w:val="009C2352"/>
    <w:rsid w:val="009C2B09"/>
    <w:rsid w:val="009C3C53"/>
    <w:rsid w:val="009C41F9"/>
    <w:rsid w:val="009C6C28"/>
    <w:rsid w:val="009C7802"/>
    <w:rsid w:val="009D0275"/>
    <w:rsid w:val="009D3AF8"/>
    <w:rsid w:val="009D3B86"/>
    <w:rsid w:val="009D3FBE"/>
    <w:rsid w:val="009D46EF"/>
    <w:rsid w:val="009D4D34"/>
    <w:rsid w:val="009D4EBA"/>
    <w:rsid w:val="009E166B"/>
    <w:rsid w:val="009E1BE5"/>
    <w:rsid w:val="009E5E56"/>
    <w:rsid w:val="009E70CE"/>
    <w:rsid w:val="009F05B9"/>
    <w:rsid w:val="009F0D56"/>
    <w:rsid w:val="009F17A9"/>
    <w:rsid w:val="009F2865"/>
    <w:rsid w:val="009F2887"/>
    <w:rsid w:val="009F2977"/>
    <w:rsid w:val="009F2BC9"/>
    <w:rsid w:val="009F3160"/>
    <w:rsid w:val="009F4B8B"/>
    <w:rsid w:val="009F4CD9"/>
    <w:rsid w:val="009F6670"/>
    <w:rsid w:val="009F6B02"/>
    <w:rsid w:val="00A006AD"/>
    <w:rsid w:val="00A018DF"/>
    <w:rsid w:val="00A047DD"/>
    <w:rsid w:val="00A05AE0"/>
    <w:rsid w:val="00A05B9B"/>
    <w:rsid w:val="00A0663C"/>
    <w:rsid w:val="00A07A65"/>
    <w:rsid w:val="00A11A2E"/>
    <w:rsid w:val="00A11D2A"/>
    <w:rsid w:val="00A13E15"/>
    <w:rsid w:val="00A14612"/>
    <w:rsid w:val="00A150C6"/>
    <w:rsid w:val="00A152DC"/>
    <w:rsid w:val="00A15F83"/>
    <w:rsid w:val="00A1708A"/>
    <w:rsid w:val="00A176E5"/>
    <w:rsid w:val="00A17C8F"/>
    <w:rsid w:val="00A20107"/>
    <w:rsid w:val="00A21A3E"/>
    <w:rsid w:val="00A235AE"/>
    <w:rsid w:val="00A26589"/>
    <w:rsid w:val="00A268EF"/>
    <w:rsid w:val="00A26B26"/>
    <w:rsid w:val="00A27E10"/>
    <w:rsid w:val="00A30592"/>
    <w:rsid w:val="00A325A5"/>
    <w:rsid w:val="00A32BC3"/>
    <w:rsid w:val="00A32D4D"/>
    <w:rsid w:val="00A34F3B"/>
    <w:rsid w:val="00A36A25"/>
    <w:rsid w:val="00A37451"/>
    <w:rsid w:val="00A37C09"/>
    <w:rsid w:val="00A40F51"/>
    <w:rsid w:val="00A40FCB"/>
    <w:rsid w:val="00A43EFE"/>
    <w:rsid w:val="00A44BFB"/>
    <w:rsid w:val="00A45BD3"/>
    <w:rsid w:val="00A462B2"/>
    <w:rsid w:val="00A46483"/>
    <w:rsid w:val="00A468B5"/>
    <w:rsid w:val="00A46D50"/>
    <w:rsid w:val="00A47833"/>
    <w:rsid w:val="00A50BB2"/>
    <w:rsid w:val="00A50D2F"/>
    <w:rsid w:val="00A511D0"/>
    <w:rsid w:val="00A537A5"/>
    <w:rsid w:val="00A543AD"/>
    <w:rsid w:val="00A54E21"/>
    <w:rsid w:val="00A55E81"/>
    <w:rsid w:val="00A57AE2"/>
    <w:rsid w:val="00A57D21"/>
    <w:rsid w:val="00A601D5"/>
    <w:rsid w:val="00A60701"/>
    <w:rsid w:val="00A60A84"/>
    <w:rsid w:val="00A60E16"/>
    <w:rsid w:val="00A615B2"/>
    <w:rsid w:val="00A62B45"/>
    <w:rsid w:val="00A647E5"/>
    <w:rsid w:val="00A64D2D"/>
    <w:rsid w:val="00A65378"/>
    <w:rsid w:val="00A666D2"/>
    <w:rsid w:val="00A669D8"/>
    <w:rsid w:val="00A70534"/>
    <w:rsid w:val="00A706DC"/>
    <w:rsid w:val="00A711D0"/>
    <w:rsid w:val="00A711E0"/>
    <w:rsid w:val="00A71268"/>
    <w:rsid w:val="00A728CD"/>
    <w:rsid w:val="00A732ED"/>
    <w:rsid w:val="00A7380A"/>
    <w:rsid w:val="00A76C65"/>
    <w:rsid w:val="00A77AE9"/>
    <w:rsid w:val="00A82B56"/>
    <w:rsid w:val="00A82BB9"/>
    <w:rsid w:val="00A837D2"/>
    <w:rsid w:val="00A85A5B"/>
    <w:rsid w:val="00A90FA0"/>
    <w:rsid w:val="00A92B32"/>
    <w:rsid w:val="00A951DC"/>
    <w:rsid w:val="00A95B50"/>
    <w:rsid w:val="00A95F73"/>
    <w:rsid w:val="00A97ADB"/>
    <w:rsid w:val="00A97C3E"/>
    <w:rsid w:val="00A97C47"/>
    <w:rsid w:val="00A97CBF"/>
    <w:rsid w:val="00AA0DAF"/>
    <w:rsid w:val="00AA1531"/>
    <w:rsid w:val="00AA339A"/>
    <w:rsid w:val="00AA49BC"/>
    <w:rsid w:val="00AA635F"/>
    <w:rsid w:val="00AA6B25"/>
    <w:rsid w:val="00AA6C45"/>
    <w:rsid w:val="00AA71E6"/>
    <w:rsid w:val="00AB12DE"/>
    <w:rsid w:val="00AB2E11"/>
    <w:rsid w:val="00AB488F"/>
    <w:rsid w:val="00AB557E"/>
    <w:rsid w:val="00AB6652"/>
    <w:rsid w:val="00AB6D0A"/>
    <w:rsid w:val="00AB7A16"/>
    <w:rsid w:val="00AB7C17"/>
    <w:rsid w:val="00AC28E2"/>
    <w:rsid w:val="00AC2D06"/>
    <w:rsid w:val="00AC30DB"/>
    <w:rsid w:val="00AC4BD4"/>
    <w:rsid w:val="00AC6243"/>
    <w:rsid w:val="00AD00CE"/>
    <w:rsid w:val="00AD1299"/>
    <w:rsid w:val="00AD3399"/>
    <w:rsid w:val="00AD343E"/>
    <w:rsid w:val="00AD39F4"/>
    <w:rsid w:val="00AD4AB7"/>
    <w:rsid w:val="00AD4D1D"/>
    <w:rsid w:val="00AE0060"/>
    <w:rsid w:val="00AE11D3"/>
    <w:rsid w:val="00AE18E7"/>
    <w:rsid w:val="00AE1BF4"/>
    <w:rsid w:val="00AE213D"/>
    <w:rsid w:val="00AE290E"/>
    <w:rsid w:val="00AE3249"/>
    <w:rsid w:val="00AE436C"/>
    <w:rsid w:val="00AE446A"/>
    <w:rsid w:val="00AE4F75"/>
    <w:rsid w:val="00AE5C6D"/>
    <w:rsid w:val="00AE5E6A"/>
    <w:rsid w:val="00AE6BF9"/>
    <w:rsid w:val="00AE75BF"/>
    <w:rsid w:val="00AF097C"/>
    <w:rsid w:val="00AF27D8"/>
    <w:rsid w:val="00AF3E5D"/>
    <w:rsid w:val="00AF405A"/>
    <w:rsid w:val="00AF46ED"/>
    <w:rsid w:val="00AF4955"/>
    <w:rsid w:val="00AF64FF"/>
    <w:rsid w:val="00AF6645"/>
    <w:rsid w:val="00B00596"/>
    <w:rsid w:val="00B00AA5"/>
    <w:rsid w:val="00B02A26"/>
    <w:rsid w:val="00B05480"/>
    <w:rsid w:val="00B068F8"/>
    <w:rsid w:val="00B07A8E"/>
    <w:rsid w:val="00B13797"/>
    <w:rsid w:val="00B14181"/>
    <w:rsid w:val="00B14ECA"/>
    <w:rsid w:val="00B15320"/>
    <w:rsid w:val="00B15D7A"/>
    <w:rsid w:val="00B15F9D"/>
    <w:rsid w:val="00B16EF4"/>
    <w:rsid w:val="00B17212"/>
    <w:rsid w:val="00B20CF5"/>
    <w:rsid w:val="00B2115F"/>
    <w:rsid w:val="00B21AA3"/>
    <w:rsid w:val="00B21D19"/>
    <w:rsid w:val="00B21D49"/>
    <w:rsid w:val="00B230F7"/>
    <w:rsid w:val="00B2322B"/>
    <w:rsid w:val="00B236FA"/>
    <w:rsid w:val="00B243CF"/>
    <w:rsid w:val="00B26556"/>
    <w:rsid w:val="00B27D10"/>
    <w:rsid w:val="00B34BBD"/>
    <w:rsid w:val="00B35F1C"/>
    <w:rsid w:val="00B3615E"/>
    <w:rsid w:val="00B36E6D"/>
    <w:rsid w:val="00B36EEA"/>
    <w:rsid w:val="00B40DD0"/>
    <w:rsid w:val="00B42261"/>
    <w:rsid w:val="00B4333E"/>
    <w:rsid w:val="00B43F11"/>
    <w:rsid w:val="00B44BF7"/>
    <w:rsid w:val="00B44DF1"/>
    <w:rsid w:val="00B45D09"/>
    <w:rsid w:val="00B47917"/>
    <w:rsid w:val="00B47C4B"/>
    <w:rsid w:val="00B51CC3"/>
    <w:rsid w:val="00B52C44"/>
    <w:rsid w:val="00B52D42"/>
    <w:rsid w:val="00B5343C"/>
    <w:rsid w:val="00B54D06"/>
    <w:rsid w:val="00B54E66"/>
    <w:rsid w:val="00B54F83"/>
    <w:rsid w:val="00B56A60"/>
    <w:rsid w:val="00B57359"/>
    <w:rsid w:val="00B6079A"/>
    <w:rsid w:val="00B627AC"/>
    <w:rsid w:val="00B63885"/>
    <w:rsid w:val="00B63FA7"/>
    <w:rsid w:val="00B646F5"/>
    <w:rsid w:val="00B64A02"/>
    <w:rsid w:val="00B66975"/>
    <w:rsid w:val="00B671CF"/>
    <w:rsid w:val="00B67962"/>
    <w:rsid w:val="00B70CAC"/>
    <w:rsid w:val="00B70D16"/>
    <w:rsid w:val="00B71763"/>
    <w:rsid w:val="00B76221"/>
    <w:rsid w:val="00B77BDC"/>
    <w:rsid w:val="00B80B96"/>
    <w:rsid w:val="00B80EF2"/>
    <w:rsid w:val="00B82C1F"/>
    <w:rsid w:val="00B830D8"/>
    <w:rsid w:val="00B83BEA"/>
    <w:rsid w:val="00B853D0"/>
    <w:rsid w:val="00B85825"/>
    <w:rsid w:val="00B8733E"/>
    <w:rsid w:val="00B87814"/>
    <w:rsid w:val="00B90504"/>
    <w:rsid w:val="00B907AC"/>
    <w:rsid w:val="00B91E74"/>
    <w:rsid w:val="00B938EC"/>
    <w:rsid w:val="00B9597F"/>
    <w:rsid w:val="00B96D10"/>
    <w:rsid w:val="00BA0D0C"/>
    <w:rsid w:val="00BA1883"/>
    <w:rsid w:val="00BA39C7"/>
    <w:rsid w:val="00BB0282"/>
    <w:rsid w:val="00BB1005"/>
    <w:rsid w:val="00BB308B"/>
    <w:rsid w:val="00BB3995"/>
    <w:rsid w:val="00BB473C"/>
    <w:rsid w:val="00BB473D"/>
    <w:rsid w:val="00BB5ACD"/>
    <w:rsid w:val="00BB5D58"/>
    <w:rsid w:val="00BB5D8E"/>
    <w:rsid w:val="00BC0851"/>
    <w:rsid w:val="00BC14D8"/>
    <w:rsid w:val="00BC2DFA"/>
    <w:rsid w:val="00BC3118"/>
    <w:rsid w:val="00BC45ED"/>
    <w:rsid w:val="00BC5BB6"/>
    <w:rsid w:val="00BC636A"/>
    <w:rsid w:val="00BC720A"/>
    <w:rsid w:val="00BC7927"/>
    <w:rsid w:val="00BD11AD"/>
    <w:rsid w:val="00BD20D7"/>
    <w:rsid w:val="00BD21F3"/>
    <w:rsid w:val="00BD2317"/>
    <w:rsid w:val="00BD35A0"/>
    <w:rsid w:val="00BD3A1F"/>
    <w:rsid w:val="00BD420C"/>
    <w:rsid w:val="00BD4845"/>
    <w:rsid w:val="00BD6BBE"/>
    <w:rsid w:val="00BE1677"/>
    <w:rsid w:val="00BE34B2"/>
    <w:rsid w:val="00BE643A"/>
    <w:rsid w:val="00BE69E0"/>
    <w:rsid w:val="00BF094C"/>
    <w:rsid w:val="00BF13D5"/>
    <w:rsid w:val="00BF2E06"/>
    <w:rsid w:val="00BF3EAA"/>
    <w:rsid w:val="00BF6177"/>
    <w:rsid w:val="00BF7947"/>
    <w:rsid w:val="00BF7CAE"/>
    <w:rsid w:val="00C00539"/>
    <w:rsid w:val="00C0155B"/>
    <w:rsid w:val="00C03D14"/>
    <w:rsid w:val="00C04849"/>
    <w:rsid w:val="00C07D8A"/>
    <w:rsid w:val="00C10BA2"/>
    <w:rsid w:val="00C1149E"/>
    <w:rsid w:val="00C127E6"/>
    <w:rsid w:val="00C131A4"/>
    <w:rsid w:val="00C13AE8"/>
    <w:rsid w:val="00C1582D"/>
    <w:rsid w:val="00C166A7"/>
    <w:rsid w:val="00C205A5"/>
    <w:rsid w:val="00C226FF"/>
    <w:rsid w:val="00C2347B"/>
    <w:rsid w:val="00C23816"/>
    <w:rsid w:val="00C2486B"/>
    <w:rsid w:val="00C24C23"/>
    <w:rsid w:val="00C2591B"/>
    <w:rsid w:val="00C25AB6"/>
    <w:rsid w:val="00C26F04"/>
    <w:rsid w:val="00C315B9"/>
    <w:rsid w:val="00C32CD0"/>
    <w:rsid w:val="00C3453B"/>
    <w:rsid w:val="00C34D4D"/>
    <w:rsid w:val="00C36281"/>
    <w:rsid w:val="00C36A62"/>
    <w:rsid w:val="00C37489"/>
    <w:rsid w:val="00C4005D"/>
    <w:rsid w:val="00C40097"/>
    <w:rsid w:val="00C40A17"/>
    <w:rsid w:val="00C40EC1"/>
    <w:rsid w:val="00C41083"/>
    <w:rsid w:val="00C4288D"/>
    <w:rsid w:val="00C441C0"/>
    <w:rsid w:val="00C44CD2"/>
    <w:rsid w:val="00C4623A"/>
    <w:rsid w:val="00C47491"/>
    <w:rsid w:val="00C51726"/>
    <w:rsid w:val="00C52632"/>
    <w:rsid w:val="00C531FE"/>
    <w:rsid w:val="00C533D6"/>
    <w:rsid w:val="00C55551"/>
    <w:rsid w:val="00C55F2F"/>
    <w:rsid w:val="00C56F5E"/>
    <w:rsid w:val="00C572F2"/>
    <w:rsid w:val="00C5750E"/>
    <w:rsid w:val="00C575C2"/>
    <w:rsid w:val="00C60A05"/>
    <w:rsid w:val="00C6193B"/>
    <w:rsid w:val="00C6197C"/>
    <w:rsid w:val="00C62583"/>
    <w:rsid w:val="00C64F0E"/>
    <w:rsid w:val="00C657C5"/>
    <w:rsid w:val="00C661D7"/>
    <w:rsid w:val="00C67BC4"/>
    <w:rsid w:val="00C707DB"/>
    <w:rsid w:val="00C71259"/>
    <w:rsid w:val="00C717E8"/>
    <w:rsid w:val="00C73072"/>
    <w:rsid w:val="00C73E53"/>
    <w:rsid w:val="00C74212"/>
    <w:rsid w:val="00C757B6"/>
    <w:rsid w:val="00C76BD3"/>
    <w:rsid w:val="00C76C98"/>
    <w:rsid w:val="00C76FCA"/>
    <w:rsid w:val="00C77BFF"/>
    <w:rsid w:val="00C80F13"/>
    <w:rsid w:val="00C84C42"/>
    <w:rsid w:val="00C84C4B"/>
    <w:rsid w:val="00C859DC"/>
    <w:rsid w:val="00C863A8"/>
    <w:rsid w:val="00C86822"/>
    <w:rsid w:val="00C878BA"/>
    <w:rsid w:val="00C87D89"/>
    <w:rsid w:val="00C907F7"/>
    <w:rsid w:val="00C9332E"/>
    <w:rsid w:val="00C942F3"/>
    <w:rsid w:val="00C95707"/>
    <w:rsid w:val="00C957A7"/>
    <w:rsid w:val="00C9745E"/>
    <w:rsid w:val="00C97DFC"/>
    <w:rsid w:val="00CA128B"/>
    <w:rsid w:val="00CA1A46"/>
    <w:rsid w:val="00CA1F09"/>
    <w:rsid w:val="00CA2965"/>
    <w:rsid w:val="00CA39CD"/>
    <w:rsid w:val="00CA3C73"/>
    <w:rsid w:val="00CA4A4C"/>
    <w:rsid w:val="00CA5260"/>
    <w:rsid w:val="00CA5A13"/>
    <w:rsid w:val="00CA63A0"/>
    <w:rsid w:val="00CA69FA"/>
    <w:rsid w:val="00CA6BAA"/>
    <w:rsid w:val="00CB0D90"/>
    <w:rsid w:val="00CB0DBE"/>
    <w:rsid w:val="00CB1136"/>
    <w:rsid w:val="00CB277E"/>
    <w:rsid w:val="00CB2E3E"/>
    <w:rsid w:val="00CB3341"/>
    <w:rsid w:val="00CB41AF"/>
    <w:rsid w:val="00CB4FAC"/>
    <w:rsid w:val="00CB6665"/>
    <w:rsid w:val="00CB6BE7"/>
    <w:rsid w:val="00CC384F"/>
    <w:rsid w:val="00CC3A04"/>
    <w:rsid w:val="00CC3F37"/>
    <w:rsid w:val="00CC4995"/>
    <w:rsid w:val="00CC586C"/>
    <w:rsid w:val="00CC5E84"/>
    <w:rsid w:val="00CC7A3B"/>
    <w:rsid w:val="00CD0519"/>
    <w:rsid w:val="00CD0899"/>
    <w:rsid w:val="00CD0E45"/>
    <w:rsid w:val="00CD44E5"/>
    <w:rsid w:val="00CD4C9A"/>
    <w:rsid w:val="00CD70A7"/>
    <w:rsid w:val="00CE0946"/>
    <w:rsid w:val="00CE0C4B"/>
    <w:rsid w:val="00CE21AC"/>
    <w:rsid w:val="00CE2E3B"/>
    <w:rsid w:val="00CE4489"/>
    <w:rsid w:val="00CE492C"/>
    <w:rsid w:val="00CE52D7"/>
    <w:rsid w:val="00CE7048"/>
    <w:rsid w:val="00CE7754"/>
    <w:rsid w:val="00CE7E13"/>
    <w:rsid w:val="00CF0D2F"/>
    <w:rsid w:val="00CF1000"/>
    <w:rsid w:val="00CF3A80"/>
    <w:rsid w:val="00CF66B1"/>
    <w:rsid w:val="00CF6D1E"/>
    <w:rsid w:val="00D00033"/>
    <w:rsid w:val="00D00095"/>
    <w:rsid w:val="00D006FC"/>
    <w:rsid w:val="00D025C8"/>
    <w:rsid w:val="00D04755"/>
    <w:rsid w:val="00D05994"/>
    <w:rsid w:val="00D07E1B"/>
    <w:rsid w:val="00D1182D"/>
    <w:rsid w:val="00D1406D"/>
    <w:rsid w:val="00D14E2C"/>
    <w:rsid w:val="00D164AE"/>
    <w:rsid w:val="00D2209B"/>
    <w:rsid w:val="00D22A12"/>
    <w:rsid w:val="00D231BE"/>
    <w:rsid w:val="00D23F6A"/>
    <w:rsid w:val="00D24DBE"/>
    <w:rsid w:val="00D25785"/>
    <w:rsid w:val="00D264B5"/>
    <w:rsid w:val="00D26946"/>
    <w:rsid w:val="00D26A01"/>
    <w:rsid w:val="00D26B53"/>
    <w:rsid w:val="00D27732"/>
    <w:rsid w:val="00D27A24"/>
    <w:rsid w:val="00D27C88"/>
    <w:rsid w:val="00D30817"/>
    <w:rsid w:val="00D30FFE"/>
    <w:rsid w:val="00D32A7F"/>
    <w:rsid w:val="00D33FF5"/>
    <w:rsid w:val="00D3445F"/>
    <w:rsid w:val="00D3694E"/>
    <w:rsid w:val="00D36999"/>
    <w:rsid w:val="00D36A32"/>
    <w:rsid w:val="00D36F10"/>
    <w:rsid w:val="00D40621"/>
    <w:rsid w:val="00D40FBF"/>
    <w:rsid w:val="00D41C90"/>
    <w:rsid w:val="00D4265D"/>
    <w:rsid w:val="00D4499A"/>
    <w:rsid w:val="00D45BA9"/>
    <w:rsid w:val="00D51410"/>
    <w:rsid w:val="00D5328F"/>
    <w:rsid w:val="00D539EF"/>
    <w:rsid w:val="00D53CC9"/>
    <w:rsid w:val="00D54939"/>
    <w:rsid w:val="00D567A0"/>
    <w:rsid w:val="00D5794F"/>
    <w:rsid w:val="00D601FC"/>
    <w:rsid w:val="00D623C3"/>
    <w:rsid w:val="00D63032"/>
    <w:rsid w:val="00D63CAE"/>
    <w:rsid w:val="00D65302"/>
    <w:rsid w:val="00D65D4B"/>
    <w:rsid w:val="00D65EA9"/>
    <w:rsid w:val="00D66535"/>
    <w:rsid w:val="00D67FCF"/>
    <w:rsid w:val="00D71FDA"/>
    <w:rsid w:val="00D723BE"/>
    <w:rsid w:val="00D72693"/>
    <w:rsid w:val="00D735CC"/>
    <w:rsid w:val="00D739EF"/>
    <w:rsid w:val="00D73BD9"/>
    <w:rsid w:val="00D73D5A"/>
    <w:rsid w:val="00D74D30"/>
    <w:rsid w:val="00D759FD"/>
    <w:rsid w:val="00D77820"/>
    <w:rsid w:val="00D80CD8"/>
    <w:rsid w:val="00D827F9"/>
    <w:rsid w:val="00D82DD9"/>
    <w:rsid w:val="00D84026"/>
    <w:rsid w:val="00D85958"/>
    <w:rsid w:val="00D87101"/>
    <w:rsid w:val="00D9354F"/>
    <w:rsid w:val="00D937F6"/>
    <w:rsid w:val="00D9655E"/>
    <w:rsid w:val="00D971C5"/>
    <w:rsid w:val="00D97356"/>
    <w:rsid w:val="00D97789"/>
    <w:rsid w:val="00D9782C"/>
    <w:rsid w:val="00D97D3A"/>
    <w:rsid w:val="00DA0706"/>
    <w:rsid w:val="00DA0987"/>
    <w:rsid w:val="00DA55BE"/>
    <w:rsid w:val="00DA5649"/>
    <w:rsid w:val="00DA5CB9"/>
    <w:rsid w:val="00DB124C"/>
    <w:rsid w:val="00DB2622"/>
    <w:rsid w:val="00DB266A"/>
    <w:rsid w:val="00DB3977"/>
    <w:rsid w:val="00DB50AB"/>
    <w:rsid w:val="00DC469A"/>
    <w:rsid w:val="00DC5081"/>
    <w:rsid w:val="00DC624B"/>
    <w:rsid w:val="00DC62D9"/>
    <w:rsid w:val="00DD063F"/>
    <w:rsid w:val="00DD0C6A"/>
    <w:rsid w:val="00DD1224"/>
    <w:rsid w:val="00DD147C"/>
    <w:rsid w:val="00DD23B1"/>
    <w:rsid w:val="00DD3237"/>
    <w:rsid w:val="00DD561A"/>
    <w:rsid w:val="00DD57EE"/>
    <w:rsid w:val="00DD7BA5"/>
    <w:rsid w:val="00DE0171"/>
    <w:rsid w:val="00DE0AC2"/>
    <w:rsid w:val="00DE3394"/>
    <w:rsid w:val="00DE37D8"/>
    <w:rsid w:val="00DE3C40"/>
    <w:rsid w:val="00DE465F"/>
    <w:rsid w:val="00DE5C34"/>
    <w:rsid w:val="00DE5C82"/>
    <w:rsid w:val="00DE5E22"/>
    <w:rsid w:val="00DE693E"/>
    <w:rsid w:val="00DE6F79"/>
    <w:rsid w:val="00DE70C4"/>
    <w:rsid w:val="00DE7648"/>
    <w:rsid w:val="00DE7E1C"/>
    <w:rsid w:val="00DF65DC"/>
    <w:rsid w:val="00DF7589"/>
    <w:rsid w:val="00E02EF7"/>
    <w:rsid w:val="00E03D34"/>
    <w:rsid w:val="00E03DEA"/>
    <w:rsid w:val="00E059FA"/>
    <w:rsid w:val="00E05AB9"/>
    <w:rsid w:val="00E0665D"/>
    <w:rsid w:val="00E06B2E"/>
    <w:rsid w:val="00E07196"/>
    <w:rsid w:val="00E073D6"/>
    <w:rsid w:val="00E07A10"/>
    <w:rsid w:val="00E108FF"/>
    <w:rsid w:val="00E10D99"/>
    <w:rsid w:val="00E13364"/>
    <w:rsid w:val="00E16422"/>
    <w:rsid w:val="00E17B4A"/>
    <w:rsid w:val="00E21E8D"/>
    <w:rsid w:val="00E22683"/>
    <w:rsid w:val="00E23819"/>
    <w:rsid w:val="00E24284"/>
    <w:rsid w:val="00E2787C"/>
    <w:rsid w:val="00E27EDC"/>
    <w:rsid w:val="00E30550"/>
    <w:rsid w:val="00E3055C"/>
    <w:rsid w:val="00E32396"/>
    <w:rsid w:val="00E34FA4"/>
    <w:rsid w:val="00E36B42"/>
    <w:rsid w:val="00E36C8E"/>
    <w:rsid w:val="00E40677"/>
    <w:rsid w:val="00E43609"/>
    <w:rsid w:val="00E4504F"/>
    <w:rsid w:val="00E45E0D"/>
    <w:rsid w:val="00E466F4"/>
    <w:rsid w:val="00E467E8"/>
    <w:rsid w:val="00E46B19"/>
    <w:rsid w:val="00E50386"/>
    <w:rsid w:val="00E50B91"/>
    <w:rsid w:val="00E52C87"/>
    <w:rsid w:val="00E52CC2"/>
    <w:rsid w:val="00E52F72"/>
    <w:rsid w:val="00E53111"/>
    <w:rsid w:val="00E56C41"/>
    <w:rsid w:val="00E61714"/>
    <w:rsid w:val="00E63B9B"/>
    <w:rsid w:val="00E63BEA"/>
    <w:rsid w:val="00E641D6"/>
    <w:rsid w:val="00E664D9"/>
    <w:rsid w:val="00E675E2"/>
    <w:rsid w:val="00E679EC"/>
    <w:rsid w:val="00E735D0"/>
    <w:rsid w:val="00E7374B"/>
    <w:rsid w:val="00E73D5B"/>
    <w:rsid w:val="00E74278"/>
    <w:rsid w:val="00E81CCC"/>
    <w:rsid w:val="00E8218D"/>
    <w:rsid w:val="00E82DC3"/>
    <w:rsid w:val="00E85477"/>
    <w:rsid w:val="00E857CC"/>
    <w:rsid w:val="00E86659"/>
    <w:rsid w:val="00E86FE5"/>
    <w:rsid w:val="00E87C5F"/>
    <w:rsid w:val="00E9016D"/>
    <w:rsid w:val="00E90D8A"/>
    <w:rsid w:val="00E9144E"/>
    <w:rsid w:val="00E91460"/>
    <w:rsid w:val="00E91824"/>
    <w:rsid w:val="00E93E5D"/>
    <w:rsid w:val="00E95CFD"/>
    <w:rsid w:val="00E96E9C"/>
    <w:rsid w:val="00E979E3"/>
    <w:rsid w:val="00EA01E9"/>
    <w:rsid w:val="00EA1D52"/>
    <w:rsid w:val="00EA244C"/>
    <w:rsid w:val="00EA322E"/>
    <w:rsid w:val="00EA3499"/>
    <w:rsid w:val="00EA43A5"/>
    <w:rsid w:val="00EA60D3"/>
    <w:rsid w:val="00EA6DED"/>
    <w:rsid w:val="00EB4082"/>
    <w:rsid w:val="00EB40A1"/>
    <w:rsid w:val="00EB7027"/>
    <w:rsid w:val="00EC0A48"/>
    <w:rsid w:val="00EC100F"/>
    <w:rsid w:val="00EC38BC"/>
    <w:rsid w:val="00EC3E6C"/>
    <w:rsid w:val="00EC5223"/>
    <w:rsid w:val="00EC52B1"/>
    <w:rsid w:val="00EC5B9D"/>
    <w:rsid w:val="00EC646E"/>
    <w:rsid w:val="00ED1AF6"/>
    <w:rsid w:val="00ED3B6C"/>
    <w:rsid w:val="00ED45CE"/>
    <w:rsid w:val="00ED5877"/>
    <w:rsid w:val="00ED6241"/>
    <w:rsid w:val="00ED66E1"/>
    <w:rsid w:val="00ED7B46"/>
    <w:rsid w:val="00EE0155"/>
    <w:rsid w:val="00EE1538"/>
    <w:rsid w:val="00EE28D3"/>
    <w:rsid w:val="00EE3196"/>
    <w:rsid w:val="00EE571E"/>
    <w:rsid w:val="00EE660F"/>
    <w:rsid w:val="00EE66AA"/>
    <w:rsid w:val="00EE675A"/>
    <w:rsid w:val="00EF0302"/>
    <w:rsid w:val="00EF0326"/>
    <w:rsid w:val="00EF04A4"/>
    <w:rsid w:val="00EF0A78"/>
    <w:rsid w:val="00EF242A"/>
    <w:rsid w:val="00EF26AA"/>
    <w:rsid w:val="00EF3965"/>
    <w:rsid w:val="00EF4C0F"/>
    <w:rsid w:val="00EF6CFF"/>
    <w:rsid w:val="00EF6EA4"/>
    <w:rsid w:val="00EF7050"/>
    <w:rsid w:val="00EF7DCC"/>
    <w:rsid w:val="00F001B3"/>
    <w:rsid w:val="00F01530"/>
    <w:rsid w:val="00F01CFC"/>
    <w:rsid w:val="00F03C11"/>
    <w:rsid w:val="00F04ADF"/>
    <w:rsid w:val="00F05118"/>
    <w:rsid w:val="00F0590E"/>
    <w:rsid w:val="00F0626A"/>
    <w:rsid w:val="00F11E82"/>
    <w:rsid w:val="00F1256F"/>
    <w:rsid w:val="00F12D4A"/>
    <w:rsid w:val="00F13BFE"/>
    <w:rsid w:val="00F155B0"/>
    <w:rsid w:val="00F164A2"/>
    <w:rsid w:val="00F21F1B"/>
    <w:rsid w:val="00F21FAB"/>
    <w:rsid w:val="00F229A6"/>
    <w:rsid w:val="00F31639"/>
    <w:rsid w:val="00F31EDA"/>
    <w:rsid w:val="00F3311B"/>
    <w:rsid w:val="00F342FD"/>
    <w:rsid w:val="00F344E2"/>
    <w:rsid w:val="00F34B2B"/>
    <w:rsid w:val="00F357B5"/>
    <w:rsid w:val="00F35C1D"/>
    <w:rsid w:val="00F36D22"/>
    <w:rsid w:val="00F37581"/>
    <w:rsid w:val="00F377EC"/>
    <w:rsid w:val="00F37DC6"/>
    <w:rsid w:val="00F402A0"/>
    <w:rsid w:val="00F404CA"/>
    <w:rsid w:val="00F40638"/>
    <w:rsid w:val="00F40CF7"/>
    <w:rsid w:val="00F40D86"/>
    <w:rsid w:val="00F421BD"/>
    <w:rsid w:val="00F43BD4"/>
    <w:rsid w:val="00F43E8A"/>
    <w:rsid w:val="00F44B04"/>
    <w:rsid w:val="00F464FC"/>
    <w:rsid w:val="00F50EFD"/>
    <w:rsid w:val="00F51FD7"/>
    <w:rsid w:val="00F55052"/>
    <w:rsid w:val="00F5608A"/>
    <w:rsid w:val="00F563B6"/>
    <w:rsid w:val="00F565FB"/>
    <w:rsid w:val="00F577BB"/>
    <w:rsid w:val="00F608E1"/>
    <w:rsid w:val="00F60B2E"/>
    <w:rsid w:val="00F63D8F"/>
    <w:rsid w:val="00F644EA"/>
    <w:rsid w:val="00F648DD"/>
    <w:rsid w:val="00F64A52"/>
    <w:rsid w:val="00F64D0B"/>
    <w:rsid w:val="00F65387"/>
    <w:rsid w:val="00F65D1B"/>
    <w:rsid w:val="00F6699A"/>
    <w:rsid w:val="00F66CE9"/>
    <w:rsid w:val="00F718C9"/>
    <w:rsid w:val="00F72F25"/>
    <w:rsid w:val="00F73591"/>
    <w:rsid w:val="00F75275"/>
    <w:rsid w:val="00F75DA9"/>
    <w:rsid w:val="00F76C50"/>
    <w:rsid w:val="00F812D7"/>
    <w:rsid w:val="00F81B1C"/>
    <w:rsid w:val="00F8353E"/>
    <w:rsid w:val="00F842D1"/>
    <w:rsid w:val="00F8475C"/>
    <w:rsid w:val="00F84A12"/>
    <w:rsid w:val="00F854A1"/>
    <w:rsid w:val="00F856C2"/>
    <w:rsid w:val="00F85E0E"/>
    <w:rsid w:val="00F873F5"/>
    <w:rsid w:val="00F879B7"/>
    <w:rsid w:val="00F9057E"/>
    <w:rsid w:val="00F91541"/>
    <w:rsid w:val="00F91BCE"/>
    <w:rsid w:val="00F91C3E"/>
    <w:rsid w:val="00F92416"/>
    <w:rsid w:val="00F92649"/>
    <w:rsid w:val="00F92824"/>
    <w:rsid w:val="00F92929"/>
    <w:rsid w:val="00F92F61"/>
    <w:rsid w:val="00F9368C"/>
    <w:rsid w:val="00F94C79"/>
    <w:rsid w:val="00F953A5"/>
    <w:rsid w:val="00F9551B"/>
    <w:rsid w:val="00F95D43"/>
    <w:rsid w:val="00F961E8"/>
    <w:rsid w:val="00FA03F1"/>
    <w:rsid w:val="00FA0C9A"/>
    <w:rsid w:val="00FA0D48"/>
    <w:rsid w:val="00FA3347"/>
    <w:rsid w:val="00FA35CB"/>
    <w:rsid w:val="00FA3ADA"/>
    <w:rsid w:val="00FA3E27"/>
    <w:rsid w:val="00FA53F7"/>
    <w:rsid w:val="00FA67B9"/>
    <w:rsid w:val="00FA68B9"/>
    <w:rsid w:val="00FB2ABF"/>
    <w:rsid w:val="00FB46F8"/>
    <w:rsid w:val="00FB4D7B"/>
    <w:rsid w:val="00FB74A3"/>
    <w:rsid w:val="00FC15F6"/>
    <w:rsid w:val="00FC20BD"/>
    <w:rsid w:val="00FC248C"/>
    <w:rsid w:val="00FC29A7"/>
    <w:rsid w:val="00FC455F"/>
    <w:rsid w:val="00FC45D4"/>
    <w:rsid w:val="00FC5735"/>
    <w:rsid w:val="00FC5B3C"/>
    <w:rsid w:val="00FC6034"/>
    <w:rsid w:val="00FC6981"/>
    <w:rsid w:val="00FC783F"/>
    <w:rsid w:val="00FC7B44"/>
    <w:rsid w:val="00FD0B06"/>
    <w:rsid w:val="00FD19C7"/>
    <w:rsid w:val="00FD3C28"/>
    <w:rsid w:val="00FD45DF"/>
    <w:rsid w:val="00FD4915"/>
    <w:rsid w:val="00FD4B42"/>
    <w:rsid w:val="00FD6FFA"/>
    <w:rsid w:val="00FD7CF1"/>
    <w:rsid w:val="00FD7E05"/>
    <w:rsid w:val="00FE106B"/>
    <w:rsid w:val="00FE3E28"/>
    <w:rsid w:val="00FE4092"/>
    <w:rsid w:val="00FE4DF8"/>
    <w:rsid w:val="00FE57CB"/>
    <w:rsid w:val="00FE627E"/>
    <w:rsid w:val="00FE63E5"/>
    <w:rsid w:val="00FF275C"/>
    <w:rsid w:val="00FF29AA"/>
    <w:rsid w:val="00FF2C6E"/>
    <w:rsid w:val="00FF3F89"/>
    <w:rsid w:val="00FF4428"/>
    <w:rsid w:val="00FF4CC4"/>
    <w:rsid w:val="00FF59E2"/>
    <w:rsid w:val="00FF5AC5"/>
    <w:rsid w:val="00FF5AC6"/>
    <w:rsid w:val="00FF5E41"/>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A18A"/>
  <w15:docId w15:val="{E12C9B5E-4157-41B4-BB61-E128615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85"/>
    <w:pPr>
      <w:keepLines/>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tabs>
        <w:tab w:val="clear" w:pos="992"/>
        <w:tab w:val="num" w:pos="360"/>
      </w:tabs>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hAnsi="Calibri" w:cs="Times New Roman"/>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Calibri" w:hAnsi="Calibri"/>
      <w:b/>
      <w:bCs/>
      <w:smallCaps/>
      <w:color w:val="002C47" w:themeColor="accent1"/>
      <w:sz w:val="20"/>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057787"/>
    <w:pPr>
      <w:numPr>
        <w:ilvl w:val="0"/>
        <w:numId w:val="0"/>
      </w:numPr>
      <w:pBdr>
        <w:bottom w:val="dashed" w:sz="4" w:space="1" w:color="002C47" w:themeColor="accent1"/>
      </w:pBdr>
      <w:tabs>
        <w:tab w:val="left" w:pos="596"/>
      </w:tabs>
      <w:ind w:left="596" w:hanging="567"/>
    </w:pPr>
    <w:rPr>
      <w:sz w:val="18"/>
      <w:bdr w:val="none" w:sz="0" w:space="0" w:color="auto" w:frame="1"/>
    </w:rPr>
  </w:style>
  <w:style w:type="character" w:customStyle="1" w:styleId="SourceChar">
    <w:name w:val="Source Char"/>
    <w:basedOn w:val="NormaldashChar"/>
    <w:link w:val="Source"/>
    <w:rsid w:val="00815D89"/>
    <w:rPr>
      <w:rFonts w:ascii="Calibri" w:eastAsiaTheme="minorEastAsia" w:hAnsi="Calibri"/>
      <w:sz w:val="18"/>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057787"/>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 w:type="character" w:styleId="FollowedHyperlink">
    <w:name w:val="FollowedHyperlink"/>
    <w:basedOn w:val="DefaultParagraphFont"/>
    <w:uiPriority w:val="99"/>
    <w:semiHidden/>
    <w:unhideWhenUsed/>
    <w:rsid w:val="00ED7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23739179">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bs.gov.au/statistics/health/causes-death/provisional-mortality-statistics/jan-2020-dec-2021"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tweb/sites/pop/cfp/CPop%20Project%20Wikis/Pop%20Charts.aspxhttps:/www.abs.gov.au/articles/measuring-australias-excess-mortality-during-covid-19-pandemi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bs.gov.au/articles/measuring-australias-excess-mortality-during-covid-19-pandemic"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urworldindata.org/coronavirus/country/australi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202020\Centre%20for%20Population\Centre%20for%20Population%20Internal.dotx" TargetMode="External"/></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7b7a547-5880-464f-83f8-cefe583c3af4" ContentTypeId="0x01010079842B7BE5DD8E409B7EECD6B050253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Enterprise Document" ma:contentTypeID="0x01010079842B7BE5DD8E409B7EECD6B050253D009384E8F4D1D5034693D13589CA0F0E07" ma:contentTypeVersion="24034" ma:contentTypeDescription="" ma:contentTypeScope="" ma:versionID="caf250da80be9011bd7dcb29fa894abc">
  <xsd:schema xmlns:xsd="http://www.w3.org/2001/XMLSchema" xmlns:xs="http://www.w3.org/2001/XMLSchema" xmlns:p="http://schemas.microsoft.com/office/2006/metadata/properties" xmlns:ns2="0f563589-9cf9-4143-b1eb-fb0534803d38" xmlns:ns3="d496f99b-b1db-4f49-ba6b-7f936f7bb1fd" targetNamespace="http://schemas.microsoft.com/office/2006/metadata/properties" ma:root="true" ma:fieldsID="8d91dbf93dd4d817b6042c9eaaaee7b3" ns2:_="" ns3:_="">
    <xsd:import namespace="0f563589-9cf9-4143-b1eb-fb0534803d38"/>
    <xsd:import namespace="d496f99b-b1db-4f49-ba6b-7f936f7bb1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01cfe90be52474b8e18e3381839b0e5" minOccurs="0"/>
                <xsd:element ref="ns2:bd15a34e52e3468a87b49920a3b7dd6b" minOccurs="0"/>
                <xsd:element ref="ns3:f3486d5f7e7540d7aac4d0eb58bc535f" minOccurs="0"/>
                <xsd:element ref="ns3:o46f31d2a77f450686730c449e7761c5" minOccurs="0"/>
                <xsd:element ref="ns3:cpop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f8a8e69-a481-4a32-8574-a60cf19e510f}" ma:internalName="TaxCatchAll" ma:showField="CatchAllData"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f8a8e69-a481-4a32-8574-a60cf19e510f}" ma:internalName="TaxCatchAllLabel" ma:readOnly="true" ma:showField="CatchAllDataLabel"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b01cfe90be52474b8e18e3381839b0e5" ma:index="13" ma:taxonomy="true" ma:internalName="b01cfe90be52474b8e18e3381839b0e5" ma:taxonomyFieldName="eTheme_x002F_Activity_x002F_Document_x0020_Type" ma:displayName="Theme/Activity/Document Type" ma:readOnly="false" ma:default="" ma:fieldId="{b01cfe90-be52-474b-8e18-e3381839b0e5}" ma:sspId="77b7a547-5880-464f-83f8-cefe583c3af4" ma:termSetId="3c0d1693-3b42-49b7-bddf-28e823765e04" ma:anchorId="6dccd8e5-96e6-4ded-89e4-8f53d9e55129" ma:open="false" ma:isKeyword="false">
      <xsd:complexType>
        <xsd:sequence>
          <xsd:element ref="pc:Terms" minOccurs="0" maxOccurs="1"/>
        </xsd:sequence>
      </xsd:complexType>
    </xsd:element>
    <xsd:element name="bd15a34e52e3468a87b49920a3b7dd6b" ma:index="15" ma:taxonomy="true" ma:internalName="bd15a34e52e3468a87b49920a3b7dd6b" ma:taxonomyFieldName="eTheme_x002F_Topic" ma:displayName="Theme/Topic" ma:readOnly="false" ma:default="" ma:fieldId="{bd15a34e-52e3-468a-87b4-9920a3b7dd6b}" ma:taxonomyMulti="true" ma:sspId="77b7a547-5880-464f-83f8-cefe583c3af4" ma:termSetId="fe275d3b-acbf-4477-98d4-b06bbe13079d" ma:anchorId="768f1f5f-dad2-496f-809e-500fb57d74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6f99b-b1db-4f49-ba6b-7f936f7bb1fd" elementFormDefault="qualified">
    <xsd:import namespace="http://schemas.microsoft.com/office/2006/documentManagement/types"/>
    <xsd:import namespace="http://schemas.microsoft.com/office/infopath/2007/PartnerControls"/>
    <xsd:element name="f3486d5f7e7540d7aac4d0eb58bc535f" ma:index="17" nillable="true" ma:taxonomy="true" ma:internalName="f3486d5f7e7540d7aac4d0eb58bc535f" ma:taxonomyFieldName="Project" ma:displayName="Project" ma:default="" ma:fieldId="{f3486d5f-7e75-40d7-aac4-d0eb58bc535f}" ma:taxonomyMulti="true" ma:sspId="77b7a547-5880-464f-83f8-cefe583c3af4" ma:termSetId="6b4b8051-62e7-47ed-a8bb-37ac7ed2047d" ma:anchorId="00000000-0000-0000-0000-000000000000" ma:open="false" ma:isKeyword="false">
      <xsd:complexType>
        <xsd:sequence>
          <xsd:element ref="pc:Terms" minOccurs="0" maxOccurs="1"/>
        </xsd:sequence>
      </xsd:complexType>
    </xsd:element>
    <xsd:element name="o46f31d2a77f450686730c449e7761c5" ma:index="19" nillable="true" ma:taxonomy="true" ma:internalName="o46f31d2a77f450686730c449e7761c5" ma:taxonomyFieldName="Client" ma:displayName="Client" ma:readOnly="false" ma:default="" ma:fieldId="{846f31d2-a77f-4506-8673-0c449e7761c5}" ma:taxonomyMulti="true" ma:sspId="77b7a547-5880-464f-83f8-cefe583c3af4" ma:termSetId="eac17a8e-5ff2-4694-bfcd-02f97bea9008" ma:anchorId="00000000-0000-0000-0000-000000000000" ma:open="false" ma:isKeyword="false">
      <xsd:complexType>
        <xsd:sequence>
          <xsd:element ref="pc:Terms" minOccurs="0" maxOccurs="1"/>
        </xsd:sequence>
      </xsd:complexType>
    </xsd:element>
    <xsd:element name="cpopDue_x0020_Date" ma:index="21" nillable="true" ma:displayName="cpopDue Date" ma:format="DateOnly" ma:internalName="cpop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403</Value>
      <Value>298</Value>
      <Value>1350</Value>
      <Value>23</Value>
      <Value>309</Value>
      <Value>1468</Value>
      <Value>1480</Value>
    </TaxCatchAll>
    <_dlc_DocId xmlns="0f563589-9cf9-4143-b1eb-fb0534803d38">2022JWJ6HQSX-1422168352-7758</_dlc_DocId>
    <_dlc_DocIdUrl xmlns="0f563589-9cf9-4143-b1eb-fb0534803d38">
      <Url>http://tweb/sites/pop/cfp/_layouts/15/DocIdRedir.aspx?ID=2022JWJ6HQSX-1422168352-7758</Url>
      <Description>2022JWJ6HQSX-1422168352-7758</Description>
    </_dlc_DocIdUrl>
    <cpopDue_x0020_Date xmlns="d496f99b-b1db-4f49-ba6b-7f936f7bb1fd" xsi:nil="true"/>
    <b01cfe90be52474b8e18e3381839b0e5 xmlns="0f563589-9cf9-4143-b1eb-fb0534803d38">
      <Terms xmlns="http://schemas.microsoft.com/office/infopath/2007/PartnerControls">
        <TermInfo xmlns="http://schemas.microsoft.com/office/infopath/2007/PartnerControls">
          <TermName xmlns="http://schemas.microsoft.com/office/infopath/2007/PartnerControls">Economic note</TermName>
          <TermId xmlns="http://schemas.microsoft.com/office/infopath/2007/PartnerControls">9da9dffc-b8ed-4512-88c8-d09b5325e551</TermId>
        </TermInfo>
      </Terms>
    </b01cfe90be52474b8e18e3381839b0e5>
    <o46f31d2a77f450686730c449e7761c5 xmlns="d496f99b-b1db-4f49-ba6b-7f936f7bb1fd">
      <Terms xmlns="http://schemas.microsoft.com/office/infopath/2007/PartnerControls">
        <TermInfo xmlns="http://schemas.microsoft.com/office/infopath/2007/PartnerControls">
          <TermName xmlns="http://schemas.microsoft.com/office/infopath/2007/PartnerControls">Internal CPoP</TermName>
          <TermId xmlns="http://schemas.microsoft.com/office/infopath/2007/PartnerControls">9c8644cd-0fe8-421b-9fd7-a2b593f5db96</TermId>
        </TermInfo>
      </Terms>
    </o46f31d2a77f450686730c449e7761c5>
    <bd15a34e52e3468a87b49920a3b7dd6b xmlns="0f563589-9cf9-4143-b1eb-fb0534803d38">
      <Terms xmlns="http://schemas.microsoft.com/office/infopath/2007/PartnerControls">
        <TermInfo xmlns="http://schemas.microsoft.com/office/infopath/2007/PartnerControls">
          <TermName xmlns="http://schemas.microsoft.com/office/infopath/2007/PartnerControls">Natural increase - mortality</TermName>
          <TermId xmlns="http://schemas.microsoft.com/office/infopath/2007/PartnerControls">5318a4f3-c83c-4903-9171-a49e65bd6c24</TermId>
        </TermInfo>
      </Terms>
    </bd15a34e52e3468a87b49920a3b7dd6b>
    <f3486d5f7e7540d7aac4d0eb58bc535f xmlns="d496f99b-b1db-4f49-ba6b-7f936f7bb1fd">
      <Terms xmlns="http://schemas.microsoft.com/office/infopath/2007/PartnerControls"/>
    </f3486d5f7e7540d7aac4d0eb58bc535f>
  </documentManagement>
</p:properties>
</file>

<file path=customXml/itemProps1.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2.xml><?xml version="1.0" encoding="utf-8"?>
<ds:datastoreItem xmlns:ds="http://schemas.openxmlformats.org/officeDocument/2006/customXml" ds:itemID="{89FF8C04-32F3-4BC3-BA15-708541BB13FE}">
  <ds:schemaRefs>
    <ds:schemaRef ds:uri="Microsoft.SharePoint.Taxonomy.ContentTypeSync"/>
  </ds:schemaRefs>
</ds:datastoreItem>
</file>

<file path=customXml/itemProps3.xml><?xml version="1.0" encoding="utf-8"?>
<ds:datastoreItem xmlns:ds="http://schemas.openxmlformats.org/officeDocument/2006/customXml" ds:itemID="{4229F43C-3A89-4C23-8D39-92D8839E10CA}">
  <ds:schemaRefs>
    <ds:schemaRef ds:uri="http://schemas.microsoft.com/sharepoint/v3/contenttype/forms"/>
  </ds:schemaRefs>
</ds:datastoreItem>
</file>

<file path=customXml/itemProps4.xml><?xml version="1.0" encoding="utf-8"?>
<ds:datastoreItem xmlns:ds="http://schemas.openxmlformats.org/officeDocument/2006/customXml" ds:itemID="{0EE93E8D-AB01-4862-A841-FD59545D2F27}">
  <ds:schemaRefs>
    <ds:schemaRef ds:uri="http://schemas.microsoft.com/sharepoint/events"/>
  </ds:schemaRefs>
</ds:datastoreItem>
</file>

<file path=customXml/itemProps5.xml><?xml version="1.0" encoding="utf-8"?>
<ds:datastoreItem xmlns:ds="http://schemas.openxmlformats.org/officeDocument/2006/customXml" ds:itemID="{A0B7A0B6-3037-41AE-BA8C-4AB5C0BE9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d496f99b-b1db-4f49-ba6b-7f936f7bb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BF7C61-34C1-4EF2-9128-B9B8458ED656}">
  <ds:schemaRefs>
    <ds:schemaRef ds:uri="http://schemas.microsoft.com/office/2006/metadata/properties"/>
    <ds:schemaRef ds:uri="http://schemas.microsoft.com/office/infopath/2007/PartnerControls"/>
    <ds:schemaRef ds:uri="0f563589-9cf9-4143-b1eb-fb0534803d38"/>
    <ds:schemaRef ds:uri="d496f99b-b1db-4f49-ba6b-7f936f7bb1fd"/>
  </ds:schemaRefs>
</ds:datastoreItem>
</file>

<file path=docProps/app.xml><?xml version="1.0" encoding="utf-8"?>
<Properties xmlns="http://schemas.openxmlformats.org/officeDocument/2006/extended-properties" xmlns:vt="http://schemas.openxmlformats.org/officeDocument/2006/docPropsVTypes">
  <Template>Centre for Population Internal.dotx</Template>
  <TotalTime>33</TotalTime>
  <Pages>5</Pages>
  <Words>1728</Words>
  <Characters>9541</Characters>
  <Application>Microsoft Office Word</Application>
  <DocSecurity>0</DocSecurity>
  <Lines>216</Lines>
  <Paragraphs>142</Paragraphs>
  <ScaleCrop>false</ScaleCrop>
  <HeadingPairs>
    <vt:vector size="2" baseType="variant">
      <vt:variant>
        <vt:lpstr>Title</vt:lpstr>
      </vt:variant>
      <vt:variant>
        <vt:i4>1</vt:i4>
      </vt:variant>
    </vt:vector>
  </HeadingPairs>
  <TitlesOfParts>
    <vt:vector size="1" baseType="lpstr">
      <vt:lpstr>Mortality during the COVID-19 pandemic - 30 March 2022</vt:lpstr>
    </vt:vector>
  </TitlesOfParts>
  <Company>Australian Government - The Treasury</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Mortality during the COVID-19 pandemic - 30 March 2022</dc:title>
  <dc:creator>Centre for Population</dc:creator>
  <cp:lastModifiedBy>Matthew</cp:lastModifiedBy>
  <cp:revision>9</cp:revision>
  <cp:lastPrinted>2022-04-04T01:46:00Z</cp:lastPrinted>
  <dcterms:created xsi:type="dcterms:W3CDTF">2022-03-30T23:34:00Z</dcterms:created>
  <dcterms:modified xsi:type="dcterms:W3CDTF">2022-04-04T05:26:00Z</dcterms:modified>
</cp:coreProperties>
</file>