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B3D" w14:textId="0A4D6919" w:rsidR="00725216" w:rsidRPr="00344548" w:rsidRDefault="003C77DE" w:rsidP="00463005">
      <w:pPr>
        <w:spacing w:before="240" w:after="360"/>
        <w:jc w:val="right"/>
        <w:rPr>
          <w:b/>
          <w:i/>
          <w:color w:val="FFFFFF" w:themeColor="background1"/>
          <w:sz w:val="28"/>
          <w:szCs w:val="28"/>
        </w:rPr>
      </w:pPr>
      <w:bookmarkStart w:id="0" w:name="_Hlk74846628"/>
      <w:r w:rsidRPr="00344548">
        <w:rPr>
          <w:b/>
          <w:i/>
          <w:color w:val="FFFFFF" w:themeColor="background1"/>
          <w:sz w:val="28"/>
          <w:szCs w:val="28"/>
        </w:rPr>
        <w:t>28 June 2022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25216" w:rsidRPr="00F21FAB" w14:paraId="57BC2909" w14:textId="77777777" w:rsidTr="000676B8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0EB52E41" w14:textId="062134C0" w:rsidR="00725216" w:rsidRPr="00BD0C7A" w:rsidRDefault="000676B8" w:rsidP="00463005">
            <w:pPr>
              <w:pStyle w:val="Heading2"/>
              <w:rPr>
                <w:i w:val="0"/>
                <w:iCs/>
              </w:rPr>
            </w:pPr>
            <w:bookmarkStart w:id="1" w:name="_Ref74896474"/>
            <w:bookmarkEnd w:id="0"/>
            <w:r w:rsidRPr="00BD0C7A">
              <w:rPr>
                <w:i w:val="0"/>
                <w:iCs/>
              </w:rPr>
              <w:t>Rebasing</w:t>
            </w:r>
            <w:r w:rsidR="00925B81">
              <w:rPr>
                <w:i w:val="0"/>
                <w:iCs/>
              </w:rPr>
              <w:t xml:space="preserve"> of Australia’s population estimates using the</w:t>
            </w:r>
            <w:r w:rsidR="00D97AEA">
              <w:rPr>
                <w:i w:val="0"/>
                <w:iCs/>
              </w:rPr>
              <w:t xml:space="preserve"> 2021 </w:t>
            </w:r>
            <w:r w:rsidR="00925B81">
              <w:rPr>
                <w:i w:val="0"/>
                <w:iCs/>
              </w:rPr>
              <w:t xml:space="preserve">Census </w:t>
            </w:r>
            <w:r w:rsidR="004A6BC4" w:rsidRPr="00BD0C7A">
              <w:rPr>
                <w:i w:val="0"/>
                <w:iCs/>
              </w:rPr>
              <w:t xml:space="preserve"> </w:t>
            </w:r>
            <w:bookmarkEnd w:id="1"/>
          </w:p>
        </w:tc>
      </w:tr>
      <w:tr w:rsidR="00725216" w:rsidRPr="0023709A" w14:paraId="37605938" w14:textId="77777777" w:rsidTr="000676B8">
        <w:trPr>
          <w:trHeight w:val="300"/>
        </w:trPr>
        <w:tc>
          <w:tcPr>
            <w:tcW w:w="5000" w:type="pct"/>
            <w:shd w:val="clear" w:color="auto" w:fill="CCE3F6" w:themeFill="accent2" w:themeFillTint="33"/>
            <w:vAlign w:val="center"/>
          </w:tcPr>
          <w:p w14:paraId="1587ADF8" w14:textId="063B71A2" w:rsidR="00E35E35" w:rsidRPr="000A36B7" w:rsidRDefault="001F251E" w:rsidP="005377A0">
            <w:pPr>
              <w:pStyle w:val="BoxText"/>
              <w:spacing w:before="160" w:after="160"/>
              <w:ind w:left="0"/>
              <w:rPr>
                <w:sz w:val="20"/>
              </w:rPr>
            </w:pPr>
            <w:r w:rsidRPr="000A36B7">
              <w:rPr>
                <w:sz w:val="20"/>
              </w:rPr>
              <w:t>The</w:t>
            </w:r>
            <w:r>
              <w:rPr>
                <w:sz w:val="20"/>
              </w:rPr>
              <w:t xml:space="preserve"> Australian Bureau of Statistics</w:t>
            </w:r>
            <w:r w:rsidRPr="000A36B7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0A36B7">
              <w:rPr>
                <w:sz w:val="20"/>
              </w:rPr>
              <w:t>ABS</w:t>
            </w:r>
            <w:r>
              <w:rPr>
                <w:sz w:val="20"/>
              </w:rPr>
              <w:t>) have</w:t>
            </w:r>
            <w:r w:rsidR="007C0346">
              <w:rPr>
                <w:sz w:val="20"/>
              </w:rPr>
              <w:t xml:space="preserve"> </w:t>
            </w:r>
            <w:r w:rsidR="007C0346" w:rsidRPr="000A36B7">
              <w:rPr>
                <w:sz w:val="20"/>
              </w:rPr>
              <w:t>us</w:t>
            </w:r>
            <w:r w:rsidR="007C0346">
              <w:rPr>
                <w:sz w:val="20"/>
              </w:rPr>
              <w:t>ed data from</w:t>
            </w:r>
            <w:r w:rsidR="007C0346" w:rsidRPr="000A36B7">
              <w:rPr>
                <w:sz w:val="20"/>
              </w:rPr>
              <w:t xml:space="preserve"> the 2021 Census</w:t>
            </w:r>
            <w:r w:rsidR="007C0346">
              <w:rPr>
                <w:sz w:val="20"/>
              </w:rPr>
              <w:t xml:space="preserve"> </w:t>
            </w:r>
            <w:r w:rsidR="00D3376B">
              <w:rPr>
                <w:sz w:val="20"/>
              </w:rPr>
              <w:t>of Population and Housing</w:t>
            </w:r>
            <w:r w:rsidR="007C0346">
              <w:rPr>
                <w:sz w:val="20"/>
              </w:rPr>
              <w:t xml:space="preserve"> to</w:t>
            </w:r>
            <w:r>
              <w:rPr>
                <w:sz w:val="20"/>
              </w:rPr>
              <w:t xml:space="preserve"> rebase </w:t>
            </w:r>
            <w:r w:rsidR="00D3376B">
              <w:rPr>
                <w:sz w:val="20"/>
              </w:rPr>
              <w:t xml:space="preserve">Australia’s </w:t>
            </w:r>
            <w:r w:rsidR="00952C0F">
              <w:rPr>
                <w:sz w:val="20"/>
              </w:rPr>
              <w:t>e</w:t>
            </w:r>
            <w:r w:rsidR="00C43024" w:rsidRPr="000A36B7">
              <w:rPr>
                <w:sz w:val="20"/>
              </w:rPr>
              <w:t xml:space="preserve">stimated </w:t>
            </w:r>
            <w:r w:rsidR="00C43024">
              <w:rPr>
                <w:sz w:val="20"/>
              </w:rPr>
              <w:t>r</w:t>
            </w:r>
            <w:r w:rsidR="00C43024" w:rsidRPr="000A36B7">
              <w:rPr>
                <w:sz w:val="20"/>
              </w:rPr>
              <w:t xml:space="preserve">esident </w:t>
            </w:r>
            <w:r w:rsidR="00C43024">
              <w:rPr>
                <w:sz w:val="20"/>
              </w:rPr>
              <w:t>p</w:t>
            </w:r>
            <w:r w:rsidR="00C43024" w:rsidRPr="000A36B7">
              <w:rPr>
                <w:sz w:val="20"/>
              </w:rPr>
              <w:t>opulation (ERP)</w:t>
            </w:r>
            <w:r w:rsidR="00572EE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from September 2016 to </w:t>
            </w:r>
            <w:r w:rsidR="00F67F71">
              <w:rPr>
                <w:sz w:val="20"/>
              </w:rPr>
              <w:t>June</w:t>
            </w:r>
            <w:r w:rsidR="00835300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="00E35E35" w:rsidRPr="000A36B7">
              <w:rPr>
                <w:sz w:val="20"/>
              </w:rPr>
              <w:t xml:space="preserve">. </w:t>
            </w:r>
          </w:p>
          <w:p w14:paraId="0E81AC12" w14:textId="1257529D" w:rsidR="00E9498F" w:rsidRPr="000A36B7" w:rsidRDefault="00835300" w:rsidP="005377A0">
            <w:pPr>
              <w:pStyle w:val="BoxText"/>
              <w:spacing w:before="160" w:after="160"/>
              <w:ind w:left="0"/>
              <w:rPr>
                <w:sz w:val="20"/>
              </w:rPr>
            </w:pPr>
            <w:r>
              <w:rPr>
                <w:sz w:val="20"/>
              </w:rPr>
              <w:t>Australia’s</w:t>
            </w:r>
            <w:r w:rsidR="007C0346">
              <w:rPr>
                <w:sz w:val="20"/>
              </w:rPr>
              <w:t xml:space="preserve"> </w:t>
            </w:r>
            <w:r w:rsidR="007C0346" w:rsidRPr="000A36B7">
              <w:rPr>
                <w:sz w:val="20"/>
              </w:rPr>
              <w:t>ERP</w:t>
            </w:r>
            <w:r w:rsidR="00685664" w:rsidRPr="000A36B7">
              <w:rPr>
                <w:sz w:val="20"/>
              </w:rPr>
              <w:t xml:space="preserve"> </w:t>
            </w:r>
            <w:proofErr w:type="gramStart"/>
            <w:r w:rsidR="00E9498F" w:rsidRPr="000A36B7">
              <w:rPr>
                <w:sz w:val="20"/>
              </w:rPr>
              <w:t>at</w:t>
            </w:r>
            <w:proofErr w:type="gramEnd"/>
            <w:r w:rsidR="00E9498F" w:rsidRPr="000A36B7">
              <w:rPr>
                <w:sz w:val="20"/>
              </w:rPr>
              <w:t xml:space="preserve"> 30 June 2021</w:t>
            </w:r>
            <w:r w:rsidR="00003B2B" w:rsidRPr="007D63BB">
              <w:rPr>
                <w:sz w:val="20"/>
              </w:rPr>
              <w:t xml:space="preserve"> was 25,688,000, a downward revision of 50,000 (0.2 per cent)</w:t>
            </w:r>
            <w:r w:rsidR="00E9498F" w:rsidRPr="000A36B7">
              <w:rPr>
                <w:sz w:val="20"/>
              </w:rPr>
              <w:t xml:space="preserve">. </w:t>
            </w:r>
          </w:p>
          <w:p w14:paraId="1B7CD0DA" w14:textId="51FE0196" w:rsidR="005B5A70" w:rsidRPr="00032315" w:rsidRDefault="00835300" w:rsidP="005377A0">
            <w:pPr>
              <w:pStyle w:val="BoxText"/>
              <w:spacing w:before="160" w:after="160"/>
              <w:ind w:left="0"/>
              <w:rPr>
                <w:sz w:val="20"/>
              </w:rPr>
            </w:pPr>
            <w:r>
              <w:rPr>
                <w:sz w:val="20"/>
              </w:rPr>
              <w:t>There were significant</w:t>
            </w:r>
            <w:r w:rsidR="00E9498F" w:rsidRPr="000A36B7">
              <w:rPr>
                <w:sz w:val="20"/>
              </w:rPr>
              <w:t xml:space="preserve"> revisions to</w:t>
            </w:r>
            <w:r>
              <w:rPr>
                <w:sz w:val="20"/>
              </w:rPr>
              <w:t xml:space="preserve"> </w:t>
            </w:r>
            <w:r w:rsidR="00F86070">
              <w:rPr>
                <w:sz w:val="20"/>
              </w:rPr>
              <w:t>s</w:t>
            </w:r>
            <w:r w:rsidR="00E9498F" w:rsidRPr="000A36B7">
              <w:rPr>
                <w:sz w:val="20"/>
              </w:rPr>
              <w:t>tate population estimates. The populations of New South Wales</w:t>
            </w:r>
            <w:r w:rsidR="00F24C11">
              <w:rPr>
                <w:sz w:val="20"/>
              </w:rPr>
              <w:t xml:space="preserve"> and</w:t>
            </w:r>
            <w:r w:rsidR="00E9498F" w:rsidRPr="000A36B7">
              <w:rPr>
                <w:sz w:val="20"/>
              </w:rPr>
              <w:t xml:space="preserve"> Victoria were revised down, </w:t>
            </w:r>
            <w:r w:rsidR="00F24C11">
              <w:rPr>
                <w:sz w:val="20"/>
              </w:rPr>
              <w:t>Queensland</w:t>
            </w:r>
            <w:r w:rsidR="00E86BC4">
              <w:rPr>
                <w:sz w:val="20"/>
              </w:rPr>
              <w:t xml:space="preserve"> was largely unchanged,</w:t>
            </w:r>
            <w:r w:rsidR="00E86BC4" w:rsidRPr="000A36B7">
              <w:rPr>
                <w:sz w:val="20"/>
              </w:rPr>
              <w:t xml:space="preserve"> </w:t>
            </w:r>
            <w:r w:rsidR="00E9498F" w:rsidRPr="000A36B7">
              <w:rPr>
                <w:sz w:val="20"/>
              </w:rPr>
              <w:t xml:space="preserve">while </w:t>
            </w:r>
            <w:r w:rsidR="00572EED">
              <w:rPr>
                <w:sz w:val="20"/>
              </w:rPr>
              <w:t>other</w:t>
            </w:r>
            <w:r w:rsidR="00E9498F" w:rsidRPr="000A36B7">
              <w:rPr>
                <w:sz w:val="20"/>
              </w:rPr>
              <w:t xml:space="preserve"> states and territories saw upward</w:t>
            </w:r>
            <w:r>
              <w:rPr>
                <w:sz w:val="20"/>
              </w:rPr>
              <w:t>s</w:t>
            </w:r>
            <w:r w:rsidR="00E9498F" w:rsidRPr="000A36B7">
              <w:rPr>
                <w:sz w:val="20"/>
              </w:rPr>
              <w:t xml:space="preserve"> revision</w:t>
            </w:r>
            <w:r>
              <w:rPr>
                <w:sz w:val="20"/>
              </w:rPr>
              <w:t>s</w:t>
            </w:r>
            <w:r w:rsidR="00E9498F" w:rsidRPr="000A36B7">
              <w:rPr>
                <w:sz w:val="20"/>
              </w:rPr>
              <w:t xml:space="preserve">. </w:t>
            </w:r>
          </w:p>
          <w:p w14:paraId="761F7B9E" w14:textId="188FC7D0" w:rsidR="002F4CAA" w:rsidRPr="00032315" w:rsidRDefault="005B5A70" w:rsidP="005377A0">
            <w:pPr>
              <w:pStyle w:val="Bullet"/>
              <w:numPr>
                <w:ilvl w:val="0"/>
                <w:numId w:val="0"/>
              </w:numPr>
              <w:spacing w:before="160" w:after="160"/>
            </w:pPr>
            <w:r w:rsidRPr="00EE382B">
              <w:rPr>
                <w:lang w:eastAsia="en-AU"/>
              </w:rPr>
              <w:t>The</w:t>
            </w:r>
            <w:r w:rsidR="00344732" w:rsidRPr="00EE382B">
              <w:rPr>
                <w:lang w:eastAsia="en-AU"/>
              </w:rPr>
              <w:t xml:space="preserve"> </w:t>
            </w:r>
            <w:r w:rsidR="00F86070" w:rsidRPr="00EE382B">
              <w:rPr>
                <w:lang w:eastAsia="en-AU"/>
              </w:rPr>
              <w:t>A</w:t>
            </w:r>
            <w:r w:rsidR="00221A08">
              <w:rPr>
                <w:lang w:eastAsia="en-AU"/>
              </w:rPr>
              <w:t>CT</w:t>
            </w:r>
            <w:r w:rsidR="00F86070" w:rsidRPr="00EE382B">
              <w:rPr>
                <w:lang w:eastAsia="en-AU"/>
              </w:rPr>
              <w:t xml:space="preserve"> </w:t>
            </w:r>
            <w:r w:rsidR="00344732" w:rsidRPr="00032315">
              <w:t xml:space="preserve">and Tasmania </w:t>
            </w:r>
            <w:r w:rsidR="00F86070" w:rsidRPr="00EE382B">
              <w:rPr>
                <w:lang w:eastAsia="en-AU"/>
              </w:rPr>
              <w:t>were</w:t>
            </w:r>
            <w:r w:rsidR="007B0A4D" w:rsidRPr="00032315">
              <w:t xml:space="preserve"> </w:t>
            </w:r>
            <w:r w:rsidR="00344732" w:rsidRPr="00032315">
              <w:t>the two fastest growing jurisdictions</w:t>
            </w:r>
            <w:r w:rsidR="00F86070" w:rsidRPr="00EE382B">
              <w:rPr>
                <w:lang w:eastAsia="en-AU"/>
              </w:rPr>
              <w:t xml:space="preserve"> </w:t>
            </w:r>
            <w:r w:rsidR="005D2222">
              <w:rPr>
                <w:lang w:eastAsia="en-AU"/>
              </w:rPr>
              <w:t>between 2016 and 2021 (</w:t>
            </w:r>
            <w:r w:rsidR="00F86070" w:rsidRPr="00EE382B">
              <w:rPr>
                <w:lang w:eastAsia="en-AU"/>
              </w:rPr>
              <w:t>the intercensal period</w:t>
            </w:r>
            <w:r w:rsidR="005D2222">
              <w:rPr>
                <w:lang w:eastAsia="en-AU"/>
              </w:rPr>
              <w:t>)</w:t>
            </w:r>
            <w:r w:rsidR="007B0A4D" w:rsidRPr="00032315">
              <w:t>, having grown much faster than previously estimated</w:t>
            </w:r>
            <w:r w:rsidR="00CD2280" w:rsidRPr="00EE382B">
              <w:rPr>
                <w:lang w:eastAsia="en-AU"/>
              </w:rPr>
              <w:t>.</w:t>
            </w:r>
            <w:r w:rsidR="00BC54D5" w:rsidRPr="00EE382B">
              <w:t xml:space="preserve"> </w:t>
            </w:r>
          </w:p>
          <w:p w14:paraId="2D191C53" w14:textId="1ED87876" w:rsidR="00432E28" w:rsidRPr="00CF0B09" w:rsidRDefault="002F4CAA" w:rsidP="005377A0">
            <w:pPr>
              <w:pStyle w:val="Bullet"/>
              <w:numPr>
                <w:ilvl w:val="0"/>
                <w:numId w:val="0"/>
              </w:numPr>
              <w:spacing w:before="160" w:after="160"/>
            </w:pPr>
            <w:r w:rsidRPr="00930EE7">
              <w:t>The</w:t>
            </w:r>
            <w:r w:rsidR="00F67F71">
              <w:t xml:space="preserve"> </w:t>
            </w:r>
            <w:r w:rsidRPr="00930EE7">
              <w:t xml:space="preserve">Census </w:t>
            </w:r>
            <w:r>
              <w:t>was collected in August</w:t>
            </w:r>
            <w:r w:rsidR="00F67F71">
              <w:t xml:space="preserve"> </w:t>
            </w:r>
            <w:r>
              <w:t>during an outbreak of the Delta variant</w:t>
            </w:r>
            <w:r w:rsidR="00F67F71">
              <w:t xml:space="preserve"> of COVID-19</w:t>
            </w:r>
            <w:r w:rsidR="00BC54D5">
              <w:t xml:space="preserve"> and lockdowns in most Eastern jurisdictions</w:t>
            </w:r>
            <w:r>
              <w:t xml:space="preserve">. </w:t>
            </w:r>
            <w:r w:rsidR="0027640F">
              <w:t xml:space="preserve">Despite </w:t>
            </w:r>
            <w:r w:rsidR="00572EED">
              <w:t>this</w:t>
            </w:r>
            <w:r w:rsidR="0027640F">
              <w:t>, e</w:t>
            </w:r>
            <w:r>
              <w:t xml:space="preserve">arly indicators </w:t>
            </w:r>
            <w:r w:rsidR="00AA70C1">
              <w:t xml:space="preserve">suggest </w:t>
            </w:r>
            <w:r>
              <w:t>that the Census was of high quality, with the lowest net undercount recorded</w:t>
            </w:r>
            <w:r w:rsidR="006F14C5">
              <w:t>,</w:t>
            </w:r>
            <w:r>
              <w:t xml:space="preserve"> and a response rate of 96.1 per cent.</w:t>
            </w:r>
          </w:p>
        </w:tc>
      </w:tr>
      <w:tr w:rsidR="00725216" w:rsidRPr="0023709A" w14:paraId="6484E700" w14:textId="77777777" w:rsidTr="002B1AE8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0B4DE4B6" w14:textId="09F3B97A" w:rsidR="00314190" w:rsidRDefault="00314190" w:rsidP="000C59EB">
            <w:pPr>
              <w:pStyle w:val="Heading3"/>
              <w:spacing w:before="160" w:after="160"/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</w:pPr>
            <w:r w:rsidRPr="00314190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On </w:t>
            </w:r>
            <w:r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28 June 2022, the </w:t>
            </w:r>
            <w:r w:rsidR="00DB4F2A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>ABS</w:t>
            </w:r>
            <w:r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 released the first stage of</w:t>
            </w:r>
            <w:r w:rsidR="00EF0A21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 data from</w:t>
            </w:r>
            <w:r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 </w:t>
            </w:r>
            <w:r w:rsidR="008D697C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>the 2021 Census of Population and Housing</w:t>
            </w:r>
            <w:r w:rsidR="00A9059B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 (2021 Census)</w:t>
            </w:r>
            <w:r w:rsidR="008D697C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. </w:t>
            </w:r>
            <w:r w:rsidR="00A378A1" w:rsidRPr="00DF4577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After each Census, the ABS uses new information to update ERP </w:t>
            </w:r>
            <w:r w:rsidR="00F86070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>for</w:t>
            </w:r>
            <w:r w:rsidR="00F86070" w:rsidRPr="00DF4577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 </w:t>
            </w:r>
            <w:r w:rsidR="00A378A1" w:rsidRPr="00DF4577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>Australia and its states and territories.</w:t>
            </w:r>
            <w:r w:rsidR="00A378A1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 This note presents the preliminary rebased estimates of Australia’s population</w:t>
            </w:r>
            <w:r w:rsidR="00A9059B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>.</w:t>
            </w:r>
            <w:r w:rsidR="00A93C2F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 For analysis of the latest quarterly population </w:t>
            </w:r>
            <w:r w:rsidR="00E859F9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>statistics please see</w:t>
            </w:r>
            <w:r w:rsidR="00A93C2F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 </w:t>
            </w:r>
            <w:r w:rsidR="00A93C2F">
              <w:rPr>
                <w:rFonts w:eastAsiaTheme="minorEastAsia"/>
                <w:b w:val="0"/>
                <w:color w:val="auto"/>
                <w:sz w:val="20"/>
              </w:rPr>
              <w:t>National</w:t>
            </w:r>
            <w:r w:rsidR="00E859F9">
              <w:rPr>
                <w:rFonts w:eastAsiaTheme="minorEastAsia"/>
                <w:b w:val="0"/>
                <w:color w:val="auto"/>
                <w:sz w:val="20"/>
              </w:rPr>
              <w:t>,</w:t>
            </w:r>
            <w:r w:rsidR="00A93C2F">
              <w:rPr>
                <w:rFonts w:eastAsiaTheme="minorEastAsia"/>
                <w:b w:val="0"/>
                <w:color w:val="auto"/>
                <w:sz w:val="20"/>
              </w:rPr>
              <w:t xml:space="preserve"> </w:t>
            </w:r>
            <w:r w:rsidR="00E859F9">
              <w:rPr>
                <w:rFonts w:eastAsiaTheme="minorEastAsia"/>
                <w:b w:val="0"/>
                <w:color w:val="auto"/>
                <w:sz w:val="20"/>
              </w:rPr>
              <w:t>s</w:t>
            </w:r>
            <w:r w:rsidR="00A93C2F">
              <w:rPr>
                <w:rFonts w:eastAsiaTheme="minorEastAsia"/>
                <w:b w:val="0"/>
                <w:color w:val="auto"/>
                <w:sz w:val="20"/>
              </w:rPr>
              <w:t xml:space="preserve">tate and </w:t>
            </w:r>
            <w:r w:rsidR="00E859F9">
              <w:rPr>
                <w:rFonts w:eastAsiaTheme="minorEastAsia"/>
                <w:b w:val="0"/>
                <w:color w:val="auto"/>
                <w:sz w:val="20"/>
              </w:rPr>
              <w:t>t</w:t>
            </w:r>
            <w:r w:rsidR="00A93C2F">
              <w:rPr>
                <w:rFonts w:eastAsiaTheme="minorEastAsia"/>
                <w:b w:val="0"/>
                <w:color w:val="auto"/>
                <w:sz w:val="20"/>
              </w:rPr>
              <w:t xml:space="preserve">erritory </w:t>
            </w:r>
            <w:r w:rsidR="00E859F9">
              <w:rPr>
                <w:rFonts w:eastAsiaTheme="minorEastAsia"/>
                <w:b w:val="0"/>
                <w:color w:val="auto"/>
                <w:sz w:val="20"/>
              </w:rPr>
              <w:t>p</w:t>
            </w:r>
            <w:r w:rsidR="00A93C2F">
              <w:rPr>
                <w:rFonts w:eastAsiaTheme="minorEastAsia"/>
                <w:b w:val="0"/>
                <w:color w:val="auto"/>
                <w:sz w:val="20"/>
              </w:rPr>
              <w:t>opulation</w:t>
            </w:r>
            <w:r w:rsidR="009C6985">
              <w:rPr>
                <w:rFonts w:eastAsiaTheme="minorEastAsia"/>
                <w:b w:val="0"/>
                <w:color w:val="auto"/>
                <w:sz w:val="20"/>
              </w:rPr>
              <w:t>,</w:t>
            </w:r>
            <w:r w:rsidR="00E859F9">
              <w:rPr>
                <w:rFonts w:eastAsiaTheme="minorEastAsia"/>
                <w:b w:val="0"/>
                <w:color w:val="auto"/>
                <w:sz w:val="20"/>
              </w:rPr>
              <w:t xml:space="preserve"> December 2021 </w:t>
            </w:r>
            <w:r w:rsidR="009C6985">
              <w:rPr>
                <w:rFonts w:eastAsiaTheme="minorEastAsia"/>
                <w:b w:val="0"/>
                <w:color w:val="auto"/>
                <w:sz w:val="20"/>
              </w:rPr>
              <w:t xml:space="preserve">at </w:t>
            </w:r>
            <w:hyperlink r:id="rId8" w:history="1">
              <w:r w:rsidR="009C6985" w:rsidRPr="002B1AE8">
                <w:rPr>
                  <w:rStyle w:val="Hyperlink"/>
                  <w:rFonts w:eastAsiaTheme="minorEastAsia"/>
                  <w:b w:val="0"/>
                  <w:i w:val="0"/>
                  <w:iCs w:val="0"/>
                  <w:sz w:val="20"/>
                </w:rPr>
                <w:t>population.gov.au</w:t>
              </w:r>
            </w:hyperlink>
            <w:r w:rsidR="009C6985">
              <w:rPr>
                <w:rFonts w:eastAsiaTheme="minorEastAsia"/>
                <w:b w:val="0"/>
                <w:color w:val="auto"/>
                <w:sz w:val="20"/>
              </w:rPr>
              <w:t>.</w:t>
            </w:r>
            <w:hyperlink w:history="1"/>
            <w:r w:rsidR="00E859F9">
              <w:rPr>
                <w:rFonts w:eastAsiaTheme="minorEastAsia"/>
                <w:b w:val="0"/>
                <w:color w:val="auto"/>
                <w:sz w:val="20"/>
              </w:rPr>
              <w:t xml:space="preserve"> </w:t>
            </w:r>
            <w:r w:rsidR="00A9059B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More information on the 2021 Census can be found at </w:t>
            </w:r>
            <w:hyperlink r:id="rId9" w:history="1">
              <w:r w:rsidR="009C39AC" w:rsidRPr="009C39AC">
                <w:rPr>
                  <w:rStyle w:val="Hyperlink"/>
                  <w:rFonts w:eastAsiaTheme="minorEastAsia"/>
                  <w:b w:val="0"/>
                  <w:i w:val="0"/>
                  <w:iCs w:val="0"/>
                  <w:sz w:val="20"/>
                </w:rPr>
                <w:t>abs.gov.au/census</w:t>
              </w:r>
            </w:hyperlink>
            <w:r w:rsidR="00A9059B">
              <w:rPr>
                <w:rFonts w:eastAsiaTheme="minorEastAsia"/>
                <w:b w:val="0"/>
                <w:i w:val="0"/>
                <w:iCs w:val="0"/>
                <w:color w:val="auto"/>
                <w:sz w:val="20"/>
              </w:rPr>
              <w:t xml:space="preserve">. </w:t>
            </w:r>
          </w:p>
          <w:p w14:paraId="4D108D2D" w14:textId="346014E6" w:rsidR="004D1A9C" w:rsidRPr="008458BC" w:rsidRDefault="008458BC" w:rsidP="008458BC">
            <w:pPr>
              <w:pStyle w:val="Heading3"/>
            </w:pPr>
            <w:r>
              <w:t>Population rebasing</w:t>
            </w:r>
          </w:p>
          <w:p w14:paraId="5A038FBB" w14:textId="29F575A3" w:rsidR="00F11650" w:rsidRDefault="00F11650" w:rsidP="000C59EB">
            <w:pPr>
              <w:spacing w:before="160" w:after="160"/>
            </w:pPr>
            <w:r>
              <w:t xml:space="preserve">Australia’s ERP includes all people who usually </w:t>
            </w:r>
            <w:r w:rsidR="0027640F">
              <w:t xml:space="preserve">reside </w:t>
            </w:r>
            <w:r>
              <w:t xml:space="preserve">in Australia (regardless of nationality, </w:t>
            </w:r>
            <w:proofErr w:type="gramStart"/>
            <w:r>
              <w:t>citizenship</w:t>
            </w:r>
            <w:proofErr w:type="gramEnd"/>
            <w:r>
              <w:t xml:space="preserve"> or visa status). </w:t>
            </w:r>
            <w:r w:rsidR="00D75FDF">
              <w:t>To calculate ERP b</w:t>
            </w:r>
            <w:r>
              <w:t xml:space="preserve">etween </w:t>
            </w:r>
            <w:r w:rsidR="00CB2BFE">
              <w:t>C</w:t>
            </w:r>
            <w:r>
              <w:t>ensuses, the ABS</w:t>
            </w:r>
            <w:r w:rsidR="004D0243">
              <w:t xml:space="preserve"> uses admin</w:t>
            </w:r>
            <w:r w:rsidR="0027640F">
              <w:t>istrative</w:t>
            </w:r>
            <w:r w:rsidR="004D0243">
              <w:t xml:space="preserve"> data to estimate</w:t>
            </w:r>
            <w:r w:rsidR="00CD2280">
              <w:t xml:space="preserve"> flows of population change (births, deaths, and migration)</w:t>
            </w:r>
            <w:r w:rsidR="004D0243">
              <w:t xml:space="preserve"> which it adds</w:t>
            </w:r>
            <w:r w:rsidR="006F14C5" w:rsidDel="006F14C5">
              <w:t xml:space="preserve"> </w:t>
            </w:r>
            <w:r w:rsidR="00AA111F">
              <w:t xml:space="preserve">to the stock population estimate (the base). </w:t>
            </w:r>
          </w:p>
          <w:p w14:paraId="58B87132" w14:textId="5EF134C0" w:rsidR="00A44673" w:rsidRDefault="00250F90" w:rsidP="000C59EB">
            <w:pPr>
              <w:spacing w:before="160" w:after="160"/>
            </w:pPr>
            <w:r w:rsidRPr="00F11650">
              <w:rPr>
                <w:b/>
                <w:bCs/>
                <w:i/>
                <w:iCs/>
              </w:rPr>
              <w:t>Rebasing</w:t>
            </w:r>
            <w:r>
              <w:t xml:space="preserve"> is the revision of ERP based on the latest Census. </w:t>
            </w:r>
            <w:r w:rsidR="00AA111F">
              <w:t xml:space="preserve">The ABS </w:t>
            </w:r>
            <w:r w:rsidR="00F67F71">
              <w:t xml:space="preserve">have </w:t>
            </w:r>
            <w:r w:rsidR="00AA111F">
              <w:t xml:space="preserve">rebased the </w:t>
            </w:r>
            <w:r w:rsidR="00550131">
              <w:t>ERP</w:t>
            </w:r>
            <w:r w:rsidR="00AA111F">
              <w:t xml:space="preserve"> </w:t>
            </w:r>
            <w:proofErr w:type="gramStart"/>
            <w:r w:rsidR="00AA111F">
              <w:t>at</w:t>
            </w:r>
            <w:proofErr w:type="gramEnd"/>
            <w:r w:rsidR="00AA111F">
              <w:t xml:space="preserve"> 30 June 2021</w:t>
            </w:r>
            <w:r w:rsidR="00583007">
              <w:t xml:space="preserve"> </w:t>
            </w:r>
            <w:r w:rsidR="00F67F71">
              <w:t xml:space="preserve">to </w:t>
            </w:r>
            <w:r w:rsidR="00AA111F">
              <w:t>provid</w:t>
            </w:r>
            <w:r w:rsidR="00F67F71">
              <w:t>e</w:t>
            </w:r>
            <w:r w:rsidR="00AA111F">
              <w:t xml:space="preserve"> a more accurate base from which to estimate population. </w:t>
            </w:r>
            <w:r w:rsidR="00123155">
              <w:t xml:space="preserve">In addition, the ABS </w:t>
            </w:r>
            <w:r w:rsidR="00F67F71">
              <w:t>ha</w:t>
            </w:r>
            <w:r w:rsidR="00411F04">
              <w:t>s</w:t>
            </w:r>
            <w:r w:rsidR="00F67F71">
              <w:t xml:space="preserve"> </w:t>
            </w:r>
            <w:r w:rsidR="00123155">
              <w:t>also r</w:t>
            </w:r>
            <w:r w:rsidR="00583007">
              <w:t>evised</w:t>
            </w:r>
            <w:r w:rsidR="00123155">
              <w:t xml:space="preserve"> </w:t>
            </w:r>
            <w:r w:rsidR="00E35E35" w:rsidRPr="00A42617">
              <w:t xml:space="preserve">all previously </w:t>
            </w:r>
            <w:r w:rsidR="00E35E35" w:rsidRPr="00123155">
              <w:t>published</w:t>
            </w:r>
            <w:r w:rsidR="00F8178A" w:rsidRPr="00123155">
              <w:t xml:space="preserve"> </w:t>
            </w:r>
            <w:r w:rsidR="009969D8">
              <w:t>quarterly ERP</w:t>
            </w:r>
            <w:r w:rsidR="009969D8" w:rsidRPr="00A42617">
              <w:t xml:space="preserve"> </w:t>
            </w:r>
            <w:r w:rsidR="008951FB">
              <w:t xml:space="preserve">estimates </w:t>
            </w:r>
            <w:r>
              <w:t>from</w:t>
            </w:r>
            <w:r w:rsidR="00E35E35" w:rsidRPr="00A42617">
              <w:t xml:space="preserve"> </w:t>
            </w:r>
            <w:r w:rsidR="00833F0A">
              <w:t xml:space="preserve">30 </w:t>
            </w:r>
            <w:r w:rsidR="00E35E35">
              <w:t>September 2016</w:t>
            </w:r>
            <w:r>
              <w:t xml:space="preserve"> to 3</w:t>
            </w:r>
            <w:r w:rsidR="004B57C2">
              <w:t>0</w:t>
            </w:r>
            <w:r>
              <w:t xml:space="preserve"> </w:t>
            </w:r>
            <w:r w:rsidR="004B57C2">
              <w:t>June</w:t>
            </w:r>
            <w:r>
              <w:t xml:space="preserve"> 2021</w:t>
            </w:r>
            <w:r w:rsidR="00A62F14">
              <w:t>.</w:t>
            </w:r>
            <w:r w:rsidR="00E35E35" w:rsidRPr="00A42617">
              <w:t xml:space="preserve"> </w:t>
            </w:r>
          </w:p>
          <w:p w14:paraId="2CA51419" w14:textId="6681A0CF" w:rsidR="00583007" w:rsidRDefault="00250F90" w:rsidP="000C59EB">
            <w:pPr>
              <w:spacing w:before="160" w:after="160"/>
            </w:pPr>
            <w:r w:rsidRPr="00110E4A">
              <w:t xml:space="preserve">The difference between </w:t>
            </w:r>
            <w:r>
              <w:t>th</w:t>
            </w:r>
            <w:r w:rsidR="00F9042E">
              <w:t>e</w:t>
            </w:r>
            <w:r>
              <w:t xml:space="preserve"> rebased ERP and </w:t>
            </w:r>
            <w:r w:rsidR="00F67F71">
              <w:t>previously published</w:t>
            </w:r>
            <w:r>
              <w:t xml:space="preserve"> </w:t>
            </w:r>
            <w:r w:rsidR="005515CE">
              <w:t>quarterly</w:t>
            </w:r>
            <w:r>
              <w:t xml:space="preserve"> estimates is </w:t>
            </w:r>
            <w:r w:rsidRPr="00110E4A">
              <w:t xml:space="preserve">referred to as the </w:t>
            </w:r>
            <w:r w:rsidRPr="008733C0">
              <w:rPr>
                <w:b/>
                <w:bCs/>
                <w:i/>
                <w:iCs/>
              </w:rPr>
              <w:t>intercensal difference</w:t>
            </w:r>
            <w:r w:rsidRPr="00583007">
              <w:t>.</w:t>
            </w:r>
            <w:r w:rsidR="00F67F71">
              <w:t xml:space="preserve"> </w:t>
            </w:r>
            <w:r w:rsidR="00E96095">
              <w:t>The i</w:t>
            </w:r>
            <w:r w:rsidR="00583007" w:rsidRPr="00DB4F2A">
              <w:t xml:space="preserve">ntercensal difference cannot be attributed to any </w:t>
            </w:r>
            <w:proofErr w:type="gramStart"/>
            <w:r w:rsidR="008951FB">
              <w:t>particular</w:t>
            </w:r>
            <w:r w:rsidR="008951FB" w:rsidRPr="00DB4F2A">
              <w:t xml:space="preserve"> </w:t>
            </w:r>
            <w:r w:rsidR="00583007" w:rsidRPr="00DB4F2A">
              <w:t>component</w:t>
            </w:r>
            <w:proofErr w:type="gramEnd"/>
            <w:r w:rsidR="00583007" w:rsidRPr="00DB4F2A">
              <w:t xml:space="preserve"> of population change and is assumed to accumulate evenly over the intercensal period</w:t>
            </w:r>
            <w:r w:rsidR="00583007">
              <w:t xml:space="preserve"> (between 30 September 2016 and 30 June 2021)</w:t>
            </w:r>
            <w:r w:rsidR="00583007" w:rsidRPr="00DB4F2A">
              <w:t>.</w:t>
            </w:r>
            <w:r w:rsidR="004D0243">
              <w:t xml:space="preserve"> </w:t>
            </w:r>
            <w:r w:rsidR="004D0243" w:rsidRPr="00DB4F2A">
              <w:t xml:space="preserve">The intercensal difference </w:t>
            </w:r>
            <w:r w:rsidR="004D0243">
              <w:t>may result from error in the start population estimate, the end population estimate</w:t>
            </w:r>
            <w:r w:rsidR="00F9042E">
              <w:t>,</w:t>
            </w:r>
            <w:r w:rsidR="004D0243">
              <w:t xml:space="preserve"> </w:t>
            </w:r>
            <w:r w:rsidR="003E416A">
              <w:t>and</w:t>
            </w:r>
            <w:r w:rsidR="004D0243">
              <w:t xml:space="preserve"> quarterly estimates of the components of growth.</w:t>
            </w:r>
          </w:p>
          <w:p w14:paraId="3DC93B6D" w14:textId="788977C3" w:rsidR="00E35E35" w:rsidRDefault="003A0BFA" w:rsidP="00E35E35">
            <w:pPr>
              <w:pStyle w:val="Heading3"/>
            </w:pPr>
            <w:r>
              <w:t xml:space="preserve">Revisions to the </w:t>
            </w:r>
            <w:r w:rsidR="00E35E35">
              <w:t>June 2021 p</w:t>
            </w:r>
            <w:r w:rsidR="00E35E35" w:rsidRPr="00A604AC">
              <w:t>opulation</w:t>
            </w:r>
            <w:r w:rsidR="00E35E35">
              <w:t xml:space="preserve"> </w:t>
            </w:r>
            <w:r>
              <w:t>estimates</w:t>
            </w:r>
          </w:p>
          <w:p w14:paraId="24BFBF17" w14:textId="5D6FB718" w:rsidR="00081B7A" w:rsidRDefault="00081B7A" w:rsidP="000C59EB">
            <w:pPr>
              <w:spacing w:before="160" w:after="160"/>
            </w:pPr>
            <w:r w:rsidRPr="00110E4A">
              <w:t xml:space="preserve">The preliminary rebased </w:t>
            </w:r>
            <w:r w:rsidR="00D36574">
              <w:t>ERP</w:t>
            </w:r>
            <w:r w:rsidRPr="00110E4A">
              <w:t xml:space="preserve"> </w:t>
            </w:r>
            <w:r w:rsidR="0027640F">
              <w:t>for</w:t>
            </w:r>
            <w:r w:rsidR="0027640F" w:rsidRPr="00110E4A">
              <w:t xml:space="preserve"> </w:t>
            </w:r>
            <w:r w:rsidRPr="00110E4A">
              <w:t>Australia</w:t>
            </w:r>
            <w:r w:rsidR="0027640F">
              <w:t>,</w:t>
            </w:r>
            <w:r w:rsidR="00F10794">
              <w:t xml:space="preserve"> </w:t>
            </w:r>
            <w:proofErr w:type="gramStart"/>
            <w:r w:rsidRPr="00110E4A">
              <w:t>at</w:t>
            </w:r>
            <w:proofErr w:type="gramEnd"/>
            <w:r w:rsidRPr="00110E4A">
              <w:t xml:space="preserve"> 30 June 20</w:t>
            </w:r>
            <w:r>
              <w:t>21</w:t>
            </w:r>
            <w:r w:rsidR="0027640F">
              <w:t>,</w:t>
            </w:r>
            <w:r w:rsidRPr="00110E4A">
              <w:t xml:space="preserve"> was </w:t>
            </w:r>
            <w:r w:rsidR="00F10794">
              <w:t>25,688,</w:t>
            </w:r>
            <w:r w:rsidR="00F02B82">
              <w:t>000</w:t>
            </w:r>
            <w:r w:rsidRPr="00110E4A">
              <w:t>, a</w:t>
            </w:r>
            <w:r>
              <w:t xml:space="preserve"> </w:t>
            </w:r>
            <w:r w:rsidR="0088416D">
              <w:t xml:space="preserve">downward </w:t>
            </w:r>
            <w:r w:rsidR="00F10794">
              <w:t>revision of 50,</w:t>
            </w:r>
            <w:r w:rsidR="00F02B82">
              <w:t xml:space="preserve">000 </w:t>
            </w:r>
            <w:r w:rsidR="00F10794">
              <w:t>(or 0.2 per cent) from the 2016 Census based estimate of 25,738,</w:t>
            </w:r>
            <w:r w:rsidR="00F02B82">
              <w:t>000</w:t>
            </w:r>
            <w:r w:rsidR="007B68D4">
              <w:t xml:space="preserve">. </w:t>
            </w:r>
          </w:p>
          <w:p w14:paraId="021A9578" w14:textId="16A199CA" w:rsidR="00F10794" w:rsidRDefault="006F013F" w:rsidP="000C59EB">
            <w:pPr>
              <w:spacing w:before="160" w:after="160"/>
            </w:pPr>
            <w:r>
              <w:t>Compared to the national level,</w:t>
            </w:r>
            <w:r w:rsidR="007B68D4">
              <w:t xml:space="preserve"> revisions to </w:t>
            </w:r>
            <w:r w:rsidR="00F02B82">
              <w:t xml:space="preserve">state </w:t>
            </w:r>
            <w:r w:rsidR="007B68D4">
              <w:t xml:space="preserve">and </w:t>
            </w:r>
            <w:r w:rsidR="00F02B82">
              <w:t xml:space="preserve">territory </w:t>
            </w:r>
            <w:r w:rsidR="007B68D4">
              <w:t>population estimates were much more significant (</w:t>
            </w:r>
            <w:r w:rsidR="00E604E8">
              <w:t>see Table 1</w:t>
            </w:r>
            <w:r w:rsidR="007B68D4">
              <w:t>)</w:t>
            </w:r>
            <w:r w:rsidR="00F10794">
              <w:t xml:space="preserve">. </w:t>
            </w:r>
            <w:r w:rsidR="00E604E8">
              <w:t>Victoria’s population was revised down</w:t>
            </w:r>
            <w:r>
              <w:t xml:space="preserve"> by</w:t>
            </w:r>
            <w:r w:rsidR="00E604E8">
              <w:t xml:space="preserve"> </w:t>
            </w:r>
            <w:r w:rsidR="00134EBE">
              <w:t>1.5 per cent (</w:t>
            </w:r>
            <w:r w:rsidR="00E604E8">
              <w:t>101,000</w:t>
            </w:r>
            <w:r w:rsidR="00134EBE">
              <w:t>)</w:t>
            </w:r>
            <w:r w:rsidR="00E23B8A">
              <w:t xml:space="preserve"> and</w:t>
            </w:r>
            <w:r w:rsidR="004A1B7E">
              <w:t xml:space="preserve"> </w:t>
            </w:r>
            <w:r w:rsidR="00E604E8">
              <w:t xml:space="preserve">New South </w:t>
            </w:r>
            <w:proofErr w:type="spellStart"/>
            <w:proofErr w:type="gramStart"/>
            <w:r w:rsidR="00E604E8">
              <w:t>Wales</w:t>
            </w:r>
            <w:r w:rsidR="00E23B8A">
              <w:t>’</w:t>
            </w:r>
            <w:proofErr w:type="spellEnd"/>
            <w:proofErr w:type="gramEnd"/>
            <w:r w:rsidR="00AD498C">
              <w:t xml:space="preserve"> </w:t>
            </w:r>
            <w:r w:rsidR="004A1B7E">
              <w:t>by</w:t>
            </w:r>
            <w:r w:rsidR="00134EBE">
              <w:t xml:space="preserve"> 1.2 per cent</w:t>
            </w:r>
            <w:r w:rsidR="004A1B7E">
              <w:t xml:space="preserve"> </w:t>
            </w:r>
            <w:r w:rsidR="0085597C">
              <w:t>(</w:t>
            </w:r>
            <w:r w:rsidR="00134EBE">
              <w:t>95,000</w:t>
            </w:r>
            <w:r w:rsidR="0085597C">
              <w:t>)</w:t>
            </w:r>
            <w:r w:rsidR="0000563C">
              <w:t>.</w:t>
            </w:r>
            <w:r w:rsidR="0033304F">
              <w:t xml:space="preserve">  Queensland’s population was largely unchanged (down 0.1 per cent</w:t>
            </w:r>
            <w:r w:rsidR="007D63BB">
              <w:t>,</w:t>
            </w:r>
            <w:r w:rsidR="0033304F">
              <w:t xml:space="preserve"> or 4,000 people).</w:t>
            </w:r>
          </w:p>
          <w:p w14:paraId="5EDBE76A" w14:textId="6336A7E8" w:rsidR="00E35E35" w:rsidRDefault="0000563C" w:rsidP="000C59EB">
            <w:pPr>
              <w:spacing w:before="160" w:after="160"/>
            </w:pPr>
            <w:r>
              <w:t xml:space="preserve">The </w:t>
            </w:r>
            <w:r w:rsidR="00313081">
              <w:t xml:space="preserve">populations of the </w:t>
            </w:r>
            <w:r>
              <w:t xml:space="preserve">smaller </w:t>
            </w:r>
            <w:r w:rsidR="005C1998">
              <w:t>s</w:t>
            </w:r>
            <w:r>
              <w:t xml:space="preserve">tates and </w:t>
            </w:r>
            <w:r w:rsidR="005C1998">
              <w:t>t</w:t>
            </w:r>
            <w:r>
              <w:t xml:space="preserve">erritories </w:t>
            </w:r>
            <w:r w:rsidR="0079674E">
              <w:t>were revised up</w:t>
            </w:r>
            <w:r w:rsidR="00313081">
              <w:t xml:space="preserve">, with </w:t>
            </w:r>
            <w:r w:rsidR="0079674E">
              <w:t xml:space="preserve">some of </w:t>
            </w:r>
            <w:r w:rsidR="00144B92">
              <w:t>the largest rebasing revisions recorded</w:t>
            </w:r>
            <w:r w:rsidR="00313081">
              <w:t xml:space="preserve"> in 30 years</w:t>
            </w:r>
            <w:r w:rsidR="0079674E">
              <w:t xml:space="preserve">. </w:t>
            </w:r>
            <w:r w:rsidR="005C1998">
              <w:t>The largest revisions were to</w:t>
            </w:r>
            <w:r w:rsidR="00134EBE">
              <w:t xml:space="preserve"> the A</w:t>
            </w:r>
            <w:r w:rsidR="00221A08">
              <w:t>CT</w:t>
            </w:r>
            <w:r w:rsidR="00134EBE">
              <w:t xml:space="preserve"> (5.1 per cent) and</w:t>
            </w:r>
            <w:r w:rsidR="005C1998">
              <w:t xml:space="preserve"> Tasmania (</w:t>
            </w:r>
            <w:r w:rsidR="00134EBE">
              <w:t>4.9</w:t>
            </w:r>
            <w:r w:rsidR="00F91700">
              <w:t> </w:t>
            </w:r>
            <w:r w:rsidR="00134EBE">
              <w:t>per</w:t>
            </w:r>
            <w:r w:rsidR="00F91700">
              <w:t> </w:t>
            </w:r>
            <w:r w:rsidR="00134EBE">
              <w:t>cent</w:t>
            </w:r>
            <w:r w:rsidR="005C1998">
              <w:t>)</w:t>
            </w:r>
            <w:r w:rsidR="00D91E60">
              <w:t xml:space="preserve">. </w:t>
            </w:r>
            <w:r w:rsidR="0012660E">
              <w:t>Western Australia (2.5 per cent), South Australia (</w:t>
            </w:r>
            <w:r w:rsidR="009E392F">
              <w:t xml:space="preserve">1.7 per cent) </w:t>
            </w:r>
            <w:r w:rsidR="0012660E">
              <w:t>and the Northern Territory (</w:t>
            </w:r>
            <w:r w:rsidR="009E392F">
              <w:t>1.3 per cent</w:t>
            </w:r>
            <w:r w:rsidR="0012660E">
              <w:t xml:space="preserve">) </w:t>
            </w:r>
            <w:r w:rsidR="00F9042E">
              <w:t>were also revised upwards</w:t>
            </w:r>
            <w:r w:rsidR="00AA4527">
              <w:t xml:space="preserve">. </w:t>
            </w:r>
          </w:p>
          <w:p w14:paraId="5B4AF4F2" w14:textId="77777777" w:rsidR="00E35E35" w:rsidRPr="007C6C1C" w:rsidRDefault="00D33EDE" w:rsidP="00131D83">
            <w:pPr>
              <w:pStyle w:val="TableMainHeading"/>
              <w:numPr>
                <w:ilvl w:val="0"/>
                <w:numId w:val="48"/>
              </w:numPr>
              <w:pBdr>
                <w:top w:val="none" w:sz="0" w:space="0" w:color="auto"/>
              </w:pBdr>
              <w:ind w:left="326"/>
              <w:rPr>
                <w:sz w:val="22"/>
                <w:szCs w:val="22"/>
              </w:rPr>
            </w:pPr>
            <w:r w:rsidRPr="007C6C1C">
              <w:rPr>
                <w:sz w:val="22"/>
                <w:szCs w:val="22"/>
              </w:rPr>
              <w:lastRenderedPageBreak/>
              <w:t xml:space="preserve">2021 </w:t>
            </w:r>
            <w:r w:rsidR="0085597C" w:rsidRPr="007C6C1C">
              <w:rPr>
                <w:sz w:val="22"/>
                <w:szCs w:val="22"/>
              </w:rPr>
              <w:t>Rebasing</w:t>
            </w:r>
            <w:r w:rsidR="009E09AF">
              <w:rPr>
                <w:sz w:val="22"/>
                <w:szCs w:val="22"/>
              </w:rPr>
              <w:t xml:space="preserve"> of 30 June 2021</w:t>
            </w:r>
            <w:r w:rsidR="000E4469">
              <w:rPr>
                <w:sz w:val="22"/>
                <w:szCs w:val="22"/>
              </w:rPr>
              <w:t xml:space="preserve"> ERP</w:t>
            </w:r>
            <w:r w:rsidRPr="007C6C1C">
              <w:rPr>
                <w:sz w:val="22"/>
                <w:szCs w:val="22"/>
              </w:rPr>
              <w:t>, Impact on Jurisdictions</w:t>
            </w:r>
          </w:p>
          <w:tbl>
            <w:tblPr>
              <w:tblW w:w="8901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left w:w="0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9D1B7F" w14:paraId="597F861C" w14:textId="77777777" w:rsidTr="002B1AE8">
              <w:trPr>
                <w:trHeight w:val="315"/>
                <w:jc w:val="center"/>
              </w:trPr>
              <w:tc>
                <w:tcPr>
                  <w:tcW w:w="2268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</w:tcPr>
                <w:p w14:paraId="65A3D289" w14:textId="77777777" w:rsidR="009D1B7F" w:rsidRPr="00DC62D9" w:rsidRDefault="009D1B7F" w:rsidP="00E35E35">
                  <w:pPr>
                    <w:spacing w:before="40" w:after="40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1A041615" w14:textId="1A87D61B" w:rsidR="009D1B7F" w:rsidRDefault="009D1B7F" w:rsidP="00E35E35">
                  <w:pPr>
                    <w:spacing w:before="40" w:after="4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NSW</w:t>
                  </w:r>
                </w:p>
              </w:tc>
              <w:tc>
                <w:tcPr>
                  <w:tcW w:w="737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3424580B" w14:textId="5217DC1E" w:rsidR="009D1B7F" w:rsidRDefault="009D1B7F" w:rsidP="00E35E35">
                  <w:pPr>
                    <w:spacing w:before="40" w:after="4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VIC</w:t>
                  </w:r>
                </w:p>
              </w:tc>
              <w:tc>
                <w:tcPr>
                  <w:tcW w:w="737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022D51AD" w14:textId="338DA466" w:rsidR="009D1B7F" w:rsidRDefault="009D1B7F" w:rsidP="00E35E35">
                  <w:pPr>
                    <w:spacing w:before="40" w:after="4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QLD</w:t>
                  </w:r>
                </w:p>
              </w:tc>
              <w:tc>
                <w:tcPr>
                  <w:tcW w:w="737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7B5696EA" w14:textId="6864F27E" w:rsidR="009D1B7F" w:rsidRDefault="009D1B7F" w:rsidP="00E35E35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SA</w:t>
                  </w:r>
                </w:p>
              </w:tc>
              <w:tc>
                <w:tcPr>
                  <w:tcW w:w="737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43E89BB9" w14:textId="77777777" w:rsidR="009D1B7F" w:rsidRDefault="009D1B7F" w:rsidP="00E35E35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WA</w:t>
                  </w:r>
                </w:p>
              </w:tc>
              <w:tc>
                <w:tcPr>
                  <w:tcW w:w="737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4DAAE6D7" w14:textId="77777777" w:rsidR="009D1B7F" w:rsidRDefault="009D1B7F" w:rsidP="00E35E35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TAS</w:t>
                  </w:r>
                </w:p>
              </w:tc>
              <w:tc>
                <w:tcPr>
                  <w:tcW w:w="737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3066AFC1" w14:textId="77777777" w:rsidR="009D1B7F" w:rsidRDefault="009D1B7F" w:rsidP="00E35E35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NT</w:t>
                  </w:r>
                </w:p>
              </w:tc>
              <w:tc>
                <w:tcPr>
                  <w:tcW w:w="737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E715D4C" w14:textId="77777777" w:rsidR="009D1B7F" w:rsidRDefault="009D1B7F" w:rsidP="00E35E35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ACT</w:t>
                  </w:r>
                </w:p>
              </w:tc>
              <w:tc>
                <w:tcPr>
                  <w:tcW w:w="737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0E1512D1" w14:textId="77777777" w:rsidR="009D1B7F" w:rsidRDefault="009D1B7F" w:rsidP="00E35E35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Aust</w:t>
                  </w:r>
                </w:p>
              </w:tc>
            </w:tr>
            <w:tr w:rsidR="009D1B7F" w14:paraId="38853644" w14:textId="77777777" w:rsidTr="002B1AE8">
              <w:trPr>
                <w:trHeight w:val="204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center"/>
                </w:tcPr>
                <w:p w14:paraId="0C48C421" w14:textId="72C6057C" w:rsidR="009D1B7F" w:rsidRDefault="009D1B7F" w:rsidP="00EF3F18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2016 based ERP </w:t>
                  </w:r>
                  <w:r w:rsidRPr="002E309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(‘000)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nil"/>
                  </w:tcBorders>
                </w:tcPr>
                <w:p w14:paraId="22501F76" w14:textId="59392BC1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8,189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nil"/>
                  </w:tcBorders>
                </w:tcPr>
                <w:p w14:paraId="7D32DDCD" w14:textId="0B460C99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6,649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nil"/>
                  </w:tcBorders>
                </w:tcPr>
                <w:p w14:paraId="7C3436D4" w14:textId="3351A881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5,221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3CF2F5" w14:textId="68768911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,</w:t>
                  </w: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773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41A628" w14:textId="3445D9BA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,</w:t>
                  </w: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682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8FF777" w14:textId="321E70F4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541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156D24" w14:textId="54E00978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08E0E8" w14:textId="31D82FB7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432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A91485" w14:textId="0DD91F2B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25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,</w:t>
                  </w: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738</w:t>
                  </w:r>
                </w:p>
              </w:tc>
            </w:tr>
            <w:tr w:rsidR="009D1B7F" w14:paraId="1CBC3AF5" w14:textId="77777777" w:rsidTr="002B1AE8">
              <w:trPr>
                <w:trHeight w:val="204"/>
                <w:jc w:val="center"/>
              </w:trPr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center"/>
                </w:tcPr>
                <w:p w14:paraId="697FA398" w14:textId="3E3A2176" w:rsidR="009D1B7F" w:rsidRDefault="009D1B7F" w:rsidP="00EF3F18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2021 based ERP </w:t>
                  </w:r>
                  <w:r w:rsidRPr="002E309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(‘000)</w:t>
                  </w: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14:paraId="7B3CF622" w14:textId="7AE710AE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8,094</w:t>
                  </w: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14:paraId="20B9DF88" w14:textId="48C110DB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6,548</w:t>
                  </w: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14:paraId="7D9D2BCB" w14:textId="60E6EC96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5,218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C54EF9" w14:textId="6BC6BC85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,</w:t>
                  </w: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73919A" w14:textId="76BE8FFB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,</w:t>
                  </w: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A5B769" w14:textId="64B66FAC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79F15E" w14:textId="45E6FAD1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2D5BCC" w14:textId="4930FBE4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454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2760DF" w14:textId="5D8D646D" w:rsidR="009D1B7F" w:rsidRPr="009E392F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25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,</w:t>
                  </w:r>
                  <w:r w:rsidRPr="009E392F">
                    <w:rPr>
                      <w:rFonts w:cs="Calibri"/>
                      <w:color w:val="000000"/>
                      <w:sz w:val="18"/>
                      <w:szCs w:val="18"/>
                    </w:rPr>
                    <w:t>688</w:t>
                  </w:r>
                </w:p>
              </w:tc>
            </w:tr>
            <w:tr w:rsidR="00A35DD4" w14:paraId="5A012974" w14:textId="77777777" w:rsidTr="0065753F">
              <w:trPr>
                <w:trHeight w:val="204"/>
                <w:jc w:val="center"/>
              </w:trPr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noWrap/>
                  <w:tcMar>
                    <w:left w:w="28" w:type="dxa"/>
                  </w:tcMar>
                  <w:vAlign w:val="center"/>
                </w:tcPr>
                <w:p w14:paraId="7C2E8AB6" w14:textId="5BE5F6C7" w:rsidR="009D1B7F" w:rsidRDefault="009D1B7F" w:rsidP="00EF3F18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Intercensal Difference</w:t>
                  </w:r>
                  <w:r w:rsidR="007D63B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 </w:t>
                  </w:r>
                  <w:r w:rsidR="007D63BB" w:rsidRPr="002E309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(‘000)</w:t>
                  </w: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53C228F9" w14:textId="47C24B39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-95</w:t>
                  </w: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205CEA94" w14:textId="74445AC7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-101</w:t>
                  </w: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4DC16D72" w14:textId="01ABE5B1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69D4439" w14:textId="0B26296B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A4F2F1A" w14:textId="77B81C96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1ACEBD9B" w14:textId="274EF58D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84CAFE4" w14:textId="19E349E8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104635F" w14:textId="26CB35C5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064E711" w14:textId="641EF43F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-50</w:t>
                  </w:r>
                </w:p>
              </w:tc>
            </w:tr>
            <w:tr w:rsidR="00A35DD4" w14:paraId="6132D843" w14:textId="77777777" w:rsidTr="0065753F">
              <w:trPr>
                <w:trHeight w:val="204"/>
                <w:jc w:val="center"/>
              </w:trPr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28" w:type="dxa"/>
                  </w:tcMar>
                  <w:vAlign w:val="center"/>
                </w:tcPr>
                <w:p w14:paraId="79A027E8" w14:textId="77777777" w:rsidR="009D1B7F" w:rsidRDefault="009D1B7F" w:rsidP="00EF3F18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Difference </w:t>
                  </w:r>
                  <w:r w:rsidRPr="001B1F6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(per cent)</w:t>
                  </w:r>
                </w:p>
              </w:tc>
              <w:tc>
                <w:tcPr>
                  <w:tcW w:w="737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8494B5" w14:textId="19BA967C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-1.2</w:t>
                  </w:r>
                </w:p>
              </w:tc>
              <w:tc>
                <w:tcPr>
                  <w:tcW w:w="737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FBE8801" w14:textId="1021E756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-1.5</w:t>
                  </w:r>
                </w:p>
              </w:tc>
              <w:tc>
                <w:tcPr>
                  <w:tcW w:w="737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42CE10" w14:textId="385D38ED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-0.1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1ABE226" w14:textId="14C107E7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A0F929C" w14:textId="7DEA797F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2785D77" w14:textId="2743F613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4.9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EA65C31" w14:textId="7543F0F8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F2BCC52" w14:textId="4A805187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E4A3DD4" w14:textId="37C49690" w:rsidR="009D1B7F" w:rsidRPr="00752E14" w:rsidRDefault="009D1B7F" w:rsidP="00EF3F18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</w:t>
                  </w:r>
                  <w:r w:rsidRPr="00752E14">
                    <w:rPr>
                      <w:rFonts w:cs="Calibri"/>
                      <w:color w:val="000000"/>
                      <w:sz w:val="18"/>
                      <w:szCs w:val="18"/>
                    </w:rPr>
                    <w:t>0.2</w:t>
                  </w:r>
                </w:p>
              </w:tc>
            </w:tr>
          </w:tbl>
          <w:p w14:paraId="18973350" w14:textId="0CF6FED7" w:rsidR="00D33EDE" w:rsidRPr="002B1AE8" w:rsidRDefault="00D33EDE" w:rsidP="00D33EDE">
            <w:pPr>
              <w:pStyle w:val="Heading3"/>
              <w:spacing w:before="0"/>
              <w:rPr>
                <w:b w:val="0"/>
                <w:i w:val="0"/>
                <w:color w:val="auto"/>
                <w:sz w:val="16"/>
                <w:szCs w:val="16"/>
              </w:rPr>
            </w:pPr>
            <w:r w:rsidRPr="002B1AE8">
              <w:rPr>
                <w:b w:val="0"/>
                <w:i w:val="0"/>
                <w:color w:val="auto"/>
                <w:sz w:val="16"/>
                <w:szCs w:val="16"/>
              </w:rPr>
              <w:t xml:space="preserve">Note: </w:t>
            </w:r>
            <w:r w:rsidR="000A70AF" w:rsidRPr="002B1AE8">
              <w:rPr>
                <w:b w:val="0"/>
                <w:i w:val="0"/>
                <w:color w:val="auto"/>
                <w:sz w:val="16"/>
                <w:szCs w:val="16"/>
              </w:rPr>
              <w:t>Positive difference reflects a</w:t>
            </w:r>
            <w:r w:rsidR="00A205AB" w:rsidRPr="002B1AE8">
              <w:rPr>
                <w:b w:val="0"/>
                <w:i w:val="0"/>
                <w:color w:val="auto"/>
                <w:sz w:val="16"/>
                <w:szCs w:val="16"/>
              </w:rPr>
              <w:t>n upward</w:t>
            </w:r>
            <w:r w:rsidR="000A70AF" w:rsidRPr="002B1AE8">
              <w:rPr>
                <w:b w:val="0"/>
                <w:i w:val="0"/>
                <w:color w:val="auto"/>
                <w:sz w:val="16"/>
                <w:szCs w:val="16"/>
              </w:rPr>
              <w:t xml:space="preserve"> revision </w:t>
            </w:r>
            <w:r w:rsidR="00A205AB" w:rsidRPr="002B1AE8">
              <w:rPr>
                <w:b w:val="0"/>
                <w:i w:val="0"/>
                <w:color w:val="auto"/>
                <w:sz w:val="16"/>
                <w:szCs w:val="16"/>
              </w:rPr>
              <w:t>to population</w:t>
            </w:r>
            <w:r w:rsidR="00CE61DA">
              <w:rPr>
                <w:b w:val="0"/>
                <w:i w:val="0"/>
                <w:color w:val="auto"/>
                <w:sz w:val="16"/>
                <w:szCs w:val="16"/>
              </w:rPr>
              <w:t>;</w:t>
            </w:r>
            <w:r w:rsidR="00A205AB" w:rsidRPr="002B1AE8">
              <w:rPr>
                <w:b w:val="0"/>
                <w:i w:val="0"/>
                <w:color w:val="auto"/>
                <w:sz w:val="16"/>
                <w:szCs w:val="16"/>
              </w:rPr>
              <w:t xml:space="preserve"> negative difference re</w:t>
            </w:r>
            <w:r w:rsidR="00EF1FAD" w:rsidRPr="002B1AE8">
              <w:rPr>
                <w:b w:val="0"/>
                <w:i w:val="0"/>
                <w:color w:val="auto"/>
                <w:sz w:val="16"/>
                <w:szCs w:val="16"/>
              </w:rPr>
              <w:t>present</w:t>
            </w:r>
            <w:r w:rsidR="00007C1B" w:rsidRPr="002B1AE8">
              <w:rPr>
                <w:b w:val="0"/>
                <w:i w:val="0"/>
                <w:color w:val="auto"/>
                <w:sz w:val="16"/>
                <w:szCs w:val="16"/>
              </w:rPr>
              <w:t>s</w:t>
            </w:r>
            <w:r w:rsidR="00EF1FAD" w:rsidRPr="002B1AE8">
              <w:rPr>
                <w:b w:val="0"/>
                <w:i w:val="0"/>
                <w:color w:val="auto"/>
                <w:sz w:val="16"/>
                <w:szCs w:val="16"/>
              </w:rPr>
              <w:t xml:space="preserve"> a downgrade.</w:t>
            </w:r>
          </w:p>
          <w:p w14:paraId="769F71E8" w14:textId="77777777" w:rsidR="00E35E35" w:rsidRDefault="00E35E35" w:rsidP="00E35E35">
            <w:pPr>
              <w:pStyle w:val="Heading3"/>
            </w:pPr>
            <w:r>
              <w:t xml:space="preserve">Revised </w:t>
            </w:r>
            <w:r w:rsidRPr="00A604AC">
              <w:t xml:space="preserve">growth </w:t>
            </w:r>
            <w:r>
              <w:t>between</w:t>
            </w:r>
            <w:r w:rsidRPr="00A604AC">
              <w:t xml:space="preserve"> 2016</w:t>
            </w:r>
            <w:r>
              <w:t xml:space="preserve"> and 2021</w:t>
            </w:r>
          </w:p>
          <w:p w14:paraId="1F1E1811" w14:textId="2D5185EC" w:rsidR="000A0BAF" w:rsidRDefault="008959EB" w:rsidP="004D0DF0">
            <w:pPr>
              <w:pStyle w:val="Bullet"/>
              <w:numPr>
                <w:ilvl w:val="0"/>
                <w:numId w:val="0"/>
              </w:numPr>
              <w:spacing w:before="160" w:after="160" w:line="259" w:lineRule="auto"/>
            </w:pPr>
            <w:r>
              <w:t>R</w:t>
            </w:r>
            <w:r w:rsidR="00252643">
              <w:t>evision</w:t>
            </w:r>
            <w:r w:rsidR="002A7B8D">
              <w:t xml:space="preserve"> </w:t>
            </w:r>
            <w:r w:rsidR="00A205AB">
              <w:t xml:space="preserve">to </w:t>
            </w:r>
            <w:r>
              <w:t>ERP</w:t>
            </w:r>
            <w:r w:rsidR="00A205AB">
              <w:t xml:space="preserve"> for June 2021</w:t>
            </w:r>
            <w:r w:rsidR="00EF1FAD">
              <w:t xml:space="preserve"> </w:t>
            </w:r>
            <w:r>
              <w:t>necessitated revision to</w:t>
            </w:r>
            <w:r w:rsidR="00F67F71">
              <w:t xml:space="preserve"> estimates of</w:t>
            </w:r>
            <w:r>
              <w:t xml:space="preserve"> </w:t>
            </w:r>
            <w:r w:rsidR="0076697B">
              <w:t xml:space="preserve">quarterly population growth </w:t>
            </w:r>
            <w:r>
              <w:t xml:space="preserve">over </w:t>
            </w:r>
            <w:r w:rsidR="0076697B">
              <w:t>the intercensal period (</w:t>
            </w:r>
            <w:r w:rsidR="00D237C2">
              <w:t xml:space="preserve">30 </w:t>
            </w:r>
            <w:r w:rsidR="00DB173D">
              <w:t xml:space="preserve">September 2016 to </w:t>
            </w:r>
            <w:r w:rsidR="00D237C2">
              <w:t xml:space="preserve">30 </w:t>
            </w:r>
            <w:r w:rsidR="00DB173D">
              <w:t>June 2021</w:t>
            </w:r>
            <w:r w:rsidR="0076697B">
              <w:t>)</w:t>
            </w:r>
            <w:r w:rsidR="00DB173D">
              <w:t>.</w:t>
            </w:r>
            <w:r w:rsidR="00561CBB">
              <w:rPr>
                <w:rStyle w:val="FootnoteReference"/>
              </w:rPr>
              <w:footnoteReference w:id="2"/>
            </w:r>
            <w:r w:rsidR="00DB173D">
              <w:t xml:space="preserve"> </w:t>
            </w:r>
            <w:r w:rsidR="00F9042E">
              <w:t xml:space="preserve">At the national level, </w:t>
            </w:r>
            <w:r w:rsidR="00221A08">
              <w:t>t</w:t>
            </w:r>
            <w:r w:rsidR="00DB173D">
              <w:t>he</w:t>
            </w:r>
            <w:r>
              <w:t xml:space="preserve"> small</w:t>
            </w:r>
            <w:r w:rsidR="00DB173D">
              <w:t xml:space="preserve"> size of revision</w:t>
            </w:r>
            <w:r w:rsidR="00561CBB">
              <w:t xml:space="preserve">s </w:t>
            </w:r>
            <w:r w:rsidR="00DB173D">
              <w:t xml:space="preserve">mean that </w:t>
            </w:r>
            <w:r w:rsidR="00F67F71">
              <w:t xml:space="preserve">estimates of </w:t>
            </w:r>
            <w:r w:rsidR="00DB173D">
              <w:t xml:space="preserve">quarterly growth </w:t>
            </w:r>
            <w:r w:rsidR="00A10D18">
              <w:t xml:space="preserve">are </w:t>
            </w:r>
            <w:r w:rsidR="0063427B">
              <w:t xml:space="preserve">unchanged </w:t>
            </w:r>
            <w:r w:rsidR="00DB173D">
              <w:t xml:space="preserve">from </w:t>
            </w:r>
            <w:r w:rsidR="00221A08">
              <w:t xml:space="preserve">what was </w:t>
            </w:r>
            <w:r w:rsidR="00DB173D">
              <w:t>previously published.</w:t>
            </w:r>
            <w:r w:rsidR="00007C1B">
              <w:t xml:space="preserve"> </w:t>
            </w:r>
            <w:r w:rsidR="00561CBB">
              <w:t>However,</w:t>
            </w:r>
            <w:r w:rsidR="00007C1B">
              <w:t xml:space="preserve"> population growth at the state and territory level has been significantly revised</w:t>
            </w:r>
            <w:r w:rsidR="00EF3F18">
              <w:t xml:space="preserve"> (s</w:t>
            </w:r>
            <w:r w:rsidR="00007C1B">
              <w:t>ee Table</w:t>
            </w:r>
            <w:r w:rsidR="00EF3F18">
              <w:t xml:space="preserve"> </w:t>
            </w:r>
            <w:r w:rsidR="00B3544C">
              <w:t>2</w:t>
            </w:r>
            <w:r w:rsidR="00EF3F18">
              <w:t>)</w:t>
            </w:r>
            <w:r w:rsidR="00007C1B">
              <w:t>.</w:t>
            </w:r>
          </w:p>
          <w:p w14:paraId="00FF4BD9" w14:textId="21C14F90" w:rsidR="004D0DF0" w:rsidRDefault="004D0DF0" w:rsidP="004D0DF0">
            <w:pPr>
              <w:pStyle w:val="Bullet"/>
              <w:numPr>
                <w:ilvl w:val="0"/>
                <w:numId w:val="0"/>
              </w:numPr>
              <w:spacing w:before="160" w:after="160" w:line="259" w:lineRule="auto"/>
            </w:pPr>
            <w:r>
              <w:t>Prior to rebasing, Victoria</w:t>
            </w:r>
            <w:r w:rsidR="00533C39">
              <w:t>’s</w:t>
            </w:r>
            <w:r>
              <w:t xml:space="preserve"> and Queensland</w:t>
            </w:r>
            <w:r w:rsidR="00533C39">
              <w:t>’s</w:t>
            </w:r>
            <w:r>
              <w:t xml:space="preserve"> grow</w:t>
            </w:r>
            <w:r w:rsidR="00533C39">
              <w:t>th had been estimated to be</w:t>
            </w:r>
            <w:r>
              <w:t xml:space="preserve"> the fastest during the intercensal period, with an average annual growth rate of 1.5 per cent. Following the revisions, the </w:t>
            </w:r>
            <w:r w:rsidR="00A10D18">
              <w:t>A</w:t>
            </w:r>
            <w:r w:rsidR="00221A08">
              <w:t>CT</w:t>
            </w:r>
            <w:r w:rsidR="00A10D18">
              <w:t xml:space="preserve"> </w:t>
            </w:r>
            <w:r>
              <w:t xml:space="preserve">and Tasmania </w:t>
            </w:r>
            <w:r w:rsidR="00A10D18">
              <w:t xml:space="preserve">were </w:t>
            </w:r>
            <w:r>
              <w:t xml:space="preserve">the fastest growing </w:t>
            </w:r>
            <w:r w:rsidR="00533C39">
              <w:t xml:space="preserve">jurisdictions </w:t>
            </w:r>
            <w:r>
              <w:t xml:space="preserve">over the </w:t>
            </w:r>
            <w:r w:rsidR="00CB1F98">
              <w:t xml:space="preserve">intercensal </w:t>
            </w:r>
            <w:r>
              <w:t xml:space="preserve">period, with </w:t>
            </w:r>
            <w:r w:rsidR="00CB1F98">
              <w:t xml:space="preserve">growth </w:t>
            </w:r>
            <w:r>
              <w:t xml:space="preserve">rates revised up </w:t>
            </w:r>
            <w:r w:rsidR="00CB1F98">
              <w:t xml:space="preserve">by </w:t>
            </w:r>
            <w:r>
              <w:t xml:space="preserve">a percentage point.  </w:t>
            </w:r>
          </w:p>
          <w:p w14:paraId="4AABE898" w14:textId="1015FB8A" w:rsidR="00657230" w:rsidRPr="007C6C1C" w:rsidRDefault="00657230" w:rsidP="00131D83">
            <w:pPr>
              <w:pStyle w:val="TableMainHeading"/>
              <w:numPr>
                <w:ilvl w:val="0"/>
                <w:numId w:val="48"/>
              </w:numPr>
              <w:pBdr>
                <w:top w:val="none" w:sz="0" w:space="0" w:color="auto"/>
              </w:pBdr>
              <w:ind w:left="326"/>
              <w:rPr>
                <w:sz w:val="22"/>
                <w:szCs w:val="22"/>
              </w:rPr>
            </w:pPr>
            <w:r w:rsidRPr="007C6C1C">
              <w:rPr>
                <w:sz w:val="22"/>
                <w:szCs w:val="22"/>
              </w:rPr>
              <w:t xml:space="preserve">Change in Average Annual </w:t>
            </w:r>
            <w:r w:rsidR="00BC1E2B">
              <w:rPr>
                <w:sz w:val="22"/>
                <w:szCs w:val="22"/>
              </w:rPr>
              <w:t xml:space="preserve">Population </w:t>
            </w:r>
            <w:r w:rsidRPr="007C6C1C">
              <w:rPr>
                <w:sz w:val="22"/>
                <w:szCs w:val="22"/>
              </w:rPr>
              <w:t>Growth</w:t>
            </w:r>
            <w:r w:rsidR="001E47AB">
              <w:rPr>
                <w:sz w:val="22"/>
                <w:szCs w:val="22"/>
              </w:rPr>
              <w:t xml:space="preserve"> </w:t>
            </w:r>
            <w:r w:rsidR="00F27A91">
              <w:rPr>
                <w:sz w:val="22"/>
                <w:szCs w:val="22"/>
              </w:rPr>
              <w:t>over the</w:t>
            </w:r>
            <w:r w:rsidR="001E47AB">
              <w:rPr>
                <w:sz w:val="22"/>
                <w:szCs w:val="22"/>
              </w:rPr>
              <w:t xml:space="preserve"> Intercensal Period</w:t>
            </w:r>
          </w:p>
          <w:tbl>
            <w:tblPr>
              <w:tblW w:w="8945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730"/>
              <w:gridCol w:w="730"/>
              <w:gridCol w:w="730"/>
              <w:gridCol w:w="729"/>
              <w:gridCol w:w="729"/>
              <w:gridCol w:w="729"/>
              <w:gridCol w:w="729"/>
              <w:gridCol w:w="729"/>
              <w:gridCol w:w="729"/>
            </w:tblGrid>
            <w:tr w:rsidR="009D1B7F" w14:paraId="4B07AB82" w14:textId="77777777" w:rsidTr="002B1AE8">
              <w:trPr>
                <w:trHeight w:val="315"/>
                <w:jc w:val="center"/>
              </w:trPr>
              <w:tc>
                <w:tcPr>
                  <w:tcW w:w="2381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</w:tcPr>
                <w:p w14:paraId="4006FCEA" w14:textId="77777777" w:rsidR="009D1B7F" w:rsidRPr="00DC62D9" w:rsidRDefault="009D1B7F" w:rsidP="00657230">
                  <w:pPr>
                    <w:spacing w:before="40" w:after="40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552DDF05" w14:textId="77F66BD5" w:rsidR="009D1B7F" w:rsidRDefault="009D1B7F" w:rsidP="00657230">
                  <w:pPr>
                    <w:spacing w:before="40" w:after="4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NSW</w:t>
                  </w:r>
                </w:p>
              </w:tc>
              <w:tc>
                <w:tcPr>
                  <w:tcW w:w="730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78A7941C" w14:textId="022A4350" w:rsidR="009D1B7F" w:rsidRDefault="009D1B7F" w:rsidP="00657230">
                  <w:pPr>
                    <w:spacing w:before="40" w:after="4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VIC</w:t>
                  </w:r>
                </w:p>
              </w:tc>
              <w:tc>
                <w:tcPr>
                  <w:tcW w:w="730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7655AC7C" w14:textId="19872473" w:rsidR="009D1B7F" w:rsidRDefault="009D1B7F" w:rsidP="00657230">
                  <w:pPr>
                    <w:spacing w:before="40" w:after="4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QLD</w:t>
                  </w:r>
                </w:p>
              </w:tc>
              <w:tc>
                <w:tcPr>
                  <w:tcW w:w="729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1B9C8DBB" w14:textId="036C8C79" w:rsidR="009D1B7F" w:rsidRDefault="009D1B7F" w:rsidP="00657230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SA</w:t>
                  </w:r>
                </w:p>
              </w:tc>
              <w:tc>
                <w:tcPr>
                  <w:tcW w:w="729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5FF5FE19" w14:textId="77777777" w:rsidR="009D1B7F" w:rsidRDefault="009D1B7F" w:rsidP="00657230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WA</w:t>
                  </w:r>
                </w:p>
              </w:tc>
              <w:tc>
                <w:tcPr>
                  <w:tcW w:w="729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7B21E3A3" w14:textId="77777777" w:rsidR="009D1B7F" w:rsidRDefault="009D1B7F" w:rsidP="00657230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TAS</w:t>
                  </w:r>
                </w:p>
              </w:tc>
              <w:tc>
                <w:tcPr>
                  <w:tcW w:w="729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5E26ED42" w14:textId="77777777" w:rsidR="009D1B7F" w:rsidRDefault="009D1B7F" w:rsidP="00657230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NT</w:t>
                  </w:r>
                </w:p>
              </w:tc>
              <w:tc>
                <w:tcPr>
                  <w:tcW w:w="729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668DF5C" w14:textId="77777777" w:rsidR="009D1B7F" w:rsidRDefault="009D1B7F" w:rsidP="00657230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ACT</w:t>
                  </w:r>
                </w:p>
              </w:tc>
              <w:tc>
                <w:tcPr>
                  <w:tcW w:w="729" w:type="dxa"/>
                  <w:tcBorders>
                    <w:top w:val="single" w:sz="4" w:space="0" w:color="002C47" w:themeColor="accent1"/>
                    <w:bottom w:val="single" w:sz="4" w:space="0" w:color="auto"/>
                  </w:tcBorders>
                </w:tcPr>
                <w:p w14:paraId="504D92DB" w14:textId="77777777" w:rsidR="009D1B7F" w:rsidRDefault="009D1B7F" w:rsidP="00657230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bCs/>
                    </w:rPr>
                    <w:t>Aust</w:t>
                  </w:r>
                </w:p>
              </w:tc>
            </w:tr>
            <w:tr w:rsidR="009D1B7F" w14:paraId="0E5C7810" w14:textId="77777777" w:rsidTr="002B1AE8">
              <w:trPr>
                <w:trHeight w:val="204"/>
                <w:jc w:val="center"/>
              </w:trPr>
              <w:tc>
                <w:tcPr>
                  <w:tcW w:w="238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004B6CCD" w14:textId="36E6487F" w:rsidR="009D1B7F" w:rsidRDefault="009D1B7F" w:rsidP="00657230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2016 based growth </w:t>
                  </w:r>
                  <w:r w:rsidRPr="001B1F6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(per cent)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bottom w:val="nil"/>
                  </w:tcBorders>
                </w:tcPr>
                <w:p w14:paraId="67224A24" w14:textId="4487657B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bottom w:val="nil"/>
                  </w:tcBorders>
                </w:tcPr>
                <w:p w14:paraId="667D3962" w14:textId="368FAA78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bottom w:val="nil"/>
                  </w:tcBorders>
                </w:tcPr>
                <w:p w14:paraId="4E964CF7" w14:textId="676D461A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B773407" w14:textId="3148BD63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713D5B3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EF9FB36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7270F85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08B5768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CA4EE72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sz w:val="18"/>
                      <w:szCs w:val="18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1.2</w:t>
                  </w:r>
                </w:p>
              </w:tc>
            </w:tr>
            <w:tr w:rsidR="009D1B7F" w:rsidRPr="009C2B09" w14:paraId="1941A84D" w14:textId="77777777" w:rsidTr="002B1AE8">
              <w:trPr>
                <w:trHeight w:val="204"/>
                <w:jc w:val="center"/>
              </w:trPr>
              <w:tc>
                <w:tcPr>
                  <w:tcW w:w="238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0C76BFFA" w14:textId="0CC82189" w:rsidR="009D1B7F" w:rsidRPr="009C2B09" w:rsidRDefault="009D1B7F" w:rsidP="00657230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2021 based growth </w:t>
                  </w:r>
                  <w:r w:rsidRPr="001B1F6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(per cent)</w:t>
                  </w:r>
                </w:p>
              </w:tc>
              <w:tc>
                <w:tcPr>
                  <w:tcW w:w="730" w:type="dxa"/>
                  <w:tcBorders>
                    <w:top w:val="nil"/>
                    <w:bottom w:val="nil"/>
                  </w:tcBorders>
                </w:tcPr>
                <w:p w14:paraId="48949F32" w14:textId="57F2D83B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730" w:type="dxa"/>
                  <w:tcBorders>
                    <w:top w:val="nil"/>
                    <w:bottom w:val="nil"/>
                  </w:tcBorders>
                </w:tcPr>
                <w:p w14:paraId="2FCD6BFE" w14:textId="39A7F790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730" w:type="dxa"/>
                  <w:tcBorders>
                    <w:top w:val="nil"/>
                    <w:bottom w:val="nil"/>
                  </w:tcBorders>
                </w:tcPr>
                <w:p w14:paraId="004BA473" w14:textId="7B827474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F4B66F" w14:textId="252E67AA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07A840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CE769E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A95D4B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6CF48B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EE3A5C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1.2</w:t>
                  </w:r>
                </w:p>
              </w:tc>
            </w:tr>
            <w:tr w:rsidR="00A35DD4" w:rsidRPr="009C2B09" w14:paraId="5A20FB66" w14:textId="77777777" w:rsidTr="0065753F">
              <w:trPr>
                <w:trHeight w:val="204"/>
                <w:jc w:val="center"/>
              </w:trPr>
              <w:tc>
                <w:tcPr>
                  <w:tcW w:w="2381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tcMar>
                    <w:left w:w="28" w:type="dxa"/>
                  </w:tcMar>
                  <w:vAlign w:val="bottom"/>
                </w:tcPr>
                <w:p w14:paraId="06E25364" w14:textId="77777777" w:rsidR="009D1B7F" w:rsidRDefault="009D1B7F" w:rsidP="00657230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Difference</w:t>
                  </w:r>
                </w:p>
              </w:tc>
              <w:tc>
                <w:tcPr>
                  <w:tcW w:w="730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44758A9F" w14:textId="15A3269E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-0.2</w:t>
                  </w:r>
                </w:p>
              </w:tc>
              <w:tc>
                <w:tcPr>
                  <w:tcW w:w="730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5EF57ABF" w14:textId="43D7CFA1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-0.3</w:t>
                  </w:r>
                </w:p>
              </w:tc>
              <w:tc>
                <w:tcPr>
                  <w:tcW w:w="730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485CC3FF" w14:textId="56BA7722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9BCC15E" w14:textId="49A13435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95310CE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2B8B0FD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26AA0F0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FAD1EE1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F869C25" w14:textId="77777777" w:rsidR="009D1B7F" w:rsidRPr="00007C1B" w:rsidRDefault="009D1B7F" w:rsidP="00657230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07C1B">
                    <w:rPr>
                      <w:rFonts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7D98C0B7" w14:textId="0999EAFE" w:rsidR="00AE1C28" w:rsidRDefault="003F20A2" w:rsidP="00657230">
            <w:pPr>
              <w:pStyle w:val="Bullet"/>
              <w:numPr>
                <w:ilvl w:val="0"/>
                <w:numId w:val="0"/>
              </w:numPr>
              <w:spacing w:before="160" w:after="160" w:line="259" w:lineRule="auto"/>
            </w:pPr>
            <w:r>
              <w:t>The</w:t>
            </w:r>
            <w:r w:rsidR="00A10D18">
              <w:t>se</w:t>
            </w:r>
            <w:r>
              <w:t xml:space="preserve"> </w:t>
            </w:r>
            <w:r w:rsidR="00A10D18">
              <w:t xml:space="preserve">revisions </w:t>
            </w:r>
            <w:r>
              <w:t xml:space="preserve">have </w:t>
            </w:r>
            <w:r w:rsidR="00A10D18">
              <w:t>resulted in</w:t>
            </w:r>
            <w:r w:rsidR="00221A08">
              <w:t xml:space="preserve"> estimates of</w:t>
            </w:r>
            <w:r w:rsidR="00A10D18">
              <w:t xml:space="preserve"> </w:t>
            </w:r>
            <w:r w:rsidR="000705BF">
              <w:t>growth</w:t>
            </w:r>
            <w:r w:rsidR="00A2321E">
              <w:t xml:space="preserve"> in the </w:t>
            </w:r>
            <w:r w:rsidR="00A10D18">
              <w:t>A</w:t>
            </w:r>
            <w:r w:rsidR="00221A08">
              <w:t>CT</w:t>
            </w:r>
            <w:r w:rsidR="002F1BFD">
              <w:t xml:space="preserve"> </w:t>
            </w:r>
            <w:r w:rsidR="000442D7">
              <w:t>(from the March quarter 2017 to the September quarter 2018)</w:t>
            </w:r>
            <w:r w:rsidR="00A10D18">
              <w:t xml:space="preserve"> </w:t>
            </w:r>
            <w:r w:rsidR="00A2321E">
              <w:t>surpass</w:t>
            </w:r>
            <w:r w:rsidR="00221A08">
              <w:t>ing</w:t>
            </w:r>
            <w:r w:rsidR="00A2321E">
              <w:t xml:space="preserve"> 3 per cent annually, comparable to</w:t>
            </w:r>
            <w:r w:rsidR="00221A08">
              <w:t xml:space="preserve"> levels seen</w:t>
            </w:r>
            <w:r w:rsidR="00A2321E">
              <w:t xml:space="preserve"> in Western Australia during the</w:t>
            </w:r>
            <w:r w:rsidR="008959EB">
              <w:t xml:space="preserve"> 2000’s</w:t>
            </w:r>
            <w:r w:rsidR="00A2321E">
              <w:t xml:space="preserve"> mining boom. Tasmania </w:t>
            </w:r>
            <w:r>
              <w:t>has moved</w:t>
            </w:r>
            <w:r w:rsidR="00A2321E">
              <w:t xml:space="preserve"> from the slowest growing state </w:t>
            </w:r>
            <w:r w:rsidR="007C6C1C">
              <w:t>in the decade prior to 2016 to the second fastest</w:t>
            </w:r>
            <w:r>
              <w:t xml:space="preserve"> growing state </w:t>
            </w:r>
            <w:r w:rsidR="00DB5FE7">
              <w:t xml:space="preserve">between 2016 and </w:t>
            </w:r>
            <w:r>
              <w:t>2021 (</w:t>
            </w:r>
            <w:r w:rsidR="00F27A91">
              <w:t>s</w:t>
            </w:r>
            <w:r w:rsidR="007C6C1C">
              <w:t>ee Chart 1</w:t>
            </w:r>
            <w:r>
              <w:t>)</w:t>
            </w:r>
            <w:r w:rsidR="007C6C1C">
              <w:t>.</w:t>
            </w:r>
            <w:r w:rsidR="004D0DF0">
              <w:t xml:space="preserve"> </w:t>
            </w:r>
            <w:r w:rsidR="00AE1C28">
              <w:t>Western Australia grew as quickly as Queensland</w:t>
            </w:r>
            <w:r w:rsidR="00221A08">
              <w:t>,</w:t>
            </w:r>
            <w:r w:rsidR="00AE1C28">
              <w:t xml:space="preserve"> and South Australia </w:t>
            </w:r>
            <w:r w:rsidR="000F6C96">
              <w:t xml:space="preserve">experienced slightly higher growth than </w:t>
            </w:r>
            <w:r w:rsidR="00AE1C28">
              <w:t>New South Wales.</w:t>
            </w:r>
          </w:p>
          <w:p w14:paraId="106269D8" w14:textId="0010E158" w:rsidR="007C6C1C" w:rsidRPr="008F10A1" w:rsidRDefault="00E61EDA" w:rsidP="0020639D">
            <w:pPr>
              <w:pStyle w:val="Chart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Annual </w:t>
            </w:r>
            <w:r w:rsidR="007C6C1C" w:rsidRPr="008F10A1">
              <w:rPr>
                <w:sz w:val="22"/>
                <w:szCs w:val="22"/>
              </w:rPr>
              <w:t>Population Growth</w:t>
            </w:r>
            <w:r w:rsidR="003F20A2" w:rsidRPr="008F10A1">
              <w:rPr>
                <w:sz w:val="22"/>
                <w:szCs w:val="22"/>
              </w:rPr>
              <w:t xml:space="preserve"> </w:t>
            </w:r>
            <w:r w:rsidR="00DB5FE7">
              <w:rPr>
                <w:sz w:val="22"/>
                <w:szCs w:val="22"/>
              </w:rPr>
              <w:t>to</w:t>
            </w:r>
            <w:r w:rsidR="003F20A2" w:rsidRPr="008F10A1">
              <w:rPr>
                <w:sz w:val="22"/>
                <w:szCs w:val="22"/>
              </w:rPr>
              <w:t xml:space="preserve"> 30 </w:t>
            </w:r>
            <w:r w:rsidR="00F5605B" w:rsidRPr="008F10A1">
              <w:rPr>
                <w:sz w:val="22"/>
                <w:szCs w:val="22"/>
              </w:rPr>
              <w:t>J</w:t>
            </w:r>
            <w:r w:rsidR="003F20A2" w:rsidRPr="008F10A1">
              <w:rPr>
                <w:sz w:val="22"/>
                <w:szCs w:val="22"/>
              </w:rPr>
              <w:t>une 2021</w:t>
            </w:r>
          </w:p>
          <w:p w14:paraId="2D0644AA" w14:textId="21D00D54" w:rsidR="00725216" w:rsidRPr="00B431F8" w:rsidRDefault="00AE1C28" w:rsidP="005A1477">
            <w:pPr>
              <w:pStyle w:val="Bullet"/>
              <w:numPr>
                <w:ilvl w:val="0"/>
                <w:numId w:val="0"/>
              </w:numPr>
              <w:spacing w:before="0" w:line="259" w:lineRule="auto"/>
            </w:pPr>
            <w:r>
              <w:t xml:space="preserve"> </w:t>
            </w:r>
            <w:r w:rsidR="0065753F" w:rsidRPr="0065753F">
              <w:rPr>
                <w:noProof/>
              </w:rPr>
              <w:drawing>
                <wp:inline distT="0" distB="0" distL="0" distR="0" wp14:anchorId="438359B9" wp14:editId="047A1878">
                  <wp:extent cx="5581650" cy="2524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25216" w:rsidRPr="00D24DBE" w14:paraId="4AB1EC6E" w14:textId="77777777" w:rsidTr="002B1AE8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22B5E33B" w14:textId="77777777" w:rsidR="00143943" w:rsidRPr="002B1AE8" w:rsidRDefault="00143943" w:rsidP="002B1AE8"/>
          <w:p w14:paraId="29CA454A" w14:textId="75E987D3" w:rsidR="00B11A60" w:rsidRPr="00A604AC" w:rsidRDefault="00371CA7" w:rsidP="00B11A60">
            <w:pPr>
              <w:pStyle w:val="Heading3"/>
            </w:pPr>
            <w:r>
              <w:lastRenderedPageBreak/>
              <w:t>Quality of the 2021 Census</w:t>
            </w:r>
          </w:p>
          <w:p w14:paraId="4C6AB28B" w14:textId="664FA8B8" w:rsidR="00231723" w:rsidRDefault="00CA51CE" w:rsidP="000C59EB">
            <w:pPr>
              <w:pStyle w:val="Bullet"/>
              <w:numPr>
                <w:ilvl w:val="0"/>
                <w:numId w:val="0"/>
              </w:numPr>
              <w:spacing w:before="160" w:after="160"/>
            </w:pPr>
            <w:r>
              <w:t xml:space="preserve">Shortly after </w:t>
            </w:r>
            <w:r w:rsidR="003A688C">
              <w:t>each</w:t>
            </w:r>
            <w:r>
              <w:t xml:space="preserve"> Census, the ABS run a Post Enumeration Survey (PES) to measure how well the Census counted people on Census night. </w:t>
            </w:r>
            <w:r w:rsidR="008877CE">
              <w:t>Th</w:t>
            </w:r>
            <w:r>
              <w:t xml:space="preserve">e PES estimated a </w:t>
            </w:r>
            <w:r w:rsidRPr="00EE382B">
              <w:rPr>
                <w:b/>
                <w:i/>
              </w:rPr>
              <w:t>net undercount</w:t>
            </w:r>
            <w:r>
              <w:t xml:space="preserve"> of 0.7</w:t>
            </w:r>
            <w:r w:rsidR="003A688C">
              <w:t xml:space="preserve"> per cent</w:t>
            </w:r>
            <w:r w:rsidR="008877CE">
              <w:t>, the lowest</w:t>
            </w:r>
            <w:r w:rsidR="004D0243">
              <w:t xml:space="preserve"> on</w:t>
            </w:r>
            <w:r w:rsidR="008877CE">
              <w:t xml:space="preserve"> reco</w:t>
            </w:r>
            <w:r w:rsidR="004D0243">
              <w:t>r</w:t>
            </w:r>
            <w:r w:rsidR="008877CE">
              <w:t>d</w:t>
            </w:r>
            <w:r w:rsidR="003A688C">
              <w:t xml:space="preserve"> for an Australia</w:t>
            </w:r>
            <w:r w:rsidR="00F84B9E">
              <w:t>n</w:t>
            </w:r>
            <w:r w:rsidR="003A688C">
              <w:t xml:space="preserve"> </w:t>
            </w:r>
            <w:r w:rsidR="002C6947">
              <w:t>census (see Table 3)</w:t>
            </w:r>
            <w:r w:rsidR="008877CE">
              <w:t>.</w:t>
            </w:r>
            <w:r w:rsidR="002C6947" w:rsidRPr="00EE382B">
              <w:rPr>
                <w:rStyle w:val="FootnoteReference"/>
              </w:rPr>
              <w:footnoteReference w:id="3"/>
            </w:r>
            <w:r w:rsidR="008877CE">
              <w:t xml:space="preserve"> </w:t>
            </w:r>
          </w:p>
          <w:p w14:paraId="3450569D" w14:textId="49052357" w:rsidR="00231723" w:rsidRDefault="00231723" w:rsidP="002537C7">
            <w:pPr>
              <w:pStyle w:val="TableMainHeading"/>
              <w:numPr>
                <w:ilvl w:val="0"/>
                <w:numId w:val="48"/>
              </w:numPr>
              <w:ind w:left="326"/>
              <w:rPr>
                <w:sz w:val="22"/>
                <w:szCs w:val="22"/>
              </w:rPr>
            </w:pPr>
            <w:r w:rsidRPr="002537C7">
              <w:rPr>
                <w:sz w:val="22"/>
                <w:szCs w:val="22"/>
              </w:rPr>
              <w:t>Historical Census Net Undercounts</w:t>
            </w:r>
          </w:p>
          <w:tbl>
            <w:tblPr>
              <w:tblW w:w="9089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57"/>
              <w:gridCol w:w="612"/>
              <w:gridCol w:w="612"/>
              <w:gridCol w:w="612"/>
              <w:gridCol w:w="612"/>
              <w:gridCol w:w="612"/>
              <w:gridCol w:w="612"/>
              <w:gridCol w:w="612"/>
              <w:gridCol w:w="612"/>
              <w:gridCol w:w="612"/>
              <w:gridCol w:w="612"/>
              <w:gridCol w:w="612"/>
            </w:tblGrid>
            <w:tr w:rsidR="00FE2077" w:rsidRPr="009C2B09" w14:paraId="7752D36A" w14:textId="77777777" w:rsidTr="00FE2077">
              <w:trPr>
                <w:trHeight w:val="315"/>
                <w:jc w:val="center"/>
              </w:trPr>
              <w:tc>
                <w:tcPr>
                  <w:tcW w:w="2357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</w:tcPr>
                <w:p w14:paraId="495CFF3A" w14:textId="77777777" w:rsidR="00FE2077" w:rsidRPr="00DC62D9" w:rsidRDefault="00FE2077" w:rsidP="00BB5F49">
                  <w:pPr>
                    <w:spacing w:before="40" w:after="40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</w:tcPr>
                <w:p w14:paraId="0AF21809" w14:textId="78F15AB6" w:rsidR="00FE2077" w:rsidRPr="00245AAE" w:rsidRDefault="00FE2077" w:rsidP="00BB5F49">
                  <w:pPr>
                    <w:spacing w:before="40" w:after="4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1971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</w:tcPr>
                <w:p w14:paraId="22A7C652" w14:textId="079B13F8" w:rsidR="00FE2077" w:rsidRPr="00245AAE" w:rsidRDefault="00FE2077" w:rsidP="00BB5F49">
                  <w:pPr>
                    <w:spacing w:before="40" w:after="4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1976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</w:tcPr>
                <w:p w14:paraId="1C2CED20" w14:textId="78CFB51F" w:rsidR="00FE2077" w:rsidRPr="00245AAE" w:rsidRDefault="00FE2077" w:rsidP="00BB5F49">
                  <w:pPr>
                    <w:spacing w:before="40" w:after="4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1981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</w:tcPr>
                <w:p w14:paraId="55292A64" w14:textId="151AE47A" w:rsidR="00FE2077" w:rsidRPr="00245AAE" w:rsidRDefault="00FE2077" w:rsidP="00BB5F49">
                  <w:pPr>
                    <w:spacing w:before="40" w:after="4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1986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</w:tcPr>
                <w:p w14:paraId="72057CB4" w14:textId="5A8255F9" w:rsidR="00FE2077" w:rsidRDefault="00FE2077" w:rsidP="00BB5F49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245AAE">
                    <w:rPr>
                      <w:b/>
                      <w:bCs/>
                    </w:rPr>
                    <w:t>1991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</w:tcPr>
                <w:p w14:paraId="578E0046" w14:textId="77777777" w:rsidR="00FE2077" w:rsidRDefault="00FE2077" w:rsidP="00BB5F49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245AAE">
                    <w:rPr>
                      <w:b/>
                      <w:bCs/>
                    </w:rPr>
                    <w:t>1996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</w:tcPr>
                <w:p w14:paraId="7DAD5312" w14:textId="77777777" w:rsidR="00FE2077" w:rsidRDefault="00FE2077" w:rsidP="00BB5F49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245AAE">
                    <w:rPr>
                      <w:b/>
                      <w:bCs/>
                    </w:rPr>
                    <w:t>2001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tcMar>
                    <w:left w:w="57" w:type="dxa"/>
                    <w:right w:w="57" w:type="dxa"/>
                  </w:tcMar>
                </w:tcPr>
                <w:p w14:paraId="7D58CAFA" w14:textId="77777777" w:rsidR="00FE2077" w:rsidRDefault="00FE2077" w:rsidP="00BB5F49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245AAE">
                    <w:rPr>
                      <w:b/>
                      <w:bCs/>
                    </w:rPr>
                    <w:t>2006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</w:tcPr>
                <w:p w14:paraId="526FD952" w14:textId="77777777" w:rsidR="00FE2077" w:rsidRDefault="00FE2077" w:rsidP="00BB5F49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245AAE">
                    <w:rPr>
                      <w:b/>
                      <w:bCs/>
                    </w:rPr>
                    <w:t>2011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</w:tcPr>
                <w:p w14:paraId="27F10C69" w14:textId="77777777" w:rsidR="00FE2077" w:rsidRDefault="00FE2077" w:rsidP="00BB5F49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245AAE"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</w:tcPr>
                <w:p w14:paraId="6575E804" w14:textId="77777777" w:rsidR="00FE2077" w:rsidRDefault="00FE2077" w:rsidP="00BB5F49">
                  <w:pPr>
                    <w:spacing w:before="40" w:after="4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245AAE">
                    <w:rPr>
                      <w:b/>
                      <w:bCs/>
                    </w:rPr>
                    <w:t>2021</w:t>
                  </w:r>
                </w:p>
              </w:tc>
            </w:tr>
            <w:tr w:rsidR="00FE2077" w:rsidRPr="009C2B09" w14:paraId="12A08E91" w14:textId="77777777" w:rsidTr="00FE2077">
              <w:trPr>
                <w:trHeight w:val="204"/>
                <w:jc w:val="center"/>
              </w:trPr>
              <w:tc>
                <w:tcPr>
                  <w:tcW w:w="2357" w:type="dxa"/>
                  <w:tcBorders>
                    <w:top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3F859446" w14:textId="1461E8C3" w:rsidR="00FE2077" w:rsidRPr="009C2B09" w:rsidRDefault="00FE2077" w:rsidP="00BB5F49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Net Undercount </w:t>
                  </w:r>
                  <w:r w:rsidRPr="0010218B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(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per cent</w:t>
                  </w:r>
                  <w:r w:rsidRPr="0010218B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</w:tcBorders>
                </w:tcPr>
                <w:p w14:paraId="52247581" w14:textId="421CE77A" w:rsidR="00FE2077" w:rsidRDefault="00FE2077" w:rsidP="00BB5F49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</w:pPr>
                  <w:r>
                    <w:t>1.4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</w:tcBorders>
                </w:tcPr>
                <w:p w14:paraId="5B89DBB5" w14:textId="1F769478" w:rsidR="00FE2077" w:rsidRDefault="00FE2077" w:rsidP="00BB5F49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</w:pPr>
                  <w:r>
                    <w:t>2.7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</w:tcBorders>
                </w:tcPr>
                <w:p w14:paraId="5D6FB510" w14:textId="7E09F4A7" w:rsidR="00FE2077" w:rsidRDefault="00FE2077" w:rsidP="00BB5F49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</w:pPr>
                  <w:r>
                    <w:t>1.9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</w:tcBorders>
                </w:tcPr>
                <w:p w14:paraId="189F3DE1" w14:textId="1C22B799" w:rsidR="00FE2077" w:rsidRDefault="00FE2077" w:rsidP="00BB5F49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</w:pPr>
                  <w:r>
                    <w:t>1.9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left w:val="nil"/>
                    <w:bottom w:val="single" w:sz="4" w:space="0" w:color="auto"/>
                    <w:right w:val="nil"/>
                  </w:tcBorders>
                </w:tcPr>
                <w:p w14:paraId="70976C99" w14:textId="4927D83B" w:rsidR="00FE2077" w:rsidRPr="009C2B09" w:rsidRDefault="00FE2077" w:rsidP="00BB5F49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t>1.8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left w:val="nil"/>
                    <w:bottom w:val="single" w:sz="4" w:space="0" w:color="auto"/>
                    <w:right w:val="nil"/>
                  </w:tcBorders>
                </w:tcPr>
                <w:p w14:paraId="7C2E2D61" w14:textId="77777777" w:rsidR="00FE2077" w:rsidRPr="009C2B09" w:rsidRDefault="00FE2077" w:rsidP="00BB5F49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t>1.6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left w:val="nil"/>
                    <w:bottom w:val="single" w:sz="4" w:space="0" w:color="auto"/>
                    <w:right w:val="nil"/>
                  </w:tcBorders>
                </w:tcPr>
                <w:p w14:paraId="128FCF90" w14:textId="77777777" w:rsidR="00FE2077" w:rsidRPr="009C2B09" w:rsidRDefault="00FE2077" w:rsidP="00BB5F49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t>1.8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left w:val="nil"/>
                    <w:bottom w:val="single" w:sz="4" w:space="0" w:color="auto"/>
                    <w:right w:val="nil"/>
                  </w:tcBorders>
                </w:tcPr>
                <w:p w14:paraId="321A7B64" w14:textId="77777777" w:rsidR="00FE2077" w:rsidRPr="009C2B09" w:rsidRDefault="00FE2077" w:rsidP="00BB5F49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t>2.7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left w:val="nil"/>
                    <w:bottom w:val="single" w:sz="4" w:space="0" w:color="auto"/>
                    <w:right w:val="nil"/>
                  </w:tcBorders>
                </w:tcPr>
                <w:p w14:paraId="3CFC6805" w14:textId="77777777" w:rsidR="00FE2077" w:rsidRPr="009C2B09" w:rsidRDefault="00FE2077" w:rsidP="00BB5F49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t>1.7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left w:val="nil"/>
                    <w:bottom w:val="single" w:sz="4" w:space="0" w:color="auto"/>
                    <w:right w:val="nil"/>
                  </w:tcBorders>
                </w:tcPr>
                <w:p w14:paraId="3A2F669A" w14:textId="77777777" w:rsidR="00FE2077" w:rsidRPr="009C2B09" w:rsidRDefault="00FE2077" w:rsidP="00BB5F49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t>1.0</w:t>
                  </w:r>
                </w:p>
              </w:tc>
              <w:tc>
                <w:tcPr>
                  <w:tcW w:w="612" w:type="dxa"/>
                  <w:tcBorders>
                    <w:top w:val="single" w:sz="4" w:space="0" w:color="002C47" w:themeColor="accent1"/>
                    <w:left w:val="nil"/>
                    <w:bottom w:val="single" w:sz="4" w:space="0" w:color="auto"/>
                    <w:right w:val="nil"/>
                  </w:tcBorders>
                </w:tcPr>
                <w:p w14:paraId="477FF32B" w14:textId="77777777" w:rsidR="00FE2077" w:rsidRPr="009C2B09" w:rsidRDefault="00FE2077" w:rsidP="00BB5F49">
                  <w:pPr>
                    <w:tabs>
                      <w:tab w:val="decimal" w:pos="454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t>0.7</w:t>
                  </w:r>
                </w:p>
              </w:tc>
            </w:tr>
          </w:tbl>
          <w:p w14:paraId="41065C23" w14:textId="77777777" w:rsidR="003B08B0" w:rsidRDefault="003B08B0" w:rsidP="000C59EB">
            <w:pPr>
              <w:pStyle w:val="Bullet"/>
              <w:numPr>
                <w:ilvl w:val="0"/>
                <w:numId w:val="0"/>
              </w:numPr>
              <w:spacing w:before="160" w:after="160"/>
            </w:pPr>
            <w:r>
              <w:t xml:space="preserve">The </w:t>
            </w:r>
            <w:r w:rsidRPr="00237AE7">
              <w:rPr>
                <w:b/>
                <w:bCs/>
                <w:i/>
                <w:iCs/>
              </w:rPr>
              <w:t>gross coverage error</w:t>
            </w:r>
            <w:r>
              <w:t xml:space="preserve"> is the difference between the PES population estimate and the number of people from which Census received a response, providing an estimate of the response rate for the Census. The gross coverage error decreased from 7.1 per cent in 2016 to 6.1 per cent in 2021, indicating a higher proportion of the population completed the 2021 Census. </w:t>
            </w:r>
          </w:p>
          <w:p w14:paraId="542F83FC" w14:textId="469A9340" w:rsidR="0042267B" w:rsidRDefault="0035275C" w:rsidP="000C59EB">
            <w:pPr>
              <w:pStyle w:val="Bullet"/>
              <w:numPr>
                <w:ilvl w:val="0"/>
                <w:numId w:val="0"/>
              </w:numPr>
              <w:spacing w:before="160" w:after="160"/>
            </w:pPr>
            <w:r>
              <w:t>At the state and territory level, t</w:t>
            </w:r>
            <w:r w:rsidR="0042267B">
              <w:t xml:space="preserve">he net undercount </w:t>
            </w:r>
            <w:r w:rsidR="00ED2D8E">
              <w:t xml:space="preserve">and gross coverage error </w:t>
            </w:r>
            <w:r w:rsidR="0042267B">
              <w:t>decreased between 2016 and 2021 in New South Wales</w:t>
            </w:r>
            <w:r w:rsidR="00532D9A">
              <w:t xml:space="preserve"> and</w:t>
            </w:r>
            <w:r w:rsidR="0042267B">
              <w:t xml:space="preserve"> Victoria, representing fewer people missed and </w:t>
            </w:r>
            <w:r w:rsidR="00ED2D8E">
              <w:t>higher census coverage</w:t>
            </w:r>
            <w:r>
              <w:t xml:space="preserve"> </w:t>
            </w:r>
            <w:r w:rsidR="0042267B">
              <w:t>(</w:t>
            </w:r>
            <w:r w:rsidR="00DC7868">
              <w:t xml:space="preserve">see </w:t>
            </w:r>
            <w:r w:rsidR="0042267B">
              <w:t>Chart</w:t>
            </w:r>
            <w:r w:rsidR="00146998">
              <w:t> </w:t>
            </w:r>
            <w:r w:rsidR="001A0EB3">
              <w:t>2</w:t>
            </w:r>
            <w:r w:rsidR="0042267B">
              <w:t>). These jurisdictions were subject to COVID-19 related restrictions at the time of the Census and PES, limiting people’s movement</w:t>
            </w:r>
            <w:r w:rsidR="007765CF">
              <w:t xml:space="preserve"> and </w:t>
            </w:r>
            <w:r w:rsidR="00D62CBE">
              <w:t>potentially</w:t>
            </w:r>
            <w:r w:rsidR="00ED2D8E">
              <w:t xml:space="preserve"> contributing to the lower gross coverage error.</w:t>
            </w:r>
            <w:r w:rsidR="00D62CBE">
              <w:t xml:space="preserve"> </w:t>
            </w:r>
            <w:r w:rsidR="0042267B">
              <w:t>The Norther</w:t>
            </w:r>
            <w:r w:rsidR="000903E7">
              <w:t>n</w:t>
            </w:r>
            <w:r w:rsidR="0042267B">
              <w:t xml:space="preserve"> Territory recorded the highest net undercount rate of all state and territories</w:t>
            </w:r>
            <w:r w:rsidR="00ED2D8E">
              <w:t>,</w:t>
            </w:r>
            <w:r w:rsidR="00335960">
              <w:t xml:space="preserve"> potentially driven by COVID-19 restrictions limiting access to some remote Indigenous communities</w:t>
            </w:r>
            <w:r w:rsidR="0042267B">
              <w:t xml:space="preserve">. </w:t>
            </w:r>
          </w:p>
          <w:p w14:paraId="7C40ECEE" w14:textId="13EE4118" w:rsidR="0042267B" w:rsidRDefault="0042267B" w:rsidP="0042267B">
            <w:pPr>
              <w:pStyle w:val="Chartheading"/>
            </w:pPr>
            <w:r>
              <w:t>Net Undercount and Gross Coverage Error by S</w:t>
            </w:r>
            <w:r w:rsidR="00257CB2">
              <w:t>tate and Territory</w:t>
            </w:r>
          </w:p>
          <w:p w14:paraId="3D7A3EC7" w14:textId="53E193F6" w:rsidR="00B87CEB" w:rsidRPr="00D33EDE" w:rsidRDefault="00C65E88" w:rsidP="00B87CEB">
            <w:pPr>
              <w:pStyle w:val="Heading3"/>
              <w:spacing w:before="0"/>
              <w:rPr>
                <w:b w:val="0"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65E88">
              <w:rPr>
                <w:b w:val="0"/>
                <w:bCs/>
                <w:i w:val="0"/>
                <w:iCs w:val="0"/>
                <w:noProof/>
                <w:color w:val="auto"/>
                <w:sz w:val="18"/>
                <w:szCs w:val="18"/>
              </w:rPr>
              <w:drawing>
                <wp:inline distT="0" distB="0" distL="0" distR="0" wp14:anchorId="715A7CCF" wp14:editId="6087F39F">
                  <wp:extent cx="5581650" cy="25241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CEB" w:rsidRPr="00D33EDE">
              <w:rPr>
                <w:b w:val="0"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B87CEB" w:rsidRPr="002B1AE8">
              <w:rPr>
                <w:b w:val="0"/>
                <w:i w:val="0"/>
                <w:color w:val="auto"/>
                <w:sz w:val="16"/>
                <w:szCs w:val="16"/>
              </w:rPr>
              <w:t>Note: 2016 Net undercount for Tasmania is 0.1%, and so is not clearly visible in the above chart.</w:t>
            </w:r>
          </w:p>
          <w:p w14:paraId="277E0D20" w14:textId="77EF0285" w:rsidR="00B11A60" w:rsidRDefault="007B162E" w:rsidP="00A604AC">
            <w:pPr>
              <w:pStyle w:val="Heading3"/>
            </w:pPr>
            <w:r>
              <w:t>Notes</w:t>
            </w:r>
          </w:p>
          <w:p w14:paraId="6674E474" w14:textId="6B3EA304" w:rsidR="0031270D" w:rsidRDefault="008721C3" w:rsidP="000C59EB">
            <w:pPr>
              <w:pStyle w:val="Bullet"/>
              <w:numPr>
                <w:ilvl w:val="0"/>
                <w:numId w:val="0"/>
              </w:numPr>
              <w:spacing w:before="160" w:after="160"/>
            </w:pPr>
            <w:r>
              <w:t xml:space="preserve">The </w:t>
            </w:r>
            <w:r w:rsidR="00C619AC">
              <w:t xml:space="preserve">Census data can be found at </w:t>
            </w:r>
            <w:hyperlink r:id="rId12" w:history="1">
              <w:r w:rsidR="00C619AC" w:rsidRPr="007913A7">
                <w:rPr>
                  <w:rStyle w:val="Hyperlink"/>
                </w:rPr>
                <w:t>abs.gov.au/census</w:t>
              </w:r>
            </w:hyperlink>
            <w:r w:rsidR="007D2AC7">
              <w:t xml:space="preserve"> and can be accessed through a variety </w:t>
            </w:r>
            <w:r w:rsidR="007D2AC7" w:rsidRPr="00EE382B">
              <w:rPr>
                <w:i/>
              </w:rPr>
              <w:t xml:space="preserve">of </w:t>
            </w:r>
            <w:hyperlink r:id="rId13" w:history="1">
              <w:r w:rsidR="007D2AC7" w:rsidRPr="00EE382B">
                <w:rPr>
                  <w:rStyle w:val="Hyperlink"/>
                  <w:i/>
                </w:rPr>
                <w:t>Census data tools</w:t>
              </w:r>
            </w:hyperlink>
            <w:r w:rsidR="007D2AC7">
              <w:t xml:space="preserve">, including community profiles which provide </w:t>
            </w:r>
            <w:r w:rsidR="007913A7">
              <w:t>detailed tables f</w:t>
            </w:r>
            <w:r w:rsidR="00817372">
              <w:t>or</w:t>
            </w:r>
            <w:r w:rsidR="007913A7">
              <w:t xml:space="preserve"> </w:t>
            </w:r>
            <w:r w:rsidR="003D5D83">
              <w:t>most</w:t>
            </w:r>
            <w:r w:rsidR="007913A7">
              <w:t xml:space="preserve"> Census variables. </w:t>
            </w:r>
          </w:p>
          <w:p w14:paraId="4B18EC16" w14:textId="29285545" w:rsidR="00FD7E78" w:rsidRDefault="0031270D" w:rsidP="000C59EB">
            <w:pPr>
              <w:spacing w:before="160" w:after="160"/>
            </w:pPr>
            <w:r>
              <w:t xml:space="preserve">The ABS will release the 2021 Census data in a staged approach. The second phase of the release will be available in October </w:t>
            </w:r>
            <w:r w:rsidR="00FD7E78">
              <w:t xml:space="preserve">2022 </w:t>
            </w:r>
            <w:r>
              <w:t xml:space="preserve">and will include other key Census topics, including employment and location-based variables (i.e., occupation and industry of employment, internal </w:t>
            </w:r>
            <w:proofErr w:type="gramStart"/>
            <w:r>
              <w:t>migration</w:t>
            </w:r>
            <w:proofErr w:type="gramEnd"/>
            <w:r>
              <w:t xml:space="preserve"> and method of travel to </w:t>
            </w:r>
            <w:r>
              <w:lastRenderedPageBreak/>
              <w:t xml:space="preserve">work). </w:t>
            </w:r>
            <w:r w:rsidR="003C7859">
              <w:t>T</w:t>
            </w:r>
            <w:r w:rsidR="00FD7E78">
              <w:t>he third phase of the Census release will be available early to mid-2023 and will include topics such as distance to work and socio-economic inde</w:t>
            </w:r>
            <w:r w:rsidR="007D2AC7">
              <w:t xml:space="preserve">xes for areas (SEIFA). </w:t>
            </w:r>
          </w:p>
          <w:p w14:paraId="2CFA3F42" w14:textId="5289679F" w:rsidR="00817372" w:rsidRDefault="00817372" w:rsidP="000C59EB">
            <w:pPr>
              <w:spacing w:before="160" w:after="160"/>
            </w:pPr>
            <w:r>
              <w:t xml:space="preserve">Final population </w:t>
            </w:r>
            <w:r w:rsidR="00634F9C">
              <w:t>estimates</w:t>
            </w:r>
            <w:r>
              <w:t xml:space="preserve"> will be available in June 2023, following final revisions to components of population growth </w:t>
            </w:r>
            <w:r w:rsidR="00F713E7">
              <w:t xml:space="preserve">for the 2016 to 2021 period. </w:t>
            </w:r>
          </w:p>
          <w:p w14:paraId="57A4071E" w14:textId="73222726" w:rsidR="00C619AC" w:rsidRPr="00D24DBE" w:rsidRDefault="00FC4247" w:rsidP="000C59EB">
            <w:pPr>
              <w:spacing w:before="160" w:after="160"/>
            </w:pPr>
            <w:r>
              <w:t xml:space="preserve">The preliminary rebased population estimates </w:t>
            </w:r>
            <w:r w:rsidR="00916CCC">
              <w:t xml:space="preserve">for the latest quarter </w:t>
            </w:r>
            <w:r>
              <w:t>are available</w:t>
            </w:r>
            <w:r w:rsidR="00173A0A">
              <w:t xml:space="preserve"> from the ABS</w:t>
            </w:r>
            <w:r>
              <w:t xml:space="preserve"> in </w:t>
            </w:r>
            <w:hyperlink r:id="rId14" w:history="1">
              <w:r w:rsidRPr="00EE382B">
                <w:rPr>
                  <w:rStyle w:val="Hyperlink"/>
                  <w:i/>
                  <w:iCs/>
                </w:rPr>
                <w:t>National, state and territory population, December 2021</w:t>
              </w:r>
            </w:hyperlink>
            <w:r>
              <w:t xml:space="preserve">. </w:t>
            </w:r>
          </w:p>
        </w:tc>
      </w:tr>
    </w:tbl>
    <w:p w14:paraId="2748F8F0" w14:textId="598F4C06" w:rsidR="00725216" w:rsidRDefault="00725216" w:rsidP="00057D72">
      <w:pPr>
        <w:spacing w:before="0" w:after="200" w:line="276" w:lineRule="auto"/>
        <w:rPr>
          <w:color w:val="000000"/>
        </w:rPr>
      </w:pPr>
    </w:p>
    <w:sectPr w:rsidR="00725216" w:rsidSect="00763E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EB65" w14:textId="77777777" w:rsidR="00AB6864" w:rsidRDefault="00AB6864" w:rsidP="008F6A37">
      <w:r>
        <w:separator/>
      </w:r>
    </w:p>
  </w:endnote>
  <w:endnote w:type="continuationSeparator" w:id="0">
    <w:p w14:paraId="33B08BB5" w14:textId="77777777" w:rsidR="00AB6864" w:rsidRDefault="00AB6864" w:rsidP="008F6A37">
      <w:r>
        <w:continuationSeparator/>
      </w:r>
    </w:p>
  </w:endnote>
  <w:endnote w:type="continuationNotice" w:id="1">
    <w:p w14:paraId="056E7857" w14:textId="77777777" w:rsidR="00AB6864" w:rsidRDefault="00AB6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1A5" w14:textId="75752A09" w:rsidR="00F21FAB" w:rsidRDefault="00F21FAB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3</w:t>
    </w:r>
    <w:r w:rsidRPr="004B535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27CF" w14:textId="4DDB57AF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6305" w14:textId="7B5B23E0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AD1E" w14:textId="77777777" w:rsidR="00AB6864" w:rsidRDefault="00AB6864" w:rsidP="008F6A37">
      <w:r>
        <w:separator/>
      </w:r>
    </w:p>
  </w:footnote>
  <w:footnote w:type="continuationSeparator" w:id="0">
    <w:p w14:paraId="620BFA87" w14:textId="77777777" w:rsidR="00AB6864" w:rsidRDefault="00AB6864" w:rsidP="008F6A37">
      <w:r>
        <w:continuationSeparator/>
      </w:r>
    </w:p>
  </w:footnote>
  <w:footnote w:type="continuationNotice" w:id="1">
    <w:p w14:paraId="3CAD8987" w14:textId="77777777" w:rsidR="00AB6864" w:rsidRDefault="00AB6864"/>
  </w:footnote>
  <w:footnote w:id="2">
    <w:p w14:paraId="266BFF90" w14:textId="3B9DC42B" w:rsidR="00561CBB" w:rsidRDefault="00561CBB" w:rsidP="00EE382B">
      <w:pPr>
        <w:pStyle w:val="FootnoteText"/>
        <w:tabs>
          <w:tab w:val="clear" w:pos="284"/>
          <w:tab w:val="left" w:pos="0"/>
        </w:tabs>
        <w:ind w:left="142" w:hanging="142"/>
      </w:pPr>
      <w:r>
        <w:rPr>
          <w:rStyle w:val="FootnoteReference"/>
        </w:rPr>
        <w:footnoteRef/>
      </w:r>
      <w:r w:rsidR="00C31516">
        <w:t>Q</w:t>
      </w:r>
      <w:r w:rsidR="00C050F1">
        <w:t>uarterly population estimates are revised by assuming intercensal difference</w:t>
      </w:r>
      <w:r w:rsidR="00C31516">
        <w:t xml:space="preserve"> is</w:t>
      </w:r>
      <w:r w:rsidR="00C050F1">
        <w:t xml:space="preserve"> accumulated evenly across the five-year period, except for Tasmania and the Australian Capital Territory</w:t>
      </w:r>
      <w:r w:rsidR="00AA0080">
        <w:t xml:space="preserve"> where m</w:t>
      </w:r>
      <w:r w:rsidR="00C050F1">
        <w:t xml:space="preserve">ore intercensal difference </w:t>
      </w:r>
      <w:r w:rsidR="00AA0080">
        <w:t xml:space="preserve">was allocated </w:t>
      </w:r>
      <w:r w:rsidR="00C050F1">
        <w:t xml:space="preserve">to quarters before June 2020. </w:t>
      </w:r>
      <w:r w:rsidR="00AA0080">
        <w:t>A</w:t>
      </w:r>
      <w:r w:rsidR="00C050F1">
        <w:t xml:space="preserve">n error in allocation of migration estimates contributed </w:t>
      </w:r>
      <w:r w:rsidR="00AA0080">
        <w:t xml:space="preserve">to </w:t>
      </w:r>
      <w:r w:rsidR="00C050F1">
        <w:t>the relatively large intercensal difference in these two states</w:t>
      </w:r>
      <w:r w:rsidR="00AA0080">
        <w:t xml:space="preserve">. </w:t>
      </w:r>
    </w:p>
  </w:footnote>
  <w:footnote w:id="3">
    <w:p w14:paraId="4B9438D4" w14:textId="5C0D9D2D" w:rsidR="002C6947" w:rsidRDefault="002C6947" w:rsidP="002C6947">
      <w:pPr>
        <w:pStyle w:val="FootnoteText"/>
      </w:pPr>
      <w:r>
        <w:rPr>
          <w:rStyle w:val="FootnoteReference"/>
        </w:rPr>
        <w:footnoteRef/>
      </w:r>
      <w:r>
        <w:t xml:space="preserve"> N</w:t>
      </w:r>
      <w:r w:rsidRPr="002C6947">
        <w:t>et undercount is the difference between the estimate of how many people should have been counted in the Census as determined by</w:t>
      </w:r>
      <w:r w:rsidR="00DC7868">
        <w:t xml:space="preserve"> </w:t>
      </w:r>
      <w:r w:rsidRPr="002C6947">
        <w:t>PES and the actual Census count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D1D4" w14:textId="0A9FACF2" w:rsidR="00F21FAB" w:rsidRPr="00763EB8" w:rsidRDefault="00F21FAB" w:rsidP="00763EB8">
    <w:pPr>
      <w:pStyle w:val="Header"/>
      <w:jc w:val="left"/>
      <w:rPr>
        <w:color w:val="002C47" w:themeColor="accent1"/>
      </w:rPr>
    </w:pPr>
    <w:r w:rsidRPr="00763EB8">
      <w:rPr>
        <w:color w:val="002C47" w:themeColor="accent1"/>
      </w:rPr>
      <w:t>Centre for Population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A917" w14:textId="79912A98" w:rsidR="00F21FAB" w:rsidRPr="00763EB8" w:rsidRDefault="00367B5B" w:rsidP="00763EB8">
    <w:pPr>
      <w:pStyle w:val="HeaderOdd"/>
      <w:rPr>
        <w:b w:val="0"/>
        <w:bCs/>
        <w:i/>
        <w:iCs/>
      </w:rPr>
    </w:pPr>
    <w:r w:rsidRPr="00367B5B">
      <w:rPr>
        <w:b w:val="0"/>
        <w:bCs/>
      </w:rPr>
      <w:t>Rebasing of Australia’s population estimates</w:t>
    </w:r>
    <w:r w:rsidR="005D20C8">
      <w:rPr>
        <w:b w:val="0"/>
        <w:bCs/>
      </w:rPr>
      <w:t xml:space="preserve"> using the 2021 Census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7CB3" w14:textId="5162B5A1" w:rsidR="00F21FAB" w:rsidRPr="00725216" w:rsidRDefault="00F21FAB" w:rsidP="007252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2DEB93A" wp14:editId="52D99F8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9994" cy="1441305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44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B42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86B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3A4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F0C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9CA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5A2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EAB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64C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ED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FCB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D3FC7"/>
    <w:multiLevelType w:val="multilevel"/>
    <w:tmpl w:val="88BE7110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1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DF7717"/>
    <w:multiLevelType w:val="multilevel"/>
    <w:tmpl w:val="5DAAA53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4A0461"/>
    <w:multiLevelType w:val="hybridMultilevel"/>
    <w:tmpl w:val="91260442"/>
    <w:lvl w:ilvl="0" w:tplc="B49A184C">
      <w:start w:val="1"/>
      <w:numFmt w:val="decimal"/>
      <w:lvlText w:val="Chart %1."/>
      <w:lvlJc w:val="left"/>
      <w:pPr>
        <w:ind w:left="5038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6118" w:hanging="360"/>
      </w:pPr>
    </w:lvl>
    <w:lvl w:ilvl="2" w:tplc="0C09001B" w:tentative="1">
      <w:start w:val="1"/>
      <w:numFmt w:val="lowerRoman"/>
      <w:lvlText w:val="%3."/>
      <w:lvlJc w:val="right"/>
      <w:pPr>
        <w:ind w:left="6838" w:hanging="180"/>
      </w:pPr>
    </w:lvl>
    <w:lvl w:ilvl="3" w:tplc="0C09000F" w:tentative="1">
      <w:start w:val="1"/>
      <w:numFmt w:val="decimal"/>
      <w:lvlText w:val="%4."/>
      <w:lvlJc w:val="left"/>
      <w:pPr>
        <w:ind w:left="7558" w:hanging="360"/>
      </w:pPr>
    </w:lvl>
    <w:lvl w:ilvl="4" w:tplc="0C090019" w:tentative="1">
      <w:start w:val="1"/>
      <w:numFmt w:val="lowerLetter"/>
      <w:lvlText w:val="%5."/>
      <w:lvlJc w:val="left"/>
      <w:pPr>
        <w:ind w:left="8278" w:hanging="360"/>
      </w:pPr>
    </w:lvl>
    <w:lvl w:ilvl="5" w:tplc="0C09001B" w:tentative="1">
      <w:start w:val="1"/>
      <w:numFmt w:val="lowerRoman"/>
      <w:lvlText w:val="%6."/>
      <w:lvlJc w:val="right"/>
      <w:pPr>
        <w:ind w:left="8998" w:hanging="180"/>
      </w:pPr>
    </w:lvl>
    <w:lvl w:ilvl="6" w:tplc="0C09000F" w:tentative="1">
      <w:start w:val="1"/>
      <w:numFmt w:val="decimal"/>
      <w:lvlText w:val="%7."/>
      <w:lvlJc w:val="left"/>
      <w:pPr>
        <w:ind w:left="9718" w:hanging="360"/>
      </w:pPr>
    </w:lvl>
    <w:lvl w:ilvl="7" w:tplc="0C090019" w:tentative="1">
      <w:start w:val="1"/>
      <w:numFmt w:val="lowerLetter"/>
      <w:lvlText w:val="%8."/>
      <w:lvlJc w:val="left"/>
      <w:pPr>
        <w:ind w:left="10438" w:hanging="360"/>
      </w:pPr>
    </w:lvl>
    <w:lvl w:ilvl="8" w:tplc="0C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4" w15:restartNumberingAfterBreak="0">
    <w:nsid w:val="220F5932"/>
    <w:multiLevelType w:val="multilevel"/>
    <w:tmpl w:val="857A1B90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27826BF0"/>
    <w:multiLevelType w:val="multilevel"/>
    <w:tmpl w:val="863C3022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326A3C"/>
    <w:multiLevelType w:val="multilevel"/>
    <w:tmpl w:val="7DE073D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402" w:hanging="360"/>
      </w:pPr>
    </w:lvl>
    <w:lvl w:ilvl="4">
      <w:start w:val="1"/>
      <w:numFmt w:val="lowerLetter"/>
      <w:lvlText w:val="(%5)"/>
      <w:lvlJc w:val="left"/>
      <w:pPr>
        <w:ind w:left="3762" w:hanging="360"/>
      </w:pPr>
    </w:lvl>
    <w:lvl w:ilvl="5">
      <w:start w:val="1"/>
      <w:numFmt w:val="lowerRoman"/>
      <w:lvlText w:val="(%6)"/>
      <w:lvlJc w:val="left"/>
      <w:pPr>
        <w:ind w:left="4122" w:hanging="360"/>
      </w:pPr>
    </w:lvl>
    <w:lvl w:ilvl="6">
      <w:start w:val="1"/>
      <w:numFmt w:val="decimal"/>
      <w:lvlText w:val="%7."/>
      <w:lvlJc w:val="left"/>
      <w:pPr>
        <w:ind w:left="4482" w:hanging="360"/>
      </w:pPr>
    </w:lvl>
    <w:lvl w:ilvl="7">
      <w:start w:val="1"/>
      <w:numFmt w:val="lowerLetter"/>
      <w:lvlText w:val="%8."/>
      <w:lvlJc w:val="left"/>
      <w:pPr>
        <w:ind w:left="4842" w:hanging="360"/>
      </w:pPr>
    </w:lvl>
    <w:lvl w:ilvl="8">
      <w:start w:val="1"/>
      <w:numFmt w:val="lowerRoman"/>
      <w:lvlText w:val="%9."/>
      <w:lvlJc w:val="left"/>
      <w:pPr>
        <w:ind w:left="5202" w:hanging="360"/>
      </w:pPr>
    </w:lvl>
  </w:abstractNum>
  <w:abstractNum w:abstractNumId="17" w15:restartNumberingAfterBreak="0">
    <w:nsid w:val="2E041AF5"/>
    <w:multiLevelType w:val="multilevel"/>
    <w:tmpl w:val="857A1B90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308C2710"/>
    <w:multiLevelType w:val="multilevel"/>
    <w:tmpl w:val="5810D1F2"/>
    <w:styleLink w:val="BulletedList"/>
    <w:lvl w:ilvl="0">
      <w:start w:val="1"/>
      <w:numFmt w:val="bullet"/>
      <w:lvlRestart w:val="0"/>
      <w:pStyle w:val="Normal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Normal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Normal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9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60C37C0"/>
    <w:multiLevelType w:val="hybridMultilevel"/>
    <w:tmpl w:val="7E4EFDA8"/>
    <w:lvl w:ilvl="0" w:tplc="BD6EB0BC">
      <w:start w:val="1"/>
      <w:numFmt w:val="decimal"/>
      <w:lvlText w:val="Chart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F6AB3"/>
    <w:multiLevelType w:val="hybridMultilevel"/>
    <w:tmpl w:val="E8D02006"/>
    <w:lvl w:ilvl="0" w:tplc="56DE09CA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8013C"/>
    <w:multiLevelType w:val="hybridMultilevel"/>
    <w:tmpl w:val="3E24635E"/>
    <w:lvl w:ilvl="0" w:tplc="7C960E5A">
      <w:start w:val="1"/>
      <w:numFmt w:val="decimal"/>
      <w:pStyle w:val="Heading8"/>
      <w:lvlText w:val="Table %1.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E5AD9"/>
    <w:multiLevelType w:val="hybridMultilevel"/>
    <w:tmpl w:val="F79A7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20637"/>
    <w:multiLevelType w:val="hybridMultilevel"/>
    <w:tmpl w:val="E57A028C"/>
    <w:lvl w:ilvl="0" w:tplc="345E5FF0">
      <w:start w:val="1"/>
      <w:numFmt w:val="decimal"/>
      <w:lvlText w:val="Table 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F57A5"/>
    <w:multiLevelType w:val="hybridMultilevel"/>
    <w:tmpl w:val="C5945306"/>
    <w:lvl w:ilvl="0" w:tplc="8A16F684">
      <w:start w:val="1"/>
      <w:numFmt w:val="decimal"/>
      <w:pStyle w:val="TableMainHeading"/>
      <w:lvlText w:val="Table 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2C47" w:themeColor="accent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508C2"/>
    <w:multiLevelType w:val="hybridMultilevel"/>
    <w:tmpl w:val="76307676"/>
    <w:lvl w:ilvl="0" w:tplc="E162F2F0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66D76"/>
    <w:multiLevelType w:val="hybridMultilevel"/>
    <w:tmpl w:val="2F844B7A"/>
    <w:lvl w:ilvl="0" w:tplc="AC4EB56E">
      <w:start w:val="1"/>
      <w:numFmt w:val="decimal"/>
      <w:pStyle w:val="BoxHeading"/>
      <w:lvlText w:val="Box %1."/>
      <w:lvlJc w:val="left"/>
      <w:pPr>
        <w:ind w:left="720" w:hanging="360"/>
      </w:pPr>
      <w:rPr>
        <w:rFonts w:hint="default"/>
        <w:cap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A4033"/>
    <w:multiLevelType w:val="multilevel"/>
    <w:tmpl w:val="857A1B90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775A02C0"/>
    <w:multiLevelType w:val="hybridMultilevel"/>
    <w:tmpl w:val="8D5A5D92"/>
    <w:lvl w:ilvl="0" w:tplc="02CE01D2">
      <w:start w:val="1"/>
      <w:numFmt w:val="decimal"/>
      <w:pStyle w:val="ChartMainHeading"/>
      <w:lvlText w:val="Chart %1."/>
      <w:lvlJc w:val="left"/>
      <w:pPr>
        <w:tabs>
          <w:tab w:val="num" w:pos="992"/>
        </w:tabs>
        <w:ind w:left="992" w:hanging="992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40BD"/>
    <w:multiLevelType w:val="hybridMultilevel"/>
    <w:tmpl w:val="0274866E"/>
    <w:lvl w:ilvl="0" w:tplc="79726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3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27"/>
  </w:num>
  <w:num w:numId="18">
    <w:abstractNumId w:val="19"/>
  </w:num>
  <w:num w:numId="19">
    <w:abstractNumId w:val="12"/>
  </w:num>
  <w:num w:numId="20">
    <w:abstractNumId w:val="22"/>
  </w:num>
  <w:num w:numId="21">
    <w:abstractNumId w:val="13"/>
  </w:num>
  <w:num w:numId="22">
    <w:abstractNumId w:val="20"/>
  </w:num>
  <w:num w:numId="23">
    <w:abstractNumId w:val="11"/>
  </w:num>
  <w:num w:numId="24">
    <w:abstractNumId w:val="15"/>
  </w:num>
  <w:num w:numId="25">
    <w:abstractNumId w:val="25"/>
  </w:num>
  <w:num w:numId="26">
    <w:abstractNumId w:val="21"/>
  </w:num>
  <w:num w:numId="27">
    <w:abstractNumId w:val="26"/>
  </w:num>
  <w:num w:numId="28">
    <w:abstractNumId w:val="30"/>
  </w:num>
  <w:num w:numId="29">
    <w:abstractNumId w:val="28"/>
  </w:num>
  <w:num w:numId="30">
    <w:abstractNumId w:val="23"/>
  </w:num>
  <w:num w:numId="31">
    <w:abstractNumId w:val="30"/>
  </w:num>
  <w:num w:numId="32">
    <w:abstractNumId w:val="16"/>
  </w:num>
  <w:num w:numId="33">
    <w:abstractNumId w:val="16"/>
  </w:num>
  <w:num w:numId="34">
    <w:abstractNumId w:val="16"/>
  </w:num>
  <w:num w:numId="35">
    <w:abstractNumId w:val="30"/>
  </w:num>
  <w:num w:numId="36">
    <w:abstractNumId w:val="30"/>
  </w:num>
  <w:num w:numId="37">
    <w:abstractNumId w:val="30"/>
  </w:num>
  <w:num w:numId="38">
    <w:abstractNumId w:val="16"/>
  </w:num>
  <w:num w:numId="39">
    <w:abstractNumId w:val="29"/>
  </w:num>
  <w:num w:numId="40">
    <w:abstractNumId w:val="16"/>
  </w:num>
  <w:num w:numId="41">
    <w:abstractNumId w:val="26"/>
  </w:num>
  <w:num w:numId="42">
    <w:abstractNumId w:val="26"/>
  </w:num>
  <w:num w:numId="43">
    <w:abstractNumId w:val="16"/>
  </w:num>
  <w:num w:numId="44">
    <w:abstractNumId w:val="24"/>
  </w:num>
  <w:num w:numId="45">
    <w:abstractNumId w:val="14"/>
  </w:num>
  <w:num w:numId="46">
    <w:abstractNumId w:val="17"/>
  </w:num>
  <w:num w:numId="47">
    <w:abstractNumId w:val="16"/>
  </w:num>
  <w:num w:numId="48">
    <w:abstractNumId w:val="26"/>
    <w:lvlOverride w:ilvl="0">
      <w:startOverride w:val="1"/>
    </w:lvlOverride>
  </w:num>
  <w:num w:numId="49">
    <w:abstractNumId w:val="26"/>
  </w:num>
  <w:num w:numId="50">
    <w:abstractNumId w:val="26"/>
  </w:num>
  <w:num w:numId="51">
    <w:abstractNumId w:val="26"/>
  </w:num>
  <w:num w:numId="52">
    <w:abstractNumId w:val="26"/>
  </w:num>
  <w:num w:numId="53">
    <w:abstractNumId w:val="26"/>
  </w:num>
  <w:num w:numId="54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CF"/>
    <w:rsid w:val="000025C3"/>
    <w:rsid w:val="00003B2B"/>
    <w:rsid w:val="00005552"/>
    <w:rsid w:val="0000563C"/>
    <w:rsid w:val="00005C33"/>
    <w:rsid w:val="00005FDD"/>
    <w:rsid w:val="000062E5"/>
    <w:rsid w:val="000075D6"/>
    <w:rsid w:val="000079E4"/>
    <w:rsid w:val="00007C1B"/>
    <w:rsid w:val="00011E58"/>
    <w:rsid w:val="0001357F"/>
    <w:rsid w:val="000135AD"/>
    <w:rsid w:val="000138FE"/>
    <w:rsid w:val="00014B3E"/>
    <w:rsid w:val="00017247"/>
    <w:rsid w:val="000212AE"/>
    <w:rsid w:val="000219AA"/>
    <w:rsid w:val="00022B42"/>
    <w:rsid w:val="00022C7A"/>
    <w:rsid w:val="00023CBA"/>
    <w:rsid w:val="00024A4C"/>
    <w:rsid w:val="00024D0B"/>
    <w:rsid w:val="00027731"/>
    <w:rsid w:val="00027CE2"/>
    <w:rsid w:val="00031FCD"/>
    <w:rsid w:val="000321E4"/>
    <w:rsid w:val="00032315"/>
    <w:rsid w:val="000330A2"/>
    <w:rsid w:val="00033CFE"/>
    <w:rsid w:val="00034A70"/>
    <w:rsid w:val="00035740"/>
    <w:rsid w:val="00036886"/>
    <w:rsid w:val="000372E8"/>
    <w:rsid w:val="0004038D"/>
    <w:rsid w:val="00040405"/>
    <w:rsid w:val="000405D3"/>
    <w:rsid w:val="000409F3"/>
    <w:rsid w:val="000430D6"/>
    <w:rsid w:val="000442D7"/>
    <w:rsid w:val="0004496F"/>
    <w:rsid w:val="00044A6C"/>
    <w:rsid w:val="00044BD0"/>
    <w:rsid w:val="0004512F"/>
    <w:rsid w:val="00046DAC"/>
    <w:rsid w:val="0004718D"/>
    <w:rsid w:val="00047BA9"/>
    <w:rsid w:val="000507D3"/>
    <w:rsid w:val="00051884"/>
    <w:rsid w:val="00053DE3"/>
    <w:rsid w:val="00053FF1"/>
    <w:rsid w:val="0005424F"/>
    <w:rsid w:val="000547F7"/>
    <w:rsid w:val="0005568F"/>
    <w:rsid w:val="00056E4C"/>
    <w:rsid w:val="00057D34"/>
    <w:rsid w:val="00057D72"/>
    <w:rsid w:val="0006007C"/>
    <w:rsid w:val="00060A3B"/>
    <w:rsid w:val="00062178"/>
    <w:rsid w:val="00064D04"/>
    <w:rsid w:val="00065598"/>
    <w:rsid w:val="00065FAE"/>
    <w:rsid w:val="000676B8"/>
    <w:rsid w:val="000676D0"/>
    <w:rsid w:val="000702C0"/>
    <w:rsid w:val="000705BF"/>
    <w:rsid w:val="00073631"/>
    <w:rsid w:val="000741B6"/>
    <w:rsid w:val="0007513C"/>
    <w:rsid w:val="0008139F"/>
    <w:rsid w:val="00081B7A"/>
    <w:rsid w:val="00081BE4"/>
    <w:rsid w:val="000833DC"/>
    <w:rsid w:val="0008431D"/>
    <w:rsid w:val="0008582F"/>
    <w:rsid w:val="00085F2A"/>
    <w:rsid w:val="000903E7"/>
    <w:rsid w:val="00093E21"/>
    <w:rsid w:val="00094A06"/>
    <w:rsid w:val="00096136"/>
    <w:rsid w:val="000967BC"/>
    <w:rsid w:val="000976FF"/>
    <w:rsid w:val="000A0A85"/>
    <w:rsid w:val="000A0BAF"/>
    <w:rsid w:val="000A130F"/>
    <w:rsid w:val="000A2E8D"/>
    <w:rsid w:val="000A36B7"/>
    <w:rsid w:val="000A4C10"/>
    <w:rsid w:val="000A709B"/>
    <w:rsid w:val="000A70AF"/>
    <w:rsid w:val="000A77D4"/>
    <w:rsid w:val="000B065B"/>
    <w:rsid w:val="000B2BC3"/>
    <w:rsid w:val="000B43F7"/>
    <w:rsid w:val="000B4C4B"/>
    <w:rsid w:val="000B6715"/>
    <w:rsid w:val="000B7540"/>
    <w:rsid w:val="000C0968"/>
    <w:rsid w:val="000C0B4D"/>
    <w:rsid w:val="000C1DC4"/>
    <w:rsid w:val="000C2BBD"/>
    <w:rsid w:val="000C59EB"/>
    <w:rsid w:val="000C5C34"/>
    <w:rsid w:val="000C60E0"/>
    <w:rsid w:val="000D0233"/>
    <w:rsid w:val="000D0E89"/>
    <w:rsid w:val="000D1ADE"/>
    <w:rsid w:val="000D2084"/>
    <w:rsid w:val="000D4B22"/>
    <w:rsid w:val="000D63F6"/>
    <w:rsid w:val="000D646B"/>
    <w:rsid w:val="000D7E77"/>
    <w:rsid w:val="000E161E"/>
    <w:rsid w:val="000E1BCE"/>
    <w:rsid w:val="000E283D"/>
    <w:rsid w:val="000E3CD8"/>
    <w:rsid w:val="000E3E0C"/>
    <w:rsid w:val="000E4469"/>
    <w:rsid w:val="000E68E6"/>
    <w:rsid w:val="000F0031"/>
    <w:rsid w:val="000F04C1"/>
    <w:rsid w:val="000F1A5D"/>
    <w:rsid w:val="000F1F16"/>
    <w:rsid w:val="000F60AE"/>
    <w:rsid w:val="000F60CF"/>
    <w:rsid w:val="000F6912"/>
    <w:rsid w:val="000F6C96"/>
    <w:rsid w:val="000F7D9F"/>
    <w:rsid w:val="001017AF"/>
    <w:rsid w:val="00101B7B"/>
    <w:rsid w:val="0010218B"/>
    <w:rsid w:val="001039A8"/>
    <w:rsid w:val="001040C1"/>
    <w:rsid w:val="00105B9B"/>
    <w:rsid w:val="0010667A"/>
    <w:rsid w:val="001073B3"/>
    <w:rsid w:val="00110E4A"/>
    <w:rsid w:val="0011227B"/>
    <w:rsid w:val="001129C9"/>
    <w:rsid w:val="001140DF"/>
    <w:rsid w:val="00116FB0"/>
    <w:rsid w:val="00120547"/>
    <w:rsid w:val="0012081E"/>
    <w:rsid w:val="00120861"/>
    <w:rsid w:val="001211DA"/>
    <w:rsid w:val="00122466"/>
    <w:rsid w:val="00122485"/>
    <w:rsid w:val="00123155"/>
    <w:rsid w:val="00126350"/>
    <w:rsid w:val="0012660E"/>
    <w:rsid w:val="00131D83"/>
    <w:rsid w:val="001323D6"/>
    <w:rsid w:val="00133E61"/>
    <w:rsid w:val="00134EBE"/>
    <w:rsid w:val="00135022"/>
    <w:rsid w:val="001418C5"/>
    <w:rsid w:val="001421CC"/>
    <w:rsid w:val="00142FC9"/>
    <w:rsid w:val="0014336B"/>
    <w:rsid w:val="001438F7"/>
    <w:rsid w:val="00143943"/>
    <w:rsid w:val="00144B92"/>
    <w:rsid w:val="001452FF"/>
    <w:rsid w:val="0014580B"/>
    <w:rsid w:val="00146998"/>
    <w:rsid w:val="00150047"/>
    <w:rsid w:val="00150552"/>
    <w:rsid w:val="001518CB"/>
    <w:rsid w:val="00152CF8"/>
    <w:rsid w:val="00153143"/>
    <w:rsid w:val="00153E9E"/>
    <w:rsid w:val="001540C3"/>
    <w:rsid w:val="00154658"/>
    <w:rsid w:val="001548EE"/>
    <w:rsid w:val="00157EB6"/>
    <w:rsid w:val="0016052C"/>
    <w:rsid w:val="00160A10"/>
    <w:rsid w:val="00160C87"/>
    <w:rsid w:val="00164BB5"/>
    <w:rsid w:val="0016649C"/>
    <w:rsid w:val="00166D3E"/>
    <w:rsid w:val="00167034"/>
    <w:rsid w:val="00167155"/>
    <w:rsid w:val="0016769B"/>
    <w:rsid w:val="00167915"/>
    <w:rsid w:val="00170425"/>
    <w:rsid w:val="00170683"/>
    <w:rsid w:val="00171B99"/>
    <w:rsid w:val="00172958"/>
    <w:rsid w:val="0017330F"/>
    <w:rsid w:val="001737E2"/>
    <w:rsid w:val="00173A0A"/>
    <w:rsid w:val="00174442"/>
    <w:rsid w:val="0017622D"/>
    <w:rsid w:val="0017717F"/>
    <w:rsid w:val="00180671"/>
    <w:rsid w:val="001818D0"/>
    <w:rsid w:val="001831C2"/>
    <w:rsid w:val="00184350"/>
    <w:rsid w:val="001844D9"/>
    <w:rsid w:val="00186406"/>
    <w:rsid w:val="001869A8"/>
    <w:rsid w:val="00187C81"/>
    <w:rsid w:val="00187E5F"/>
    <w:rsid w:val="00187EAE"/>
    <w:rsid w:val="00190A0A"/>
    <w:rsid w:val="00192757"/>
    <w:rsid w:val="00194057"/>
    <w:rsid w:val="00194E8F"/>
    <w:rsid w:val="00197182"/>
    <w:rsid w:val="001A0EB3"/>
    <w:rsid w:val="001A1254"/>
    <w:rsid w:val="001A24B0"/>
    <w:rsid w:val="001A2E2C"/>
    <w:rsid w:val="001B0934"/>
    <w:rsid w:val="001B0EDA"/>
    <w:rsid w:val="001B0EE4"/>
    <w:rsid w:val="001B1DD6"/>
    <w:rsid w:val="001B1F6E"/>
    <w:rsid w:val="001B275D"/>
    <w:rsid w:val="001B2923"/>
    <w:rsid w:val="001B6383"/>
    <w:rsid w:val="001B690A"/>
    <w:rsid w:val="001B6A9D"/>
    <w:rsid w:val="001C0224"/>
    <w:rsid w:val="001C031D"/>
    <w:rsid w:val="001C0F70"/>
    <w:rsid w:val="001C2DAA"/>
    <w:rsid w:val="001C38B5"/>
    <w:rsid w:val="001C3E5B"/>
    <w:rsid w:val="001C6454"/>
    <w:rsid w:val="001C6A41"/>
    <w:rsid w:val="001C6E25"/>
    <w:rsid w:val="001D0043"/>
    <w:rsid w:val="001D17CD"/>
    <w:rsid w:val="001D259D"/>
    <w:rsid w:val="001D28A4"/>
    <w:rsid w:val="001D5A3A"/>
    <w:rsid w:val="001D76C7"/>
    <w:rsid w:val="001E0CFB"/>
    <w:rsid w:val="001E17A9"/>
    <w:rsid w:val="001E20B9"/>
    <w:rsid w:val="001E2E52"/>
    <w:rsid w:val="001E3549"/>
    <w:rsid w:val="001E36E5"/>
    <w:rsid w:val="001E47AB"/>
    <w:rsid w:val="001E4C09"/>
    <w:rsid w:val="001E69FB"/>
    <w:rsid w:val="001E7B82"/>
    <w:rsid w:val="001F251E"/>
    <w:rsid w:val="001F5C62"/>
    <w:rsid w:val="001F62EA"/>
    <w:rsid w:val="001F67C7"/>
    <w:rsid w:val="001F6AFA"/>
    <w:rsid w:val="001F7C99"/>
    <w:rsid w:val="00201F7A"/>
    <w:rsid w:val="002045CF"/>
    <w:rsid w:val="002046A2"/>
    <w:rsid w:val="0020639D"/>
    <w:rsid w:val="002065FF"/>
    <w:rsid w:val="0021002C"/>
    <w:rsid w:val="00210D49"/>
    <w:rsid w:val="0021212C"/>
    <w:rsid w:val="0021232B"/>
    <w:rsid w:val="002123E7"/>
    <w:rsid w:val="00215911"/>
    <w:rsid w:val="00215C3B"/>
    <w:rsid w:val="00220979"/>
    <w:rsid w:val="00221231"/>
    <w:rsid w:val="00221A08"/>
    <w:rsid w:val="00223403"/>
    <w:rsid w:val="002237C5"/>
    <w:rsid w:val="00223EE9"/>
    <w:rsid w:val="002240CA"/>
    <w:rsid w:val="00224D72"/>
    <w:rsid w:val="00230525"/>
    <w:rsid w:val="00230721"/>
    <w:rsid w:val="00230EB4"/>
    <w:rsid w:val="00231723"/>
    <w:rsid w:val="0023398A"/>
    <w:rsid w:val="00233AC7"/>
    <w:rsid w:val="00233BBC"/>
    <w:rsid w:val="00233D51"/>
    <w:rsid w:val="00234825"/>
    <w:rsid w:val="00235115"/>
    <w:rsid w:val="0023583C"/>
    <w:rsid w:val="002359EA"/>
    <w:rsid w:val="00235CD5"/>
    <w:rsid w:val="00236C31"/>
    <w:rsid w:val="0023709A"/>
    <w:rsid w:val="00237879"/>
    <w:rsid w:val="0023795B"/>
    <w:rsid w:val="00237AE7"/>
    <w:rsid w:val="002402C2"/>
    <w:rsid w:val="002406D2"/>
    <w:rsid w:val="0024076E"/>
    <w:rsid w:val="00241D78"/>
    <w:rsid w:val="00242910"/>
    <w:rsid w:val="00244526"/>
    <w:rsid w:val="00245781"/>
    <w:rsid w:val="00245B70"/>
    <w:rsid w:val="00245C98"/>
    <w:rsid w:val="0024607E"/>
    <w:rsid w:val="0024662A"/>
    <w:rsid w:val="0024753F"/>
    <w:rsid w:val="00247742"/>
    <w:rsid w:val="0025079E"/>
    <w:rsid w:val="00250DCD"/>
    <w:rsid w:val="00250F90"/>
    <w:rsid w:val="00251D07"/>
    <w:rsid w:val="00252643"/>
    <w:rsid w:val="002526C9"/>
    <w:rsid w:val="002537C7"/>
    <w:rsid w:val="00256CAD"/>
    <w:rsid w:val="00257970"/>
    <w:rsid w:val="00257CB2"/>
    <w:rsid w:val="00257D71"/>
    <w:rsid w:val="002622FF"/>
    <w:rsid w:val="002668C3"/>
    <w:rsid w:val="00267084"/>
    <w:rsid w:val="00267447"/>
    <w:rsid w:val="00271FB5"/>
    <w:rsid w:val="0027497C"/>
    <w:rsid w:val="00275740"/>
    <w:rsid w:val="00275A41"/>
    <w:rsid w:val="00275A95"/>
    <w:rsid w:val="00275C6D"/>
    <w:rsid w:val="0027640F"/>
    <w:rsid w:val="00276AC3"/>
    <w:rsid w:val="00277157"/>
    <w:rsid w:val="00277DCD"/>
    <w:rsid w:val="002830CF"/>
    <w:rsid w:val="00283A37"/>
    <w:rsid w:val="00284FDF"/>
    <w:rsid w:val="0028692E"/>
    <w:rsid w:val="002875BF"/>
    <w:rsid w:val="00287D12"/>
    <w:rsid w:val="002919A7"/>
    <w:rsid w:val="00291D2F"/>
    <w:rsid w:val="002929EF"/>
    <w:rsid w:val="00292EFE"/>
    <w:rsid w:val="00293C4B"/>
    <w:rsid w:val="00294865"/>
    <w:rsid w:val="002950F4"/>
    <w:rsid w:val="002A2AB7"/>
    <w:rsid w:val="002A4563"/>
    <w:rsid w:val="002A4FDC"/>
    <w:rsid w:val="002A6537"/>
    <w:rsid w:val="002A66B7"/>
    <w:rsid w:val="002A7B8D"/>
    <w:rsid w:val="002A7BB1"/>
    <w:rsid w:val="002A7CCF"/>
    <w:rsid w:val="002B09EB"/>
    <w:rsid w:val="002B0CAC"/>
    <w:rsid w:val="002B1AE8"/>
    <w:rsid w:val="002B1DF1"/>
    <w:rsid w:val="002B3733"/>
    <w:rsid w:val="002B379B"/>
    <w:rsid w:val="002B40ED"/>
    <w:rsid w:val="002B45B6"/>
    <w:rsid w:val="002B527D"/>
    <w:rsid w:val="002B5824"/>
    <w:rsid w:val="002B684F"/>
    <w:rsid w:val="002B6A32"/>
    <w:rsid w:val="002C03D9"/>
    <w:rsid w:val="002C0D7D"/>
    <w:rsid w:val="002C2D5A"/>
    <w:rsid w:val="002C3196"/>
    <w:rsid w:val="002C417C"/>
    <w:rsid w:val="002C6947"/>
    <w:rsid w:val="002C6E80"/>
    <w:rsid w:val="002C71D4"/>
    <w:rsid w:val="002D01D9"/>
    <w:rsid w:val="002D0D59"/>
    <w:rsid w:val="002D1728"/>
    <w:rsid w:val="002D1DDD"/>
    <w:rsid w:val="002D2525"/>
    <w:rsid w:val="002D34F7"/>
    <w:rsid w:val="002D3533"/>
    <w:rsid w:val="002D4BDD"/>
    <w:rsid w:val="002D4EB4"/>
    <w:rsid w:val="002D5196"/>
    <w:rsid w:val="002D5D79"/>
    <w:rsid w:val="002E1020"/>
    <w:rsid w:val="002E1867"/>
    <w:rsid w:val="002E1FC6"/>
    <w:rsid w:val="002E290A"/>
    <w:rsid w:val="002E2FAA"/>
    <w:rsid w:val="002E3090"/>
    <w:rsid w:val="002E57F5"/>
    <w:rsid w:val="002E5932"/>
    <w:rsid w:val="002E6DD2"/>
    <w:rsid w:val="002E713D"/>
    <w:rsid w:val="002F0ECB"/>
    <w:rsid w:val="002F1BFD"/>
    <w:rsid w:val="002F1DE2"/>
    <w:rsid w:val="002F323C"/>
    <w:rsid w:val="002F4CAA"/>
    <w:rsid w:val="002F77A5"/>
    <w:rsid w:val="0030289A"/>
    <w:rsid w:val="00302A94"/>
    <w:rsid w:val="0030553F"/>
    <w:rsid w:val="00306511"/>
    <w:rsid w:val="0031270D"/>
    <w:rsid w:val="00313081"/>
    <w:rsid w:val="00314190"/>
    <w:rsid w:val="00315C87"/>
    <w:rsid w:val="00317D6E"/>
    <w:rsid w:val="00320637"/>
    <w:rsid w:val="003207E9"/>
    <w:rsid w:val="003220CA"/>
    <w:rsid w:val="00322964"/>
    <w:rsid w:val="00323571"/>
    <w:rsid w:val="00325741"/>
    <w:rsid w:val="003266FB"/>
    <w:rsid w:val="00326900"/>
    <w:rsid w:val="00330482"/>
    <w:rsid w:val="0033304F"/>
    <w:rsid w:val="003348F5"/>
    <w:rsid w:val="00335127"/>
    <w:rsid w:val="00335960"/>
    <w:rsid w:val="003369A9"/>
    <w:rsid w:val="00336E85"/>
    <w:rsid w:val="003413C9"/>
    <w:rsid w:val="00341522"/>
    <w:rsid w:val="00341E00"/>
    <w:rsid w:val="00344548"/>
    <w:rsid w:val="0034464F"/>
    <w:rsid w:val="00344732"/>
    <w:rsid w:val="00344A54"/>
    <w:rsid w:val="00344B69"/>
    <w:rsid w:val="00345CD6"/>
    <w:rsid w:val="003478BF"/>
    <w:rsid w:val="00347F56"/>
    <w:rsid w:val="00351A5B"/>
    <w:rsid w:val="0035275C"/>
    <w:rsid w:val="00353C32"/>
    <w:rsid w:val="00354BA3"/>
    <w:rsid w:val="003558C3"/>
    <w:rsid w:val="0035639A"/>
    <w:rsid w:val="00357348"/>
    <w:rsid w:val="003600B6"/>
    <w:rsid w:val="00362537"/>
    <w:rsid w:val="00362B1D"/>
    <w:rsid w:val="00362FDC"/>
    <w:rsid w:val="00364843"/>
    <w:rsid w:val="00365126"/>
    <w:rsid w:val="0036543D"/>
    <w:rsid w:val="00365E78"/>
    <w:rsid w:val="00366737"/>
    <w:rsid w:val="00367B5B"/>
    <w:rsid w:val="00371CA7"/>
    <w:rsid w:val="00371D02"/>
    <w:rsid w:val="0037217C"/>
    <w:rsid w:val="003733C8"/>
    <w:rsid w:val="0037393C"/>
    <w:rsid w:val="003770CC"/>
    <w:rsid w:val="0038054F"/>
    <w:rsid w:val="00380760"/>
    <w:rsid w:val="00381B77"/>
    <w:rsid w:val="00381C48"/>
    <w:rsid w:val="003826CF"/>
    <w:rsid w:val="003835B9"/>
    <w:rsid w:val="00393ABA"/>
    <w:rsid w:val="00394E0D"/>
    <w:rsid w:val="0039662D"/>
    <w:rsid w:val="003A06BD"/>
    <w:rsid w:val="003A0BFA"/>
    <w:rsid w:val="003A1707"/>
    <w:rsid w:val="003A23BF"/>
    <w:rsid w:val="003A3DD6"/>
    <w:rsid w:val="003A5CFB"/>
    <w:rsid w:val="003A688C"/>
    <w:rsid w:val="003A6DDA"/>
    <w:rsid w:val="003A748B"/>
    <w:rsid w:val="003A7FFE"/>
    <w:rsid w:val="003B06DE"/>
    <w:rsid w:val="003B08B0"/>
    <w:rsid w:val="003B0EE1"/>
    <w:rsid w:val="003B2700"/>
    <w:rsid w:val="003B47F5"/>
    <w:rsid w:val="003B702A"/>
    <w:rsid w:val="003C01A4"/>
    <w:rsid w:val="003C12CE"/>
    <w:rsid w:val="003C14F6"/>
    <w:rsid w:val="003C203B"/>
    <w:rsid w:val="003C3AAC"/>
    <w:rsid w:val="003C3E27"/>
    <w:rsid w:val="003C63DE"/>
    <w:rsid w:val="003C759F"/>
    <w:rsid w:val="003C77DE"/>
    <w:rsid w:val="003C7859"/>
    <w:rsid w:val="003D148A"/>
    <w:rsid w:val="003D3445"/>
    <w:rsid w:val="003D4110"/>
    <w:rsid w:val="003D4771"/>
    <w:rsid w:val="003D5324"/>
    <w:rsid w:val="003D5D83"/>
    <w:rsid w:val="003D7915"/>
    <w:rsid w:val="003E1B45"/>
    <w:rsid w:val="003E1F2C"/>
    <w:rsid w:val="003E2E48"/>
    <w:rsid w:val="003E416A"/>
    <w:rsid w:val="003E5E43"/>
    <w:rsid w:val="003E7CC2"/>
    <w:rsid w:val="003F00FC"/>
    <w:rsid w:val="003F1886"/>
    <w:rsid w:val="003F20A2"/>
    <w:rsid w:val="003F22A9"/>
    <w:rsid w:val="003F2541"/>
    <w:rsid w:val="003F2F66"/>
    <w:rsid w:val="003F3B05"/>
    <w:rsid w:val="003F3F0B"/>
    <w:rsid w:val="003F44D3"/>
    <w:rsid w:val="003F4900"/>
    <w:rsid w:val="003F5170"/>
    <w:rsid w:val="003F5859"/>
    <w:rsid w:val="003F5DC8"/>
    <w:rsid w:val="003F60A7"/>
    <w:rsid w:val="003F72E4"/>
    <w:rsid w:val="00400285"/>
    <w:rsid w:val="00400C70"/>
    <w:rsid w:val="00401FAD"/>
    <w:rsid w:val="00402BBA"/>
    <w:rsid w:val="004033FC"/>
    <w:rsid w:val="00403CA5"/>
    <w:rsid w:val="0040438A"/>
    <w:rsid w:val="00404954"/>
    <w:rsid w:val="00404CBB"/>
    <w:rsid w:val="00405536"/>
    <w:rsid w:val="004056DC"/>
    <w:rsid w:val="00405AD5"/>
    <w:rsid w:val="00410B21"/>
    <w:rsid w:val="00411F04"/>
    <w:rsid w:val="00411FDB"/>
    <w:rsid w:val="004156CE"/>
    <w:rsid w:val="004175A1"/>
    <w:rsid w:val="00417E9A"/>
    <w:rsid w:val="00420363"/>
    <w:rsid w:val="0042267B"/>
    <w:rsid w:val="00423191"/>
    <w:rsid w:val="0042650B"/>
    <w:rsid w:val="0042763C"/>
    <w:rsid w:val="00430604"/>
    <w:rsid w:val="00431FE2"/>
    <w:rsid w:val="00432A34"/>
    <w:rsid w:val="00432E28"/>
    <w:rsid w:val="004331C1"/>
    <w:rsid w:val="00436F42"/>
    <w:rsid w:val="0043774A"/>
    <w:rsid w:val="0044091A"/>
    <w:rsid w:val="00440969"/>
    <w:rsid w:val="00441AEB"/>
    <w:rsid w:val="00441D78"/>
    <w:rsid w:val="004431B7"/>
    <w:rsid w:val="0044488F"/>
    <w:rsid w:val="00445CD9"/>
    <w:rsid w:val="004464EF"/>
    <w:rsid w:val="00447B0D"/>
    <w:rsid w:val="00447EDC"/>
    <w:rsid w:val="00450BCE"/>
    <w:rsid w:val="00451C6F"/>
    <w:rsid w:val="004522FD"/>
    <w:rsid w:val="00452894"/>
    <w:rsid w:val="00452DEF"/>
    <w:rsid w:val="00453087"/>
    <w:rsid w:val="004547F8"/>
    <w:rsid w:val="0045794D"/>
    <w:rsid w:val="0046058D"/>
    <w:rsid w:val="0046136D"/>
    <w:rsid w:val="004613CD"/>
    <w:rsid w:val="00461D8E"/>
    <w:rsid w:val="00463005"/>
    <w:rsid w:val="0046456E"/>
    <w:rsid w:val="00465583"/>
    <w:rsid w:val="00465C90"/>
    <w:rsid w:val="004671F2"/>
    <w:rsid w:val="004711B6"/>
    <w:rsid w:val="00471622"/>
    <w:rsid w:val="0047532A"/>
    <w:rsid w:val="0047768D"/>
    <w:rsid w:val="004820B2"/>
    <w:rsid w:val="00482FE6"/>
    <w:rsid w:val="0048321B"/>
    <w:rsid w:val="00484CB6"/>
    <w:rsid w:val="0048560C"/>
    <w:rsid w:val="00487CB6"/>
    <w:rsid w:val="00490182"/>
    <w:rsid w:val="00490CBC"/>
    <w:rsid w:val="00491076"/>
    <w:rsid w:val="00491DE5"/>
    <w:rsid w:val="00491E2A"/>
    <w:rsid w:val="004927CF"/>
    <w:rsid w:val="00493780"/>
    <w:rsid w:val="00495021"/>
    <w:rsid w:val="00495190"/>
    <w:rsid w:val="004A1B7E"/>
    <w:rsid w:val="004A1C30"/>
    <w:rsid w:val="004A1D45"/>
    <w:rsid w:val="004A39DA"/>
    <w:rsid w:val="004A50BE"/>
    <w:rsid w:val="004A5C18"/>
    <w:rsid w:val="004A6A96"/>
    <w:rsid w:val="004A6BC4"/>
    <w:rsid w:val="004A6ECE"/>
    <w:rsid w:val="004A6FE6"/>
    <w:rsid w:val="004A7907"/>
    <w:rsid w:val="004B31F7"/>
    <w:rsid w:val="004B32ED"/>
    <w:rsid w:val="004B49EE"/>
    <w:rsid w:val="004B523D"/>
    <w:rsid w:val="004B5358"/>
    <w:rsid w:val="004B53AF"/>
    <w:rsid w:val="004B57C2"/>
    <w:rsid w:val="004B69FB"/>
    <w:rsid w:val="004C38EA"/>
    <w:rsid w:val="004C4691"/>
    <w:rsid w:val="004C6AEA"/>
    <w:rsid w:val="004C7087"/>
    <w:rsid w:val="004D0243"/>
    <w:rsid w:val="004D06C2"/>
    <w:rsid w:val="004D0DF0"/>
    <w:rsid w:val="004D1A9C"/>
    <w:rsid w:val="004D1E83"/>
    <w:rsid w:val="004D5E45"/>
    <w:rsid w:val="004E1632"/>
    <w:rsid w:val="004E1673"/>
    <w:rsid w:val="004E1C71"/>
    <w:rsid w:val="004E2245"/>
    <w:rsid w:val="004E2F67"/>
    <w:rsid w:val="004E6D11"/>
    <w:rsid w:val="004E6F87"/>
    <w:rsid w:val="004F0C24"/>
    <w:rsid w:val="004F1D12"/>
    <w:rsid w:val="004F34F6"/>
    <w:rsid w:val="004F41C6"/>
    <w:rsid w:val="004F427D"/>
    <w:rsid w:val="004F4E43"/>
    <w:rsid w:val="004F4FDD"/>
    <w:rsid w:val="004F5049"/>
    <w:rsid w:val="004F55F6"/>
    <w:rsid w:val="00500E7E"/>
    <w:rsid w:val="005020D0"/>
    <w:rsid w:val="00504F21"/>
    <w:rsid w:val="005060E0"/>
    <w:rsid w:val="00507E46"/>
    <w:rsid w:val="00513619"/>
    <w:rsid w:val="0051477F"/>
    <w:rsid w:val="0051509F"/>
    <w:rsid w:val="005152E5"/>
    <w:rsid w:val="00515427"/>
    <w:rsid w:val="00516060"/>
    <w:rsid w:val="005163B4"/>
    <w:rsid w:val="00516F2E"/>
    <w:rsid w:val="00517F9D"/>
    <w:rsid w:val="005200E1"/>
    <w:rsid w:val="00520CB9"/>
    <w:rsid w:val="005211B9"/>
    <w:rsid w:val="00523E0B"/>
    <w:rsid w:val="00525905"/>
    <w:rsid w:val="005264C9"/>
    <w:rsid w:val="00527E02"/>
    <w:rsid w:val="00527FAF"/>
    <w:rsid w:val="0053040C"/>
    <w:rsid w:val="00532145"/>
    <w:rsid w:val="00532759"/>
    <w:rsid w:val="00532BEE"/>
    <w:rsid w:val="00532D9A"/>
    <w:rsid w:val="005330EA"/>
    <w:rsid w:val="00533C39"/>
    <w:rsid w:val="00535FF5"/>
    <w:rsid w:val="0053664F"/>
    <w:rsid w:val="005377A0"/>
    <w:rsid w:val="00540F12"/>
    <w:rsid w:val="005433F9"/>
    <w:rsid w:val="005445EB"/>
    <w:rsid w:val="005461A1"/>
    <w:rsid w:val="00550010"/>
    <w:rsid w:val="00550131"/>
    <w:rsid w:val="005515CE"/>
    <w:rsid w:val="00552451"/>
    <w:rsid w:val="005525A5"/>
    <w:rsid w:val="00553293"/>
    <w:rsid w:val="0055406A"/>
    <w:rsid w:val="00555C4A"/>
    <w:rsid w:val="00556113"/>
    <w:rsid w:val="00556908"/>
    <w:rsid w:val="00556FFE"/>
    <w:rsid w:val="005579B8"/>
    <w:rsid w:val="0056128B"/>
    <w:rsid w:val="0056171F"/>
    <w:rsid w:val="00561CBB"/>
    <w:rsid w:val="0056226B"/>
    <w:rsid w:val="00562946"/>
    <w:rsid w:val="00562A8F"/>
    <w:rsid w:val="005630EA"/>
    <w:rsid w:val="00563395"/>
    <w:rsid w:val="005652BB"/>
    <w:rsid w:val="0056611C"/>
    <w:rsid w:val="0057167F"/>
    <w:rsid w:val="00572EED"/>
    <w:rsid w:val="00573252"/>
    <w:rsid w:val="005760BF"/>
    <w:rsid w:val="0057693D"/>
    <w:rsid w:val="00581D1C"/>
    <w:rsid w:val="00583007"/>
    <w:rsid w:val="0058327D"/>
    <w:rsid w:val="00583823"/>
    <w:rsid w:val="00583A5D"/>
    <w:rsid w:val="00583A6A"/>
    <w:rsid w:val="00583B2D"/>
    <w:rsid w:val="0058423F"/>
    <w:rsid w:val="0058597C"/>
    <w:rsid w:val="00585A8E"/>
    <w:rsid w:val="0058746B"/>
    <w:rsid w:val="00590175"/>
    <w:rsid w:val="00591A94"/>
    <w:rsid w:val="00592F47"/>
    <w:rsid w:val="0059471F"/>
    <w:rsid w:val="00595444"/>
    <w:rsid w:val="00595A5D"/>
    <w:rsid w:val="00596A22"/>
    <w:rsid w:val="005A1477"/>
    <w:rsid w:val="005A272D"/>
    <w:rsid w:val="005A2937"/>
    <w:rsid w:val="005A2F15"/>
    <w:rsid w:val="005A3A4F"/>
    <w:rsid w:val="005A4A3B"/>
    <w:rsid w:val="005A56FC"/>
    <w:rsid w:val="005A5838"/>
    <w:rsid w:val="005A74B5"/>
    <w:rsid w:val="005B1EB3"/>
    <w:rsid w:val="005B264E"/>
    <w:rsid w:val="005B2A7E"/>
    <w:rsid w:val="005B347F"/>
    <w:rsid w:val="005B44C7"/>
    <w:rsid w:val="005B5A70"/>
    <w:rsid w:val="005B6FE6"/>
    <w:rsid w:val="005B74A2"/>
    <w:rsid w:val="005C0D05"/>
    <w:rsid w:val="005C0DCD"/>
    <w:rsid w:val="005C15BD"/>
    <w:rsid w:val="005C1998"/>
    <w:rsid w:val="005C1DBF"/>
    <w:rsid w:val="005C2132"/>
    <w:rsid w:val="005C2327"/>
    <w:rsid w:val="005C3254"/>
    <w:rsid w:val="005C4011"/>
    <w:rsid w:val="005C4800"/>
    <w:rsid w:val="005C606E"/>
    <w:rsid w:val="005C6849"/>
    <w:rsid w:val="005C6A65"/>
    <w:rsid w:val="005C6E7A"/>
    <w:rsid w:val="005C7473"/>
    <w:rsid w:val="005D04BB"/>
    <w:rsid w:val="005D06AA"/>
    <w:rsid w:val="005D1C6D"/>
    <w:rsid w:val="005D1E2F"/>
    <w:rsid w:val="005D20C8"/>
    <w:rsid w:val="005D2222"/>
    <w:rsid w:val="005D5CC8"/>
    <w:rsid w:val="005D6768"/>
    <w:rsid w:val="005D6939"/>
    <w:rsid w:val="005D75B6"/>
    <w:rsid w:val="005D798F"/>
    <w:rsid w:val="005D7E76"/>
    <w:rsid w:val="005E58EF"/>
    <w:rsid w:val="005E6F5E"/>
    <w:rsid w:val="005E7E57"/>
    <w:rsid w:val="005F1051"/>
    <w:rsid w:val="005F1701"/>
    <w:rsid w:val="005F1E85"/>
    <w:rsid w:val="005F2EA9"/>
    <w:rsid w:val="005F55A2"/>
    <w:rsid w:val="005F5ABA"/>
    <w:rsid w:val="005F63FE"/>
    <w:rsid w:val="005F7352"/>
    <w:rsid w:val="006001CF"/>
    <w:rsid w:val="00601733"/>
    <w:rsid w:val="00603706"/>
    <w:rsid w:val="00610743"/>
    <w:rsid w:val="006110E2"/>
    <w:rsid w:val="0061179D"/>
    <w:rsid w:val="00611B07"/>
    <w:rsid w:val="00611BBF"/>
    <w:rsid w:val="006129E0"/>
    <w:rsid w:val="00616494"/>
    <w:rsid w:val="006213C7"/>
    <w:rsid w:val="00621790"/>
    <w:rsid w:val="00622667"/>
    <w:rsid w:val="0062490B"/>
    <w:rsid w:val="00624B5A"/>
    <w:rsid w:val="00626060"/>
    <w:rsid w:val="00626113"/>
    <w:rsid w:val="006263EE"/>
    <w:rsid w:val="006264E9"/>
    <w:rsid w:val="006277A9"/>
    <w:rsid w:val="00630CC8"/>
    <w:rsid w:val="006312C0"/>
    <w:rsid w:val="006317B5"/>
    <w:rsid w:val="00633548"/>
    <w:rsid w:val="0063419C"/>
    <w:rsid w:val="0063427B"/>
    <w:rsid w:val="00634F9C"/>
    <w:rsid w:val="00635BCC"/>
    <w:rsid w:val="006403A5"/>
    <w:rsid w:val="00640B92"/>
    <w:rsid w:val="00641342"/>
    <w:rsid w:val="00641A0F"/>
    <w:rsid w:val="00642BC3"/>
    <w:rsid w:val="00643E14"/>
    <w:rsid w:val="00645F4A"/>
    <w:rsid w:val="00651978"/>
    <w:rsid w:val="006528FC"/>
    <w:rsid w:val="0065601C"/>
    <w:rsid w:val="00657230"/>
    <w:rsid w:val="0065753F"/>
    <w:rsid w:val="006579A0"/>
    <w:rsid w:val="00660B67"/>
    <w:rsid w:val="00660F3A"/>
    <w:rsid w:val="00663FE2"/>
    <w:rsid w:val="0066539C"/>
    <w:rsid w:val="006669AF"/>
    <w:rsid w:val="00666E73"/>
    <w:rsid w:val="006671CA"/>
    <w:rsid w:val="00671AC6"/>
    <w:rsid w:val="00671AFD"/>
    <w:rsid w:val="00675A4F"/>
    <w:rsid w:val="00675B6D"/>
    <w:rsid w:val="00680938"/>
    <w:rsid w:val="006834DE"/>
    <w:rsid w:val="00685664"/>
    <w:rsid w:val="00685EE6"/>
    <w:rsid w:val="00690549"/>
    <w:rsid w:val="00690D8D"/>
    <w:rsid w:val="006910AB"/>
    <w:rsid w:val="006912A0"/>
    <w:rsid w:val="00691847"/>
    <w:rsid w:val="00692645"/>
    <w:rsid w:val="00692771"/>
    <w:rsid w:val="00692B90"/>
    <w:rsid w:val="006945A0"/>
    <w:rsid w:val="00694A0F"/>
    <w:rsid w:val="00694C37"/>
    <w:rsid w:val="006A1463"/>
    <w:rsid w:val="006A298B"/>
    <w:rsid w:val="006A324B"/>
    <w:rsid w:val="006A35FF"/>
    <w:rsid w:val="006A3DBE"/>
    <w:rsid w:val="006A5224"/>
    <w:rsid w:val="006A6DE9"/>
    <w:rsid w:val="006A739E"/>
    <w:rsid w:val="006A744E"/>
    <w:rsid w:val="006B0375"/>
    <w:rsid w:val="006B1110"/>
    <w:rsid w:val="006B2430"/>
    <w:rsid w:val="006B257F"/>
    <w:rsid w:val="006B47D2"/>
    <w:rsid w:val="006B5086"/>
    <w:rsid w:val="006B533A"/>
    <w:rsid w:val="006B581A"/>
    <w:rsid w:val="006B5943"/>
    <w:rsid w:val="006C1982"/>
    <w:rsid w:val="006C4875"/>
    <w:rsid w:val="006C50F0"/>
    <w:rsid w:val="006C70F5"/>
    <w:rsid w:val="006C761C"/>
    <w:rsid w:val="006D068D"/>
    <w:rsid w:val="006D19E6"/>
    <w:rsid w:val="006D497D"/>
    <w:rsid w:val="006D66A4"/>
    <w:rsid w:val="006D78FA"/>
    <w:rsid w:val="006E12FF"/>
    <w:rsid w:val="006E2A16"/>
    <w:rsid w:val="006E2D65"/>
    <w:rsid w:val="006E32B5"/>
    <w:rsid w:val="006F013F"/>
    <w:rsid w:val="006F14C5"/>
    <w:rsid w:val="006F1D34"/>
    <w:rsid w:val="006F2478"/>
    <w:rsid w:val="006F3A88"/>
    <w:rsid w:val="006F3F34"/>
    <w:rsid w:val="0070296C"/>
    <w:rsid w:val="0070388B"/>
    <w:rsid w:val="00704125"/>
    <w:rsid w:val="00704F10"/>
    <w:rsid w:val="00706F04"/>
    <w:rsid w:val="00706FDC"/>
    <w:rsid w:val="00707C5B"/>
    <w:rsid w:val="00711D07"/>
    <w:rsid w:val="00712914"/>
    <w:rsid w:val="007137D3"/>
    <w:rsid w:val="007171AE"/>
    <w:rsid w:val="00721E28"/>
    <w:rsid w:val="007222AC"/>
    <w:rsid w:val="00722A6A"/>
    <w:rsid w:val="00722A70"/>
    <w:rsid w:val="00722C5A"/>
    <w:rsid w:val="0072327E"/>
    <w:rsid w:val="00723DB1"/>
    <w:rsid w:val="00724625"/>
    <w:rsid w:val="00725216"/>
    <w:rsid w:val="00725EFC"/>
    <w:rsid w:val="00725F91"/>
    <w:rsid w:val="007261C9"/>
    <w:rsid w:val="00730E44"/>
    <w:rsid w:val="0073180F"/>
    <w:rsid w:val="007321EE"/>
    <w:rsid w:val="00732D37"/>
    <w:rsid w:val="00732DF4"/>
    <w:rsid w:val="00732E1E"/>
    <w:rsid w:val="007331FC"/>
    <w:rsid w:val="00734CC6"/>
    <w:rsid w:val="0073520B"/>
    <w:rsid w:val="00735369"/>
    <w:rsid w:val="00737787"/>
    <w:rsid w:val="00741B06"/>
    <w:rsid w:val="00742228"/>
    <w:rsid w:val="00742B87"/>
    <w:rsid w:val="00743156"/>
    <w:rsid w:val="00744CAE"/>
    <w:rsid w:val="00745F3D"/>
    <w:rsid w:val="00746261"/>
    <w:rsid w:val="007464C1"/>
    <w:rsid w:val="007473FD"/>
    <w:rsid w:val="00747C31"/>
    <w:rsid w:val="00751B0F"/>
    <w:rsid w:val="0075220D"/>
    <w:rsid w:val="007522A2"/>
    <w:rsid w:val="00752E14"/>
    <w:rsid w:val="0075511A"/>
    <w:rsid w:val="007553F0"/>
    <w:rsid w:val="007565BE"/>
    <w:rsid w:val="00756761"/>
    <w:rsid w:val="00760EC7"/>
    <w:rsid w:val="00761231"/>
    <w:rsid w:val="00761471"/>
    <w:rsid w:val="00761B9D"/>
    <w:rsid w:val="0076249E"/>
    <w:rsid w:val="007634BF"/>
    <w:rsid w:val="00763CD0"/>
    <w:rsid w:val="00763EB8"/>
    <w:rsid w:val="0076697B"/>
    <w:rsid w:val="00770542"/>
    <w:rsid w:val="0077211E"/>
    <w:rsid w:val="00772D7A"/>
    <w:rsid w:val="0077355F"/>
    <w:rsid w:val="00775370"/>
    <w:rsid w:val="0077584E"/>
    <w:rsid w:val="00775DE1"/>
    <w:rsid w:val="007765CF"/>
    <w:rsid w:val="00781150"/>
    <w:rsid w:val="0078346F"/>
    <w:rsid w:val="007835B6"/>
    <w:rsid w:val="007847A7"/>
    <w:rsid w:val="00785B40"/>
    <w:rsid w:val="007860D4"/>
    <w:rsid w:val="00787BD7"/>
    <w:rsid w:val="00790D70"/>
    <w:rsid w:val="007913A7"/>
    <w:rsid w:val="00791751"/>
    <w:rsid w:val="00791A7A"/>
    <w:rsid w:val="00792B9D"/>
    <w:rsid w:val="00792C05"/>
    <w:rsid w:val="00793EB3"/>
    <w:rsid w:val="0079674E"/>
    <w:rsid w:val="00797372"/>
    <w:rsid w:val="00797B05"/>
    <w:rsid w:val="007A1AB1"/>
    <w:rsid w:val="007A7957"/>
    <w:rsid w:val="007B0A4D"/>
    <w:rsid w:val="007B162E"/>
    <w:rsid w:val="007B47E5"/>
    <w:rsid w:val="007B5CC8"/>
    <w:rsid w:val="007B68D4"/>
    <w:rsid w:val="007C0346"/>
    <w:rsid w:val="007C0826"/>
    <w:rsid w:val="007C116A"/>
    <w:rsid w:val="007C3048"/>
    <w:rsid w:val="007C3E5F"/>
    <w:rsid w:val="007C4E46"/>
    <w:rsid w:val="007C5639"/>
    <w:rsid w:val="007C6225"/>
    <w:rsid w:val="007C6C1C"/>
    <w:rsid w:val="007D2AC7"/>
    <w:rsid w:val="007D2D56"/>
    <w:rsid w:val="007D4C47"/>
    <w:rsid w:val="007D50FA"/>
    <w:rsid w:val="007D63BB"/>
    <w:rsid w:val="007E0422"/>
    <w:rsid w:val="007E0789"/>
    <w:rsid w:val="007E21C1"/>
    <w:rsid w:val="007E2901"/>
    <w:rsid w:val="007E2D43"/>
    <w:rsid w:val="007E3833"/>
    <w:rsid w:val="007E44E2"/>
    <w:rsid w:val="007E4C4E"/>
    <w:rsid w:val="007E50DE"/>
    <w:rsid w:val="007E6ECA"/>
    <w:rsid w:val="007E74A1"/>
    <w:rsid w:val="007E765D"/>
    <w:rsid w:val="007F31EF"/>
    <w:rsid w:val="00800B63"/>
    <w:rsid w:val="00800B84"/>
    <w:rsid w:val="00801461"/>
    <w:rsid w:val="0080367F"/>
    <w:rsid w:val="008036A2"/>
    <w:rsid w:val="00804227"/>
    <w:rsid w:val="00804C84"/>
    <w:rsid w:val="00811B6E"/>
    <w:rsid w:val="008125C8"/>
    <w:rsid w:val="00812992"/>
    <w:rsid w:val="008144E1"/>
    <w:rsid w:val="00815CFA"/>
    <w:rsid w:val="00815D89"/>
    <w:rsid w:val="00815FD8"/>
    <w:rsid w:val="00816A93"/>
    <w:rsid w:val="00817372"/>
    <w:rsid w:val="0082060D"/>
    <w:rsid w:val="008232C9"/>
    <w:rsid w:val="00823B68"/>
    <w:rsid w:val="008253F3"/>
    <w:rsid w:val="00825A1C"/>
    <w:rsid w:val="00826B87"/>
    <w:rsid w:val="00826D48"/>
    <w:rsid w:val="0082762B"/>
    <w:rsid w:val="00831127"/>
    <w:rsid w:val="00831ED3"/>
    <w:rsid w:val="008328FA"/>
    <w:rsid w:val="00832AD6"/>
    <w:rsid w:val="00833F0A"/>
    <w:rsid w:val="00834409"/>
    <w:rsid w:val="008348BA"/>
    <w:rsid w:val="00834D25"/>
    <w:rsid w:val="00835300"/>
    <w:rsid w:val="0084068F"/>
    <w:rsid w:val="008458BC"/>
    <w:rsid w:val="00845DF0"/>
    <w:rsid w:val="00846AD4"/>
    <w:rsid w:val="00846FA5"/>
    <w:rsid w:val="00850D87"/>
    <w:rsid w:val="0085136B"/>
    <w:rsid w:val="00852284"/>
    <w:rsid w:val="008534E3"/>
    <w:rsid w:val="008537F6"/>
    <w:rsid w:val="008542EE"/>
    <w:rsid w:val="00854DF4"/>
    <w:rsid w:val="00854FFD"/>
    <w:rsid w:val="00855840"/>
    <w:rsid w:val="0085597C"/>
    <w:rsid w:val="00856E74"/>
    <w:rsid w:val="00856EE1"/>
    <w:rsid w:val="008579FA"/>
    <w:rsid w:val="0086127A"/>
    <w:rsid w:val="00862857"/>
    <w:rsid w:val="0086331B"/>
    <w:rsid w:val="00863ACF"/>
    <w:rsid w:val="008657D5"/>
    <w:rsid w:val="00867744"/>
    <w:rsid w:val="0087005C"/>
    <w:rsid w:val="00870C89"/>
    <w:rsid w:val="00870FD0"/>
    <w:rsid w:val="0087108A"/>
    <w:rsid w:val="00871DA4"/>
    <w:rsid w:val="0087207B"/>
    <w:rsid w:val="008721C3"/>
    <w:rsid w:val="00872BB2"/>
    <w:rsid w:val="008733C0"/>
    <w:rsid w:val="00876539"/>
    <w:rsid w:val="0088375A"/>
    <w:rsid w:val="0088416D"/>
    <w:rsid w:val="008852F9"/>
    <w:rsid w:val="00885AD0"/>
    <w:rsid w:val="00886DCF"/>
    <w:rsid w:val="008877CE"/>
    <w:rsid w:val="00887B7F"/>
    <w:rsid w:val="00887FC5"/>
    <w:rsid w:val="008905E9"/>
    <w:rsid w:val="0089262F"/>
    <w:rsid w:val="00894658"/>
    <w:rsid w:val="00894841"/>
    <w:rsid w:val="00894A5B"/>
    <w:rsid w:val="008951FB"/>
    <w:rsid w:val="008959EB"/>
    <w:rsid w:val="00896C7B"/>
    <w:rsid w:val="008A12DF"/>
    <w:rsid w:val="008A1AED"/>
    <w:rsid w:val="008A21C0"/>
    <w:rsid w:val="008A3ADA"/>
    <w:rsid w:val="008A4660"/>
    <w:rsid w:val="008A5B6C"/>
    <w:rsid w:val="008A6100"/>
    <w:rsid w:val="008A7180"/>
    <w:rsid w:val="008B12A5"/>
    <w:rsid w:val="008B4924"/>
    <w:rsid w:val="008B4A6F"/>
    <w:rsid w:val="008B5AF4"/>
    <w:rsid w:val="008B76FB"/>
    <w:rsid w:val="008C0026"/>
    <w:rsid w:val="008C321C"/>
    <w:rsid w:val="008C3336"/>
    <w:rsid w:val="008C416B"/>
    <w:rsid w:val="008C60D2"/>
    <w:rsid w:val="008C6B04"/>
    <w:rsid w:val="008C6C1B"/>
    <w:rsid w:val="008C7635"/>
    <w:rsid w:val="008C76FC"/>
    <w:rsid w:val="008C7FFA"/>
    <w:rsid w:val="008D12E3"/>
    <w:rsid w:val="008D36E2"/>
    <w:rsid w:val="008D3F5B"/>
    <w:rsid w:val="008D5237"/>
    <w:rsid w:val="008D5CD8"/>
    <w:rsid w:val="008D5F1B"/>
    <w:rsid w:val="008D697C"/>
    <w:rsid w:val="008D7854"/>
    <w:rsid w:val="008D7C09"/>
    <w:rsid w:val="008D7CA9"/>
    <w:rsid w:val="008E0014"/>
    <w:rsid w:val="008E0E10"/>
    <w:rsid w:val="008E0FCE"/>
    <w:rsid w:val="008E1539"/>
    <w:rsid w:val="008E17E2"/>
    <w:rsid w:val="008E2121"/>
    <w:rsid w:val="008E2FAB"/>
    <w:rsid w:val="008E41C6"/>
    <w:rsid w:val="008E4B5F"/>
    <w:rsid w:val="008E58A4"/>
    <w:rsid w:val="008E71A6"/>
    <w:rsid w:val="008E798B"/>
    <w:rsid w:val="008F01A5"/>
    <w:rsid w:val="008F10A1"/>
    <w:rsid w:val="008F1303"/>
    <w:rsid w:val="008F24C6"/>
    <w:rsid w:val="008F300F"/>
    <w:rsid w:val="008F38FB"/>
    <w:rsid w:val="008F3E7F"/>
    <w:rsid w:val="008F3EEE"/>
    <w:rsid w:val="008F58C6"/>
    <w:rsid w:val="008F6A37"/>
    <w:rsid w:val="00900E15"/>
    <w:rsid w:val="00900E6C"/>
    <w:rsid w:val="00901055"/>
    <w:rsid w:val="00901B69"/>
    <w:rsid w:val="00901CF0"/>
    <w:rsid w:val="00902539"/>
    <w:rsid w:val="009033F7"/>
    <w:rsid w:val="00904009"/>
    <w:rsid w:val="0090605A"/>
    <w:rsid w:val="009064B8"/>
    <w:rsid w:val="009064D6"/>
    <w:rsid w:val="00910EB7"/>
    <w:rsid w:val="00912B87"/>
    <w:rsid w:val="00913488"/>
    <w:rsid w:val="00913F02"/>
    <w:rsid w:val="00915159"/>
    <w:rsid w:val="009163F4"/>
    <w:rsid w:val="00916CCC"/>
    <w:rsid w:val="00916CCF"/>
    <w:rsid w:val="009171FE"/>
    <w:rsid w:val="0092086C"/>
    <w:rsid w:val="009220D8"/>
    <w:rsid w:val="00922FB5"/>
    <w:rsid w:val="0092412A"/>
    <w:rsid w:val="00924741"/>
    <w:rsid w:val="0092479F"/>
    <w:rsid w:val="009252CE"/>
    <w:rsid w:val="009255A7"/>
    <w:rsid w:val="00925B81"/>
    <w:rsid w:val="00931141"/>
    <w:rsid w:val="00933C47"/>
    <w:rsid w:val="009351C8"/>
    <w:rsid w:val="00935940"/>
    <w:rsid w:val="009369E9"/>
    <w:rsid w:val="009369F1"/>
    <w:rsid w:val="0093776F"/>
    <w:rsid w:val="0094175A"/>
    <w:rsid w:val="0094285A"/>
    <w:rsid w:val="009433EE"/>
    <w:rsid w:val="00943626"/>
    <w:rsid w:val="0094570E"/>
    <w:rsid w:val="00945AA7"/>
    <w:rsid w:val="00945E30"/>
    <w:rsid w:val="00946672"/>
    <w:rsid w:val="009467B9"/>
    <w:rsid w:val="00947956"/>
    <w:rsid w:val="00950F36"/>
    <w:rsid w:val="00952C0F"/>
    <w:rsid w:val="00953A4F"/>
    <w:rsid w:val="00953BFB"/>
    <w:rsid w:val="00956EC0"/>
    <w:rsid w:val="00957951"/>
    <w:rsid w:val="0096143F"/>
    <w:rsid w:val="00961C10"/>
    <w:rsid w:val="00966184"/>
    <w:rsid w:val="00966786"/>
    <w:rsid w:val="00966FC9"/>
    <w:rsid w:val="0096704E"/>
    <w:rsid w:val="00972243"/>
    <w:rsid w:val="00974424"/>
    <w:rsid w:val="00975BC4"/>
    <w:rsid w:val="0097778D"/>
    <w:rsid w:val="00977DC6"/>
    <w:rsid w:val="009820F8"/>
    <w:rsid w:val="0098238E"/>
    <w:rsid w:val="00983FA0"/>
    <w:rsid w:val="00984A49"/>
    <w:rsid w:val="0098726E"/>
    <w:rsid w:val="00987C1E"/>
    <w:rsid w:val="0099429E"/>
    <w:rsid w:val="009947E7"/>
    <w:rsid w:val="00995774"/>
    <w:rsid w:val="009969D8"/>
    <w:rsid w:val="00997D47"/>
    <w:rsid w:val="009A2AFF"/>
    <w:rsid w:val="009A6918"/>
    <w:rsid w:val="009A71C9"/>
    <w:rsid w:val="009B0F2E"/>
    <w:rsid w:val="009B3992"/>
    <w:rsid w:val="009B4F0B"/>
    <w:rsid w:val="009B66C9"/>
    <w:rsid w:val="009B6D04"/>
    <w:rsid w:val="009B777C"/>
    <w:rsid w:val="009C180E"/>
    <w:rsid w:val="009C2B09"/>
    <w:rsid w:val="009C3747"/>
    <w:rsid w:val="009C39AC"/>
    <w:rsid w:val="009C3C53"/>
    <w:rsid w:val="009C5B62"/>
    <w:rsid w:val="009C6985"/>
    <w:rsid w:val="009C6B5F"/>
    <w:rsid w:val="009C6C28"/>
    <w:rsid w:val="009D0275"/>
    <w:rsid w:val="009D1B7F"/>
    <w:rsid w:val="009D344D"/>
    <w:rsid w:val="009D3AF8"/>
    <w:rsid w:val="009D3B86"/>
    <w:rsid w:val="009D3FBE"/>
    <w:rsid w:val="009D46EF"/>
    <w:rsid w:val="009E05E3"/>
    <w:rsid w:val="009E09AF"/>
    <w:rsid w:val="009E166B"/>
    <w:rsid w:val="009E30BE"/>
    <w:rsid w:val="009E392F"/>
    <w:rsid w:val="009E5E56"/>
    <w:rsid w:val="009E5EE2"/>
    <w:rsid w:val="009E70CE"/>
    <w:rsid w:val="009F05B9"/>
    <w:rsid w:val="009F17A9"/>
    <w:rsid w:val="009F2199"/>
    <w:rsid w:val="009F2865"/>
    <w:rsid w:val="009F2887"/>
    <w:rsid w:val="009F2977"/>
    <w:rsid w:val="009F2BC9"/>
    <w:rsid w:val="009F3160"/>
    <w:rsid w:val="009F4B8B"/>
    <w:rsid w:val="009F6670"/>
    <w:rsid w:val="00A00581"/>
    <w:rsid w:val="00A006AD"/>
    <w:rsid w:val="00A018DF"/>
    <w:rsid w:val="00A02D96"/>
    <w:rsid w:val="00A05AE0"/>
    <w:rsid w:val="00A05B9B"/>
    <w:rsid w:val="00A0663C"/>
    <w:rsid w:val="00A07970"/>
    <w:rsid w:val="00A07A65"/>
    <w:rsid w:val="00A10D18"/>
    <w:rsid w:val="00A11A2E"/>
    <w:rsid w:val="00A11D2A"/>
    <w:rsid w:val="00A14612"/>
    <w:rsid w:val="00A150C6"/>
    <w:rsid w:val="00A152DC"/>
    <w:rsid w:val="00A15F83"/>
    <w:rsid w:val="00A1708A"/>
    <w:rsid w:val="00A205AB"/>
    <w:rsid w:val="00A21302"/>
    <w:rsid w:val="00A21A3E"/>
    <w:rsid w:val="00A22D49"/>
    <w:rsid w:val="00A2321E"/>
    <w:rsid w:val="00A235AE"/>
    <w:rsid w:val="00A26589"/>
    <w:rsid w:val="00A268EF"/>
    <w:rsid w:val="00A26B26"/>
    <w:rsid w:val="00A27090"/>
    <w:rsid w:val="00A27E10"/>
    <w:rsid w:val="00A325A5"/>
    <w:rsid w:val="00A32BC3"/>
    <w:rsid w:val="00A34F3B"/>
    <w:rsid w:val="00A35A8E"/>
    <w:rsid w:val="00A35D28"/>
    <w:rsid w:val="00A35DD4"/>
    <w:rsid w:val="00A36A25"/>
    <w:rsid w:val="00A378A1"/>
    <w:rsid w:val="00A37C09"/>
    <w:rsid w:val="00A40FCB"/>
    <w:rsid w:val="00A4164A"/>
    <w:rsid w:val="00A4195A"/>
    <w:rsid w:val="00A42617"/>
    <w:rsid w:val="00A43EFE"/>
    <w:rsid w:val="00A44673"/>
    <w:rsid w:val="00A44BFB"/>
    <w:rsid w:val="00A45BD3"/>
    <w:rsid w:val="00A462B2"/>
    <w:rsid w:val="00A46483"/>
    <w:rsid w:val="00A468B5"/>
    <w:rsid w:val="00A46D50"/>
    <w:rsid w:val="00A46F60"/>
    <w:rsid w:val="00A47833"/>
    <w:rsid w:val="00A50BB2"/>
    <w:rsid w:val="00A50D2F"/>
    <w:rsid w:val="00A5343B"/>
    <w:rsid w:val="00A537A5"/>
    <w:rsid w:val="00A5403F"/>
    <w:rsid w:val="00A543AD"/>
    <w:rsid w:val="00A54E21"/>
    <w:rsid w:val="00A56D0D"/>
    <w:rsid w:val="00A57D21"/>
    <w:rsid w:val="00A60473"/>
    <w:rsid w:val="00A604AC"/>
    <w:rsid w:val="00A615B2"/>
    <w:rsid w:val="00A622C2"/>
    <w:rsid w:val="00A62B45"/>
    <w:rsid w:val="00A62F14"/>
    <w:rsid w:val="00A63785"/>
    <w:rsid w:val="00A647E5"/>
    <w:rsid w:val="00A65DA3"/>
    <w:rsid w:val="00A666D2"/>
    <w:rsid w:val="00A669D8"/>
    <w:rsid w:val="00A711D0"/>
    <w:rsid w:val="00A711E0"/>
    <w:rsid w:val="00A728CD"/>
    <w:rsid w:val="00A7574B"/>
    <w:rsid w:val="00A76C65"/>
    <w:rsid w:val="00A80A20"/>
    <w:rsid w:val="00A82BB9"/>
    <w:rsid w:val="00A83376"/>
    <w:rsid w:val="00A83510"/>
    <w:rsid w:val="00A85A5B"/>
    <w:rsid w:val="00A9059B"/>
    <w:rsid w:val="00A90FA0"/>
    <w:rsid w:val="00A92B32"/>
    <w:rsid w:val="00A93C2F"/>
    <w:rsid w:val="00A951DC"/>
    <w:rsid w:val="00A95B50"/>
    <w:rsid w:val="00A95F73"/>
    <w:rsid w:val="00A97ADB"/>
    <w:rsid w:val="00A97BAC"/>
    <w:rsid w:val="00A97C3E"/>
    <w:rsid w:val="00A97CBF"/>
    <w:rsid w:val="00AA0080"/>
    <w:rsid w:val="00AA0DAF"/>
    <w:rsid w:val="00AA111F"/>
    <w:rsid w:val="00AA15D4"/>
    <w:rsid w:val="00AA4527"/>
    <w:rsid w:val="00AA49BC"/>
    <w:rsid w:val="00AA635F"/>
    <w:rsid w:val="00AA6C45"/>
    <w:rsid w:val="00AA70C1"/>
    <w:rsid w:val="00AB2C83"/>
    <w:rsid w:val="00AB2E11"/>
    <w:rsid w:val="00AB557E"/>
    <w:rsid w:val="00AB6652"/>
    <w:rsid w:val="00AB6864"/>
    <w:rsid w:val="00AB77DA"/>
    <w:rsid w:val="00AB7A16"/>
    <w:rsid w:val="00AB7A1A"/>
    <w:rsid w:val="00AB7A47"/>
    <w:rsid w:val="00AB7C17"/>
    <w:rsid w:val="00AC166F"/>
    <w:rsid w:val="00AC28E2"/>
    <w:rsid w:val="00AC2D06"/>
    <w:rsid w:val="00AC2E52"/>
    <w:rsid w:val="00AC394F"/>
    <w:rsid w:val="00AC5D5F"/>
    <w:rsid w:val="00AC6243"/>
    <w:rsid w:val="00AD00CE"/>
    <w:rsid w:val="00AD1299"/>
    <w:rsid w:val="00AD343E"/>
    <w:rsid w:val="00AD39F4"/>
    <w:rsid w:val="00AD498C"/>
    <w:rsid w:val="00AD4AB7"/>
    <w:rsid w:val="00AD582E"/>
    <w:rsid w:val="00AE0060"/>
    <w:rsid w:val="00AE11D3"/>
    <w:rsid w:val="00AE18E7"/>
    <w:rsid w:val="00AE1B71"/>
    <w:rsid w:val="00AE1BF4"/>
    <w:rsid w:val="00AE1C28"/>
    <w:rsid w:val="00AE2121"/>
    <w:rsid w:val="00AE213D"/>
    <w:rsid w:val="00AE290E"/>
    <w:rsid w:val="00AE3249"/>
    <w:rsid w:val="00AE436C"/>
    <w:rsid w:val="00AE4394"/>
    <w:rsid w:val="00AE446A"/>
    <w:rsid w:val="00AE5C6D"/>
    <w:rsid w:val="00AE5E6A"/>
    <w:rsid w:val="00AE6BF9"/>
    <w:rsid w:val="00AF097C"/>
    <w:rsid w:val="00AF27D8"/>
    <w:rsid w:val="00AF3558"/>
    <w:rsid w:val="00AF3E5D"/>
    <w:rsid w:val="00AF6645"/>
    <w:rsid w:val="00B00596"/>
    <w:rsid w:val="00B02A26"/>
    <w:rsid w:val="00B05480"/>
    <w:rsid w:val="00B068F8"/>
    <w:rsid w:val="00B06B52"/>
    <w:rsid w:val="00B11A60"/>
    <w:rsid w:val="00B11B78"/>
    <w:rsid w:val="00B14ECA"/>
    <w:rsid w:val="00B16EF4"/>
    <w:rsid w:val="00B17212"/>
    <w:rsid w:val="00B20CF5"/>
    <w:rsid w:val="00B2115F"/>
    <w:rsid w:val="00B2136D"/>
    <w:rsid w:val="00B21AA3"/>
    <w:rsid w:val="00B21D19"/>
    <w:rsid w:val="00B21F53"/>
    <w:rsid w:val="00B2322B"/>
    <w:rsid w:val="00B236FA"/>
    <w:rsid w:val="00B2374C"/>
    <w:rsid w:val="00B26556"/>
    <w:rsid w:val="00B33CF7"/>
    <w:rsid w:val="00B34BBD"/>
    <w:rsid w:val="00B3544C"/>
    <w:rsid w:val="00B35F1C"/>
    <w:rsid w:val="00B3615E"/>
    <w:rsid w:val="00B40DD0"/>
    <w:rsid w:val="00B42261"/>
    <w:rsid w:val="00B431F8"/>
    <w:rsid w:val="00B4333E"/>
    <w:rsid w:val="00B44DF1"/>
    <w:rsid w:val="00B45D09"/>
    <w:rsid w:val="00B47917"/>
    <w:rsid w:val="00B47C4B"/>
    <w:rsid w:val="00B47DAD"/>
    <w:rsid w:val="00B50DDC"/>
    <w:rsid w:val="00B51CC3"/>
    <w:rsid w:val="00B52C44"/>
    <w:rsid w:val="00B52D42"/>
    <w:rsid w:val="00B52F39"/>
    <w:rsid w:val="00B5343C"/>
    <w:rsid w:val="00B54E66"/>
    <w:rsid w:val="00B5532B"/>
    <w:rsid w:val="00B57359"/>
    <w:rsid w:val="00B575F7"/>
    <w:rsid w:val="00B6009A"/>
    <w:rsid w:val="00B6079A"/>
    <w:rsid w:val="00B627AC"/>
    <w:rsid w:val="00B63885"/>
    <w:rsid w:val="00B638E5"/>
    <w:rsid w:val="00B63FA7"/>
    <w:rsid w:val="00B64A02"/>
    <w:rsid w:val="00B6640F"/>
    <w:rsid w:val="00B671CF"/>
    <w:rsid w:val="00B67962"/>
    <w:rsid w:val="00B70A74"/>
    <w:rsid w:val="00B70CAC"/>
    <w:rsid w:val="00B70D16"/>
    <w:rsid w:val="00B73C0E"/>
    <w:rsid w:val="00B75041"/>
    <w:rsid w:val="00B77BDC"/>
    <w:rsid w:val="00B80B96"/>
    <w:rsid w:val="00B80EF2"/>
    <w:rsid w:val="00B830D8"/>
    <w:rsid w:val="00B83AA4"/>
    <w:rsid w:val="00B86D29"/>
    <w:rsid w:val="00B8733E"/>
    <w:rsid w:val="00B87814"/>
    <w:rsid w:val="00B87CEB"/>
    <w:rsid w:val="00B90504"/>
    <w:rsid w:val="00B907AC"/>
    <w:rsid w:val="00B9156A"/>
    <w:rsid w:val="00B91AA6"/>
    <w:rsid w:val="00B91E74"/>
    <w:rsid w:val="00B938EC"/>
    <w:rsid w:val="00B96D10"/>
    <w:rsid w:val="00BA0A73"/>
    <w:rsid w:val="00BA0D0C"/>
    <w:rsid w:val="00BA1883"/>
    <w:rsid w:val="00BA39C7"/>
    <w:rsid w:val="00BA4BA8"/>
    <w:rsid w:val="00BB308B"/>
    <w:rsid w:val="00BB473C"/>
    <w:rsid w:val="00BB473D"/>
    <w:rsid w:val="00BB5A89"/>
    <w:rsid w:val="00BB5ACD"/>
    <w:rsid w:val="00BB5D58"/>
    <w:rsid w:val="00BB5D8E"/>
    <w:rsid w:val="00BB5F49"/>
    <w:rsid w:val="00BC14D8"/>
    <w:rsid w:val="00BC1E2B"/>
    <w:rsid w:val="00BC45ED"/>
    <w:rsid w:val="00BC4726"/>
    <w:rsid w:val="00BC54D5"/>
    <w:rsid w:val="00BC556C"/>
    <w:rsid w:val="00BC5D55"/>
    <w:rsid w:val="00BC720A"/>
    <w:rsid w:val="00BC7B3A"/>
    <w:rsid w:val="00BD0C7A"/>
    <w:rsid w:val="00BD20D7"/>
    <w:rsid w:val="00BD21F3"/>
    <w:rsid w:val="00BD35A0"/>
    <w:rsid w:val="00BD4845"/>
    <w:rsid w:val="00BD6BBE"/>
    <w:rsid w:val="00BD6C53"/>
    <w:rsid w:val="00BD6DA1"/>
    <w:rsid w:val="00BD7B5A"/>
    <w:rsid w:val="00BD7E9D"/>
    <w:rsid w:val="00BE1677"/>
    <w:rsid w:val="00BE3347"/>
    <w:rsid w:val="00BE3A1E"/>
    <w:rsid w:val="00BE4838"/>
    <w:rsid w:val="00BE643A"/>
    <w:rsid w:val="00BE72A5"/>
    <w:rsid w:val="00BF094C"/>
    <w:rsid w:val="00BF2DE2"/>
    <w:rsid w:val="00BF2E06"/>
    <w:rsid w:val="00BF3EAA"/>
    <w:rsid w:val="00BF7CAE"/>
    <w:rsid w:val="00C03FEE"/>
    <w:rsid w:val="00C050F1"/>
    <w:rsid w:val="00C05632"/>
    <w:rsid w:val="00C1064F"/>
    <w:rsid w:val="00C1070A"/>
    <w:rsid w:val="00C10BA2"/>
    <w:rsid w:val="00C1149E"/>
    <w:rsid w:val="00C127E6"/>
    <w:rsid w:val="00C131A4"/>
    <w:rsid w:val="00C1330D"/>
    <w:rsid w:val="00C1582D"/>
    <w:rsid w:val="00C16652"/>
    <w:rsid w:val="00C21525"/>
    <w:rsid w:val="00C226FF"/>
    <w:rsid w:val="00C22C4A"/>
    <w:rsid w:val="00C2347B"/>
    <w:rsid w:val="00C2486B"/>
    <w:rsid w:val="00C249F6"/>
    <w:rsid w:val="00C24C23"/>
    <w:rsid w:val="00C25AB6"/>
    <w:rsid w:val="00C31516"/>
    <w:rsid w:val="00C31C9F"/>
    <w:rsid w:val="00C32588"/>
    <w:rsid w:val="00C32934"/>
    <w:rsid w:val="00C32CD0"/>
    <w:rsid w:val="00C3453B"/>
    <w:rsid w:val="00C34D4D"/>
    <w:rsid w:val="00C36A62"/>
    <w:rsid w:val="00C37489"/>
    <w:rsid w:val="00C37516"/>
    <w:rsid w:val="00C40097"/>
    <w:rsid w:val="00C40A17"/>
    <w:rsid w:val="00C40EC1"/>
    <w:rsid w:val="00C4288D"/>
    <w:rsid w:val="00C43024"/>
    <w:rsid w:val="00C441C0"/>
    <w:rsid w:val="00C4623A"/>
    <w:rsid w:val="00C47491"/>
    <w:rsid w:val="00C531FE"/>
    <w:rsid w:val="00C533D6"/>
    <w:rsid w:val="00C56F5E"/>
    <w:rsid w:val="00C572F2"/>
    <w:rsid w:val="00C5750E"/>
    <w:rsid w:val="00C575C2"/>
    <w:rsid w:val="00C607F1"/>
    <w:rsid w:val="00C61748"/>
    <w:rsid w:val="00C6197C"/>
    <w:rsid w:val="00C619AC"/>
    <w:rsid w:val="00C626D3"/>
    <w:rsid w:val="00C630F3"/>
    <w:rsid w:val="00C6351A"/>
    <w:rsid w:val="00C646A6"/>
    <w:rsid w:val="00C647E1"/>
    <w:rsid w:val="00C657C5"/>
    <w:rsid w:val="00C65E88"/>
    <w:rsid w:val="00C661D7"/>
    <w:rsid w:val="00C67A84"/>
    <w:rsid w:val="00C67BC4"/>
    <w:rsid w:val="00C702FC"/>
    <w:rsid w:val="00C707DB"/>
    <w:rsid w:val="00C70DFA"/>
    <w:rsid w:val="00C71259"/>
    <w:rsid w:val="00C717E8"/>
    <w:rsid w:val="00C73072"/>
    <w:rsid w:val="00C74673"/>
    <w:rsid w:val="00C757B6"/>
    <w:rsid w:val="00C76C98"/>
    <w:rsid w:val="00C77BFF"/>
    <w:rsid w:val="00C80F13"/>
    <w:rsid w:val="00C814F8"/>
    <w:rsid w:val="00C84C42"/>
    <w:rsid w:val="00C84C4B"/>
    <w:rsid w:val="00C859DC"/>
    <w:rsid w:val="00C863A8"/>
    <w:rsid w:val="00C86822"/>
    <w:rsid w:val="00C878BA"/>
    <w:rsid w:val="00C87D89"/>
    <w:rsid w:val="00C9332E"/>
    <w:rsid w:val="00C942F3"/>
    <w:rsid w:val="00C948AB"/>
    <w:rsid w:val="00C95707"/>
    <w:rsid w:val="00C97DFC"/>
    <w:rsid w:val="00CA128B"/>
    <w:rsid w:val="00CA15CD"/>
    <w:rsid w:val="00CA1F09"/>
    <w:rsid w:val="00CA2965"/>
    <w:rsid w:val="00CA3C73"/>
    <w:rsid w:val="00CA4A4C"/>
    <w:rsid w:val="00CA51CE"/>
    <w:rsid w:val="00CA5A13"/>
    <w:rsid w:val="00CA6BAA"/>
    <w:rsid w:val="00CA7F62"/>
    <w:rsid w:val="00CB0D90"/>
    <w:rsid w:val="00CB1136"/>
    <w:rsid w:val="00CB1F98"/>
    <w:rsid w:val="00CB2AA5"/>
    <w:rsid w:val="00CB2BFE"/>
    <w:rsid w:val="00CB41AF"/>
    <w:rsid w:val="00CB4221"/>
    <w:rsid w:val="00CB4FAC"/>
    <w:rsid w:val="00CB74E2"/>
    <w:rsid w:val="00CC2A06"/>
    <w:rsid w:val="00CC384F"/>
    <w:rsid w:val="00CC3A04"/>
    <w:rsid w:val="00CC3F37"/>
    <w:rsid w:val="00CC4995"/>
    <w:rsid w:val="00CC4CE7"/>
    <w:rsid w:val="00CC5E84"/>
    <w:rsid w:val="00CC68E2"/>
    <w:rsid w:val="00CD0899"/>
    <w:rsid w:val="00CD2280"/>
    <w:rsid w:val="00CD4C9A"/>
    <w:rsid w:val="00CD515B"/>
    <w:rsid w:val="00CD70A7"/>
    <w:rsid w:val="00CE0946"/>
    <w:rsid w:val="00CE0C4B"/>
    <w:rsid w:val="00CE111C"/>
    <w:rsid w:val="00CE21AC"/>
    <w:rsid w:val="00CE4489"/>
    <w:rsid w:val="00CE59FF"/>
    <w:rsid w:val="00CE5F41"/>
    <w:rsid w:val="00CE61DA"/>
    <w:rsid w:val="00CE7048"/>
    <w:rsid w:val="00CE7E13"/>
    <w:rsid w:val="00CF0B09"/>
    <w:rsid w:val="00CF0D2F"/>
    <w:rsid w:val="00CF1000"/>
    <w:rsid w:val="00CF5076"/>
    <w:rsid w:val="00D00033"/>
    <w:rsid w:val="00D00095"/>
    <w:rsid w:val="00D006FC"/>
    <w:rsid w:val="00D025C8"/>
    <w:rsid w:val="00D04755"/>
    <w:rsid w:val="00D05994"/>
    <w:rsid w:val="00D07E1B"/>
    <w:rsid w:val="00D1182D"/>
    <w:rsid w:val="00D1406D"/>
    <w:rsid w:val="00D14E2C"/>
    <w:rsid w:val="00D1503C"/>
    <w:rsid w:val="00D164AE"/>
    <w:rsid w:val="00D2209B"/>
    <w:rsid w:val="00D22A12"/>
    <w:rsid w:val="00D231BE"/>
    <w:rsid w:val="00D237C2"/>
    <w:rsid w:val="00D239D3"/>
    <w:rsid w:val="00D23F6A"/>
    <w:rsid w:val="00D24DBE"/>
    <w:rsid w:val="00D264B5"/>
    <w:rsid w:val="00D26B53"/>
    <w:rsid w:val="00D27A24"/>
    <w:rsid w:val="00D27C88"/>
    <w:rsid w:val="00D30817"/>
    <w:rsid w:val="00D32A7F"/>
    <w:rsid w:val="00D3376B"/>
    <w:rsid w:val="00D33EDE"/>
    <w:rsid w:val="00D33FF5"/>
    <w:rsid w:val="00D36574"/>
    <w:rsid w:val="00D3694E"/>
    <w:rsid w:val="00D36A32"/>
    <w:rsid w:val="00D36F10"/>
    <w:rsid w:val="00D37306"/>
    <w:rsid w:val="00D40FBF"/>
    <w:rsid w:val="00D41C90"/>
    <w:rsid w:val="00D42A3D"/>
    <w:rsid w:val="00D45BA9"/>
    <w:rsid w:val="00D461E7"/>
    <w:rsid w:val="00D50C1D"/>
    <w:rsid w:val="00D513D9"/>
    <w:rsid w:val="00D539EF"/>
    <w:rsid w:val="00D53CC9"/>
    <w:rsid w:val="00D560D8"/>
    <w:rsid w:val="00D567A0"/>
    <w:rsid w:val="00D601FC"/>
    <w:rsid w:val="00D623C3"/>
    <w:rsid w:val="00D62CBE"/>
    <w:rsid w:val="00D63032"/>
    <w:rsid w:val="00D63CAE"/>
    <w:rsid w:val="00D6456B"/>
    <w:rsid w:val="00D65302"/>
    <w:rsid w:val="00D65D4B"/>
    <w:rsid w:val="00D66535"/>
    <w:rsid w:val="00D67411"/>
    <w:rsid w:val="00D67FCF"/>
    <w:rsid w:val="00D71FDA"/>
    <w:rsid w:val="00D723BE"/>
    <w:rsid w:val="00D735CC"/>
    <w:rsid w:val="00D73D5A"/>
    <w:rsid w:val="00D74D30"/>
    <w:rsid w:val="00D74DA0"/>
    <w:rsid w:val="00D751C2"/>
    <w:rsid w:val="00D759FD"/>
    <w:rsid w:val="00D75FDF"/>
    <w:rsid w:val="00D81CEB"/>
    <w:rsid w:val="00D826C1"/>
    <w:rsid w:val="00D827F9"/>
    <w:rsid w:val="00D82DD9"/>
    <w:rsid w:val="00D83C4D"/>
    <w:rsid w:val="00D84026"/>
    <w:rsid w:val="00D87101"/>
    <w:rsid w:val="00D91E60"/>
    <w:rsid w:val="00D9354F"/>
    <w:rsid w:val="00D971C5"/>
    <w:rsid w:val="00D97356"/>
    <w:rsid w:val="00D97789"/>
    <w:rsid w:val="00D97AEA"/>
    <w:rsid w:val="00D97D3A"/>
    <w:rsid w:val="00DA0706"/>
    <w:rsid w:val="00DA1A53"/>
    <w:rsid w:val="00DA1C65"/>
    <w:rsid w:val="00DA30B4"/>
    <w:rsid w:val="00DA3EA7"/>
    <w:rsid w:val="00DA55BE"/>
    <w:rsid w:val="00DA5649"/>
    <w:rsid w:val="00DA5CB9"/>
    <w:rsid w:val="00DB124C"/>
    <w:rsid w:val="00DB173D"/>
    <w:rsid w:val="00DB2622"/>
    <w:rsid w:val="00DB266A"/>
    <w:rsid w:val="00DB4F2A"/>
    <w:rsid w:val="00DB5FE7"/>
    <w:rsid w:val="00DB6E79"/>
    <w:rsid w:val="00DC5081"/>
    <w:rsid w:val="00DC62D9"/>
    <w:rsid w:val="00DC7868"/>
    <w:rsid w:val="00DD063F"/>
    <w:rsid w:val="00DD1C5C"/>
    <w:rsid w:val="00DD23B1"/>
    <w:rsid w:val="00DD2B0D"/>
    <w:rsid w:val="00DD3237"/>
    <w:rsid w:val="00DD46B8"/>
    <w:rsid w:val="00DD57EE"/>
    <w:rsid w:val="00DD7BA5"/>
    <w:rsid w:val="00DE0AC2"/>
    <w:rsid w:val="00DE3394"/>
    <w:rsid w:val="00DE37D8"/>
    <w:rsid w:val="00DE3C40"/>
    <w:rsid w:val="00DE465F"/>
    <w:rsid w:val="00DE5C34"/>
    <w:rsid w:val="00DE5C82"/>
    <w:rsid w:val="00DE5E22"/>
    <w:rsid w:val="00DE6F79"/>
    <w:rsid w:val="00DE7648"/>
    <w:rsid w:val="00DF4577"/>
    <w:rsid w:val="00DF7123"/>
    <w:rsid w:val="00DF7589"/>
    <w:rsid w:val="00DF7D58"/>
    <w:rsid w:val="00E02EF7"/>
    <w:rsid w:val="00E0389C"/>
    <w:rsid w:val="00E03D34"/>
    <w:rsid w:val="00E03DEA"/>
    <w:rsid w:val="00E057D2"/>
    <w:rsid w:val="00E05AB9"/>
    <w:rsid w:val="00E066F6"/>
    <w:rsid w:val="00E06B2E"/>
    <w:rsid w:val="00E07196"/>
    <w:rsid w:val="00E073D6"/>
    <w:rsid w:val="00E07A10"/>
    <w:rsid w:val="00E07D38"/>
    <w:rsid w:val="00E108FF"/>
    <w:rsid w:val="00E13DB3"/>
    <w:rsid w:val="00E17B4A"/>
    <w:rsid w:val="00E17E46"/>
    <w:rsid w:val="00E21E8D"/>
    <w:rsid w:val="00E23B8A"/>
    <w:rsid w:val="00E24284"/>
    <w:rsid w:val="00E2585F"/>
    <w:rsid w:val="00E26D09"/>
    <w:rsid w:val="00E2787C"/>
    <w:rsid w:val="00E27909"/>
    <w:rsid w:val="00E27EDC"/>
    <w:rsid w:val="00E30550"/>
    <w:rsid w:val="00E3055C"/>
    <w:rsid w:val="00E31DD1"/>
    <w:rsid w:val="00E332B8"/>
    <w:rsid w:val="00E353D0"/>
    <w:rsid w:val="00E35E35"/>
    <w:rsid w:val="00E36B42"/>
    <w:rsid w:val="00E36C8E"/>
    <w:rsid w:val="00E40677"/>
    <w:rsid w:val="00E40944"/>
    <w:rsid w:val="00E427EA"/>
    <w:rsid w:val="00E43609"/>
    <w:rsid w:val="00E4504F"/>
    <w:rsid w:val="00E45E0D"/>
    <w:rsid w:val="00E466F4"/>
    <w:rsid w:val="00E467E8"/>
    <w:rsid w:val="00E50386"/>
    <w:rsid w:val="00E52C87"/>
    <w:rsid w:val="00E52CC2"/>
    <w:rsid w:val="00E53111"/>
    <w:rsid w:val="00E54782"/>
    <w:rsid w:val="00E54A8F"/>
    <w:rsid w:val="00E56C41"/>
    <w:rsid w:val="00E604E8"/>
    <w:rsid w:val="00E61EDA"/>
    <w:rsid w:val="00E63B9B"/>
    <w:rsid w:val="00E63BEA"/>
    <w:rsid w:val="00E641D6"/>
    <w:rsid w:val="00E650DA"/>
    <w:rsid w:val="00E66501"/>
    <w:rsid w:val="00E67000"/>
    <w:rsid w:val="00E673F3"/>
    <w:rsid w:val="00E679EC"/>
    <w:rsid w:val="00E67C2F"/>
    <w:rsid w:val="00E70A19"/>
    <w:rsid w:val="00E7374B"/>
    <w:rsid w:val="00E73D5B"/>
    <w:rsid w:val="00E767A8"/>
    <w:rsid w:val="00E77F48"/>
    <w:rsid w:val="00E81CCC"/>
    <w:rsid w:val="00E8218D"/>
    <w:rsid w:val="00E82DC3"/>
    <w:rsid w:val="00E85477"/>
    <w:rsid w:val="00E857CC"/>
    <w:rsid w:val="00E859F9"/>
    <w:rsid w:val="00E86659"/>
    <w:rsid w:val="00E86BC4"/>
    <w:rsid w:val="00E86FE5"/>
    <w:rsid w:val="00E9016D"/>
    <w:rsid w:val="00E9144E"/>
    <w:rsid w:val="00E91460"/>
    <w:rsid w:val="00E91824"/>
    <w:rsid w:val="00E91FE8"/>
    <w:rsid w:val="00E923D5"/>
    <w:rsid w:val="00E93A96"/>
    <w:rsid w:val="00E93E5D"/>
    <w:rsid w:val="00E9498F"/>
    <w:rsid w:val="00E96095"/>
    <w:rsid w:val="00E979E3"/>
    <w:rsid w:val="00EA01E9"/>
    <w:rsid w:val="00EA1D52"/>
    <w:rsid w:val="00EA2C64"/>
    <w:rsid w:val="00EA322E"/>
    <w:rsid w:val="00EA3499"/>
    <w:rsid w:val="00EA6DED"/>
    <w:rsid w:val="00EB1D02"/>
    <w:rsid w:val="00EB40A1"/>
    <w:rsid w:val="00EB6070"/>
    <w:rsid w:val="00EB7027"/>
    <w:rsid w:val="00EC0A48"/>
    <w:rsid w:val="00EC100F"/>
    <w:rsid w:val="00EC3E6C"/>
    <w:rsid w:val="00EC5223"/>
    <w:rsid w:val="00EC5D7A"/>
    <w:rsid w:val="00EC646E"/>
    <w:rsid w:val="00ED076B"/>
    <w:rsid w:val="00ED1AF6"/>
    <w:rsid w:val="00ED2D8E"/>
    <w:rsid w:val="00ED45CE"/>
    <w:rsid w:val="00ED5877"/>
    <w:rsid w:val="00EE1538"/>
    <w:rsid w:val="00EE28D3"/>
    <w:rsid w:val="00EE2965"/>
    <w:rsid w:val="00EE382B"/>
    <w:rsid w:val="00EE571E"/>
    <w:rsid w:val="00EE660F"/>
    <w:rsid w:val="00EE66AA"/>
    <w:rsid w:val="00EF0326"/>
    <w:rsid w:val="00EF04A4"/>
    <w:rsid w:val="00EF0A21"/>
    <w:rsid w:val="00EF1FAD"/>
    <w:rsid w:val="00EF26AA"/>
    <w:rsid w:val="00EF3965"/>
    <w:rsid w:val="00EF3D2B"/>
    <w:rsid w:val="00EF3F18"/>
    <w:rsid w:val="00EF400E"/>
    <w:rsid w:val="00EF457B"/>
    <w:rsid w:val="00EF4C0F"/>
    <w:rsid w:val="00EF5B6F"/>
    <w:rsid w:val="00EF6B3C"/>
    <w:rsid w:val="00EF6CFF"/>
    <w:rsid w:val="00EF6EA4"/>
    <w:rsid w:val="00EF7DCC"/>
    <w:rsid w:val="00F01530"/>
    <w:rsid w:val="00F01CFC"/>
    <w:rsid w:val="00F02B82"/>
    <w:rsid w:val="00F0590E"/>
    <w:rsid w:val="00F0626A"/>
    <w:rsid w:val="00F10794"/>
    <w:rsid w:val="00F11650"/>
    <w:rsid w:val="00F11DA5"/>
    <w:rsid w:val="00F11E82"/>
    <w:rsid w:val="00F13BFE"/>
    <w:rsid w:val="00F155B0"/>
    <w:rsid w:val="00F164A2"/>
    <w:rsid w:val="00F21C7D"/>
    <w:rsid w:val="00F21FAB"/>
    <w:rsid w:val="00F24C11"/>
    <w:rsid w:val="00F253C1"/>
    <w:rsid w:val="00F27A91"/>
    <w:rsid w:val="00F31639"/>
    <w:rsid w:val="00F31EDA"/>
    <w:rsid w:val="00F3311B"/>
    <w:rsid w:val="00F342FD"/>
    <w:rsid w:val="00F344E2"/>
    <w:rsid w:val="00F35473"/>
    <w:rsid w:val="00F35C1D"/>
    <w:rsid w:val="00F36D22"/>
    <w:rsid w:val="00F36DC7"/>
    <w:rsid w:val="00F37622"/>
    <w:rsid w:val="00F377EC"/>
    <w:rsid w:val="00F37DC6"/>
    <w:rsid w:val="00F404CA"/>
    <w:rsid w:val="00F40638"/>
    <w:rsid w:val="00F40881"/>
    <w:rsid w:val="00F40CF7"/>
    <w:rsid w:val="00F40D86"/>
    <w:rsid w:val="00F421BD"/>
    <w:rsid w:val="00F43BD4"/>
    <w:rsid w:val="00F464FC"/>
    <w:rsid w:val="00F50EFD"/>
    <w:rsid w:val="00F51FD7"/>
    <w:rsid w:val="00F52AFF"/>
    <w:rsid w:val="00F54E96"/>
    <w:rsid w:val="00F55052"/>
    <w:rsid w:val="00F55D7F"/>
    <w:rsid w:val="00F5605B"/>
    <w:rsid w:val="00F5608A"/>
    <w:rsid w:val="00F563B6"/>
    <w:rsid w:val="00F565FB"/>
    <w:rsid w:val="00F56876"/>
    <w:rsid w:val="00F608E1"/>
    <w:rsid w:val="00F63D8F"/>
    <w:rsid w:val="00F644EA"/>
    <w:rsid w:val="00F64A52"/>
    <w:rsid w:val="00F64D0B"/>
    <w:rsid w:val="00F65D1B"/>
    <w:rsid w:val="00F66E8D"/>
    <w:rsid w:val="00F67A9C"/>
    <w:rsid w:val="00F67F71"/>
    <w:rsid w:val="00F705BA"/>
    <w:rsid w:val="00F706B3"/>
    <w:rsid w:val="00F713E7"/>
    <w:rsid w:val="00F718C9"/>
    <w:rsid w:val="00F73591"/>
    <w:rsid w:val="00F75275"/>
    <w:rsid w:val="00F75D9B"/>
    <w:rsid w:val="00F75DA9"/>
    <w:rsid w:val="00F76C50"/>
    <w:rsid w:val="00F812D7"/>
    <w:rsid w:val="00F8178A"/>
    <w:rsid w:val="00F8353E"/>
    <w:rsid w:val="00F8377E"/>
    <w:rsid w:val="00F842D1"/>
    <w:rsid w:val="00F8475C"/>
    <w:rsid w:val="00F849D3"/>
    <w:rsid w:val="00F84A12"/>
    <w:rsid w:val="00F84B9E"/>
    <w:rsid w:val="00F854A1"/>
    <w:rsid w:val="00F85D56"/>
    <w:rsid w:val="00F86070"/>
    <w:rsid w:val="00F873F5"/>
    <w:rsid w:val="00F90426"/>
    <w:rsid w:val="00F9042E"/>
    <w:rsid w:val="00F90FAC"/>
    <w:rsid w:val="00F91541"/>
    <w:rsid w:val="00F91573"/>
    <w:rsid w:val="00F91700"/>
    <w:rsid w:val="00F91C3E"/>
    <w:rsid w:val="00F92416"/>
    <w:rsid w:val="00F92535"/>
    <w:rsid w:val="00F92649"/>
    <w:rsid w:val="00F92929"/>
    <w:rsid w:val="00F92F61"/>
    <w:rsid w:val="00F9368C"/>
    <w:rsid w:val="00F94C79"/>
    <w:rsid w:val="00F9551B"/>
    <w:rsid w:val="00F95D43"/>
    <w:rsid w:val="00F961AF"/>
    <w:rsid w:val="00F961E8"/>
    <w:rsid w:val="00FA03C1"/>
    <w:rsid w:val="00FA0D48"/>
    <w:rsid w:val="00FA3347"/>
    <w:rsid w:val="00FA35CB"/>
    <w:rsid w:val="00FA3ADA"/>
    <w:rsid w:val="00FA67B9"/>
    <w:rsid w:val="00FB0639"/>
    <w:rsid w:val="00FB46F8"/>
    <w:rsid w:val="00FB519C"/>
    <w:rsid w:val="00FB74A3"/>
    <w:rsid w:val="00FB777F"/>
    <w:rsid w:val="00FC15A2"/>
    <w:rsid w:val="00FC15F6"/>
    <w:rsid w:val="00FC1EEF"/>
    <w:rsid w:val="00FC29A7"/>
    <w:rsid w:val="00FC4247"/>
    <w:rsid w:val="00FC45D4"/>
    <w:rsid w:val="00FC5735"/>
    <w:rsid w:val="00FC7B44"/>
    <w:rsid w:val="00FD19C7"/>
    <w:rsid w:val="00FD45DF"/>
    <w:rsid w:val="00FD4915"/>
    <w:rsid w:val="00FD4B42"/>
    <w:rsid w:val="00FD745A"/>
    <w:rsid w:val="00FD7E05"/>
    <w:rsid w:val="00FD7E78"/>
    <w:rsid w:val="00FE106B"/>
    <w:rsid w:val="00FE2077"/>
    <w:rsid w:val="00FE3E28"/>
    <w:rsid w:val="00FE4092"/>
    <w:rsid w:val="00FE4DF8"/>
    <w:rsid w:val="00FE57CB"/>
    <w:rsid w:val="00FE627E"/>
    <w:rsid w:val="00FE63E5"/>
    <w:rsid w:val="00FE688F"/>
    <w:rsid w:val="00FE6C05"/>
    <w:rsid w:val="00FF14C9"/>
    <w:rsid w:val="00FF29AA"/>
    <w:rsid w:val="00FF3F89"/>
    <w:rsid w:val="00FF4428"/>
    <w:rsid w:val="00FF4CC4"/>
    <w:rsid w:val="00FF58C5"/>
    <w:rsid w:val="00FF5AC5"/>
    <w:rsid w:val="00FF5AC6"/>
    <w:rsid w:val="00FF5E41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3A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A3E"/>
    <w:pPr>
      <w:spacing w:before="120" w:after="120" w:line="240" w:lineRule="auto"/>
    </w:pPr>
    <w:rPr>
      <w:rFonts w:ascii="Calibri" w:eastAsiaTheme="minorEastAsia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5BC4"/>
    <w:pPr>
      <w:keepNext/>
      <w:spacing w:after="240"/>
      <w:outlineLvl w:val="0"/>
    </w:pPr>
    <w:rPr>
      <w:b/>
      <w:color w:val="002C47"/>
      <w:sz w:val="3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463005"/>
    <w:pPr>
      <w:keepNext/>
      <w:spacing w:before="200"/>
      <w:outlineLvl w:val="1"/>
    </w:pPr>
    <w:rPr>
      <w:b/>
      <w:i/>
      <w:color w:val="002C47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604AC"/>
    <w:pPr>
      <w:spacing w:before="240"/>
      <w:outlineLvl w:val="2"/>
    </w:pPr>
    <w:rPr>
      <w:rFonts w:eastAsia="Calibri"/>
      <w:b/>
      <w:i/>
      <w:iCs/>
      <w:color w:val="002C47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468B5"/>
    <w:pPr>
      <w:pBdr>
        <w:top w:val="dotted" w:sz="6" w:space="1" w:color="002C47" w:themeColor="accent1"/>
      </w:pBdr>
      <w:spacing w:before="200" w:after="0"/>
      <w:outlineLvl w:val="3"/>
    </w:pPr>
    <w:rPr>
      <w:b/>
      <w:smallCaps/>
      <w:color w:val="002C47" w:themeColor="accent1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A468B5"/>
    <w:pPr>
      <w:keepNext/>
      <w:pBdr>
        <w:bottom w:val="single" w:sz="6" w:space="1" w:color="002C47" w:themeColor="accent1"/>
      </w:pBdr>
      <w:spacing w:before="200" w:after="0"/>
      <w:outlineLvl w:val="4"/>
    </w:pPr>
    <w:rPr>
      <w:i/>
      <w:smallCaps/>
      <w:color w:val="002C47" w:themeColor="accent1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A468B5"/>
    <w:pPr>
      <w:pBdr>
        <w:bottom w:val="dotted" w:sz="6" w:space="1" w:color="002C47" w:themeColor="accent1"/>
      </w:pBdr>
      <w:spacing w:before="200" w:after="0"/>
      <w:outlineLvl w:val="5"/>
    </w:pPr>
    <w:rPr>
      <w:i/>
      <w:smallCaps/>
      <w:color w:val="002C47" w:themeColor="accent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68B5"/>
    <w:pPr>
      <w:spacing w:after="0"/>
      <w:outlineLvl w:val="6"/>
    </w:pPr>
    <w:rPr>
      <w:b/>
      <w:i/>
      <w:color w:val="002C47" w:themeColor="accent1"/>
    </w:rPr>
  </w:style>
  <w:style w:type="paragraph" w:styleId="Heading8">
    <w:name w:val="heading 8"/>
    <w:basedOn w:val="Heading9"/>
    <w:next w:val="Normal"/>
    <w:link w:val="Heading8Char"/>
    <w:uiPriority w:val="9"/>
    <w:unhideWhenUsed/>
    <w:qFormat/>
    <w:rsid w:val="0028692E"/>
    <w:pPr>
      <w:numPr>
        <w:numId w:val="30"/>
      </w:numPr>
      <w:outlineLvl w:val="7"/>
    </w:pPr>
  </w:style>
  <w:style w:type="paragraph" w:styleId="Heading9">
    <w:name w:val="heading 9"/>
    <w:basedOn w:val="ChartMainHeading"/>
    <w:next w:val="Normal"/>
    <w:link w:val="Heading9Char"/>
    <w:uiPriority w:val="9"/>
    <w:unhideWhenUsed/>
    <w:qFormat/>
    <w:rsid w:val="008E0014"/>
    <w:pPr>
      <w:pBdr>
        <w:top w:val="dashed" w:sz="4" w:space="1" w:color="002C47" w:themeColor="accent1"/>
      </w:pBdr>
      <w:spacing w:before="120"/>
    </w:pPr>
    <w:rPr>
      <w:rFonts w:eastAsia="Calibri"/>
      <w:bCs/>
      <w:smallCaps/>
      <w:color w:val="002C47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8B5"/>
  </w:style>
  <w:style w:type="character" w:customStyle="1" w:styleId="CommentTextChar">
    <w:name w:val="Comment Text Char"/>
    <w:basedOn w:val="DefaultParagraphFont"/>
    <w:link w:val="CommentText"/>
    <w:uiPriority w:val="99"/>
    <w:rsid w:val="00A468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8B5"/>
    <w:rPr>
      <w:rFonts w:eastAsiaTheme="minorEastAsia"/>
      <w:b/>
      <w:bCs/>
      <w:sz w:val="20"/>
      <w:szCs w:val="20"/>
    </w:rPr>
  </w:style>
  <w:style w:type="paragraph" w:customStyle="1" w:styleId="Bullet">
    <w:name w:val="Bullet"/>
    <w:basedOn w:val="Normal"/>
    <w:link w:val="BulletChar"/>
    <w:rsid w:val="009F6670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9F6670"/>
    <w:rPr>
      <w:rFonts w:ascii="Calibri" w:eastAsiaTheme="minorEastAsia" w:hAnsi="Calibri"/>
      <w:sz w:val="20"/>
      <w:szCs w:val="20"/>
    </w:rPr>
  </w:style>
  <w:style w:type="paragraph" w:customStyle="1" w:styleId="Dash">
    <w:name w:val="Dash"/>
    <w:basedOn w:val="Normal"/>
    <w:link w:val="DashChar"/>
    <w:rsid w:val="009F6670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9F6670"/>
    <w:rPr>
      <w:rFonts w:ascii="Calibri" w:hAnsi="Calibri" w:cs="Times New Roman"/>
    </w:rPr>
  </w:style>
  <w:style w:type="paragraph" w:customStyle="1" w:styleId="DoubleDot">
    <w:name w:val="Double Dot"/>
    <w:basedOn w:val="Normal"/>
    <w:link w:val="DoubleDotChar"/>
    <w:rsid w:val="009F6670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9F6670"/>
    <w:rPr>
      <w:rFonts w:ascii="Calibri" w:hAnsi="Calibri" w:cs="Times New Roman"/>
    </w:rPr>
  </w:style>
  <w:style w:type="paragraph" w:customStyle="1" w:styleId="Default">
    <w:name w:val="Default"/>
    <w:rsid w:val="00A468B5"/>
    <w:pPr>
      <w:autoSpaceDE w:val="0"/>
      <w:autoSpaceDN w:val="0"/>
      <w:adjustRightInd w:val="0"/>
      <w:spacing w:before="100" w:after="0" w:line="240" w:lineRule="auto"/>
    </w:pPr>
    <w:rPr>
      <w:rFonts w:ascii="Palatino" w:eastAsia="Times New Roman" w:hAnsi="Palatino" w:cs="Palatin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68B5"/>
    <w:pPr>
      <w:spacing w:before="100" w:after="240" w:line="260" w:lineRule="exact"/>
      <w:jc w:val="both"/>
    </w:pPr>
    <w:rPr>
      <w:rFonts w:eastAsia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styleId="Revision">
    <w:name w:val="Revision"/>
    <w:hidden/>
    <w:uiPriority w:val="99"/>
    <w:semiHidden/>
    <w:rsid w:val="001B275D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6E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8B5"/>
    <w:pPr>
      <w:keepNext/>
      <w:spacing w:before="0" w:after="0"/>
      <w:jc w:val="right"/>
    </w:pPr>
    <w:rPr>
      <w:color w:val="004A7F"/>
    </w:rPr>
  </w:style>
  <w:style w:type="character" w:customStyle="1" w:styleId="HeaderChar">
    <w:name w:val="Header Char"/>
    <w:basedOn w:val="DefaultParagraphFont"/>
    <w:link w:val="Header"/>
    <w:uiPriority w:val="99"/>
    <w:rsid w:val="00A468B5"/>
    <w:rPr>
      <w:rFonts w:eastAsiaTheme="minorEastAsia"/>
      <w:color w:val="004A7F"/>
      <w:sz w:val="20"/>
      <w:szCs w:val="20"/>
    </w:rPr>
  </w:style>
  <w:style w:type="paragraph" w:styleId="Footer">
    <w:name w:val="footer"/>
    <w:basedOn w:val="Normal"/>
    <w:link w:val="FooterChar"/>
    <w:unhideWhenUsed/>
    <w:rsid w:val="004B535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18"/>
    </w:rPr>
  </w:style>
  <w:style w:type="character" w:customStyle="1" w:styleId="FooterChar">
    <w:name w:val="Footer Char"/>
    <w:basedOn w:val="DefaultParagraphFont"/>
    <w:link w:val="Footer"/>
    <w:rsid w:val="004B5358"/>
    <w:rPr>
      <w:rFonts w:ascii="Calibri" w:eastAsiaTheme="minorEastAsia" w:hAnsi="Calibri"/>
      <w:color w:val="002C47"/>
      <w:sz w:val="18"/>
      <w:szCs w:val="20"/>
    </w:rPr>
  </w:style>
  <w:style w:type="character" w:styleId="Hyperlink">
    <w:name w:val="Hyperlink"/>
    <w:basedOn w:val="DefaultParagraphFont"/>
    <w:uiPriority w:val="99"/>
    <w:rsid w:val="0048560C"/>
    <w:rPr>
      <w:color w:val="4470A7"/>
      <w:u w:val="none"/>
    </w:rPr>
  </w:style>
  <w:style w:type="paragraph" w:styleId="ListParagraph">
    <w:name w:val="List Paragraph"/>
    <w:basedOn w:val="Normal"/>
    <w:uiPriority w:val="34"/>
    <w:rsid w:val="00A468B5"/>
    <w:pPr>
      <w:ind w:left="720"/>
      <w:contextualSpacing/>
    </w:pPr>
  </w:style>
  <w:style w:type="paragraph" w:styleId="FootnoteText">
    <w:name w:val="footnote text"/>
    <w:basedOn w:val="CommentText"/>
    <w:link w:val="FootnoteTextChar"/>
    <w:uiPriority w:val="99"/>
    <w:rsid w:val="00680938"/>
    <w:pPr>
      <w:keepLines/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0938"/>
    <w:rPr>
      <w:rFonts w:ascii="Calibri" w:eastAsiaTheme="minorEastAsia" w:hAnsi="Calibri"/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468B5"/>
    <w:rPr>
      <w:rFonts w:ascii="Calibri" w:hAnsi="Calibri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975BC4"/>
    <w:rPr>
      <w:rFonts w:ascii="Calibri" w:eastAsiaTheme="minorEastAsia" w:hAnsi="Calibri"/>
      <w:b/>
      <w:color w:val="002C47"/>
      <w:sz w:val="36"/>
    </w:rPr>
  </w:style>
  <w:style w:type="character" w:customStyle="1" w:styleId="Heading2Char">
    <w:name w:val="Heading 2 Char"/>
    <w:basedOn w:val="DefaultParagraphFont"/>
    <w:link w:val="Heading2"/>
    <w:rsid w:val="00463005"/>
    <w:rPr>
      <w:rFonts w:ascii="Calibri" w:eastAsiaTheme="minorEastAsia" w:hAnsi="Calibri"/>
      <w:b/>
      <w:i/>
      <w:color w:val="002C47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604AC"/>
    <w:rPr>
      <w:rFonts w:ascii="Calibri" w:eastAsia="Calibri" w:hAnsi="Calibri"/>
      <w:b/>
      <w:i/>
      <w:iCs/>
      <w:color w:val="002C47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468B5"/>
    <w:rPr>
      <w:rFonts w:eastAsiaTheme="minorEastAsia"/>
      <w:b/>
      <w:smallCaps/>
      <w:color w:val="002C47" w:themeColor="accent1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468B5"/>
    <w:rPr>
      <w:rFonts w:eastAsiaTheme="minorEastAsia"/>
      <w:b/>
      <w:i/>
      <w:color w:val="002C47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92E"/>
    <w:rPr>
      <w:rFonts w:ascii="Calibri" w:eastAsiaTheme="minorEastAsia" w:hAnsi="Calibri"/>
      <w:b/>
      <w:color w:val="002C47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0014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paragraph" w:customStyle="1" w:styleId="ChartGraphic">
    <w:name w:val="Chart Graphic"/>
    <w:basedOn w:val="Normal"/>
    <w:next w:val="Normal"/>
    <w:rsid w:val="00142FC9"/>
    <w:pPr>
      <w:keepNext/>
      <w:spacing w:before="0" w:after="240"/>
    </w:pPr>
    <w:rPr>
      <w:color w:val="004A7F"/>
    </w:rPr>
  </w:style>
  <w:style w:type="paragraph" w:customStyle="1" w:styleId="AlphaParagraph">
    <w:name w:val="Alpha Paragraph"/>
    <w:basedOn w:val="Normal"/>
    <w:rsid w:val="00A468B5"/>
    <w:pPr>
      <w:numPr>
        <w:ilvl w:val="1"/>
        <w:numId w:val="24"/>
      </w:numPr>
      <w:spacing w:before="0"/>
    </w:pPr>
  </w:style>
  <w:style w:type="paragraph" w:customStyle="1" w:styleId="BoxBullet">
    <w:name w:val="Box Bullet"/>
    <w:basedOn w:val="Normal"/>
    <w:link w:val="BoxBulletChar"/>
    <w:rsid w:val="00A468B5"/>
    <w:pPr>
      <w:numPr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ash">
    <w:name w:val="Box Dash"/>
    <w:basedOn w:val="Normal"/>
    <w:link w:val="BoxDashChar"/>
    <w:rsid w:val="00A468B5"/>
    <w:pPr>
      <w:numPr>
        <w:ilvl w:val="1"/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oubleDot">
    <w:name w:val="Box Double Dot"/>
    <w:basedOn w:val="Normal"/>
    <w:rsid w:val="00A468B5"/>
    <w:pPr>
      <w:numPr>
        <w:ilvl w:val="2"/>
        <w:numId w:val="15"/>
      </w:numPr>
      <w:spacing w:before="0"/>
    </w:pPr>
  </w:style>
  <w:style w:type="paragraph" w:customStyle="1" w:styleId="BoxHeading">
    <w:name w:val="Box Heading"/>
    <w:basedOn w:val="Heading3"/>
    <w:next w:val="BoxText"/>
    <w:qFormat/>
    <w:rsid w:val="00A468B5"/>
    <w:pPr>
      <w:numPr>
        <w:numId w:val="29"/>
      </w:numPr>
      <w:tabs>
        <w:tab w:val="left" w:pos="1134"/>
      </w:tabs>
      <w:ind w:left="0" w:firstLine="0"/>
      <w:jc w:val="both"/>
    </w:pPr>
    <w:rPr>
      <w:rFonts w:asciiTheme="majorHAnsi" w:hAnsiTheme="majorHAnsi" w:cstheme="majorHAnsi"/>
      <w:sz w:val="26"/>
      <w:szCs w:val="26"/>
      <w:lang w:eastAsia="en-AU"/>
    </w:rPr>
  </w:style>
  <w:style w:type="paragraph" w:customStyle="1" w:styleId="BoxText">
    <w:name w:val="Box Text"/>
    <w:basedOn w:val="Normal"/>
    <w:rsid w:val="00A21A3E"/>
    <w:pPr>
      <w:ind w:left="57" w:right="57"/>
      <w:jc w:val="both"/>
    </w:pPr>
    <w:rPr>
      <w:rFonts w:cstheme="minorHAnsi"/>
      <w:sz w:val="19"/>
      <w:lang w:eastAsia="en-AU"/>
    </w:rPr>
  </w:style>
  <w:style w:type="paragraph" w:customStyle="1" w:styleId="Normalbullet">
    <w:name w:val="Normal bullet"/>
    <w:basedOn w:val="Normal"/>
    <w:link w:val="NormalbulletChar"/>
    <w:qFormat/>
    <w:rsid w:val="00A468B5"/>
    <w:pPr>
      <w:numPr>
        <w:numId w:val="16"/>
      </w:numPr>
      <w:spacing w:before="0"/>
    </w:pPr>
  </w:style>
  <w:style w:type="paragraph" w:customStyle="1" w:styleId="ChartandTableFootnoteAlpha">
    <w:name w:val="Chart and Table Footnote Alpha"/>
    <w:rsid w:val="00A468B5"/>
    <w:pPr>
      <w:numPr>
        <w:numId w:val="18"/>
      </w:numPr>
      <w:spacing w:before="100"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Normal"/>
    <w:next w:val="ChartGraphic"/>
    <w:rsid w:val="005C6849"/>
    <w:pPr>
      <w:keepNext/>
      <w:numPr>
        <w:numId w:val="28"/>
      </w:numPr>
      <w:spacing w:before="240"/>
      <w:outlineLvl w:val="8"/>
    </w:pPr>
    <w:rPr>
      <w:b/>
      <w:color w:val="1E75BA" w:themeColor="accent2"/>
      <w:sz w:val="22"/>
    </w:rPr>
  </w:style>
  <w:style w:type="paragraph" w:customStyle="1" w:styleId="ChartorTableNote">
    <w:name w:val="Chart or Table Note"/>
    <w:next w:val="Normal"/>
    <w:rsid w:val="00A711E0"/>
    <w:pPr>
      <w:tabs>
        <w:tab w:val="left" w:pos="454"/>
      </w:tabs>
      <w:spacing w:after="360" w:line="240" w:lineRule="auto"/>
      <w:ind w:left="454" w:hanging="454"/>
      <w:jc w:val="both"/>
    </w:pPr>
    <w:rPr>
      <w:rFonts w:ascii="Calibri" w:eastAsia="Times New Roman" w:hAnsi="Calibri" w:cs="Times New Roman"/>
      <w:bCs/>
      <w:color w:val="4470A7"/>
      <w:sz w:val="17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A468B5"/>
    <w:rPr>
      <w:color w:val="277F98" w:themeColor="accent6"/>
    </w:rPr>
  </w:style>
  <w:style w:type="paragraph" w:customStyle="1" w:styleId="ReportDate">
    <w:name w:val="Report Date"/>
    <w:basedOn w:val="Normal"/>
    <w:link w:val="ReportDateChar"/>
    <w:rsid w:val="00A468B5"/>
    <w:pPr>
      <w:keepNext/>
      <w:spacing w:before="0" w:after="360"/>
    </w:pPr>
    <w:rPr>
      <w:color w:val="FFFFFF" w:themeColor="background1"/>
      <w:sz w:val="44"/>
    </w:rPr>
  </w:style>
  <w:style w:type="paragraph" w:customStyle="1" w:styleId="Normaldash">
    <w:name w:val="Normal dash"/>
    <w:basedOn w:val="Normal"/>
    <w:link w:val="NormaldashChar"/>
    <w:qFormat/>
    <w:rsid w:val="00A468B5"/>
    <w:pPr>
      <w:numPr>
        <w:ilvl w:val="1"/>
        <w:numId w:val="16"/>
      </w:numPr>
      <w:spacing w:before="0"/>
    </w:pPr>
  </w:style>
  <w:style w:type="paragraph" w:customStyle="1" w:styleId="Normaldoubledot">
    <w:name w:val="Normal double dot"/>
    <w:basedOn w:val="Normal"/>
    <w:qFormat/>
    <w:rsid w:val="00A468B5"/>
    <w:pPr>
      <w:numPr>
        <w:ilvl w:val="2"/>
        <w:numId w:val="16"/>
      </w:numPr>
      <w:spacing w:before="0"/>
    </w:pPr>
  </w:style>
  <w:style w:type="paragraph" w:customStyle="1" w:styleId="TableMainHeading">
    <w:name w:val="Table Main Heading"/>
    <w:basedOn w:val="Normal"/>
    <w:next w:val="Normal"/>
    <w:rsid w:val="00A468B5"/>
    <w:pPr>
      <w:keepNext/>
      <w:numPr>
        <w:numId w:val="27"/>
      </w:numPr>
      <w:pBdr>
        <w:top w:val="dashed" w:sz="4" w:space="1" w:color="002C47" w:themeColor="accent1"/>
      </w:pBdr>
      <w:tabs>
        <w:tab w:val="left" w:pos="993"/>
      </w:tabs>
      <w:spacing w:after="0"/>
      <w:outlineLvl w:val="7"/>
    </w:pPr>
    <w:rPr>
      <w:b/>
      <w:smallCaps/>
      <w:color w:val="002C47" w:themeColor="accent1"/>
      <w:spacing w:val="15"/>
    </w:rPr>
  </w:style>
  <w:style w:type="paragraph" w:customStyle="1" w:styleId="FooterEven">
    <w:name w:val="Footer Even"/>
    <w:basedOn w:val="Footer"/>
    <w:rsid w:val="00A468B5"/>
    <w:pPr>
      <w:keepNext/>
      <w:tabs>
        <w:tab w:val="clear" w:pos="4513"/>
        <w:tab w:val="clear" w:pos="9026"/>
      </w:tabs>
      <w:jc w:val="left"/>
    </w:pPr>
    <w:rPr>
      <w:noProof/>
      <w:color w:val="002C47" w:themeColor="accent1"/>
    </w:rPr>
  </w:style>
  <w:style w:type="paragraph" w:customStyle="1" w:styleId="FooterOdd">
    <w:name w:val="Footer Odd"/>
    <w:basedOn w:val="Footer"/>
    <w:rsid w:val="00A468B5"/>
    <w:pPr>
      <w:keepNext/>
      <w:tabs>
        <w:tab w:val="clear" w:pos="4513"/>
        <w:tab w:val="clear" w:pos="9026"/>
      </w:tabs>
      <w:jc w:val="right"/>
    </w:pPr>
    <w:rPr>
      <w:color w:val="002C47" w:themeColor="accent1"/>
    </w:rPr>
  </w:style>
  <w:style w:type="paragraph" w:customStyle="1" w:styleId="OutlineNumbered1">
    <w:name w:val="Outline Numbered 1"/>
    <w:basedOn w:val="Normal"/>
    <w:rsid w:val="00A468B5"/>
    <w:pPr>
      <w:numPr>
        <w:numId w:val="23"/>
      </w:numPr>
      <w:spacing w:before="0"/>
    </w:pPr>
  </w:style>
  <w:style w:type="paragraph" w:customStyle="1" w:styleId="OneLevelNumberedParagraph">
    <w:name w:val="One Level Numbered Paragraph"/>
    <w:basedOn w:val="Normal"/>
    <w:rsid w:val="00A468B5"/>
    <w:pPr>
      <w:numPr>
        <w:numId w:val="22"/>
      </w:numPr>
      <w:spacing w:before="0"/>
    </w:pPr>
  </w:style>
  <w:style w:type="paragraph" w:customStyle="1" w:styleId="OutlineNumbered2">
    <w:name w:val="Outline Numbered 2"/>
    <w:basedOn w:val="Normal"/>
    <w:rsid w:val="00A468B5"/>
    <w:pPr>
      <w:numPr>
        <w:ilvl w:val="1"/>
        <w:numId w:val="23"/>
      </w:numPr>
      <w:spacing w:before="0"/>
    </w:pPr>
  </w:style>
  <w:style w:type="paragraph" w:customStyle="1" w:styleId="OutlineNumbered3">
    <w:name w:val="Outline Numbered 3"/>
    <w:basedOn w:val="Normal"/>
    <w:rsid w:val="00A468B5"/>
    <w:pPr>
      <w:numPr>
        <w:ilvl w:val="2"/>
        <w:numId w:val="23"/>
      </w:numPr>
      <w:spacing w:before="0"/>
    </w:pPr>
  </w:style>
  <w:style w:type="paragraph" w:customStyle="1" w:styleId="Romannumeral">
    <w:name w:val="Roman numeral"/>
    <w:basedOn w:val="Normal"/>
    <w:rsid w:val="00A468B5"/>
    <w:pPr>
      <w:numPr>
        <w:numId w:val="24"/>
      </w:numPr>
      <w:tabs>
        <w:tab w:val="clear" w:pos="720"/>
        <w:tab w:val="num" w:pos="851"/>
      </w:tabs>
      <w:spacing w:before="0"/>
    </w:pPr>
  </w:style>
  <w:style w:type="paragraph" w:customStyle="1" w:styleId="SingleParagraph">
    <w:name w:val="Single Paragraph"/>
    <w:basedOn w:val="Normal"/>
    <w:link w:val="SingleParagraphChar"/>
    <w:rsid w:val="00A468B5"/>
    <w:pPr>
      <w:spacing w:before="0" w:after="0"/>
    </w:pPr>
  </w:style>
  <w:style w:type="paragraph" w:customStyle="1" w:styleId="TableSecondHeading">
    <w:name w:val="Table Second Heading"/>
    <w:basedOn w:val="Normal"/>
    <w:next w:val="Normal"/>
    <w:qFormat/>
    <w:rsid w:val="00FA35CB"/>
    <w:pPr>
      <w:spacing w:before="40" w:after="40" w:line="276" w:lineRule="auto"/>
      <w:jc w:val="center"/>
    </w:pPr>
    <w:rPr>
      <w:rFonts w:asciiTheme="minorHAnsi" w:eastAsia="Times New Roman" w:hAnsiTheme="minorHAnsi" w:cstheme="minorHAnsi"/>
      <w:b/>
      <w:bCs/>
      <w:color w:val="002C47" w:themeColor="accent1"/>
      <w:sz w:val="18"/>
      <w:szCs w:val="18"/>
      <w:lang w:eastAsia="en-AU"/>
    </w:rPr>
  </w:style>
  <w:style w:type="paragraph" w:customStyle="1" w:styleId="TableColumnHeadingCentred">
    <w:name w:val="Table Column Heading Centred"/>
    <w:basedOn w:val="TableTextLeft"/>
    <w:rsid w:val="00A468B5"/>
    <w:pPr>
      <w:jc w:val="center"/>
    </w:pPr>
    <w:rPr>
      <w:b/>
      <w:color w:val="004A7F"/>
    </w:rPr>
  </w:style>
  <w:style w:type="paragraph" w:customStyle="1" w:styleId="TableColumnHeadingLeft">
    <w:name w:val="Table Column Heading Left"/>
    <w:basedOn w:val="TableTextLeft"/>
    <w:rsid w:val="00A468B5"/>
    <w:rPr>
      <w:b/>
      <w:color w:val="004A7F"/>
    </w:rPr>
  </w:style>
  <w:style w:type="paragraph" w:customStyle="1" w:styleId="TableColumnHeadingRight">
    <w:name w:val="Table Column Heading Right"/>
    <w:basedOn w:val="TableTextLeft"/>
    <w:rsid w:val="00A468B5"/>
    <w:pPr>
      <w:jc w:val="right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A468B5"/>
    <w:pPr>
      <w:jc w:val="center"/>
    </w:pPr>
  </w:style>
  <w:style w:type="paragraph" w:customStyle="1" w:styleId="TableTextLeft">
    <w:name w:val="Table Text Left"/>
    <w:basedOn w:val="TableTextRight"/>
    <w:rsid w:val="00A468B5"/>
    <w:pPr>
      <w:jc w:val="left"/>
    </w:pPr>
    <w:rPr>
      <w:rFonts w:cs="Times New Roman"/>
      <w:bdr w:val="none" w:sz="0" w:space="0" w:color="auto" w:frame="1"/>
      <w:lang w:eastAsia="en-AU"/>
    </w:rPr>
  </w:style>
  <w:style w:type="paragraph" w:customStyle="1" w:styleId="TableTextRight">
    <w:name w:val="Table Text Right"/>
    <w:basedOn w:val="Normal"/>
    <w:rsid w:val="00A468B5"/>
    <w:pPr>
      <w:spacing w:before="40" w:after="40"/>
      <w:jc w:val="right"/>
    </w:pPr>
    <w:rPr>
      <w:color w:val="000000"/>
    </w:rPr>
  </w:style>
  <w:style w:type="paragraph" w:styleId="TOC1">
    <w:name w:val="toc 1"/>
    <w:basedOn w:val="Normal"/>
    <w:next w:val="Normal"/>
    <w:uiPriority w:val="39"/>
    <w:rsid w:val="00A468B5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0000" w:themeColor="text1"/>
      <w:szCs w:val="22"/>
    </w:rPr>
  </w:style>
  <w:style w:type="paragraph" w:styleId="TOC2">
    <w:name w:val="toc 2"/>
    <w:basedOn w:val="Normal"/>
    <w:next w:val="Normal"/>
    <w:uiPriority w:val="39"/>
    <w:rsid w:val="00A468B5"/>
    <w:pPr>
      <w:keepNext/>
      <w:tabs>
        <w:tab w:val="right" w:leader="dot" w:pos="9072"/>
      </w:tabs>
      <w:spacing w:before="40" w:after="20"/>
      <w:ind w:left="142" w:right="-2"/>
    </w:pPr>
    <w:rPr>
      <w:noProof/>
      <w:color w:val="000000" w:themeColor="text1"/>
    </w:rPr>
  </w:style>
  <w:style w:type="paragraph" w:styleId="TOC3">
    <w:name w:val="toc 3"/>
    <w:basedOn w:val="Normal"/>
    <w:next w:val="Normal"/>
    <w:uiPriority w:val="39"/>
    <w:rsid w:val="00A468B5"/>
    <w:pPr>
      <w:tabs>
        <w:tab w:val="right" w:leader="dot" w:pos="9072"/>
      </w:tabs>
      <w:spacing w:before="20" w:after="0"/>
      <w:ind w:left="284" w:right="-2"/>
    </w:pPr>
    <w:rPr>
      <w:rFonts w:cs="Calibri"/>
      <w:noProof/>
      <w:color w:val="000000" w:themeColor="text1"/>
    </w:rPr>
  </w:style>
  <w:style w:type="numbering" w:customStyle="1" w:styleId="OutlineList">
    <w:name w:val="OutlineList"/>
    <w:uiPriority w:val="99"/>
    <w:rsid w:val="00A468B5"/>
    <w:pPr>
      <w:numPr>
        <w:numId w:val="23"/>
      </w:numPr>
    </w:pPr>
  </w:style>
  <w:style w:type="numbering" w:customStyle="1" w:styleId="BulletedList">
    <w:name w:val="Bulleted List"/>
    <w:uiPriority w:val="99"/>
    <w:rsid w:val="00A468B5"/>
    <w:pPr>
      <w:numPr>
        <w:numId w:val="16"/>
      </w:numPr>
    </w:pPr>
  </w:style>
  <w:style w:type="numbering" w:customStyle="1" w:styleId="BoxBulletedList">
    <w:name w:val="Box Bulleted List"/>
    <w:uiPriority w:val="99"/>
    <w:rsid w:val="00A468B5"/>
    <w:pPr>
      <w:numPr>
        <w:numId w:val="15"/>
      </w:numPr>
    </w:pPr>
  </w:style>
  <w:style w:type="numbering" w:customStyle="1" w:styleId="OneLevelList">
    <w:name w:val="OneLevelList"/>
    <w:uiPriority w:val="99"/>
    <w:rsid w:val="00A468B5"/>
    <w:pPr>
      <w:numPr>
        <w:numId w:val="22"/>
      </w:numPr>
    </w:pPr>
  </w:style>
  <w:style w:type="numbering" w:customStyle="1" w:styleId="ChartandTableFootnoteAlphaList">
    <w:name w:val="ChartandTableFootnoteAlphaList"/>
    <w:uiPriority w:val="99"/>
    <w:rsid w:val="00A468B5"/>
    <w:pPr>
      <w:numPr>
        <w:numId w:val="18"/>
      </w:numPr>
    </w:pPr>
  </w:style>
  <w:style w:type="paragraph" w:customStyle="1" w:styleId="Crest">
    <w:name w:val="Crest"/>
    <w:basedOn w:val="Header"/>
    <w:rsid w:val="00A468B5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A468B5"/>
    <w:pPr>
      <w:numPr>
        <w:numId w:val="19"/>
      </w:numPr>
    </w:pPr>
  </w:style>
  <w:style w:type="character" w:customStyle="1" w:styleId="SingleParagraphChar">
    <w:name w:val="Single Paragraph Char"/>
    <w:basedOn w:val="DefaultParagraphFont"/>
    <w:link w:val="SingleParagraph"/>
    <w:rsid w:val="00A468B5"/>
    <w:rPr>
      <w:rFonts w:eastAsiaTheme="minorEastAsia"/>
      <w:sz w:val="20"/>
      <w:szCs w:val="20"/>
    </w:rPr>
  </w:style>
  <w:style w:type="paragraph" w:customStyle="1" w:styleId="Heading2Numbered">
    <w:name w:val="Heading 2 Numbered"/>
    <w:basedOn w:val="Heading2"/>
    <w:next w:val="Normal"/>
    <w:rsid w:val="00A468B5"/>
    <w:pPr>
      <w:numPr>
        <w:ilvl w:val="1"/>
        <w:numId w:val="19"/>
      </w:numPr>
    </w:pPr>
  </w:style>
  <w:style w:type="paragraph" w:customStyle="1" w:styleId="Heading3Numbered">
    <w:name w:val="Heading 3 Numbered"/>
    <w:basedOn w:val="Heading3"/>
    <w:qFormat/>
    <w:rsid w:val="00A468B5"/>
    <w:pPr>
      <w:numPr>
        <w:ilvl w:val="2"/>
        <w:numId w:val="1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468B5"/>
    <w:pPr>
      <w:spacing w:before="0" w:after="0"/>
    </w:pPr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8B5"/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468B5"/>
    <w:pPr>
      <w:spacing w:before="0" w:after="500"/>
    </w:pPr>
    <w:rPr>
      <w:caps/>
      <w:color w:val="FFFFFF" w:themeColor="background1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68B5"/>
    <w:rPr>
      <w:rFonts w:eastAsiaTheme="minorEastAsia"/>
      <w:caps/>
      <w:color w:val="FFFFFF" w:themeColor="background1"/>
      <w:spacing w:val="10"/>
      <w:sz w:val="21"/>
      <w:szCs w:val="21"/>
    </w:rPr>
  </w:style>
  <w:style w:type="character" w:styleId="SubtleEmphasis">
    <w:name w:val="Subtle Emphasis"/>
    <w:uiPriority w:val="19"/>
    <w:rsid w:val="00A468B5"/>
    <w:rPr>
      <w:i/>
      <w:iCs/>
      <w:color w:val="00152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A468B5"/>
    <w:rPr>
      <w:color w:val="808080"/>
    </w:rPr>
  </w:style>
  <w:style w:type="paragraph" w:customStyle="1" w:styleId="AppendixHeading">
    <w:name w:val="Appendix Heading"/>
    <w:basedOn w:val="Normal"/>
    <w:next w:val="Normal"/>
    <w:rsid w:val="00A468B5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rsid w:val="00A468B5"/>
    <w:pPr>
      <w:keepNext/>
      <w:spacing w:before="100" w:after="120" w:line="240" w:lineRule="auto"/>
    </w:pPr>
    <w:rPr>
      <w:rFonts w:ascii="Calibri" w:eastAsia="Times New Roman" w:hAnsi="Calibri" w:cs="Arial"/>
      <w:bCs/>
      <w:color w:val="002C47" w:themeColor="accent1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A468B5"/>
    <w:rPr>
      <w:rFonts w:eastAsiaTheme="minorEastAsia"/>
      <w:color w:val="FFFFFF" w:themeColor="background1"/>
      <w:sz w:val="44"/>
      <w:szCs w:val="20"/>
    </w:rPr>
  </w:style>
  <w:style w:type="paragraph" w:customStyle="1" w:styleId="Disclaimer">
    <w:name w:val="Disclaimer"/>
    <w:basedOn w:val="ReportDate"/>
    <w:rsid w:val="00A468B5"/>
    <w:pPr>
      <w:spacing w:after="1800"/>
      <w:ind w:right="142"/>
    </w:pPr>
    <w:rPr>
      <w:rFonts w:ascii="Century Gothic" w:hAnsi="Century Gothic"/>
      <w:b/>
      <w:bCs/>
      <w:color w:val="38AFCF" w:themeColor="text2"/>
      <w:sz w:val="22"/>
    </w:rPr>
  </w:style>
  <w:style w:type="paragraph" w:customStyle="1" w:styleId="NotesHeading">
    <w:name w:val="Notes Heading"/>
    <w:basedOn w:val="Normal"/>
    <w:rsid w:val="00A468B5"/>
    <w:pPr>
      <w:keepNext/>
      <w:spacing w:before="240" w:after="360"/>
      <w:jc w:val="center"/>
    </w:pPr>
    <w:rPr>
      <w:rFonts w:ascii="Century Gothic" w:hAnsi="Century Gothic"/>
      <w:smallCaps/>
      <w:color w:val="38AFCF" w:themeColor="text2"/>
      <w:sz w:val="36"/>
      <w:szCs w:val="36"/>
    </w:rPr>
  </w:style>
  <w:style w:type="paragraph" w:customStyle="1" w:styleId="Divider">
    <w:name w:val="Divider"/>
    <w:basedOn w:val="ReportDate"/>
    <w:rsid w:val="00A468B5"/>
    <w:pPr>
      <w:spacing w:after="1800"/>
    </w:pPr>
    <w:rPr>
      <w:rFonts w:ascii="Rockwell" w:hAnsi="Rockwell"/>
      <w:sz w:val="24"/>
    </w:rPr>
  </w:style>
  <w:style w:type="character" w:customStyle="1" w:styleId="FramedFooter">
    <w:name w:val="Framed Footer"/>
    <w:rsid w:val="00A468B5"/>
    <w:rPr>
      <w:rFonts w:ascii="Arial" w:hAnsi="Arial"/>
      <w:color w:val="002C47"/>
      <w:sz w:val="18"/>
    </w:rPr>
  </w:style>
  <w:style w:type="character" w:customStyle="1" w:styleId="FramedHeader">
    <w:name w:val="Framed Header"/>
    <w:basedOn w:val="DefaultParagraphFont"/>
    <w:rsid w:val="00A468B5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rsid w:val="00A468B5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FA35CB"/>
    <w:pPr>
      <w:spacing w:after="120"/>
    </w:pPr>
  </w:style>
  <w:style w:type="paragraph" w:customStyle="1" w:styleId="TableGraphic">
    <w:name w:val="Table Graphic"/>
    <w:basedOn w:val="HeadingBase"/>
    <w:next w:val="Normal"/>
    <w:rsid w:val="00A468B5"/>
    <w:pPr>
      <w:spacing w:after="0"/>
    </w:pPr>
    <w:rPr>
      <w:color w:val="auto"/>
      <w:sz w:val="22"/>
    </w:rPr>
  </w:style>
  <w:style w:type="paragraph" w:customStyle="1" w:styleId="HeaderEven">
    <w:name w:val="Header Even"/>
    <w:basedOn w:val="HeaderOdd"/>
    <w:rsid w:val="00975BC4"/>
    <w:pPr>
      <w:jc w:val="left"/>
    </w:pPr>
  </w:style>
  <w:style w:type="paragraph" w:customStyle="1" w:styleId="HeaderOdd">
    <w:name w:val="Header Odd"/>
    <w:basedOn w:val="Header"/>
    <w:rsid w:val="00975BC4"/>
    <w:rPr>
      <w:b/>
      <w:color w:val="002C47" w:themeColor="accent1"/>
      <w:sz w:val="18"/>
    </w:rPr>
  </w:style>
  <w:style w:type="paragraph" w:styleId="NoSpacing">
    <w:name w:val="No Spacing"/>
    <w:link w:val="NoSpacingChar"/>
    <w:uiPriority w:val="1"/>
    <w:rsid w:val="00A468B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468B5"/>
    <w:rPr>
      <w:rFonts w:eastAsiaTheme="minorEastAsia"/>
      <w:sz w:val="20"/>
      <w:szCs w:val="20"/>
    </w:rPr>
  </w:style>
  <w:style w:type="paragraph" w:customStyle="1" w:styleId="PreparedBy">
    <w:name w:val="PreparedBy"/>
    <w:basedOn w:val="Subtitle"/>
    <w:qFormat/>
    <w:rsid w:val="00A468B5"/>
  </w:style>
  <w:style w:type="character" w:styleId="BookTitle">
    <w:name w:val="Book Title"/>
    <w:uiPriority w:val="33"/>
    <w:rsid w:val="00A468B5"/>
    <w:rPr>
      <w:b/>
      <w:bCs/>
      <w:i/>
      <w:iCs/>
      <w:spacing w:val="0"/>
    </w:rPr>
  </w:style>
  <w:style w:type="character" w:customStyle="1" w:styleId="NormalbulletChar">
    <w:name w:val="Normal bullet Char"/>
    <w:basedOn w:val="DefaultParagraphFont"/>
    <w:link w:val="Normalbullet"/>
    <w:locked/>
    <w:rsid w:val="00A468B5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8B5"/>
    <w:rPr>
      <w:b/>
      <w:bCs/>
      <w:color w:val="002035" w:themeColor="accent1" w:themeShade="BF"/>
      <w:sz w:val="16"/>
      <w:szCs w:val="16"/>
    </w:rPr>
  </w:style>
  <w:style w:type="character" w:customStyle="1" w:styleId="NormaldashChar">
    <w:name w:val="Normal dash Char"/>
    <w:basedOn w:val="DefaultParagraphFont"/>
    <w:link w:val="Normaldash"/>
    <w:locked/>
    <w:rsid w:val="00A468B5"/>
    <w:rPr>
      <w:rFonts w:eastAsiaTheme="minorEastAsia"/>
      <w:sz w:val="20"/>
      <w:szCs w:val="20"/>
    </w:rPr>
  </w:style>
  <w:style w:type="character" w:styleId="Emphasis">
    <w:name w:val="Emphasis"/>
    <w:uiPriority w:val="20"/>
    <w:rsid w:val="00A468B5"/>
    <w:rPr>
      <w:caps/>
      <w:color w:val="001523" w:themeColor="accent1" w:themeShade="7F"/>
      <w:spacing w:val="5"/>
    </w:rPr>
  </w:style>
  <w:style w:type="character" w:styleId="IntenseEmphasis">
    <w:name w:val="Intense Emphasis"/>
    <w:uiPriority w:val="21"/>
    <w:rsid w:val="00A468B5"/>
    <w:rPr>
      <w:b/>
      <w:bCs/>
      <w:caps/>
      <w:color w:val="00152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A468B5"/>
    <w:pPr>
      <w:spacing w:before="240" w:after="240"/>
      <w:ind w:left="1080" w:right="1080"/>
      <w:jc w:val="center"/>
    </w:pPr>
    <w:rPr>
      <w:color w:val="002C4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8B5"/>
    <w:rPr>
      <w:rFonts w:eastAsiaTheme="minorEastAsia"/>
      <w:color w:val="002C47" w:themeColor="accent1"/>
      <w:sz w:val="24"/>
      <w:szCs w:val="24"/>
    </w:rPr>
  </w:style>
  <w:style w:type="character" w:styleId="IntenseReference">
    <w:name w:val="Intense Reference"/>
    <w:uiPriority w:val="32"/>
    <w:rsid w:val="00A468B5"/>
    <w:rPr>
      <w:b/>
      <w:bCs/>
      <w:i/>
      <w:iCs/>
      <w:caps/>
      <w:color w:val="002C47" w:themeColor="accent1"/>
    </w:rPr>
  </w:style>
  <w:style w:type="paragraph" w:styleId="NormalWeb">
    <w:name w:val="Normal (Web)"/>
    <w:basedOn w:val="Normal"/>
    <w:uiPriority w:val="99"/>
    <w:unhideWhenUsed/>
    <w:rsid w:val="00A468B5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A468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68B5"/>
    <w:rPr>
      <w:rFonts w:eastAsiaTheme="minorEastAsia"/>
      <w:i/>
      <w:iCs/>
      <w:sz w:val="24"/>
      <w:szCs w:val="24"/>
    </w:rPr>
  </w:style>
  <w:style w:type="character" w:styleId="Strong">
    <w:name w:val="Strong"/>
    <w:uiPriority w:val="22"/>
    <w:rsid w:val="00A468B5"/>
    <w:rPr>
      <w:b/>
      <w:bCs/>
    </w:rPr>
  </w:style>
  <w:style w:type="character" w:styleId="SubtleReference">
    <w:name w:val="Subtle Reference"/>
    <w:uiPriority w:val="31"/>
    <w:rsid w:val="00A468B5"/>
    <w:rPr>
      <w:b/>
      <w:bCs/>
      <w:color w:val="002C47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8B5"/>
    <w:pPr>
      <w:outlineLvl w:val="9"/>
    </w:pPr>
  </w:style>
  <w:style w:type="character" w:customStyle="1" w:styleId="value">
    <w:name w:val="value"/>
    <w:basedOn w:val="DefaultParagraphFont"/>
    <w:rsid w:val="00A468B5"/>
  </w:style>
  <w:style w:type="paragraph" w:styleId="BodyText">
    <w:name w:val="Body Text"/>
    <w:basedOn w:val="Normal"/>
    <w:link w:val="BodyTextChar"/>
    <w:uiPriority w:val="99"/>
    <w:semiHidden/>
    <w:unhideWhenUsed/>
    <w:rsid w:val="00A468B5"/>
  </w:style>
  <w:style w:type="character" w:customStyle="1" w:styleId="BodyTextChar">
    <w:name w:val="Body Text Char"/>
    <w:basedOn w:val="DefaultParagraphFont"/>
    <w:link w:val="BodyText"/>
    <w:uiPriority w:val="99"/>
    <w:semiHidden/>
    <w:rsid w:val="00A468B5"/>
    <w:rPr>
      <w:rFonts w:eastAsiaTheme="minorEastAsia"/>
      <w:sz w:val="20"/>
      <w:szCs w:val="20"/>
    </w:rPr>
  </w:style>
  <w:style w:type="character" w:customStyle="1" w:styleId="BoxBulletChar">
    <w:name w:val="Box Bullet Char"/>
    <w:basedOn w:val="DefaultParagraphFont"/>
    <w:link w:val="BoxBulle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customStyle="1" w:styleId="BoxDashChar">
    <w:name w:val="Box Dash Char"/>
    <w:basedOn w:val="DefaultParagraphFont"/>
    <w:link w:val="Box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Source">
    <w:name w:val="Source"/>
    <w:basedOn w:val="Normaldash"/>
    <w:link w:val="SourceChar"/>
    <w:qFormat/>
    <w:rsid w:val="00815D89"/>
    <w:pPr>
      <w:numPr>
        <w:ilvl w:val="0"/>
        <w:numId w:val="0"/>
      </w:numPr>
      <w:pBdr>
        <w:bottom w:val="dashed" w:sz="4" w:space="1" w:color="002C47" w:themeColor="accent1"/>
      </w:pBdr>
      <w:tabs>
        <w:tab w:val="left" w:pos="596"/>
      </w:tabs>
      <w:ind w:left="596" w:hanging="567"/>
    </w:pPr>
    <w:rPr>
      <w:bdr w:val="none" w:sz="0" w:space="0" w:color="auto" w:frame="1"/>
    </w:rPr>
  </w:style>
  <w:style w:type="character" w:customStyle="1" w:styleId="SourceChar">
    <w:name w:val="Source Char"/>
    <w:basedOn w:val="NormaldashChar"/>
    <w:link w:val="Source"/>
    <w:rsid w:val="00815D89"/>
    <w:rPr>
      <w:rFonts w:ascii="Calibri" w:eastAsiaTheme="minorEastAsia" w:hAnsi="Calibri"/>
      <w:sz w:val="20"/>
      <w:szCs w:val="20"/>
      <w:bdr w:val="none" w:sz="0" w:space="0" w:color="auto" w:frame="1"/>
    </w:rPr>
  </w:style>
  <w:style w:type="paragraph" w:customStyle="1" w:styleId="Tabledash">
    <w:name w:val="Table dash"/>
    <w:basedOn w:val="BoxDash"/>
    <w:link w:val="TabledashChar"/>
    <w:qFormat/>
    <w:rsid w:val="00A468B5"/>
    <w:pPr>
      <w:tabs>
        <w:tab w:val="clear" w:pos="567"/>
        <w:tab w:val="num" w:pos="283"/>
      </w:tabs>
      <w:ind w:left="568" w:hanging="283"/>
    </w:pPr>
  </w:style>
  <w:style w:type="character" w:customStyle="1" w:styleId="TabledashChar">
    <w:name w:val="Table dash Char"/>
    <w:basedOn w:val="BoxDashChar"/>
    <w:link w:val="Table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Tabledot">
    <w:name w:val="Table dot"/>
    <w:basedOn w:val="BoxBullet"/>
    <w:link w:val="TabledotChar"/>
    <w:qFormat/>
    <w:rsid w:val="00A468B5"/>
    <w:pPr>
      <w:numPr>
        <w:numId w:val="0"/>
      </w:numPr>
    </w:pPr>
  </w:style>
  <w:style w:type="character" w:customStyle="1" w:styleId="TabledotChar">
    <w:name w:val="Table dot Char"/>
    <w:basedOn w:val="BoxBulletChar"/>
    <w:link w:val="Tabledo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971C5"/>
    <w:rPr>
      <w:color w:val="605E5C"/>
      <w:shd w:val="clear" w:color="auto" w:fill="E1DFDD"/>
    </w:rPr>
  </w:style>
  <w:style w:type="paragraph" w:customStyle="1" w:styleId="Chartheading">
    <w:name w:val="Chart heading"/>
    <w:basedOn w:val="Heading9"/>
    <w:link w:val="ChartheadingChar"/>
    <w:qFormat/>
    <w:rsid w:val="00FA35CB"/>
  </w:style>
  <w:style w:type="character" w:customStyle="1" w:styleId="ChartheadingChar">
    <w:name w:val="Chart heading Char"/>
    <w:basedOn w:val="Heading9Char"/>
    <w:link w:val="Chartheading"/>
    <w:rsid w:val="00FA35CB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2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lation.gov.au/" TargetMode="External"/><Relationship Id="rId13" Type="http://schemas.openxmlformats.org/officeDocument/2006/relationships/hyperlink" Target="https://www.abs.gov.au/census/find-census-dat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bs.gov.au/cens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abs.gov.au/census" TargetMode="External"/><Relationship Id="rId14" Type="http://schemas.openxmlformats.org/officeDocument/2006/relationships/hyperlink" Target="https://www.abs.gov.au/statistics/people/population/national-state-and-territory-population/latest-releas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POP accessible">
      <a:dk1>
        <a:sysClr val="windowText" lastClr="000000"/>
      </a:dk1>
      <a:lt1>
        <a:sysClr val="window" lastClr="FFFFFF"/>
      </a:lt1>
      <a:dk2>
        <a:srgbClr val="38AFCF"/>
      </a:dk2>
      <a:lt2>
        <a:srgbClr val="4DBC8D"/>
      </a:lt2>
      <a:accent1>
        <a:srgbClr val="002C47"/>
      </a:accent1>
      <a:accent2>
        <a:srgbClr val="1E75BA"/>
      </a:accent2>
      <a:accent3>
        <a:srgbClr val="CF542F"/>
      </a:accent3>
      <a:accent4>
        <a:srgbClr val="2F8361"/>
      </a:accent4>
      <a:accent5>
        <a:srgbClr val="9E928F"/>
      </a:accent5>
      <a:accent6>
        <a:srgbClr val="277F9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8CF0-0848-436B-8E42-2B49FBC2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Rebasing of Australia’s population estimates using the 2021 Census</vt:lpstr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Rebasing of Australia’s population estimates using the 2021 Census</dc:title>
  <dc:subject/>
  <dc:creator/>
  <cp:keywords/>
  <cp:lastModifiedBy/>
  <cp:revision>1</cp:revision>
  <dcterms:created xsi:type="dcterms:W3CDTF">2022-06-28T00:20:00Z</dcterms:created>
  <dcterms:modified xsi:type="dcterms:W3CDTF">2022-06-28T04:50:00Z</dcterms:modified>
</cp:coreProperties>
</file>