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0A4D6919" w:rsidR="00725216" w:rsidRPr="003C77DE" w:rsidRDefault="003C77DE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 w:rsidRPr="003C77DE">
        <w:rPr>
          <w:b/>
          <w:bCs/>
          <w:i/>
          <w:iCs/>
          <w:color w:val="FFFFFF" w:themeColor="background1"/>
          <w:sz w:val="28"/>
          <w:szCs w:val="28"/>
        </w:rPr>
        <w:t>28 June 2022</w:t>
      </w:r>
    </w:p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725216" w:rsidRPr="00F21FAB" w14:paraId="57BC2909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EB52E41" w14:textId="512FD0C1" w:rsidR="00725216" w:rsidRPr="003A7FFE" w:rsidRDefault="003C77DE" w:rsidP="00463005">
            <w:pPr>
              <w:pStyle w:val="Heading2"/>
            </w:pPr>
            <w:bookmarkStart w:id="1" w:name="_Ref74896474"/>
            <w:bookmarkEnd w:id="0"/>
            <w:r>
              <w:t>National</w:t>
            </w:r>
            <w:r w:rsidR="00B43A87">
              <w:t>,</w:t>
            </w:r>
            <w:r>
              <w:t xml:space="preserve"> </w:t>
            </w:r>
            <w:r w:rsidR="006277A9">
              <w:t>s</w:t>
            </w:r>
            <w:r>
              <w:t xml:space="preserve">tate and </w:t>
            </w:r>
            <w:r w:rsidR="006277A9">
              <w:t>t</w:t>
            </w:r>
            <w:r>
              <w:t xml:space="preserve">erritory </w:t>
            </w:r>
            <w:r w:rsidR="006277A9">
              <w:t>p</w:t>
            </w:r>
            <w:r>
              <w:t>opulation</w:t>
            </w:r>
            <w:r w:rsidR="004A6BC4">
              <w:t>,</w:t>
            </w:r>
            <w:r>
              <w:t xml:space="preserve"> December 2021</w:t>
            </w:r>
            <w:r w:rsidR="004A6BC4">
              <w:t xml:space="preserve"> </w:t>
            </w:r>
            <w:bookmarkEnd w:id="1"/>
          </w:p>
        </w:tc>
      </w:tr>
      <w:tr w:rsidR="00725216" w:rsidRPr="0023709A" w14:paraId="37605938" w14:textId="77777777" w:rsidTr="00CC3A04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64C7EF78" w14:textId="041B12AD" w:rsidR="00697019" w:rsidRPr="00F42328" w:rsidRDefault="00E6101A" w:rsidP="00764E41">
            <w:pPr>
              <w:pStyle w:val="BoxText"/>
              <w:rPr>
                <w:sz w:val="20"/>
              </w:rPr>
            </w:pPr>
            <w:r w:rsidRPr="00F42328">
              <w:rPr>
                <w:sz w:val="20"/>
              </w:rPr>
              <w:t xml:space="preserve">The Estimated Resident Population (ERP) of Australia grew by 0.2 per cent in </w:t>
            </w:r>
            <w:r w:rsidR="00F16DCC">
              <w:rPr>
                <w:sz w:val="20"/>
              </w:rPr>
              <w:t xml:space="preserve">the </w:t>
            </w:r>
            <w:r w:rsidRPr="00F42328">
              <w:rPr>
                <w:sz w:val="20"/>
              </w:rPr>
              <w:t>December 2021</w:t>
            </w:r>
            <w:r w:rsidR="006B4D4C" w:rsidRPr="00F42328">
              <w:rPr>
                <w:sz w:val="20"/>
              </w:rPr>
              <w:t xml:space="preserve"> quarter</w:t>
            </w:r>
            <w:r w:rsidRPr="00F42328">
              <w:rPr>
                <w:sz w:val="20"/>
              </w:rPr>
              <w:t>.</w:t>
            </w:r>
          </w:p>
          <w:p w14:paraId="0DAF21D0" w14:textId="2696B372" w:rsidR="00E6101A" w:rsidRPr="00F42328" w:rsidRDefault="009E6754" w:rsidP="00E6101A">
            <w:pPr>
              <w:pStyle w:val="BoxText"/>
              <w:rPr>
                <w:sz w:val="20"/>
              </w:rPr>
            </w:pPr>
            <w:r w:rsidRPr="00F42328">
              <w:rPr>
                <w:sz w:val="20"/>
              </w:rPr>
              <w:t>This</w:t>
            </w:r>
            <w:r w:rsidR="00E6101A" w:rsidRPr="00F42328">
              <w:rPr>
                <w:sz w:val="20"/>
              </w:rPr>
              <w:t xml:space="preserve"> </w:t>
            </w:r>
            <w:r w:rsidR="00F16DCC">
              <w:rPr>
                <w:sz w:val="20"/>
              </w:rPr>
              <w:t>is</w:t>
            </w:r>
            <w:r w:rsidR="00E6101A" w:rsidRPr="00F42328">
              <w:rPr>
                <w:sz w:val="20"/>
              </w:rPr>
              <w:t xml:space="preserve"> the first positive </w:t>
            </w:r>
            <w:r w:rsidR="00F16DCC">
              <w:rPr>
                <w:sz w:val="20"/>
              </w:rPr>
              <w:t xml:space="preserve">quarter of </w:t>
            </w:r>
            <w:r w:rsidR="00E6101A" w:rsidRPr="00F42328">
              <w:rPr>
                <w:sz w:val="20"/>
              </w:rPr>
              <w:t xml:space="preserve">net overseas migration since the beginning of the pandemic, </w:t>
            </w:r>
            <w:r w:rsidR="00F16DCC">
              <w:rPr>
                <w:sz w:val="20"/>
              </w:rPr>
              <w:t>following</w:t>
            </w:r>
            <w:r w:rsidR="00E6101A" w:rsidRPr="00F42328">
              <w:rPr>
                <w:sz w:val="20"/>
              </w:rPr>
              <w:t xml:space="preserve"> a relaxation of international travel restrictions from 1 November 2021.</w:t>
            </w:r>
          </w:p>
          <w:p w14:paraId="526700AE" w14:textId="46428A7B" w:rsidR="009461B4" w:rsidRPr="00F42328" w:rsidRDefault="00C96672" w:rsidP="009461B4">
            <w:pPr>
              <w:pStyle w:val="BoxText"/>
              <w:rPr>
                <w:sz w:val="20"/>
              </w:rPr>
            </w:pPr>
            <w:r w:rsidRPr="00F42328">
              <w:rPr>
                <w:sz w:val="20"/>
              </w:rPr>
              <w:t>Queensland had the fastest growing population over</w:t>
            </w:r>
            <w:r w:rsidR="009461B4" w:rsidRPr="00F42328">
              <w:rPr>
                <w:sz w:val="20"/>
              </w:rPr>
              <w:t xml:space="preserve"> 2021, followed by </w:t>
            </w:r>
            <w:r w:rsidRPr="00F42328">
              <w:rPr>
                <w:sz w:val="20"/>
              </w:rPr>
              <w:t>Western Australia</w:t>
            </w:r>
            <w:r w:rsidR="009461B4" w:rsidRPr="00F42328">
              <w:rPr>
                <w:sz w:val="20"/>
              </w:rPr>
              <w:t xml:space="preserve"> and Tasmania</w:t>
            </w:r>
            <w:r w:rsidRPr="00F42328">
              <w:rPr>
                <w:sz w:val="20"/>
              </w:rPr>
              <w:t>. Population growth in New South Wales</w:t>
            </w:r>
            <w:r w:rsidR="009461B4" w:rsidRPr="00F42328">
              <w:rPr>
                <w:sz w:val="20"/>
              </w:rPr>
              <w:t xml:space="preserve"> and the Northern </w:t>
            </w:r>
            <w:r w:rsidRPr="00F42328">
              <w:rPr>
                <w:sz w:val="20"/>
              </w:rPr>
              <w:t xml:space="preserve">Territory was slow, while </w:t>
            </w:r>
            <w:r w:rsidR="009461B4" w:rsidRPr="00F42328">
              <w:rPr>
                <w:sz w:val="20"/>
              </w:rPr>
              <w:t xml:space="preserve">the </w:t>
            </w:r>
            <w:r w:rsidRPr="00F42328">
              <w:rPr>
                <w:sz w:val="20"/>
              </w:rPr>
              <w:t>Victorian</w:t>
            </w:r>
            <w:r w:rsidR="009461B4" w:rsidRPr="00F42328">
              <w:rPr>
                <w:sz w:val="20"/>
              </w:rPr>
              <w:t xml:space="preserve"> population declined.</w:t>
            </w:r>
          </w:p>
          <w:p w14:paraId="5491FD62" w14:textId="1F897EC5" w:rsidR="009461B4" w:rsidRPr="00F42328" w:rsidRDefault="00C01D50" w:rsidP="009461B4">
            <w:pPr>
              <w:pStyle w:val="BoxText"/>
              <w:rPr>
                <w:sz w:val="20"/>
              </w:rPr>
            </w:pPr>
            <w:r w:rsidRPr="00F42328">
              <w:rPr>
                <w:sz w:val="20"/>
              </w:rPr>
              <w:t>There were large outflows of net</w:t>
            </w:r>
            <w:r w:rsidR="009461B4" w:rsidRPr="00F42328">
              <w:rPr>
                <w:sz w:val="20"/>
              </w:rPr>
              <w:t xml:space="preserve"> interstate migration from </w:t>
            </w:r>
            <w:r w:rsidRPr="00F42328">
              <w:rPr>
                <w:sz w:val="20"/>
              </w:rPr>
              <w:t>New South Wales</w:t>
            </w:r>
            <w:r w:rsidR="009461B4" w:rsidRPr="00F42328">
              <w:rPr>
                <w:sz w:val="20"/>
              </w:rPr>
              <w:t xml:space="preserve"> and Victoria</w:t>
            </w:r>
            <w:r w:rsidR="00325A73">
              <w:rPr>
                <w:sz w:val="20"/>
              </w:rPr>
              <w:t>,</w:t>
            </w:r>
            <w:r w:rsidR="00771C0C">
              <w:rPr>
                <w:sz w:val="20"/>
              </w:rPr>
              <w:t xml:space="preserve"> </w:t>
            </w:r>
            <w:r w:rsidR="00325A73">
              <w:rPr>
                <w:sz w:val="20"/>
              </w:rPr>
              <w:t>w</w:t>
            </w:r>
            <w:r w:rsidR="00771C0C">
              <w:rPr>
                <w:sz w:val="20"/>
              </w:rPr>
              <w:t>hile</w:t>
            </w:r>
            <w:r w:rsidR="009461B4" w:rsidRPr="00F42328">
              <w:rPr>
                <w:sz w:val="20"/>
              </w:rPr>
              <w:t xml:space="preserve"> Queensland</w:t>
            </w:r>
            <w:r w:rsidRPr="00F42328">
              <w:rPr>
                <w:sz w:val="20"/>
              </w:rPr>
              <w:t xml:space="preserve"> and Western Australia</w:t>
            </w:r>
            <w:r w:rsidR="00771C0C">
              <w:rPr>
                <w:sz w:val="20"/>
              </w:rPr>
              <w:t xml:space="preserve"> received large inflows of interstate migrants</w:t>
            </w:r>
            <w:r w:rsidR="009461B4" w:rsidRPr="00F42328">
              <w:rPr>
                <w:sz w:val="20"/>
              </w:rPr>
              <w:t>.</w:t>
            </w:r>
          </w:p>
          <w:p w14:paraId="2D191C53" w14:textId="7B8949D4" w:rsidR="00713DAC" w:rsidRPr="00F42328" w:rsidRDefault="00E6101A" w:rsidP="00670759">
            <w:pPr>
              <w:pStyle w:val="BoxText"/>
            </w:pPr>
            <w:r w:rsidRPr="00F42328">
              <w:rPr>
                <w:sz w:val="20"/>
              </w:rPr>
              <w:t xml:space="preserve">The </w:t>
            </w:r>
            <w:r w:rsidR="00663EE6" w:rsidRPr="00F42328">
              <w:rPr>
                <w:sz w:val="20"/>
              </w:rPr>
              <w:t>Australian Bureau of Statistics</w:t>
            </w:r>
            <w:r w:rsidR="00953057" w:rsidRPr="00F42328">
              <w:rPr>
                <w:sz w:val="20"/>
              </w:rPr>
              <w:t xml:space="preserve"> (ABS)</w:t>
            </w:r>
            <w:r w:rsidRPr="00F42328">
              <w:rPr>
                <w:sz w:val="20"/>
              </w:rPr>
              <w:t xml:space="preserve"> </w:t>
            </w:r>
            <w:r w:rsidR="00663EE6" w:rsidRPr="00F42328">
              <w:rPr>
                <w:sz w:val="20"/>
              </w:rPr>
              <w:t xml:space="preserve">has rebased </w:t>
            </w:r>
            <w:r w:rsidR="00953057" w:rsidRPr="00F42328">
              <w:rPr>
                <w:sz w:val="20"/>
              </w:rPr>
              <w:t xml:space="preserve">Australia’s </w:t>
            </w:r>
            <w:r w:rsidR="00E245D1">
              <w:rPr>
                <w:sz w:val="20"/>
              </w:rPr>
              <w:t>ERP</w:t>
            </w:r>
            <w:r w:rsidR="00663EE6" w:rsidRPr="00F42328">
              <w:rPr>
                <w:sz w:val="20"/>
              </w:rPr>
              <w:t xml:space="preserve"> to </w:t>
            </w:r>
            <w:r w:rsidRPr="00F42328">
              <w:rPr>
                <w:sz w:val="20"/>
              </w:rPr>
              <w:t>the 2021 Census</w:t>
            </w:r>
            <w:r w:rsidR="005A12BE" w:rsidRPr="00F42328">
              <w:rPr>
                <w:sz w:val="20"/>
              </w:rPr>
              <w:t xml:space="preserve"> of Population and Housing</w:t>
            </w:r>
            <w:r w:rsidR="00663EE6" w:rsidRPr="00F42328">
              <w:rPr>
                <w:sz w:val="20"/>
              </w:rPr>
              <w:t xml:space="preserve">. For </w:t>
            </w:r>
            <w:r w:rsidR="00791666">
              <w:rPr>
                <w:sz w:val="20"/>
              </w:rPr>
              <w:t>analysis of the rebased population estimates</w:t>
            </w:r>
            <w:r w:rsidR="00E245D1">
              <w:rPr>
                <w:sz w:val="20"/>
              </w:rPr>
              <w:t xml:space="preserve"> </w:t>
            </w:r>
            <w:r w:rsidR="00791666">
              <w:rPr>
                <w:sz w:val="20"/>
              </w:rPr>
              <w:t xml:space="preserve">please see </w:t>
            </w:r>
            <w:r w:rsidR="00C51F56" w:rsidRPr="00F42328">
              <w:rPr>
                <w:i/>
                <w:sz w:val="20"/>
              </w:rPr>
              <w:t>Rebasing of Australia’s population estimates using the 2021 Census</w:t>
            </w:r>
            <w:r w:rsidR="00791666">
              <w:rPr>
                <w:sz w:val="20"/>
              </w:rPr>
              <w:t xml:space="preserve">, at </w:t>
            </w:r>
            <w:hyperlink r:id="rId8" w:history="1">
              <w:r w:rsidR="00791666" w:rsidRPr="00E245D1">
                <w:rPr>
                  <w:rStyle w:val="Hyperlink"/>
                  <w:sz w:val="20"/>
                </w:rPr>
                <w:t>population.gov.au</w:t>
              </w:r>
            </w:hyperlink>
            <w:r w:rsidR="00E245D1">
              <w:rPr>
                <w:sz w:val="20"/>
              </w:rPr>
              <w:t xml:space="preserve">. </w:t>
            </w:r>
          </w:p>
        </w:tc>
      </w:tr>
      <w:tr w:rsidR="00725216" w:rsidRPr="0023709A" w14:paraId="6484E700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64B949C" w14:textId="112FD122" w:rsidR="00725216" w:rsidRPr="00F42328" w:rsidRDefault="00362FDC" w:rsidP="00167155">
            <w:pPr>
              <w:pStyle w:val="Heading3"/>
              <w:keepNext w:val="0"/>
            </w:pPr>
            <w:r w:rsidRPr="00F42328">
              <w:t>N</w:t>
            </w:r>
            <w:r w:rsidR="00A9593C" w:rsidRPr="00F42328">
              <w:t xml:space="preserve">atural increase </w:t>
            </w:r>
            <w:r w:rsidR="00013CEB">
              <w:t>d</w:t>
            </w:r>
            <w:r w:rsidR="00C64C87" w:rsidRPr="00F42328">
              <w:t>rove all of Australia’s population growth in 2021</w:t>
            </w:r>
          </w:p>
          <w:p w14:paraId="2AE13299" w14:textId="26EB9A56" w:rsidR="00B659D6" w:rsidRPr="00F42328" w:rsidRDefault="00B659D6" w:rsidP="00584C49">
            <w:pPr>
              <w:pStyle w:val="Bullet"/>
            </w:pPr>
            <w:r w:rsidRPr="00F42328">
              <w:t>Australia’s</w:t>
            </w:r>
            <w:r w:rsidR="0080524B" w:rsidRPr="00F42328">
              <w:t xml:space="preserve"> population grew by 128,000 people over the year to December 2021, </w:t>
            </w:r>
            <w:r w:rsidR="00C3695B" w:rsidRPr="00F42328">
              <w:t>an increase of 0.5</w:t>
            </w:r>
            <w:r w:rsidR="00551057">
              <w:t> </w:t>
            </w:r>
            <w:r w:rsidR="00C3695B" w:rsidRPr="00F42328">
              <w:t>per cent</w:t>
            </w:r>
            <w:r w:rsidRPr="00F42328">
              <w:t>.</w:t>
            </w:r>
            <w:r w:rsidR="00C3695B" w:rsidRPr="00F42328">
              <w:t xml:space="preserve"> </w:t>
            </w:r>
            <w:r w:rsidRPr="00F42328">
              <w:t>This was higher than growth</w:t>
            </w:r>
            <w:r w:rsidR="005B3B38" w:rsidRPr="00F42328">
              <w:t xml:space="preserve"> </w:t>
            </w:r>
            <w:r w:rsidR="007F0623" w:rsidRPr="00F42328">
              <w:t xml:space="preserve">over </w:t>
            </w:r>
            <w:r w:rsidR="0080524B" w:rsidRPr="00F42328">
              <w:t>the year to December 2020</w:t>
            </w:r>
            <w:r w:rsidR="005B3B38" w:rsidRPr="00F42328">
              <w:t xml:space="preserve"> at 112,000 people or 0.4</w:t>
            </w:r>
            <w:r w:rsidR="00551057">
              <w:t> </w:t>
            </w:r>
            <w:r w:rsidR="005B3B38" w:rsidRPr="00F42328">
              <w:t>per cent</w:t>
            </w:r>
            <w:r w:rsidR="003F71D8" w:rsidRPr="00F42328">
              <w:t>.</w:t>
            </w:r>
          </w:p>
          <w:p w14:paraId="116141E6" w14:textId="7F2CE875" w:rsidR="00282BDB" w:rsidRPr="00F42328" w:rsidRDefault="00B563AF" w:rsidP="00584C49">
            <w:pPr>
              <w:pStyle w:val="Bullet"/>
            </w:pPr>
            <w:r w:rsidRPr="00F42328">
              <w:t>The December quarter</w:t>
            </w:r>
            <w:r w:rsidR="002A75AE">
              <w:t xml:space="preserve"> </w:t>
            </w:r>
            <w:r w:rsidR="002A75AE" w:rsidRPr="00F42328">
              <w:t>2021</w:t>
            </w:r>
            <w:r w:rsidRPr="00F42328">
              <w:t xml:space="preserve"> </w:t>
            </w:r>
            <w:r w:rsidR="002A75AE">
              <w:t>was</w:t>
            </w:r>
            <w:r w:rsidRPr="00F42328">
              <w:t xml:space="preserve"> the first</w:t>
            </w:r>
            <w:r w:rsidR="002A75AE">
              <w:t xml:space="preserve"> quarter with a</w:t>
            </w:r>
            <w:r w:rsidRPr="00F42328">
              <w:t xml:space="preserve"> </w:t>
            </w:r>
            <w:r w:rsidR="00364F58">
              <w:t xml:space="preserve">net </w:t>
            </w:r>
            <w:r w:rsidR="00FC1ABB" w:rsidRPr="00F42328">
              <w:t xml:space="preserve">inflow of </w:t>
            </w:r>
            <w:r w:rsidR="00FC1ABB" w:rsidRPr="00AA7869">
              <w:t>migrants</w:t>
            </w:r>
            <w:r w:rsidR="00E332AB" w:rsidRPr="00AA7869">
              <w:t xml:space="preserve"> (</w:t>
            </w:r>
            <w:r w:rsidR="00E765F7" w:rsidRPr="00AA7869">
              <w:t>29</w:t>
            </w:r>
            <w:r w:rsidR="00E332AB" w:rsidRPr="00AA7869">
              <w:t>,000</w:t>
            </w:r>
            <w:r w:rsidR="00E332AB" w:rsidRPr="00F42328">
              <w:t>)</w:t>
            </w:r>
            <w:r w:rsidR="00812D1B" w:rsidRPr="00F42328">
              <w:t xml:space="preserve"> since international </w:t>
            </w:r>
            <w:r w:rsidR="00A2568C" w:rsidRPr="00F42328">
              <w:t>travel restrictions</w:t>
            </w:r>
            <w:r w:rsidR="00812D1B" w:rsidRPr="00F42328">
              <w:t xml:space="preserve"> were introduced in March 2020 (see Chart 1)</w:t>
            </w:r>
            <w:r w:rsidR="00FC1ABB" w:rsidRPr="00F42328">
              <w:t>.</w:t>
            </w:r>
            <w:r w:rsidR="00812D1B" w:rsidRPr="00F42328">
              <w:t xml:space="preserve"> </w:t>
            </w:r>
          </w:p>
          <w:p w14:paraId="621394DB" w14:textId="25CD47DD" w:rsidR="00A97EBF" w:rsidRPr="00F42328" w:rsidRDefault="00A97EBF" w:rsidP="00A97EBF">
            <w:pPr>
              <w:pStyle w:val="Dash"/>
            </w:pPr>
            <w:r w:rsidRPr="00F42328">
              <w:t xml:space="preserve">As a result, population in the December quarter grew </w:t>
            </w:r>
            <w:r>
              <w:t xml:space="preserve">at </w:t>
            </w:r>
            <w:r w:rsidRPr="00F42328">
              <w:t>the highest rate since the beginning of the COVID-19 pandemic</w:t>
            </w:r>
            <w:r>
              <w:t>,</w:t>
            </w:r>
            <w:r w:rsidRPr="00F42328">
              <w:t xml:space="preserve"> by 63,000 people or</w:t>
            </w:r>
            <w:r w:rsidRPr="00F42328" w:rsidDel="00B563AF">
              <w:t xml:space="preserve"> </w:t>
            </w:r>
            <w:r w:rsidRPr="00F42328">
              <w:t>0.2</w:t>
            </w:r>
            <w:r w:rsidR="00551057">
              <w:t> </w:t>
            </w:r>
            <w:r w:rsidRPr="00F42328">
              <w:t xml:space="preserve">per cent. </w:t>
            </w:r>
          </w:p>
          <w:p w14:paraId="66F5B98A" w14:textId="77777777" w:rsidR="00B6009A" w:rsidRPr="00F42328" w:rsidRDefault="00B6009A" w:rsidP="00B6009A">
            <w:pPr>
              <w:pStyle w:val="Heading9"/>
            </w:pPr>
            <w:r w:rsidRPr="00F42328">
              <w:t>Quarterly national population growth and components, number of people</w:t>
            </w:r>
          </w:p>
          <w:p w14:paraId="64FDC7C3" w14:textId="046731BB" w:rsidR="00823405" w:rsidRPr="00F42328" w:rsidRDefault="00C8109A" w:rsidP="00B224E3">
            <w:pPr>
              <w:spacing w:before="0"/>
            </w:pPr>
            <w:r w:rsidRPr="00F42328">
              <w:rPr>
                <w:noProof/>
              </w:rPr>
              <w:drawing>
                <wp:inline distT="0" distB="0" distL="0" distR="0" wp14:anchorId="0A9415B8" wp14:editId="76C65E8E">
                  <wp:extent cx="5767070" cy="2407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70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669E6B" w14:textId="77777777" w:rsidR="00823405" w:rsidRPr="00F42328" w:rsidRDefault="00823405" w:rsidP="00F21FAB"/>
          <w:p w14:paraId="5AB6396B" w14:textId="44B92547" w:rsidR="002A7DAC" w:rsidRPr="00F42328" w:rsidRDefault="005E76AF" w:rsidP="0030400C">
            <w:pPr>
              <w:pStyle w:val="Bullet"/>
            </w:pPr>
            <w:r>
              <w:t>P</w:t>
            </w:r>
            <w:r w:rsidR="002A7DAC" w:rsidRPr="00F42328">
              <w:t xml:space="preserve">ositive net overseas </w:t>
            </w:r>
            <w:r w:rsidR="002A7DAC">
              <w:t>migration in</w:t>
            </w:r>
            <w:r w:rsidR="002A7DAC" w:rsidRPr="00F42328">
              <w:t xml:space="preserve"> this quarter was not enough to offset the previous three quarters of migration outflows, </w:t>
            </w:r>
            <w:r>
              <w:t>resulting in</w:t>
            </w:r>
            <w:r w:rsidR="002A7DAC" w:rsidRPr="00F42328">
              <w:t xml:space="preserve"> a net outflow of 4,000 migrants over the year to December 2021 (see Chart 2).</w:t>
            </w:r>
          </w:p>
          <w:p w14:paraId="58D152DC" w14:textId="18E1B70E" w:rsidR="006277A9" w:rsidRPr="00F42328" w:rsidRDefault="00D56B5C" w:rsidP="006277A9">
            <w:pPr>
              <w:pStyle w:val="Bullet"/>
            </w:pPr>
            <w:r>
              <w:t>N</w:t>
            </w:r>
            <w:r w:rsidR="004624E3" w:rsidRPr="00F42328">
              <w:t>atural increase</w:t>
            </w:r>
            <w:r w:rsidR="00A90027" w:rsidRPr="00F42328">
              <w:t xml:space="preserve"> </w:t>
            </w:r>
            <w:r w:rsidR="00F339C9" w:rsidRPr="00F42328">
              <w:t>(</w:t>
            </w:r>
            <w:r w:rsidR="00A90027" w:rsidRPr="00F42328">
              <w:t>births minus deaths</w:t>
            </w:r>
            <w:r w:rsidR="00F339C9" w:rsidRPr="00F42328">
              <w:t>)</w:t>
            </w:r>
            <w:r w:rsidR="004624E3" w:rsidRPr="00F42328">
              <w:t xml:space="preserve"> was entirely responsible for population growth over the year to December 2021</w:t>
            </w:r>
            <w:r>
              <w:t>,</w:t>
            </w:r>
            <w:r w:rsidR="004624E3" w:rsidRPr="00F42328">
              <w:t xml:space="preserve"> with b</w:t>
            </w:r>
            <w:r w:rsidR="00347022" w:rsidRPr="00F42328">
              <w:t>irths outnumber</w:t>
            </w:r>
            <w:r w:rsidR="004624E3" w:rsidRPr="00F42328">
              <w:t>ing</w:t>
            </w:r>
            <w:r w:rsidR="00347022" w:rsidRPr="00F42328">
              <w:t xml:space="preserve"> deaths by 13</w:t>
            </w:r>
            <w:r w:rsidR="00772F59" w:rsidRPr="00F42328">
              <w:t>9</w:t>
            </w:r>
            <w:r w:rsidR="00347022" w:rsidRPr="00F42328">
              <w:t>,</w:t>
            </w:r>
            <w:r w:rsidR="00772F59" w:rsidRPr="00F42328">
              <w:t>0</w:t>
            </w:r>
            <w:r w:rsidR="00347022" w:rsidRPr="00F42328">
              <w:t>00</w:t>
            </w:r>
            <w:r w:rsidR="001A7CA2" w:rsidRPr="00F42328">
              <w:t>.</w:t>
            </w:r>
          </w:p>
          <w:p w14:paraId="3B5212D1" w14:textId="6B635493" w:rsidR="004C784D" w:rsidRPr="00F42328" w:rsidRDefault="00EF227E" w:rsidP="009001B6">
            <w:pPr>
              <w:pStyle w:val="Dash"/>
            </w:pPr>
            <w:r w:rsidRPr="00F42328">
              <w:lastRenderedPageBreak/>
              <w:t>There were</w:t>
            </w:r>
            <w:r w:rsidR="00A50EDF" w:rsidRPr="00F42328">
              <w:t xml:space="preserve"> 310,000 </w:t>
            </w:r>
            <w:r w:rsidRPr="00F42328">
              <w:t xml:space="preserve">births </w:t>
            </w:r>
            <w:r w:rsidR="00A50EDF" w:rsidRPr="00F42328">
              <w:t>over</w:t>
            </w:r>
            <w:r w:rsidR="00823405" w:rsidRPr="00F42328">
              <w:t xml:space="preserve"> the year to December</w:t>
            </w:r>
            <w:r w:rsidR="00A50EDF" w:rsidRPr="00F42328">
              <w:t xml:space="preserve"> </w:t>
            </w:r>
            <w:r w:rsidR="004C784D" w:rsidRPr="00F42328">
              <w:t>2021</w:t>
            </w:r>
            <w:r w:rsidRPr="00F42328">
              <w:t>, an increase of 6.2 per cent from 2020 and the highest annual births</w:t>
            </w:r>
            <w:r w:rsidR="00823405" w:rsidRPr="00F42328">
              <w:t xml:space="preserve"> figure</w:t>
            </w:r>
            <w:r w:rsidRPr="00F42328">
              <w:t xml:space="preserve"> since 2016.</w:t>
            </w:r>
            <w:r w:rsidR="00E42E34" w:rsidRPr="00F42328">
              <w:t xml:space="preserve"> Deaths</w:t>
            </w:r>
            <w:r w:rsidR="00E42E34" w:rsidRPr="00F42328" w:rsidDel="003306DB">
              <w:t xml:space="preserve"> </w:t>
            </w:r>
            <w:r w:rsidR="00E42E34" w:rsidRPr="00F42328">
              <w:t>increased by 6.6 per cent</w:t>
            </w:r>
            <w:r w:rsidR="0038051E" w:rsidRPr="00F42328">
              <w:t xml:space="preserve"> in 2021</w:t>
            </w:r>
            <w:r w:rsidR="00E42E34" w:rsidRPr="00F42328">
              <w:t xml:space="preserve"> to 172,000</w:t>
            </w:r>
            <w:r w:rsidR="00A226D5" w:rsidRPr="00F42328">
              <w:t xml:space="preserve"> (also see analysis of the </w:t>
            </w:r>
            <w:hyperlink r:id="rId10" w:history="1">
              <w:r w:rsidR="00A226D5" w:rsidRPr="00F42328">
                <w:rPr>
                  <w:rStyle w:val="Hyperlink"/>
                  <w:i/>
                </w:rPr>
                <w:t>ABS Provisional Mortality Statistics</w:t>
              </w:r>
            </w:hyperlink>
            <w:r w:rsidR="00A226D5" w:rsidRPr="00F42328">
              <w:t>).</w:t>
            </w:r>
          </w:p>
          <w:p w14:paraId="60D89764" w14:textId="51C69A9F" w:rsidR="00EF227E" w:rsidRPr="00F42328" w:rsidRDefault="0057355A" w:rsidP="00584C49">
            <w:pPr>
              <w:pStyle w:val="DoubleDot"/>
            </w:pPr>
            <w:r w:rsidRPr="00F42328">
              <w:t xml:space="preserve">Victoria </w:t>
            </w:r>
            <w:r w:rsidR="00A226D5" w:rsidRPr="00F42328">
              <w:t>saw</w:t>
            </w:r>
            <w:r w:rsidRPr="00F42328">
              <w:t xml:space="preserve"> an increase in births </w:t>
            </w:r>
            <w:r w:rsidR="004761C6" w:rsidRPr="00F42328">
              <w:t>in the December 2021 quarter</w:t>
            </w:r>
            <w:r w:rsidR="002A7DAC">
              <w:t>,</w:t>
            </w:r>
            <w:r w:rsidRPr="00F42328">
              <w:t xml:space="preserve"> which is</w:t>
            </w:r>
            <w:r w:rsidR="008947CF" w:rsidRPr="00F42328" w:rsidDel="004761C6">
              <w:t xml:space="preserve"> </w:t>
            </w:r>
            <w:r w:rsidR="00A226D5" w:rsidRPr="00F42328">
              <w:t>likely</w:t>
            </w:r>
            <w:r w:rsidR="00670759" w:rsidRPr="00F42328">
              <w:t xml:space="preserve"> explained by a catch up in birth registrations following</w:t>
            </w:r>
            <w:r w:rsidR="00670759" w:rsidRPr="00F42328" w:rsidDel="004D0C6C">
              <w:t xml:space="preserve"> </w:t>
            </w:r>
            <w:r w:rsidR="00200EE7" w:rsidRPr="00F42328">
              <w:t xml:space="preserve">longer than usual </w:t>
            </w:r>
            <w:r w:rsidR="008947CF" w:rsidRPr="00F42328">
              <w:t>delay</w:t>
            </w:r>
            <w:r w:rsidR="00200EE7" w:rsidRPr="00F42328">
              <w:t>s</w:t>
            </w:r>
            <w:r w:rsidR="008947CF" w:rsidRPr="00F42328">
              <w:t xml:space="preserve"> in registrations</w:t>
            </w:r>
            <w:r w:rsidR="00670759" w:rsidRPr="00F42328">
              <w:t xml:space="preserve"> </w:t>
            </w:r>
            <w:r w:rsidR="00A226D5" w:rsidRPr="00F42328">
              <w:t>in 2021</w:t>
            </w:r>
            <w:r w:rsidR="00670759" w:rsidRPr="00F42328">
              <w:t xml:space="preserve"> </w:t>
            </w:r>
            <w:r w:rsidR="004761C6" w:rsidRPr="00F42328">
              <w:t xml:space="preserve">due </w:t>
            </w:r>
            <w:r w:rsidR="008947CF" w:rsidRPr="00F42328">
              <w:t>COVID-19 restrictions.</w:t>
            </w:r>
          </w:p>
          <w:p w14:paraId="2217AE44" w14:textId="68497485" w:rsidR="006277A9" w:rsidRPr="00F42328" w:rsidRDefault="006277A9" w:rsidP="006277A9">
            <w:pPr>
              <w:pStyle w:val="Bullet"/>
            </w:pPr>
            <w:r w:rsidRPr="00F42328">
              <w:t xml:space="preserve">The number of </w:t>
            </w:r>
            <w:r w:rsidRPr="00F42328">
              <w:rPr>
                <w:rFonts w:eastAsia="Calibri"/>
              </w:rPr>
              <w:t xml:space="preserve">interstate </w:t>
            </w:r>
            <w:r w:rsidR="00233FC6" w:rsidRPr="00F42328">
              <w:rPr>
                <w:rFonts w:eastAsia="Calibri"/>
              </w:rPr>
              <w:t>moves</w:t>
            </w:r>
            <w:r w:rsidRPr="00F42328">
              <w:rPr>
                <w:rFonts w:eastAsia="Calibri"/>
              </w:rPr>
              <w:t xml:space="preserve"> </w:t>
            </w:r>
            <w:r w:rsidR="002E44CB" w:rsidRPr="00F42328">
              <w:rPr>
                <w:rFonts w:eastAsia="Calibri"/>
              </w:rPr>
              <w:t>rose to</w:t>
            </w:r>
            <w:r w:rsidR="00F10DE3" w:rsidRPr="00F42328">
              <w:rPr>
                <w:rFonts w:eastAsia="Calibri"/>
              </w:rPr>
              <w:t xml:space="preserve"> a high</w:t>
            </w:r>
            <w:r w:rsidR="00F60166" w:rsidRPr="00F42328">
              <w:rPr>
                <w:rFonts w:eastAsia="Calibri"/>
              </w:rPr>
              <w:t xml:space="preserve"> of</w:t>
            </w:r>
            <w:r w:rsidR="002E44CB" w:rsidRPr="00F42328">
              <w:rPr>
                <w:rFonts w:eastAsia="Calibri"/>
              </w:rPr>
              <w:t xml:space="preserve"> 48</w:t>
            </w:r>
            <w:r w:rsidR="002E7165" w:rsidRPr="00F42328">
              <w:rPr>
                <w:rFonts w:eastAsia="Calibri"/>
              </w:rPr>
              <w:t>4</w:t>
            </w:r>
            <w:r w:rsidR="002E44CB" w:rsidRPr="00F42328">
              <w:rPr>
                <w:rFonts w:eastAsia="Calibri"/>
              </w:rPr>
              <w:t>,</w:t>
            </w:r>
            <w:r w:rsidR="002E7165" w:rsidRPr="00F42328">
              <w:rPr>
                <w:rFonts w:eastAsia="Calibri"/>
              </w:rPr>
              <w:t>0</w:t>
            </w:r>
            <w:r w:rsidR="002E44CB" w:rsidRPr="00F42328">
              <w:rPr>
                <w:rFonts w:eastAsia="Calibri"/>
              </w:rPr>
              <w:t>00</w:t>
            </w:r>
            <w:r w:rsidRPr="00F42328">
              <w:rPr>
                <w:rFonts w:eastAsia="Calibri"/>
              </w:rPr>
              <w:t xml:space="preserve"> over the year to December2021 </w:t>
            </w:r>
            <w:r w:rsidR="00003C9D" w:rsidRPr="00F42328">
              <w:rPr>
                <w:rFonts w:eastAsia="Calibri"/>
              </w:rPr>
              <w:t>(</w:t>
            </w:r>
            <w:r w:rsidR="00291B8B" w:rsidRPr="00F42328">
              <w:rPr>
                <w:rFonts w:eastAsia="Calibri"/>
              </w:rPr>
              <w:t xml:space="preserve">see </w:t>
            </w:r>
            <w:r w:rsidR="00003C9D" w:rsidRPr="00F42328">
              <w:rPr>
                <w:rFonts w:eastAsia="Calibri"/>
              </w:rPr>
              <w:t>Chart 3)</w:t>
            </w:r>
            <w:r w:rsidR="00F10DE3" w:rsidRPr="00F42328">
              <w:rPr>
                <w:rFonts w:eastAsia="Calibri"/>
              </w:rPr>
              <w:t xml:space="preserve">, with most states </w:t>
            </w:r>
            <w:r w:rsidR="00494159" w:rsidRPr="00F42328">
              <w:rPr>
                <w:rFonts w:eastAsia="Calibri"/>
              </w:rPr>
              <w:t>reaching</w:t>
            </w:r>
            <w:r w:rsidR="00F10DE3" w:rsidRPr="00F42328">
              <w:rPr>
                <w:rFonts w:eastAsia="Calibri"/>
              </w:rPr>
              <w:t xml:space="preserve"> historical records for interstate arrivals and departures.</w:t>
            </w:r>
          </w:p>
          <w:p w14:paraId="6C1245C5" w14:textId="399246E3" w:rsidR="006277A9" w:rsidRPr="00F42328" w:rsidRDefault="00527E25" w:rsidP="00A61749">
            <w:pPr>
              <w:pStyle w:val="Dash"/>
            </w:pPr>
            <w:r w:rsidRPr="00F42328">
              <w:t xml:space="preserve">However, it is unlikely that </w:t>
            </w:r>
            <w:r w:rsidRPr="00F42328" w:rsidDel="00291B8B">
              <w:t xml:space="preserve">all </w:t>
            </w:r>
            <w:r w:rsidRPr="00F42328">
              <w:t xml:space="preserve">these interstate moves were made in the December 2021 quarter. </w:t>
            </w:r>
            <w:r w:rsidR="00EB6369" w:rsidRPr="00F42328">
              <w:t xml:space="preserve">Driving these historic </w:t>
            </w:r>
            <w:r w:rsidR="00494159" w:rsidRPr="00F42328">
              <w:t>figures</w:t>
            </w:r>
            <w:r w:rsidR="00EB6369" w:rsidRPr="00F42328">
              <w:t xml:space="preserve"> </w:t>
            </w:r>
            <w:r w:rsidR="00494159" w:rsidRPr="00F42328">
              <w:t>are changes to</w:t>
            </w:r>
            <w:r w:rsidR="00EB6369" w:rsidRPr="00F42328">
              <w:t xml:space="preserve"> </w:t>
            </w:r>
            <w:r w:rsidR="00291B8B" w:rsidRPr="00F42328">
              <w:t xml:space="preserve">Medicare address </w:t>
            </w:r>
            <w:r w:rsidR="00EB6369" w:rsidRPr="00F42328">
              <w:t>data</w:t>
            </w:r>
            <w:r w:rsidR="00475CD4" w:rsidRPr="00F42328">
              <w:t>, w</w:t>
            </w:r>
            <w:r w:rsidR="00EB6369" w:rsidRPr="00F42328">
              <w:t>hich is</w:t>
            </w:r>
            <w:r w:rsidR="00291B8B" w:rsidRPr="00F42328">
              <w:t xml:space="preserve"> used to calculate interstate moves. In 2021, there </w:t>
            </w:r>
            <w:r w:rsidR="0088466D" w:rsidRPr="00F42328" w:rsidDel="00291B8B">
              <w:t>was</w:t>
            </w:r>
            <w:r w:rsidR="0088466D" w:rsidRPr="00F42328">
              <w:t xml:space="preserve"> an unprecedented increase in the number of address changes captured through Medicare </w:t>
            </w:r>
            <w:r w:rsidR="002E44CB" w:rsidRPr="00F42328">
              <w:t>because</w:t>
            </w:r>
            <w:r w:rsidR="0088466D" w:rsidRPr="00F42328">
              <w:t xml:space="preserve"> of the COVID-19 </w:t>
            </w:r>
            <w:r w:rsidR="00291B8B" w:rsidRPr="00F42328">
              <w:t>v</w:t>
            </w:r>
            <w:r w:rsidR="0088466D" w:rsidRPr="00F42328">
              <w:t xml:space="preserve">accination </w:t>
            </w:r>
            <w:r w:rsidR="00291B8B" w:rsidRPr="00F42328">
              <w:t>p</w:t>
            </w:r>
            <w:r w:rsidR="0088466D" w:rsidRPr="00F42328">
              <w:t>rogram.</w:t>
            </w:r>
            <w:r w:rsidR="00157AE1" w:rsidRPr="00F42328">
              <w:t xml:space="preserve"> 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4485"/>
            </w:tblGrid>
            <w:tr w:rsidR="00C55B8D" w:rsidRPr="00F42328" w14:paraId="07CFF080" w14:textId="77777777" w:rsidTr="00C55B8D">
              <w:tc>
                <w:tcPr>
                  <w:tcW w:w="4484" w:type="dxa"/>
                </w:tcPr>
                <w:p w14:paraId="53B23E75" w14:textId="12B259ED" w:rsidR="00C55B8D" w:rsidRPr="00F42328" w:rsidRDefault="00C55B8D" w:rsidP="00B224E3">
                  <w:pPr>
                    <w:pStyle w:val="Chartheading"/>
                    <w:spacing w:after="0"/>
                    <w:rPr>
                      <w:noProof/>
                    </w:rPr>
                  </w:pPr>
                  <w:r w:rsidRPr="00F42328">
                    <w:t>Net overseas migration, year ending</w:t>
                  </w:r>
                </w:p>
              </w:tc>
              <w:tc>
                <w:tcPr>
                  <w:tcW w:w="4485" w:type="dxa"/>
                </w:tcPr>
                <w:p w14:paraId="7812E45E" w14:textId="2AC376BC" w:rsidR="00C55B8D" w:rsidRPr="00F42328" w:rsidRDefault="00C55B8D" w:rsidP="00B224E3">
                  <w:pPr>
                    <w:pStyle w:val="Chartheading"/>
                    <w:spacing w:after="0"/>
                    <w:rPr>
                      <w:noProof/>
                    </w:rPr>
                  </w:pPr>
                  <w:r w:rsidRPr="00F42328">
                    <w:rPr>
                      <w:noProof/>
                    </w:rPr>
                    <w:t>Interstate mig</w:t>
                  </w:r>
                  <w:r w:rsidR="004A1744">
                    <w:rPr>
                      <w:noProof/>
                    </w:rPr>
                    <w:t>r</w:t>
                  </w:r>
                  <w:r w:rsidRPr="00F42328">
                    <w:rPr>
                      <w:noProof/>
                    </w:rPr>
                    <w:t>ation, year ending</w:t>
                  </w:r>
                </w:p>
              </w:tc>
            </w:tr>
            <w:tr w:rsidR="00C55B8D" w:rsidRPr="00F42328" w14:paraId="493939E0" w14:textId="77777777" w:rsidTr="00C55B8D">
              <w:tc>
                <w:tcPr>
                  <w:tcW w:w="4484" w:type="dxa"/>
                </w:tcPr>
                <w:p w14:paraId="4F4A05D6" w14:textId="4EA46C5D" w:rsidR="00C55B8D" w:rsidRPr="00F42328" w:rsidRDefault="00C55B8D" w:rsidP="00B224E3">
                  <w:pPr>
                    <w:spacing w:before="0" w:after="0"/>
                    <w:rPr>
                      <w:noProof/>
                    </w:rPr>
                  </w:pPr>
                  <w:r w:rsidRPr="00F42328">
                    <w:rPr>
                      <w:noProof/>
                    </w:rPr>
                    <w:drawing>
                      <wp:inline distT="0" distB="0" distL="0" distR="0" wp14:anchorId="14DE0FD1" wp14:editId="1D5931E9">
                        <wp:extent cx="2772000" cy="25865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2000" cy="258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</w:tcPr>
                <w:p w14:paraId="65CECA71" w14:textId="72B12C51" w:rsidR="00C55B8D" w:rsidRPr="00F42328" w:rsidRDefault="000424A3" w:rsidP="00B224E3">
                  <w:pPr>
                    <w:spacing w:before="0" w:after="0"/>
                    <w:rPr>
                      <w:noProof/>
                    </w:rPr>
                  </w:pPr>
                  <w:r w:rsidRPr="00F42328">
                    <w:rPr>
                      <w:noProof/>
                    </w:rPr>
                    <w:drawing>
                      <wp:inline distT="0" distB="0" distL="0" distR="0" wp14:anchorId="3D701FB6" wp14:editId="145DBF6B">
                        <wp:extent cx="2705100" cy="25241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C020DF" w14:textId="101CC44B" w:rsidR="006277A9" w:rsidRPr="00F42328" w:rsidRDefault="006277A9" w:rsidP="002D2F61">
            <w:pPr>
              <w:pStyle w:val="Heading3"/>
              <w:keepNext w:val="0"/>
              <w:spacing w:before="240"/>
            </w:pPr>
            <w:r w:rsidRPr="00F42328">
              <w:t xml:space="preserve">State and territory </w:t>
            </w:r>
            <w:r w:rsidR="00D05628" w:rsidRPr="00F42328">
              <w:t xml:space="preserve">growth is concentrated in Queensland and Western Australia </w:t>
            </w:r>
          </w:p>
          <w:p w14:paraId="579ED5A8" w14:textId="567737D3" w:rsidR="00734508" w:rsidRPr="00F42328" w:rsidRDefault="008A2BAD" w:rsidP="007309A2">
            <w:pPr>
              <w:pStyle w:val="Bullet"/>
              <w:ind w:left="471" w:hanging="471"/>
            </w:pPr>
            <w:r w:rsidRPr="00F42328">
              <w:t>R</w:t>
            </w:r>
            <w:r w:rsidR="00E211C0" w:rsidRPr="00F42328">
              <w:t xml:space="preserve">ecord national interstate migration </w:t>
            </w:r>
            <w:r w:rsidR="001F3834" w:rsidRPr="00F42328">
              <w:t>pushed</w:t>
            </w:r>
            <w:r w:rsidR="00F3515C" w:rsidRPr="00F42328">
              <w:t xml:space="preserve"> </w:t>
            </w:r>
            <w:r w:rsidR="001F3834" w:rsidRPr="00F42328">
              <w:t>annual</w:t>
            </w:r>
            <w:r w:rsidR="00F3515C" w:rsidRPr="00F42328">
              <w:t xml:space="preserve"> population growth in Queensland and Western Australia </w:t>
            </w:r>
            <w:r w:rsidR="001F3834" w:rsidRPr="00F42328">
              <w:t>above</w:t>
            </w:r>
            <w:r w:rsidR="00062693" w:rsidRPr="00F42328">
              <w:t xml:space="preserve"> one</w:t>
            </w:r>
            <w:r w:rsidR="00F3515C" w:rsidRPr="00F42328">
              <w:t> per cent</w:t>
            </w:r>
            <w:r w:rsidR="002A7DAC">
              <w:t xml:space="preserve"> in 2021</w:t>
            </w:r>
            <w:r w:rsidR="00F3515C" w:rsidRPr="00F42328">
              <w:t xml:space="preserve">. </w:t>
            </w:r>
            <w:r w:rsidR="00BB232A" w:rsidRPr="00F42328">
              <w:t>New South Wales</w:t>
            </w:r>
            <w:r w:rsidR="0045569A">
              <w:t>, the Northern Territory,</w:t>
            </w:r>
            <w:r w:rsidR="001B7276" w:rsidRPr="00F42328">
              <w:t xml:space="preserve"> </w:t>
            </w:r>
            <w:r w:rsidR="00BB232A" w:rsidRPr="00F42328">
              <w:t>and Victoria continue</w:t>
            </w:r>
            <w:r w:rsidR="00062693" w:rsidRPr="00F42328">
              <w:t>d</w:t>
            </w:r>
            <w:r w:rsidR="00BB232A" w:rsidRPr="00F42328">
              <w:t xml:space="preserve"> to be the slowest growing </w:t>
            </w:r>
            <w:r w:rsidR="00062693" w:rsidRPr="00F42328">
              <w:t>states through the net loss of migrants</w:t>
            </w:r>
            <w:r w:rsidR="0060197A" w:rsidRPr="00F42328">
              <w:t xml:space="preserve"> (s</w:t>
            </w:r>
            <w:r w:rsidR="001B7276" w:rsidRPr="00F42328">
              <w:t xml:space="preserve">ee </w:t>
            </w:r>
            <w:r w:rsidR="00413120" w:rsidRPr="00F42328">
              <w:t>C</w:t>
            </w:r>
            <w:r w:rsidR="001B7276" w:rsidRPr="00F42328">
              <w:t>hart 4</w:t>
            </w:r>
            <w:r w:rsidR="0060197A" w:rsidRPr="00F42328">
              <w:t>)</w:t>
            </w:r>
            <w:r w:rsidR="001B7276" w:rsidRPr="00F42328">
              <w:t>.</w:t>
            </w:r>
          </w:p>
          <w:p w14:paraId="2BC5E564" w14:textId="559ABE29" w:rsidR="00A0746B" w:rsidRPr="00F42328" w:rsidRDefault="0059627D" w:rsidP="007309A2">
            <w:pPr>
              <w:pStyle w:val="Bullet"/>
              <w:ind w:left="471" w:hanging="471"/>
            </w:pPr>
            <w:r w:rsidRPr="00F42328">
              <w:t>Annual population growth</w:t>
            </w:r>
            <w:r w:rsidR="00A0746B" w:rsidRPr="00F42328">
              <w:t xml:space="preserve"> in South Australia, Tasmania</w:t>
            </w:r>
            <w:r w:rsidR="00C94DC3" w:rsidRPr="00F42328">
              <w:t>,</w:t>
            </w:r>
            <w:r w:rsidR="00A0746B" w:rsidRPr="00F42328">
              <w:t xml:space="preserve"> and the ACT </w:t>
            </w:r>
            <w:r w:rsidR="00597125" w:rsidRPr="00F42328">
              <w:t xml:space="preserve">increased </w:t>
            </w:r>
            <w:r w:rsidR="00C94DC3" w:rsidRPr="00F42328">
              <w:t xml:space="preserve">following </w:t>
            </w:r>
            <w:r w:rsidR="00597125" w:rsidRPr="00F42328">
              <w:t xml:space="preserve">lows </w:t>
            </w:r>
            <w:r w:rsidR="008F5D15" w:rsidRPr="00F42328">
              <w:t>in the</w:t>
            </w:r>
            <w:r w:rsidRPr="00F42328">
              <w:t xml:space="preserve"> year to</w:t>
            </w:r>
            <w:r w:rsidR="00597125" w:rsidRPr="00F42328">
              <w:t xml:space="preserve"> September 2021</w:t>
            </w:r>
            <w:r w:rsidR="008F5D15" w:rsidRPr="00F42328">
              <w:t xml:space="preserve">, suggesting these </w:t>
            </w:r>
            <w:r w:rsidR="00902F8B">
              <w:t>jurisdictions</w:t>
            </w:r>
            <w:r w:rsidR="00902F8B" w:rsidRPr="00F42328">
              <w:t xml:space="preserve"> </w:t>
            </w:r>
            <w:r w:rsidR="008F5D15" w:rsidRPr="00F42328">
              <w:t>will continue to see improving growth</w:t>
            </w:r>
            <w:r w:rsidR="00597125" w:rsidRPr="00F42328">
              <w:t>.</w:t>
            </w:r>
          </w:p>
          <w:p w14:paraId="43207AE3" w14:textId="2C7E0E2D" w:rsidR="00A61749" w:rsidRPr="00F42328" w:rsidRDefault="000412DE" w:rsidP="007309A2">
            <w:pPr>
              <w:pStyle w:val="Bullet"/>
              <w:ind w:left="471" w:hanging="471"/>
            </w:pPr>
            <w:r>
              <w:t>T</w:t>
            </w:r>
            <w:r w:rsidR="00A0746B" w:rsidRPr="00F42328">
              <w:t xml:space="preserve">he Northern Territory </w:t>
            </w:r>
            <w:r w:rsidR="00EB41A4" w:rsidRPr="00F42328">
              <w:t>was</w:t>
            </w:r>
            <w:r w:rsidR="00A0746B" w:rsidRPr="00F42328">
              <w:t xml:space="preserve"> the only jurisdiction where </w:t>
            </w:r>
            <w:r w:rsidR="0059627D" w:rsidRPr="00F42328">
              <w:t xml:space="preserve">annual </w:t>
            </w:r>
            <w:r w:rsidR="00A0746B" w:rsidRPr="00F42328">
              <w:t xml:space="preserve">population growth declined </w:t>
            </w:r>
            <w:r w:rsidR="008F5D15" w:rsidRPr="00F42328">
              <w:t>since the September quarter</w:t>
            </w:r>
            <w:r w:rsidR="0059627D" w:rsidRPr="00F42328">
              <w:t>.</w:t>
            </w:r>
          </w:p>
          <w:p w14:paraId="4E3BBCF2" w14:textId="457AADCB" w:rsidR="00734508" w:rsidRPr="00F42328" w:rsidRDefault="00B942FC" w:rsidP="007309A2">
            <w:pPr>
              <w:pStyle w:val="Bullet"/>
              <w:ind w:left="471" w:hanging="471"/>
            </w:pPr>
            <w:r w:rsidRPr="00F42328">
              <w:t xml:space="preserve">Natural increase was the </w:t>
            </w:r>
            <w:r w:rsidR="00F05018" w:rsidRPr="00F42328">
              <w:t>main</w:t>
            </w:r>
            <w:r w:rsidRPr="00F42328" w:rsidDel="00F05018">
              <w:t xml:space="preserve"> </w:t>
            </w:r>
            <w:r w:rsidRPr="00F42328">
              <w:t xml:space="preserve">driver of </w:t>
            </w:r>
            <w:r w:rsidR="000412DE">
              <w:t xml:space="preserve">increased </w:t>
            </w:r>
            <w:r w:rsidRPr="00F42328">
              <w:t>population in most s</w:t>
            </w:r>
            <w:r w:rsidR="00734508" w:rsidRPr="00F42328">
              <w:t xml:space="preserve">tates and </w:t>
            </w:r>
            <w:r w:rsidRPr="00F42328">
              <w:t>t</w:t>
            </w:r>
            <w:r w:rsidR="00734508" w:rsidRPr="00F42328">
              <w:t xml:space="preserve">erritories, </w:t>
            </w:r>
            <w:r w:rsidRPr="00F42328">
              <w:t>w</w:t>
            </w:r>
            <w:r w:rsidR="00F76EE6" w:rsidRPr="00F42328">
              <w:t>ith only Queensland</w:t>
            </w:r>
            <w:r w:rsidR="006A6033">
              <w:t>, South Australia,</w:t>
            </w:r>
            <w:r w:rsidR="00F76EE6" w:rsidRPr="00F42328">
              <w:t xml:space="preserve"> and Tasmania </w:t>
            </w:r>
            <w:r w:rsidRPr="00F42328">
              <w:t>relying more heavily on migration for growth</w:t>
            </w:r>
            <w:r w:rsidR="00F76EE6" w:rsidRPr="00F42328">
              <w:t>.</w:t>
            </w:r>
            <w:r w:rsidR="00734508" w:rsidRPr="00F42328">
              <w:t xml:space="preserve">  </w:t>
            </w:r>
          </w:p>
          <w:p w14:paraId="1A17BEE8" w14:textId="270A462D" w:rsidR="00345645" w:rsidRDefault="00EB41A4" w:rsidP="00321DA4">
            <w:pPr>
              <w:pStyle w:val="Bullet"/>
            </w:pPr>
            <w:r w:rsidRPr="00F42328">
              <w:t>Movement within Australia remains influenced by the pandemic</w:t>
            </w:r>
            <w:r w:rsidR="00345645">
              <w:t xml:space="preserve"> with </w:t>
            </w:r>
            <w:r w:rsidR="007867F8">
              <w:t xml:space="preserve">fewer residents choosing to move </w:t>
            </w:r>
            <w:r w:rsidR="006F0799">
              <w:t>to</w:t>
            </w:r>
            <w:r w:rsidR="007867F8">
              <w:t xml:space="preserve"> jurisdictions </w:t>
            </w:r>
            <w:r w:rsidR="0006696B">
              <w:t>during</w:t>
            </w:r>
            <w:r w:rsidR="007867F8">
              <w:t xml:space="preserve"> extended lockdowns</w:t>
            </w:r>
            <w:r w:rsidR="00877359">
              <w:t>.</w:t>
            </w:r>
          </w:p>
          <w:p w14:paraId="66254B22" w14:textId="0EA1B4DC" w:rsidR="00321DA4" w:rsidRDefault="007867F8" w:rsidP="0030400C">
            <w:pPr>
              <w:pStyle w:val="Dash"/>
            </w:pPr>
            <w:r>
              <w:t>R</w:t>
            </w:r>
            <w:r w:rsidR="00321DA4">
              <w:t xml:space="preserve">ecord net outflows from Victoria and New South Wales </w:t>
            </w:r>
            <w:r>
              <w:t>were</w:t>
            </w:r>
            <w:r w:rsidR="00321DA4">
              <w:t xml:space="preserve"> driven by fewer interstate arrivals</w:t>
            </w:r>
            <w:r w:rsidR="00345645">
              <w:t xml:space="preserve"> and record high departures</w:t>
            </w:r>
            <w:r w:rsidR="00321DA4">
              <w:t>.</w:t>
            </w:r>
            <w:r w:rsidR="00345645">
              <w:t xml:space="preserve"> This led to record </w:t>
            </w:r>
            <w:r w:rsidR="00CC618E">
              <w:t>net</w:t>
            </w:r>
            <w:r w:rsidR="00345645">
              <w:t xml:space="preserve"> </w:t>
            </w:r>
            <w:r>
              <w:t xml:space="preserve">interstate migration to </w:t>
            </w:r>
            <w:r w:rsidR="00345645">
              <w:t>Queensland and Western Australia.</w:t>
            </w:r>
            <w:r w:rsidR="00321DA4">
              <w:t xml:space="preserve"> </w:t>
            </w:r>
          </w:p>
          <w:p w14:paraId="6243B28F" w14:textId="6050C8B2" w:rsidR="00BB232A" w:rsidRPr="00F42328" w:rsidRDefault="0025297A" w:rsidP="007309A2">
            <w:pPr>
              <w:pStyle w:val="Bullet"/>
              <w:ind w:left="471" w:hanging="471"/>
            </w:pPr>
            <w:r w:rsidRPr="00F42328">
              <w:t>Flows</w:t>
            </w:r>
            <w:r w:rsidR="001B7276" w:rsidRPr="00F42328">
              <w:t xml:space="preserve"> of overseas </w:t>
            </w:r>
            <w:r w:rsidR="00FF52CF" w:rsidRPr="00F42328">
              <w:t xml:space="preserve">migrants </w:t>
            </w:r>
            <w:r w:rsidR="001B7276" w:rsidRPr="00F42328">
              <w:t xml:space="preserve">across the country </w:t>
            </w:r>
            <w:r w:rsidRPr="00F42328">
              <w:t>were</w:t>
            </w:r>
            <w:r w:rsidR="001B7276" w:rsidRPr="00F42328">
              <w:t xml:space="preserve"> uneven</w:t>
            </w:r>
            <w:r w:rsidRPr="00F42328">
              <w:t xml:space="preserve"> as a result of</w:t>
            </w:r>
            <w:r w:rsidR="004966D7" w:rsidRPr="00F42328">
              <w:t xml:space="preserve"> interstate border closures which were removed in some jurisdictions throughout the December 2021 quarter</w:t>
            </w:r>
            <w:r w:rsidR="003D689B" w:rsidRPr="00F42328" w:rsidDel="00142A6B">
              <w:t>.</w:t>
            </w:r>
            <w:r w:rsidR="00413120" w:rsidRPr="00F42328" w:rsidDel="00142A6B">
              <w:t xml:space="preserve"> </w:t>
            </w:r>
          </w:p>
          <w:p w14:paraId="6627E0FE" w14:textId="763898A7" w:rsidR="001074FD" w:rsidRPr="00F42328" w:rsidRDefault="00326900" w:rsidP="00280C39">
            <w:pPr>
              <w:pStyle w:val="Chartheading"/>
            </w:pPr>
            <w:r w:rsidRPr="00F42328">
              <w:lastRenderedPageBreak/>
              <w:t xml:space="preserve">State and territory population growth </w:t>
            </w:r>
            <w:r w:rsidR="004554FD" w:rsidRPr="00F42328">
              <w:t>and Components</w:t>
            </w:r>
          </w:p>
          <w:p w14:paraId="13C980E4" w14:textId="2A1D14D1" w:rsidR="001074FD" w:rsidRPr="00F42328" w:rsidRDefault="001074FD" w:rsidP="0030400C">
            <w:pPr>
              <w:spacing w:after="0"/>
            </w:pPr>
            <w:r w:rsidRPr="00F42328">
              <w:rPr>
                <w:noProof/>
              </w:rPr>
              <w:drawing>
                <wp:inline distT="0" distB="0" distL="0" distR="0" wp14:anchorId="77605EE2" wp14:editId="581C7A86">
                  <wp:extent cx="5680711" cy="405765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81671" cy="405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2607D" w14:textId="4FEA7385" w:rsidR="009F26C9" w:rsidRPr="0030400C" w:rsidRDefault="009F26C9" w:rsidP="0030400C">
            <w:pPr>
              <w:spacing w:before="0"/>
              <w:rPr>
                <w:sz w:val="16"/>
                <w:szCs w:val="16"/>
              </w:rPr>
            </w:pPr>
            <w:r w:rsidRPr="0030400C">
              <w:rPr>
                <w:sz w:val="16"/>
                <w:szCs w:val="16"/>
              </w:rPr>
              <w:t xml:space="preserve">Note: </w:t>
            </w:r>
            <w:r>
              <w:rPr>
                <w:sz w:val="16"/>
                <w:szCs w:val="16"/>
              </w:rPr>
              <w:t xml:space="preserve">Components of growth will not match the total growth due to the intercensal </w:t>
            </w:r>
            <w:r w:rsidR="00390864">
              <w:rPr>
                <w:sz w:val="16"/>
                <w:szCs w:val="16"/>
              </w:rPr>
              <w:t>difference</w:t>
            </w:r>
            <w:r>
              <w:rPr>
                <w:sz w:val="16"/>
                <w:szCs w:val="16"/>
              </w:rPr>
              <w:t xml:space="preserve">, notably </w:t>
            </w:r>
            <w:r w:rsidR="0008264E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>the Northern Territory</w:t>
            </w:r>
            <w:r w:rsidR="0008264E">
              <w:rPr>
                <w:sz w:val="16"/>
                <w:szCs w:val="16"/>
              </w:rPr>
              <w:t>.</w:t>
            </w:r>
            <w:r w:rsidR="0026419C">
              <w:rPr>
                <w:sz w:val="16"/>
                <w:szCs w:val="16"/>
              </w:rPr>
              <w:t xml:space="preserve"> For further information on the intercensal difference please see </w:t>
            </w:r>
            <w:r w:rsidR="0026419C">
              <w:rPr>
                <w:i/>
                <w:iCs/>
                <w:sz w:val="16"/>
                <w:szCs w:val="16"/>
              </w:rPr>
              <w:t>Rebasing of Australia’s population estimates using the 2021 Census</w:t>
            </w:r>
            <w:r w:rsidR="0026419C">
              <w:rPr>
                <w:sz w:val="16"/>
                <w:szCs w:val="16"/>
              </w:rPr>
              <w:t xml:space="preserve">, at </w:t>
            </w:r>
            <w:hyperlink r:id="rId14" w:history="1">
              <w:r w:rsidR="0026419C" w:rsidRPr="0026419C">
                <w:rPr>
                  <w:rStyle w:val="Hyperlink"/>
                  <w:sz w:val="16"/>
                  <w:szCs w:val="16"/>
                </w:rPr>
                <w:t>population.gov.au</w:t>
              </w:r>
            </w:hyperlink>
            <w:r w:rsidR="0026419C">
              <w:rPr>
                <w:sz w:val="16"/>
                <w:szCs w:val="16"/>
              </w:rPr>
              <w:t>.</w:t>
            </w:r>
          </w:p>
          <w:p w14:paraId="2E58AB1D" w14:textId="4E0C1FD4" w:rsidR="00BF2B47" w:rsidRPr="00F42328" w:rsidRDefault="00BF2B47" w:rsidP="00BF2B47">
            <w:pPr>
              <w:pStyle w:val="TableHeadingContinued"/>
            </w:pPr>
            <w:r w:rsidRPr="00F42328">
              <w:t>Population and population growth across Australia</w:t>
            </w:r>
          </w:p>
          <w:tbl>
            <w:tblPr>
              <w:tblW w:w="9037" w:type="dxa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291"/>
              <w:gridCol w:w="1291"/>
              <w:gridCol w:w="1291"/>
              <w:gridCol w:w="1291"/>
              <w:gridCol w:w="1291"/>
              <w:gridCol w:w="1291"/>
            </w:tblGrid>
            <w:tr w:rsidR="00BF2B47" w:rsidRPr="00F42328" w14:paraId="039EE7DA" w14:textId="77777777" w:rsidTr="003B24E1">
              <w:trPr>
                <w:trHeight w:val="491"/>
              </w:trPr>
              <w:tc>
                <w:tcPr>
                  <w:tcW w:w="1291" w:type="dxa"/>
                  <w:vMerge w:val="restart"/>
                  <w:tcBorders>
                    <w:top w:val="single" w:sz="8" w:space="0" w:color="002C47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A0D75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State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F2F67B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69046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397AC2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76090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Natural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B01FFF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NIM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C84F81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NOM</w:t>
                  </w:r>
                </w:p>
              </w:tc>
            </w:tr>
            <w:tr w:rsidR="00BF2B47" w:rsidRPr="00F42328" w14:paraId="479E7868" w14:textId="77777777" w:rsidTr="003B24E1">
              <w:trPr>
                <w:trHeight w:val="362"/>
              </w:trPr>
              <w:tc>
                <w:tcPr>
                  <w:tcW w:w="1291" w:type="dxa"/>
                  <w:vMerge/>
                  <w:tcBorders>
                    <w:top w:val="single" w:sz="8" w:space="0" w:color="002C47"/>
                    <w:left w:val="nil"/>
                    <w:bottom w:val="single" w:sz="8" w:space="0" w:color="002C47"/>
                    <w:right w:val="nil"/>
                  </w:tcBorders>
                  <w:vAlign w:val="center"/>
                  <w:hideMark/>
                </w:tcPr>
                <w:p w14:paraId="02313D76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F923D" w14:textId="7992A65A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31 December 2021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69F4C0" w14:textId="5A9AB28F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Since 31 December 2020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DF11EA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%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EFF45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3DBEB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28CF1D" w14:textId="77777777" w:rsidR="00BF2B47" w:rsidRPr="00F42328" w:rsidRDefault="00BF2B47" w:rsidP="00BF2B47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</w:tr>
            <w:tr w:rsidR="00BF2B47" w:rsidRPr="00F42328" w14:paraId="35FF3530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E04B3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NSW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87157A" w14:textId="40966DC9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8,095,430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4FC9FA" w14:textId="6815544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11,238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0461F3" w14:textId="44DFD6C5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0.14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E70DC" w14:textId="6BE6FCAC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44,809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AC69A3" w14:textId="71436D51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-35,337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5D5128" w14:textId="66807CFF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12,608</w:t>
                  </w:r>
                </w:p>
              </w:tc>
            </w:tr>
            <w:tr w:rsidR="00BF2B47" w:rsidRPr="00F42328" w14:paraId="5A8F083B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85220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VIC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634761" w14:textId="4A206BA1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6,559,941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B61F17" w14:textId="42B29F09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-3,524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D3A0CE" w14:textId="592292C9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-0.05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CCC471" w14:textId="1ACC9FA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32,877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991971" w14:textId="531302B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-19,386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71B73A" w14:textId="0DF6640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-9,566</w:t>
                  </w:r>
                </w:p>
              </w:tc>
            </w:tr>
            <w:tr w:rsidR="00BF2B47" w:rsidRPr="00F42328" w14:paraId="35815195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BA94F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QLD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DB086D" w14:textId="44C682F4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5,265,043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DF1771" w14:textId="7B4BB715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73,689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92F55B" w14:textId="330E1756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1.42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DBA3D0" w14:textId="600FE4DB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30,255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2830DC" w14:textId="7565BC6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50,162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E76102" w14:textId="75856A3D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-4,838</w:t>
                  </w:r>
                </w:p>
              </w:tc>
            </w:tr>
            <w:tr w:rsidR="00BF2B47" w:rsidRPr="00F42328" w14:paraId="724B1EEA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3A263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SA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1980F7" w14:textId="5FBA579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1,806,599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7544C5" w14:textId="7DAE91C7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9,644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DC0684" w14:textId="580A495B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0.54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F2E4B3" w14:textId="35568515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5,260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3C6C7C" w14:textId="379B4377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980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1AB97F" w14:textId="0AB7E99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295</w:t>
                  </w:r>
                </w:p>
              </w:tc>
            </w:tr>
            <w:tr w:rsidR="00BF2B47" w:rsidRPr="00F42328" w14:paraId="04084E60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DF8C9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WA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6E0193" w14:textId="7A9046A3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2,762,234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3F33FA" w14:textId="375CD2E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30,505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B9D3EA" w14:textId="70887D33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1.12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038688" w14:textId="5F3670FD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18,150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4CF707" w14:textId="77093C58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9,288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ADCFC4" w14:textId="304DC659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-3,578</w:t>
                  </w:r>
                </w:p>
              </w:tc>
            </w:tr>
            <w:tr w:rsidR="00BF2B47" w:rsidRPr="00F42328" w14:paraId="20EBED1A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366E2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TAS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7ECACC" w14:textId="37BA9E0A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569,827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36FBCD" w14:textId="43077541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4,270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66E5E0" w14:textId="39D52B58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0.76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8DACB2" w14:textId="6622E6CD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1,275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271F33" w14:textId="7D8F4D42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-486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E4CF27" w14:textId="786E21C2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1,640</w:t>
                  </w:r>
                </w:p>
              </w:tc>
            </w:tr>
            <w:tr w:rsidR="00BF2B47" w:rsidRPr="00F42328" w14:paraId="199219C6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3C182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NT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536182" w14:textId="210A62AE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249,345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D0846D" w14:textId="04263D97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182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753F63" w14:textId="5B41E8E0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0.07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0D811F" w14:textId="3D3EEDB5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2,572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1F5907" w14:textId="0C4910EC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-3,420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A7486B" w14:textId="4204941C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741</w:t>
                  </w:r>
                </w:p>
              </w:tc>
            </w:tr>
            <w:tr w:rsidR="00BF2B47" w:rsidRPr="00F42328" w14:paraId="20237E40" w14:textId="77777777" w:rsidTr="00706F87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37FCC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ACT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7A77CB" w14:textId="778943C2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453,324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5299E9" w14:textId="0B2E62EC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1,893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E76074" w14:textId="07DF796E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0.42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6C0FB2" w14:textId="0509524D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3,335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A2D311" w14:textId="3270A7C6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-1,801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87FDE0" w14:textId="7B7B3BB5" w:rsidR="00BF2B47" w:rsidRPr="00F42328" w:rsidRDefault="00AB2D55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</w:t>
                  </w:r>
                  <w:r w:rsidR="00F4457C"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921</w:t>
                  </w:r>
                </w:p>
              </w:tc>
            </w:tr>
            <w:tr w:rsidR="00BF2B47" w:rsidRPr="00F42328" w14:paraId="47097756" w14:textId="77777777" w:rsidTr="00706F87">
              <w:trPr>
                <w:trHeight w:val="306"/>
              </w:trPr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center"/>
                  <w:hideMark/>
                </w:tcPr>
                <w:p w14:paraId="0CAF2B1B" w14:textId="77777777" w:rsidR="00BF2B47" w:rsidRPr="00F42328" w:rsidRDefault="00BF2B47" w:rsidP="00BF2B47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Australia*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center"/>
                </w:tcPr>
                <w:p w14:paraId="371553B8" w14:textId="60BF1AB2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25,766,605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center"/>
                </w:tcPr>
                <w:p w14:paraId="48399A6D" w14:textId="43B7C463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127,953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vAlign w:val="center"/>
                </w:tcPr>
                <w:p w14:paraId="64E6269B" w14:textId="57983777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0.50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center"/>
                </w:tcPr>
                <w:p w14:paraId="6C63EE6F" w14:textId="49B89F04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138,539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center"/>
                </w:tcPr>
                <w:p w14:paraId="50BF0844" w14:textId="1600ECAA" w:rsidR="00BF2B47" w:rsidRPr="00F42328" w:rsidRDefault="00BF2B47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NA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center"/>
                </w:tcPr>
                <w:p w14:paraId="4BAD00EE" w14:textId="509C656E" w:rsidR="00BF2B47" w:rsidRPr="00F42328" w:rsidRDefault="00F4457C" w:rsidP="00BF2B47">
                  <w:pPr>
                    <w:spacing w:before="0" w:after="0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-3,598</w:t>
                  </w:r>
                </w:p>
              </w:tc>
            </w:tr>
          </w:tbl>
          <w:p w14:paraId="1ABDF027" w14:textId="2671E583" w:rsidR="0073512D" w:rsidRPr="00F42328" w:rsidRDefault="0073512D" w:rsidP="00EB0083">
            <w:pPr>
              <w:pStyle w:val="Source"/>
            </w:pPr>
            <w:r w:rsidRPr="00F42328">
              <w:t xml:space="preserve"> * </w:t>
            </w:r>
            <w:r w:rsidRPr="0030400C">
              <w:rPr>
                <w:sz w:val="16"/>
                <w:szCs w:val="16"/>
              </w:rPr>
              <w:t>Includes other territories comprising Jervis Bay Territory, Christmas Island, the Cocos (Keeling) Islands and Norfolk</w:t>
            </w:r>
            <w:r w:rsidR="002D5B12" w:rsidRPr="0030400C">
              <w:rPr>
                <w:sz w:val="16"/>
                <w:szCs w:val="16"/>
              </w:rPr>
              <w:t xml:space="preserve"> </w:t>
            </w:r>
            <w:r w:rsidRPr="0030400C">
              <w:rPr>
                <w:sz w:val="16"/>
                <w:szCs w:val="16"/>
              </w:rPr>
              <w:t>Island</w:t>
            </w:r>
          </w:p>
          <w:p w14:paraId="654B7F1D" w14:textId="32446033" w:rsidR="00F16104" w:rsidRPr="00F42328" w:rsidRDefault="00F16104" w:rsidP="00F16104"/>
          <w:p w14:paraId="042B62B8" w14:textId="0F76DD53" w:rsidR="00F16104" w:rsidRPr="00F42328" w:rsidRDefault="00F16104" w:rsidP="00F16104"/>
          <w:p w14:paraId="05381089" w14:textId="77777777" w:rsidR="002D5B12" w:rsidRPr="00F42328" w:rsidRDefault="002D5B12" w:rsidP="00F16104"/>
          <w:p w14:paraId="5E7C9D06" w14:textId="77777777" w:rsidR="00F16104" w:rsidRPr="00F42328" w:rsidRDefault="00F16104" w:rsidP="00F16104"/>
          <w:p w14:paraId="75144DB0" w14:textId="7E40E5D4" w:rsidR="00167155" w:rsidRPr="00F42328" w:rsidRDefault="00167155" w:rsidP="00167155">
            <w:pPr>
              <w:pStyle w:val="TableHeadingContinued"/>
            </w:pPr>
            <w:r w:rsidRPr="00F42328">
              <w:lastRenderedPageBreak/>
              <w:t>Upcoming major population releases</w:t>
            </w:r>
          </w:p>
          <w:tbl>
            <w:tblPr>
              <w:tblW w:w="7748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1425"/>
              <w:gridCol w:w="1592"/>
            </w:tblGrid>
            <w:tr w:rsidR="00167155" w:rsidRPr="00F42328" w14:paraId="647D94ED" w14:textId="77777777" w:rsidTr="00CC3A04">
              <w:trPr>
                <w:trHeight w:val="271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F53C38" w14:textId="77777777" w:rsidR="00167155" w:rsidRPr="00F42328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2913FDBF" w14:textId="77777777" w:rsidR="00167155" w:rsidRPr="00F42328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Former catalogue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7EFA5436" w14:textId="77777777" w:rsidR="00167155" w:rsidRPr="00F42328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167155" w:rsidRPr="00F42328" w14:paraId="6950ED65" w14:textId="77777777" w:rsidTr="00CC3A04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40C724EF" w14:textId="7F4F5F87" w:rsidR="00167155" w:rsidRPr="00F42328" w:rsidRDefault="00BF2B47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Regional population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0C0B0" w14:textId="2310A812" w:rsidR="00167155" w:rsidRPr="00F42328" w:rsidRDefault="00BF2B47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3218.0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4CEDEF" w14:textId="7A18D8B3" w:rsidR="00167155" w:rsidRPr="00F42328" w:rsidRDefault="00BF2B47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26</w:t>
                  </w:r>
                  <w:r w:rsidR="00167155"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</w:t>
                  </w: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07</w:t>
                  </w:r>
                  <w:r w:rsidR="00167155"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</w:t>
                  </w: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2022</w:t>
                  </w:r>
                </w:p>
              </w:tc>
            </w:tr>
            <w:tr w:rsidR="00167155" w:rsidRPr="00F42328" w14:paraId="40320B05" w14:textId="77777777" w:rsidTr="00CC3A04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60B03A65" w14:textId="77777777" w:rsidR="00167155" w:rsidRPr="00F42328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Regional population by age and sex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BD1473" w14:textId="77777777" w:rsidR="00167155" w:rsidRPr="00F42328" w:rsidRDefault="00167155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3235.0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65EDC" w14:textId="362BE196" w:rsidR="00167155" w:rsidRPr="00F42328" w:rsidRDefault="00BF2B47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30</w:t>
                  </w:r>
                  <w:r w:rsidR="00167155"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/08/</w:t>
                  </w: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2022</w:t>
                  </w:r>
                </w:p>
              </w:tc>
            </w:tr>
            <w:tr w:rsidR="00167155" w:rsidRPr="00F42328" w14:paraId="6D273FCD" w14:textId="77777777" w:rsidTr="00706F87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5ADD8446" w14:textId="4C7A087D" w:rsidR="00167155" w:rsidRPr="00F42328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</w:t>
                  </w:r>
                  <w:r w:rsidR="00766841"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,</w:t>
                  </w: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March </w:t>
                  </w:r>
                  <w:r w:rsidR="00BF2B47"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859E0" w14:textId="77777777" w:rsidR="00167155" w:rsidRPr="00F42328" w:rsidRDefault="00167155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CEE85" w14:textId="436E1A84" w:rsidR="00167155" w:rsidRPr="00F42328" w:rsidRDefault="00BF2B47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22</w:t>
                  </w:r>
                  <w:r w:rsidR="00167155"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/09/</w:t>
                  </w: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2022</w:t>
                  </w:r>
                </w:p>
              </w:tc>
            </w:tr>
            <w:tr w:rsidR="00BF2B47" w:rsidRPr="00F42328" w14:paraId="3BFFCA16" w14:textId="77777777" w:rsidTr="00CC3A04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55F6745C" w14:textId="15969229" w:rsidR="00BF2B47" w:rsidRPr="00F42328" w:rsidRDefault="00BF2B47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Deaths</w:t>
                  </w:r>
                  <w:r w:rsidR="00766841" w:rsidRPr="00F423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, Australia, 2021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DAE24F" w14:textId="6FA11927" w:rsidR="00BF2B47" w:rsidRPr="00F42328" w:rsidRDefault="00BF2B47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3301.0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8D853" w14:textId="4739CA34" w:rsidR="00BF2B47" w:rsidRPr="00F42328" w:rsidDel="00BF2B47" w:rsidRDefault="00BF2B47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F4232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29/09/2022</w:t>
                  </w:r>
                </w:p>
              </w:tc>
            </w:tr>
          </w:tbl>
          <w:p w14:paraId="2D0644AA" w14:textId="28C54279" w:rsidR="00725216" w:rsidRPr="00F42328" w:rsidRDefault="00725216" w:rsidP="00F21FAB"/>
        </w:tc>
      </w:tr>
      <w:tr w:rsidR="00725216" w:rsidRPr="00D24DBE" w14:paraId="4AB1EC6E" w14:textId="77777777" w:rsidTr="00CC3A04">
        <w:trPr>
          <w:trHeight w:val="300"/>
        </w:trPr>
        <w:tc>
          <w:tcPr>
            <w:tcW w:w="5000" w:type="pct"/>
            <w:tcBorders>
              <w:bottom w:val="single" w:sz="12" w:space="0" w:color="002C47" w:themeColor="accent1"/>
            </w:tcBorders>
            <w:shd w:val="clear" w:color="auto" w:fill="auto"/>
            <w:vAlign w:val="center"/>
          </w:tcPr>
          <w:p w14:paraId="48F7D9F8" w14:textId="2E3B74C0" w:rsidR="00901BC4" w:rsidRDefault="00725216" w:rsidP="002D2F61">
            <w:pPr>
              <w:pStyle w:val="Heading3"/>
              <w:keepNext w:val="0"/>
              <w:spacing w:before="240"/>
            </w:pPr>
            <w:r>
              <w:lastRenderedPageBreak/>
              <w:t>NOTES</w:t>
            </w:r>
          </w:p>
          <w:p w14:paraId="57A4071E" w14:textId="7A7EAAC7" w:rsidR="00725216" w:rsidRPr="00D24DBE" w:rsidRDefault="00C15F39" w:rsidP="00F4404E">
            <w:r>
              <w:t>F</w:t>
            </w:r>
            <w:r w:rsidR="002D2F61">
              <w:t xml:space="preserve">urther detail regarding </w:t>
            </w:r>
            <w:r w:rsidR="00DE42D7">
              <w:t>the latest population data</w:t>
            </w:r>
            <w:r>
              <w:t xml:space="preserve"> is available from the ABS</w:t>
            </w:r>
            <w:r w:rsidR="00DE4D17">
              <w:t xml:space="preserve"> in</w:t>
            </w:r>
            <w:r>
              <w:t xml:space="preserve"> </w:t>
            </w:r>
            <w:hyperlink r:id="rId15" w:history="1">
              <w:r w:rsidR="00DB182A" w:rsidRPr="00BF6FCD">
                <w:rPr>
                  <w:rStyle w:val="Hyperlink"/>
                  <w:i/>
                </w:rPr>
                <w:t>National, state and territory population</w:t>
              </w:r>
              <w:r w:rsidRPr="00BF6FCD">
                <w:rPr>
                  <w:rStyle w:val="Hyperlink"/>
                  <w:i/>
                  <w:iCs/>
                </w:rPr>
                <w:t>, December 2021</w:t>
              </w:r>
            </w:hyperlink>
            <w:r w:rsidR="004554FD">
              <w:t>.</w:t>
            </w:r>
            <w:r w:rsidR="00E942A3">
              <w:t xml:space="preserve"> </w:t>
            </w:r>
          </w:p>
        </w:tc>
      </w:tr>
    </w:tbl>
    <w:p w14:paraId="2748F8F0" w14:textId="77777777" w:rsidR="00725216" w:rsidRDefault="00725216" w:rsidP="007309A2">
      <w:pPr>
        <w:spacing w:before="0" w:after="200" w:line="276" w:lineRule="auto"/>
        <w:rPr>
          <w:color w:val="000000"/>
        </w:rPr>
      </w:pPr>
    </w:p>
    <w:sectPr w:rsidR="00725216" w:rsidSect="00763E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3BFC" w14:textId="77777777" w:rsidR="008A527E" w:rsidRDefault="008A527E" w:rsidP="008F6A37">
      <w:r>
        <w:separator/>
      </w:r>
    </w:p>
  </w:endnote>
  <w:endnote w:type="continuationSeparator" w:id="0">
    <w:p w14:paraId="4CE2007A" w14:textId="77777777" w:rsidR="008A527E" w:rsidRDefault="008A527E" w:rsidP="008F6A37">
      <w:r>
        <w:continuationSeparator/>
      </w:r>
    </w:p>
  </w:endnote>
  <w:endnote w:type="continuationNotice" w:id="1">
    <w:p w14:paraId="4B8FD430" w14:textId="77777777" w:rsidR="008A527E" w:rsidRDefault="008A5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F21FAB" w:rsidRDefault="00F21FAB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CBA8" w14:textId="77777777" w:rsidR="008A527E" w:rsidRDefault="008A527E" w:rsidP="008F6A37">
      <w:r>
        <w:separator/>
      </w:r>
    </w:p>
  </w:footnote>
  <w:footnote w:type="continuationSeparator" w:id="0">
    <w:p w14:paraId="488544F2" w14:textId="77777777" w:rsidR="008A527E" w:rsidRDefault="008A527E" w:rsidP="008F6A37">
      <w:r>
        <w:continuationSeparator/>
      </w:r>
    </w:p>
  </w:footnote>
  <w:footnote w:type="continuationNotice" w:id="1">
    <w:p w14:paraId="570300D3" w14:textId="77777777" w:rsidR="008A527E" w:rsidRDefault="008A5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F21FAB" w:rsidRPr="00763EB8" w:rsidRDefault="00F21FAB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2AF2AFF0" w:rsidR="00F21FAB" w:rsidRPr="00763EB8" w:rsidRDefault="00F21FAB" w:rsidP="00763EB8">
    <w:pPr>
      <w:pStyle w:val="HeaderOdd"/>
      <w:rPr>
        <w:b w:val="0"/>
        <w:bCs/>
        <w:i/>
        <w:iCs/>
      </w:rPr>
    </w:pPr>
    <w:r w:rsidRPr="007309A2">
      <w:rPr>
        <w:b w:val="0"/>
      </w:rPr>
      <w:t xml:space="preserve">Analysis of </w:t>
    </w:r>
    <w:r w:rsidR="00167915" w:rsidRPr="007309A2">
      <w:rPr>
        <w:b w:val="0"/>
        <w:i/>
      </w:rPr>
      <w:t xml:space="preserve">National </w:t>
    </w:r>
    <w:r w:rsidR="00326900" w:rsidRPr="007309A2">
      <w:rPr>
        <w:b w:val="0"/>
        <w:i/>
      </w:rPr>
      <w:t>s</w:t>
    </w:r>
    <w:r w:rsidR="00167915" w:rsidRPr="007309A2">
      <w:rPr>
        <w:b w:val="0"/>
        <w:i/>
      </w:rPr>
      <w:t xml:space="preserve">tate and </w:t>
    </w:r>
    <w:r w:rsidR="00326900" w:rsidRPr="007309A2">
      <w:rPr>
        <w:b w:val="0"/>
        <w:i/>
      </w:rPr>
      <w:t>t</w:t>
    </w:r>
    <w:r w:rsidR="00167915" w:rsidRPr="007309A2">
      <w:rPr>
        <w:b w:val="0"/>
        <w:i/>
      </w:rPr>
      <w:t xml:space="preserve">erritory </w:t>
    </w:r>
    <w:r w:rsidR="00326900" w:rsidRPr="007309A2">
      <w:rPr>
        <w:b w:val="0"/>
        <w:i/>
      </w:rPr>
      <w:t>p</w:t>
    </w:r>
    <w:r w:rsidR="00167915" w:rsidRPr="007309A2">
      <w:rPr>
        <w:b w:val="0"/>
        <w:i/>
      </w:rPr>
      <w:t>opulation</w:t>
    </w:r>
    <w:r w:rsidRPr="007309A2">
      <w:rPr>
        <w:b w:val="0"/>
        <w:i/>
      </w:rPr>
      <w:t xml:space="preserve">, </w:t>
    </w:r>
    <w:r w:rsidR="00167915" w:rsidRPr="007309A2">
      <w:rPr>
        <w:b w:val="0"/>
        <w:i/>
      </w:rPr>
      <w:t>December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F21FAB" w:rsidRPr="00725216" w:rsidRDefault="00F21FAB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43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CD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2B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AA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82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2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0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 w15:restartNumberingAfterBreak="0">
    <w:nsid w:val="233854F7"/>
    <w:multiLevelType w:val="hybridMultilevel"/>
    <w:tmpl w:val="7D7A57DC"/>
    <w:lvl w:ilvl="0" w:tplc="E14801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4B5A91"/>
    <w:multiLevelType w:val="hybridMultilevel"/>
    <w:tmpl w:val="6386A1CA"/>
    <w:lvl w:ilvl="0" w:tplc="E1480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6A3C"/>
    <w:multiLevelType w:val="multilevel"/>
    <w:tmpl w:val="1F46209C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8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E2237"/>
    <w:multiLevelType w:val="hybridMultilevel"/>
    <w:tmpl w:val="B40EF2C8"/>
    <w:lvl w:ilvl="0" w:tplc="76FC1714">
      <w:numFmt w:val="bullet"/>
      <w:lvlText w:val=""/>
      <w:lvlJc w:val="left"/>
      <w:pPr>
        <w:ind w:left="959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4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C6B51"/>
    <w:multiLevelType w:val="hybridMultilevel"/>
    <w:tmpl w:val="8042E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5570D"/>
    <w:multiLevelType w:val="hybridMultilevel"/>
    <w:tmpl w:val="BF9EB70E"/>
    <w:lvl w:ilvl="0" w:tplc="E1480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A02C0"/>
    <w:multiLevelType w:val="hybridMultilevel"/>
    <w:tmpl w:val="CB224C8E"/>
    <w:lvl w:ilvl="0" w:tplc="70DACDBC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22C3"/>
    <w:multiLevelType w:val="hybridMultilevel"/>
    <w:tmpl w:val="5B54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4801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8"/>
  </w:num>
  <w:num w:numId="18">
    <w:abstractNumId w:val="19"/>
  </w:num>
  <w:num w:numId="19">
    <w:abstractNumId w:val="12"/>
  </w:num>
  <w:num w:numId="20">
    <w:abstractNumId w:val="22"/>
  </w:num>
  <w:num w:numId="21">
    <w:abstractNumId w:val="13"/>
  </w:num>
  <w:num w:numId="22">
    <w:abstractNumId w:val="20"/>
  </w:num>
  <w:num w:numId="23">
    <w:abstractNumId w:val="11"/>
  </w:num>
  <w:num w:numId="24">
    <w:abstractNumId w:val="15"/>
  </w:num>
  <w:num w:numId="25">
    <w:abstractNumId w:val="26"/>
  </w:num>
  <w:num w:numId="26">
    <w:abstractNumId w:val="21"/>
  </w:num>
  <w:num w:numId="27">
    <w:abstractNumId w:val="27"/>
  </w:num>
  <w:num w:numId="28">
    <w:abstractNumId w:val="31"/>
  </w:num>
  <w:num w:numId="29">
    <w:abstractNumId w:val="29"/>
  </w:num>
  <w:num w:numId="30">
    <w:abstractNumId w:val="24"/>
  </w:num>
  <w:num w:numId="31">
    <w:abstractNumId w:val="31"/>
  </w:num>
  <w:num w:numId="32">
    <w:abstractNumId w:val="17"/>
  </w:num>
  <w:num w:numId="33">
    <w:abstractNumId w:val="17"/>
  </w:num>
  <w:num w:numId="34">
    <w:abstractNumId w:val="17"/>
  </w:num>
  <w:num w:numId="35">
    <w:abstractNumId w:val="31"/>
  </w:num>
  <w:num w:numId="36">
    <w:abstractNumId w:val="31"/>
  </w:num>
  <w:num w:numId="37">
    <w:abstractNumId w:val="31"/>
  </w:num>
  <w:num w:numId="38">
    <w:abstractNumId w:val="17"/>
  </w:num>
  <w:num w:numId="39">
    <w:abstractNumId w:val="25"/>
  </w:num>
  <w:num w:numId="40">
    <w:abstractNumId w:val="16"/>
  </w:num>
  <w:num w:numId="41">
    <w:abstractNumId w:val="30"/>
  </w:num>
  <w:num w:numId="42">
    <w:abstractNumId w:val="33"/>
  </w:num>
  <w:num w:numId="43">
    <w:abstractNumId w:val="14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0E39"/>
    <w:rsid w:val="00002567"/>
    <w:rsid w:val="000025C3"/>
    <w:rsid w:val="00003C9D"/>
    <w:rsid w:val="00005552"/>
    <w:rsid w:val="00005C33"/>
    <w:rsid w:val="00005FDD"/>
    <w:rsid w:val="000070C5"/>
    <w:rsid w:val="000075D6"/>
    <w:rsid w:val="00011E58"/>
    <w:rsid w:val="0001357F"/>
    <w:rsid w:val="000135AD"/>
    <w:rsid w:val="000138FE"/>
    <w:rsid w:val="00013CEB"/>
    <w:rsid w:val="00014B3E"/>
    <w:rsid w:val="00017247"/>
    <w:rsid w:val="00017BAC"/>
    <w:rsid w:val="00020D40"/>
    <w:rsid w:val="000212AE"/>
    <w:rsid w:val="00021546"/>
    <w:rsid w:val="000219AA"/>
    <w:rsid w:val="00022B42"/>
    <w:rsid w:val="00022C7A"/>
    <w:rsid w:val="00023CBA"/>
    <w:rsid w:val="00024A4C"/>
    <w:rsid w:val="00024D0B"/>
    <w:rsid w:val="000258CF"/>
    <w:rsid w:val="00027731"/>
    <w:rsid w:val="00027CE2"/>
    <w:rsid w:val="000310D8"/>
    <w:rsid w:val="000321E4"/>
    <w:rsid w:val="000330A2"/>
    <w:rsid w:val="00036886"/>
    <w:rsid w:val="0004038D"/>
    <w:rsid w:val="00040405"/>
    <w:rsid w:val="000405D3"/>
    <w:rsid w:val="000409F3"/>
    <w:rsid w:val="000412DE"/>
    <w:rsid w:val="000424A3"/>
    <w:rsid w:val="0004496F"/>
    <w:rsid w:val="00044A6C"/>
    <w:rsid w:val="00044BD0"/>
    <w:rsid w:val="00045935"/>
    <w:rsid w:val="00046556"/>
    <w:rsid w:val="00046DAC"/>
    <w:rsid w:val="00047136"/>
    <w:rsid w:val="0004718D"/>
    <w:rsid w:val="00047289"/>
    <w:rsid w:val="00047291"/>
    <w:rsid w:val="00047BA9"/>
    <w:rsid w:val="000507D3"/>
    <w:rsid w:val="00053DE3"/>
    <w:rsid w:val="00053FF1"/>
    <w:rsid w:val="0005424F"/>
    <w:rsid w:val="0005568F"/>
    <w:rsid w:val="00056E4C"/>
    <w:rsid w:val="00057486"/>
    <w:rsid w:val="00057D34"/>
    <w:rsid w:val="0006007C"/>
    <w:rsid w:val="00061D3F"/>
    <w:rsid w:val="00062693"/>
    <w:rsid w:val="000646CB"/>
    <w:rsid w:val="00064D04"/>
    <w:rsid w:val="00065FAE"/>
    <w:rsid w:val="0006696B"/>
    <w:rsid w:val="00067B5D"/>
    <w:rsid w:val="000702C0"/>
    <w:rsid w:val="00070E82"/>
    <w:rsid w:val="00071CE8"/>
    <w:rsid w:val="00072EA3"/>
    <w:rsid w:val="00073631"/>
    <w:rsid w:val="000741B6"/>
    <w:rsid w:val="0007513C"/>
    <w:rsid w:val="0008139F"/>
    <w:rsid w:val="00081BE4"/>
    <w:rsid w:val="0008264E"/>
    <w:rsid w:val="000833DC"/>
    <w:rsid w:val="00085F2A"/>
    <w:rsid w:val="00085FF3"/>
    <w:rsid w:val="00093E21"/>
    <w:rsid w:val="00094A06"/>
    <w:rsid w:val="00095807"/>
    <w:rsid w:val="00096136"/>
    <w:rsid w:val="000967BC"/>
    <w:rsid w:val="00097C90"/>
    <w:rsid w:val="000A130F"/>
    <w:rsid w:val="000A2E8D"/>
    <w:rsid w:val="000A5270"/>
    <w:rsid w:val="000A66EC"/>
    <w:rsid w:val="000A709B"/>
    <w:rsid w:val="000A77D4"/>
    <w:rsid w:val="000A7B01"/>
    <w:rsid w:val="000B044F"/>
    <w:rsid w:val="000B065B"/>
    <w:rsid w:val="000B2BC3"/>
    <w:rsid w:val="000B43F7"/>
    <w:rsid w:val="000B4C4B"/>
    <w:rsid w:val="000B5A88"/>
    <w:rsid w:val="000B6011"/>
    <w:rsid w:val="000B656E"/>
    <w:rsid w:val="000B6715"/>
    <w:rsid w:val="000B7540"/>
    <w:rsid w:val="000C1DC4"/>
    <w:rsid w:val="000C2A2B"/>
    <w:rsid w:val="000C2BBD"/>
    <w:rsid w:val="000C5A11"/>
    <w:rsid w:val="000C5C34"/>
    <w:rsid w:val="000C6B48"/>
    <w:rsid w:val="000D0233"/>
    <w:rsid w:val="000D0646"/>
    <w:rsid w:val="000D0E89"/>
    <w:rsid w:val="000D1ADE"/>
    <w:rsid w:val="000D2084"/>
    <w:rsid w:val="000D4B22"/>
    <w:rsid w:val="000D63F6"/>
    <w:rsid w:val="000D7E77"/>
    <w:rsid w:val="000E0CCF"/>
    <w:rsid w:val="000E1BCE"/>
    <w:rsid w:val="000E283D"/>
    <w:rsid w:val="000E3B71"/>
    <w:rsid w:val="000E3CD8"/>
    <w:rsid w:val="000E3E0C"/>
    <w:rsid w:val="000E49F1"/>
    <w:rsid w:val="000E59C1"/>
    <w:rsid w:val="000E68E6"/>
    <w:rsid w:val="000F0031"/>
    <w:rsid w:val="000F04C1"/>
    <w:rsid w:val="000F1A5D"/>
    <w:rsid w:val="000F1F16"/>
    <w:rsid w:val="000F2DD6"/>
    <w:rsid w:val="000F2F89"/>
    <w:rsid w:val="000F452C"/>
    <w:rsid w:val="000F60AE"/>
    <w:rsid w:val="000F60CF"/>
    <w:rsid w:val="000F6912"/>
    <w:rsid w:val="00102CEA"/>
    <w:rsid w:val="001039A8"/>
    <w:rsid w:val="00103FD4"/>
    <w:rsid w:val="001074FD"/>
    <w:rsid w:val="0011038D"/>
    <w:rsid w:val="001117C4"/>
    <w:rsid w:val="001140DF"/>
    <w:rsid w:val="00116FB0"/>
    <w:rsid w:val="00120861"/>
    <w:rsid w:val="00120D3E"/>
    <w:rsid w:val="001211DA"/>
    <w:rsid w:val="00122466"/>
    <w:rsid w:val="00122485"/>
    <w:rsid w:val="001250B6"/>
    <w:rsid w:val="00126350"/>
    <w:rsid w:val="00132B3A"/>
    <w:rsid w:val="00133E61"/>
    <w:rsid w:val="00135022"/>
    <w:rsid w:val="001418C5"/>
    <w:rsid w:val="00142A6B"/>
    <w:rsid w:val="00142FC9"/>
    <w:rsid w:val="0014336B"/>
    <w:rsid w:val="00143FFB"/>
    <w:rsid w:val="001452FF"/>
    <w:rsid w:val="0014580B"/>
    <w:rsid w:val="00150047"/>
    <w:rsid w:val="00150552"/>
    <w:rsid w:val="001510A9"/>
    <w:rsid w:val="001513FB"/>
    <w:rsid w:val="00153143"/>
    <w:rsid w:val="00153E9E"/>
    <w:rsid w:val="001540C3"/>
    <w:rsid w:val="00154658"/>
    <w:rsid w:val="001548EE"/>
    <w:rsid w:val="00154F3F"/>
    <w:rsid w:val="001556EC"/>
    <w:rsid w:val="00157AE1"/>
    <w:rsid w:val="00157EB6"/>
    <w:rsid w:val="00157F43"/>
    <w:rsid w:val="0016052C"/>
    <w:rsid w:val="00160A10"/>
    <w:rsid w:val="00161B2B"/>
    <w:rsid w:val="0016274B"/>
    <w:rsid w:val="001640D7"/>
    <w:rsid w:val="00164BB5"/>
    <w:rsid w:val="00166186"/>
    <w:rsid w:val="00166D3E"/>
    <w:rsid w:val="00167034"/>
    <w:rsid w:val="00167155"/>
    <w:rsid w:val="001672CF"/>
    <w:rsid w:val="0016769B"/>
    <w:rsid w:val="00167915"/>
    <w:rsid w:val="0016792D"/>
    <w:rsid w:val="00170425"/>
    <w:rsid w:val="0017083C"/>
    <w:rsid w:val="00171B99"/>
    <w:rsid w:val="0017330F"/>
    <w:rsid w:val="001737E2"/>
    <w:rsid w:val="001743FD"/>
    <w:rsid w:val="00174442"/>
    <w:rsid w:val="0017622D"/>
    <w:rsid w:val="00176324"/>
    <w:rsid w:val="0017717F"/>
    <w:rsid w:val="00180671"/>
    <w:rsid w:val="001824DB"/>
    <w:rsid w:val="00182A0B"/>
    <w:rsid w:val="001831C2"/>
    <w:rsid w:val="00184350"/>
    <w:rsid w:val="001844D9"/>
    <w:rsid w:val="00186406"/>
    <w:rsid w:val="00186848"/>
    <w:rsid w:val="001869A8"/>
    <w:rsid w:val="0018702F"/>
    <w:rsid w:val="00187C81"/>
    <w:rsid w:val="00187E5F"/>
    <w:rsid w:val="00187EAE"/>
    <w:rsid w:val="00190A0A"/>
    <w:rsid w:val="00192757"/>
    <w:rsid w:val="00194E8F"/>
    <w:rsid w:val="00197182"/>
    <w:rsid w:val="001A1254"/>
    <w:rsid w:val="001A24B0"/>
    <w:rsid w:val="001A5FED"/>
    <w:rsid w:val="001A62FB"/>
    <w:rsid w:val="001A7955"/>
    <w:rsid w:val="001A7CA2"/>
    <w:rsid w:val="001B0934"/>
    <w:rsid w:val="001B0EDA"/>
    <w:rsid w:val="001B0EE4"/>
    <w:rsid w:val="001B275D"/>
    <w:rsid w:val="001B2923"/>
    <w:rsid w:val="001B6383"/>
    <w:rsid w:val="001B690A"/>
    <w:rsid w:val="001B6A9D"/>
    <w:rsid w:val="001B7276"/>
    <w:rsid w:val="001B7CD1"/>
    <w:rsid w:val="001C0224"/>
    <w:rsid w:val="001C0F70"/>
    <w:rsid w:val="001C2DAA"/>
    <w:rsid w:val="001C38B5"/>
    <w:rsid w:val="001C3CF3"/>
    <w:rsid w:val="001C6454"/>
    <w:rsid w:val="001C6A41"/>
    <w:rsid w:val="001C6E25"/>
    <w:rsid w:val="001D0043"/>
    <w:rsid w:val="001D1A50"/>
    <w:rsid w:val="001D259D"/>
    <w:rsid w:val="001D3BE7"/>
    <w:rsid w:val="001D5A3A"/>
    <w:rsid w:val="001D6BEB"/>
    <w:rsid w:val="001D76C7"/>
    <w:rsid w:val="001D7886"/>
    <w:rsid w:val="001D7CED"/>
    <w:rsid w:val="001E17A9"/>
    <w:rsid w:val="001E20B9"/>
    <w:rsid w:val="001E2E52"/>
    <w:rsid w:val="001F1134"/>
    <w:rsid w:val="001F3697"/>
    <w:rsid w:val="001F3834"/>
    <w:rsid w:val="001F4AD0"/>
    <w:rsid w:val="001F5C62"/>
    <w:rsid w:val="001F5DF3"/>
    <w:rsid w:val="001F62EA"/>
    <w:rsid w:val="001F67C7"/>
    <w:rsid w:val="001F6AFA"/>
    <w:rsid w:val="001F7C99"/>
    <w:rsid w:val="00200EE7"/>
    <w:rsid w:val="00201F7A"/>
    <w:rsid w:val="00203331"/>
    <w:rsid w:val="002046A2"/>
    <w:rsid w:val="002050E0"/>
    <w:rsid w:val="0020535B"/>
    <w:rsid w:val="002065FF"/>
    <w:rsid w:val="00207312"/>
    <w:rsid w:val="0021002C"/>
    <w:rsid w:val="0021212C"/>
    <w:rsid w:val="0021232B"/>
    <w:rsid w:val="002123E7"/>
    <w:rsid w:val="002126E1"/>
    <w:rsid w:val="002137C2"/>
    <w:rsid w:val="00215C3B"/>
    <w:rsid w:val="00220979"/>
    <w:rsid w:val="00221231"/>
    <w:rsid w:val="002236A7"/>
    <w:rsid w:val="002237C5"/>
    <w:rsid w:val="00223EE9"/>
    <w:rsid w:val="002240CA"/>
    <w:rsid w:val="00224A49"/>
    <w:rsid w:val="00224D39"/>
    <w:rsid w:val="00230525"/>
    <w:rsid w:val="00230721"/>
    <w:rsid w:val="00230EB4"/>
    <w:rsid w:val="00232108"/>
    <w:rsid w:val="0023398A"/>
    <w:rsid w:val="00233AC7"/>
    <w:rsid w:val="00233BBC"/>
    <w:rsid w:val="00233FC6"/>
    <w:rsid w:val="00235115"/>
    <w:rsid w:val="0023583C"/>
    <w:rsid w:val="00235CD5"/>
    <w:rsid w:val="00236C31"/>
    <w:rsid w:val="0023709A"/>
    <w:rsid w:val="00237879"/>
    <w:rsid w:val="0023795B"/>
    <w:rsid w:val="00240029"/>
    <w:rsid w:val="002406D2"/>
    <w:rsid w:val="0024076E"/>
    <w:rsid w:val="00242910"/>
    <w:rsid w:val="00244526"/>
    <w:rsid w:val="00245B70"/>
    <w:rsid w:val="00245C98"/>
    <w:rsid w:val="0024662A"/>
    <w:rsid w:val="0024753F"/>
    <w:rsid w:val="00247742"/>
    <w:rsid w:val="0025079E"/>
    <w:rsid w:val="002507A7"/>
    <w:rsid w:val="00250DCD"/>
    <w:rsid w:val="00251449"/>
    <w:rsid w:val="002522BA"/>
    <w:rsid w:val="00252672"/>
    <w:rsid w:val="002526C9"/>
    <w:rsid w:val="0025297A"/>
    <w:rsid w:val="0025479B"/>
    <w:rsid w:val="00256CAD"/>
    <w:rsid w:val="00257970"/>
    <w:rsid w:val="00257D71"/>
    <w:rsid w:val="002604F9"/>
    <w:rsid w:val="002614A3"/>
    <w:rsid w:val="002622FF"/>
    <w:rsid w:val="0026419C"/>
    <w:rsid w:val="002668C3"/>
    <w:rsid w:val="0026763C"/>
    <w:rsid w:val="00272DD3"/>
    <w:rsid w:val="002754E0"/>
    <w:rsid w:val="00275740"/>
    <w:rsid w:val="00275A41"/>
    <w:rsid w:val="00275C6D"/>
    <w:rsid w:val="00276CE9"/>
    <w:rsid w:val="00277157"/>
    <w:rsid w:val="00277DCD"/>
    <w:rsid w:val="00280C39"/>
    <w:rsid w:val="00280F58"/>
    <w:rsid w:val="002816D1"/>
    <w:rsid w:val="00282BDB"/>
    <w:rsid w:val="002830CF"/>
    <w:rsid w:val="00283A37"/>
    <w:rsid w:val="002846BF"/>
    <w:rsid w:val="00284FDF"/>
    <w:rsid w:val="00285C11"/>
    <w:rsid w:val="0028692E"/>
    <w:rsid w:val="00287D12"/>
    <w:rsid w:val="002919A7"/>
    <w:rsid w:val="00291B8B"/>
    <w:rsid w:val="00291D2F"/>
    <w:rsid w:val="002929CA"/>
    <w:rsid w:val="002929EF"/>
    <w:rsid w:val="00292EFE"/>
    <w:rsid w:val="00293997"/>
    <w:rsid w:val="00293C4B"/>
    <w:rsid w:val="00293FA5"/>
    <w:rsid w:val="00294865"/>
    <w:rsid w:val="002950F4"/>
    <w:rsid w:val="00296884"/>
    <w:rsid w:val="00296C5F"/>
    <w:rsid w:val="002A16BF"/>
    <w:rsid w:val="002A2AB7"/>
    <w:rsid w:val="002A3209"/>
    <w:rsid w:val="002A4563"/>
    <w:rsid w:val="002A70BA"/>
    <w:rsid w:val="002A75AE"/>
    <w:rsid w:val="002A7BB1"/>
    <w:rsid w:val="002A7DAC"/>
    <w:rsid w:val="002B039A"/>
    <w:rsid w:val="002B09EB"/>
    <w:rsid w:val="002B0CAC"/>
    <w:rsid w:val="002B1DF1"/>
    <w:rsid w:val="002B2E61"/>
    <w:rsid w:val="002B3776"/>
    <w:rsid w:val="002B40ED"/>
    <w:rsid w:val="002B4C0F"/>
    <w:rsid w:val="002B5143"/>
    <w:rsid w:val="002B5824"/>
    <w:rsid w:val="002B684F"/>
    <w:rsid w:val="002B6A32"/>
    <w:rsid w:val="002C03D9"/>
    <w:rsid w:val="002C0BD0"/>
    <w:rsid w:val="002C0D7D"/>
    <w:rsid w:val="002C1AA6"/>
    <w:rsid w:val="002C26F4"/>
    <w:rsid w:val="002C2D5A"/>
    <w:rsid w:val="002C5129"/>
    <w:rsid w:val="002C5FEF"/>
    <w:rsid w:val="002D01D9"/>
    <w:rsid w:val="002D04A2"/>
    <w:rsid w:val="002D0D59"/>
    <w:rsid w:val="002D1DDD"/>
    <w:rsid w:val="002D2F61"/>
    <w:rsid w:val="002D324A"/>
    <w:rsid w:val="002D4BDD"/>
    <w:rsid w:val="002D4EB4"/>
    <w:rsid w:val="002D5196"/>
    <w:rsid w:val="002D5B12"/>
    <w:rsid w:val="002D5D79"/>
    <w:rsid w:val="002D63D5"/>
    <w:rsid w:val="002E09F6"/>
    <w:rsid w:val="002E1020"/>
    <w:rsid w:val="002E1867"/>
    <w:rsid w:val="002E290A"/>
    <w:rsid w:val="002E2FAA"/>
    <w:rsid w:val="002E44CB"/>
    <w:rsid w:val="002E57F5"/>
    <w:rsid w:val="002E5932"/>
    <w:rsid w:val="002E5BA0"/>
    <w:rsid w:val="002E6DD2"/>
    <w:rsid w:val="002E7165"/>
    <w:rsid w:val="002E74C0"/>
    <w:rsid w:val="002F0D4F"/>
    <w:rsid w:val="002F0ECB"/>
    <w:rsid w:val="002F1DE2"/>
    <w:rsid w:val="002F323C"/>
    <w:rsid w:val="002F3AF1"/>
    <w:rsid w:val="002F44BD"/>
    <w:rsid w:val="002F72A4"/>
    <w:rsid w:val="002F77A5"/>
    <w:rsid w:val="0030289A"/>
    <w:rsid w:val="00302A94"/>
    <w:rsid w:val="00303823"/>
    <w:rsid w:val="0030400C"/>
    <w:rsid w:val="00305324"/>
    <w:rsid w:val="0030553F"/>
    <w:rsid w:val="00310FA1"/>
    <w:rsid w:val="00312120"/>
    <w:rsid w:val="00317D6E"/>
    <w:rsid w:val="003207E9"/>
    <w:rsid w:val="00321DA4"/>
    <w:rsid w:val="00323571"/>
    <w:rsid w:val="00325741"/>
    <w:rsid w:val="00325A73"/>
    <w:rsid w:val="00325DD0"/>
    <w:rsid w:val="00325EC8"/>
    <w:rsid w:val="00325F7D"/>
    <w:rsid w:val="003266FB"/>
    <w:rsid w:val="00326900"/>
    <w:rsid w:val="0032781F"/>
    <w:rsid w:val="00330372"/>
    <w:rsid w:val="00330482"/>
    <w:rsid w:val="003306DB"/>
    <w:rsid w:val="003348F5"/>
    <w:rsid w:val="00334AC5"/>
    <w:rsid w:val="003369A9"/>
    <w:rsid w:val="00336E85"/>
    <w:rsid w:val="003374AE"/>
    <w:rsid w:val="003413C9"/>
    <w:rsid w:val="00341522"/>
    <w:rsid w:val="00341E00"/>
    <w:rsid w:val="0034464F"/>
    <w:rsid w:val="00344B69"/>
    <w:rsid w:val="00345645"/>
    <w:rsid w:val="00347022"/>
    <w:rsid w:val="003478BF"/>
    <w:rsid w:val="00347C15"/>
    <w:rsid w:val="00347F56"/>
    <w:rsid w:val="003506F1"/>
    <w:rsid w:val="00351A5B"/>
    <w:rsid w:val="00354BA3"/>
    <w:rsid w:val="00354F81"/>
    <w:rsid w:val="003558C3"/>
    <w:rsid w:val="0035639A"/>
    <w:rsid w:val="00356DE6"/>
    <w:rsid w:val="00357348"/>
    <w:rsid w:val="003600B6"/>
    <w:rsid w:val="003615CE"/>
    <w:rsid w:val="00362537"/>
    <w:rsid w:val="00362FDC"/>
    <w:rsid w:val="00364843"/>
    <w:rsid w:val="00364F58"/>
    <w:rsid w:val="00365126"/>
    <w:rsid w:val="00365E78"/>
    <w:rsid w:val="003663E0"/>
    <w:rsid w:val="00366737"/>
    <w:rsid w:val="00371CC9"/>
    <w:rsid w:val="0037217C"/>
    <w:rsid w:val="0037319F"/>
    <w:rsid w:val="0037393C"/>
    <w:rsid w:val="003770CC"/>
    <w:rsid w:val="0037733E"/>
    <w:rsid w:val="0038051E"/>
    <w:rsid w:val="0038054F"/>
    <w:rsid w:val="00381B77"/>
    <w:rsid w:val="00381C48"/>
    <w:rsid w:val="00381FA8"/>
    <w:rsid w:val="003826CF"/>
    <w:rsid w:val="00382F30"/>
    <w:rsid w:val="0039005C"/>
    <w:rsid w:val="00390864"/>
    <w:rsid w:val="003914C9"/>
    <w:rsid w:val="00393ABA"/>
    <w:rsid w:val="00394E0D"/>
    <w:rsid w:val="00395147"/>
    <w:rsid w:val="00397C83"/>
    <w:rsid w:val="003A06BD"/>
    <w:rsid w:val="003A1707"/>
    <w:rsid w:val="003A31AC"/>
    <w:rsid w:val="003A3DD6"/>
    <w:rsid w:val="003A5339"/>
    <w:rsid w:val="003A5CFB"/>
    <w:rsid w:val="003A5FDC"/>
    <w:rsid w:val="003A606B"/>
    <w:rsid w:val="003A6DDA"/>
    <w:rsid w:val="003A748B"/>
    <w:rsid w:val="003A7B3E"/>
    <w:rsid w:val="003A7FFE"/>
    <w:rsid w:val="003B06DE"/>
    <w:rsid w:val="003B2DA2"/>
    <w:rsid w:val="003B47F5"/>
    <w:rsid w:val="003B612D"/>
    <w:rsid w:val="003B702A"/>
    <w:rsid w:val="003B7495"/>
    <w:rsid w:val="003C01A4"/>
    <w:rsid w:val="003C2E87"/>
    <w:rsid w:val="003C3E27"/>
    <w:rsid w:val="003C58E2"/>
    <w:rsid w:val="003C5DBA"/>
    <w:rsid w:val="003C63DE"/>
    <w:rsid w:val="003C73F9"/>
    <w:rsid w:val="003C759F"/>
    <w:rsid w:val="003C77DE"/>
    <w:rsid w:val="003C7DBE"/>
    <w:rsid w:val="003D148A"/>
    <w:rsid w:val="003D3445"/>
    <w:rsid w:val="003D3E9A"/>
    <w:rsid w:val="003D4110"/>
    <w:rsid w:val="003D4771"/>
    <w:rsid w:val="003D5324"/>
    <w:rsid w:val="003D5C25"/>
    <w:rsid w:val="003D689B"/>
    <w:rsid w:val="003D7071"/>
    <w:rsid w:val="003D742C"/>
    <w:rsid w:val="003D7915"/>
    <w:rsid w:val="003E1B45"/>
    <w:rsid w:val="003E34BD"/>
    <w:rsid w:val="003E53E2"/>
    <w:rsid w:val="003E5E43"/>
    <w:rsid w:val="003E7CC2"/>
    <w:rsid w:val="003F00FC"/>
    <w:rsid w:val="003F0A63"/>
    <w:rsid w:val="003F1886"/>
    <w:rsid w:val="003F19F4"/>
    <w:rsid w:val="003F2541"/>
    <w:rsid w:val="003F3B05"/>
    <w:rsid w:val="003F3F0B"/>
    <w:rsid w:val="003F4900"/>
    <w:rsid w:val="003F5859"/>
    <w:rsid w:val="003F5DC8"/>
    <w:rsid w:val="003F60A7"/>
    <w:rsid w:val="003F71D8"/>
    <w:rsid w:val="003F7943"/>
    <w:rsid w:val="00400285"/>
    <w:rsid w:val="004003BD"/>
    <w:rsid w:val="00400C70"/>
    <w:rsid w:val="00401FAD"/>
    <w:rsid w:val="00402BBA"/>
    <w:rsid w:val="00402EDC"/>
    <w:rsid w:val="004033FC"/>
    <w:rsid w:val="00403C06"/>
    <w:rsid w:val="00403CA5"/>
    <w:rsid w:val="0040438A"/>
    <w:rsid w:val="00404954"/>
    <w:rsid w:val="00405536"/>
    <w:rsid w:val="004056DC"/>
    <w:rsid w:val="00405AD5"/>
    <w:rsid w:val="004072C4"/>
    <w:rsid w:val="00410B21"/>
    <w:rsid w:val="00413120"/>
    <w:rsid w:val="00417595"/>
    <w:rsid w:val="004175A1"/>
    <w:rsid w:val="00420363"/>
    <w:rsid w:val="004224F1"/>
    <w:rsid w:val="00423191"/>
    <w:rsid w:val="00424DB8"/>
    <w:rsid w:val="0042650B"/>
    <w:rsid w:val="0042763C"/>
    <w:rsid w:val="00431FE2"/>
    <w:rsid w:val="00432A34"/>
    <w:rsid w:val="004331C1"/>
    <w:rsid w:val="004344FF"/>
    <w:rsid w:val="0043774A"/>
    <w:rsid w:val="0044091A"/>
    <w:rsid w:val="00441AEB"/>
    <w:rsid w:val="004431B7"/>
    <w:rsid w:val="004439EB"/>
    <w:rsid w:val="00445CD9"/>
    <w:rsid w:val="004464EF"/>
    <w:rsid w:val="00446FF7"/>
    <w:rsid w:val="00447B0D"/>
    <w:rsid w:val="00447EDC"/>
    <w:rsid w:val="004509CB"/>
    <w:rsid w:val="00450BCE"/>
    <w:rsid w:val="00451893"/>
    <w:rsid w:val="00451C6F"/>
    <w:rsid w:val="00453087"/>
    <w:rsid w:val="00453676"/>
    <w:rsid w:val="004547F8"/>
    <w:rsid w:val="004554FD"/>
    <w:rsid w:val="0045569A"/>
    <w:rsid w:val="0045794D"/>
    <w:rsid w:val="0046058D"/>
    <w:rsid w:val="0046136D"/>
    <w:rsid w:val="00461D8E"/>
    <w:rsid w:val="004624E3"/>
    <w:rsid w:val="00463005"/>
    <w:rsid w:val="00463E77"/>
    <w:rsid w:val="0046456E"/>
    <w:rsid w:val="00464A24"/>
    <w:rsid w:val="00465C90"/>
    <w:rsid w:val="00465DA0"/>
    <w:rsid w:val="004671F2"/>
    <w:rsid w:val="004711B6"/>
    <w:rsid w:val="0047532A"/>
    <w:rsid w:val="00475CD4"/>
    <w:rsid w:val="004761C6"/>
    <w:rsid w:val="0047768D"/>
    <w:rsid w:val="004820B2"/>
    <w:rsid w:val="00482CBB"/>
    <w:rsid w:val="00482FE6"/>
    <w:rsid w:val="0048321B"/>
    <w:rsid w:val="00484CB6"/>
    <w:rsid w:val="0048560C"/>
    <w:rsid w:val="00487CB6"/>
    <w:rsid w:val="00490182"/>
    <w:rsid w:val="00490378"/>
    <w:rsid w:val="00491076"/>
    <w:rsid w:val="00491E2A"/>
    <w:rsid w:val="004927CF"/>
    <w:rsid w:val="00492D52"/>
    <w:rsid w:val="00493780"/>
    <w:rsid w:val="00494024"/>
    <w:rsid w:val="00494159"/>
    <w:rsid w:val="00496232"/>
    <w:rsid w:val="004966D7"/>
    <w:rsid w:val="00496D5D"/>
    <w:rsid w:val="004A0C47"/>
    <w:rsid w:val="004A1744"/>
    <w:rsid w:val="004A1BBF"/>
    <w:rsid w:val="004A1D45"/>
    <w:rsid w:val="004A5AA4"/>
    <w:rsid w:val="004A6A96"/>
    <w:rsid w:val="004A6BC4"/>
    <w:rsid w:val="004A6ECE"/>
    <w:rsid w:val="004A6FE6"/>
    <w:rsid w:val="004A7907"/>
    <w:rsid w:val="004B115C"/>
    <w:rsid w:val="004B232E"/>
    <w:rsid w:val="004B31F7"/>
    <w:rsid w:val="004B32ED"/>
    <w:rsid w:val="004B33B0"/>
    <w:rsid w:val="004B45F1"/>
    <w:rsid w:val="004B523D"/>
    <w:rsid w:val="004B5358"/>
    <w:rsid w:val="004B53AF"/>
    <w:rsid w:val="004B5898"/>
    <w:rsid w:val="004B728E"/>
    <w:rsid w:val="004C1981"/>
    <w:rsid w:val="004C38EA"/>
    <w:rsid w:val="004C3A2B"/>
    <w:rsid w:val="004C6AEA"/>
    <w:rsid w:val="004C6F3C"/>
    <w:rsid w:val="004C784D"/>
    <w:rsid w:val="004D02A2"/>
    <w:rsid w:val="004D06C2"/>
    <w:rsid w:val="004D0964"/>
    <w:rsid w:val="004D0C6C"/>
    <w:rsid w:val="004D1E83"/>
    <w:rsid w:val="004D5E45"/>
    <w:rsid w:val="004D67FB"/>
    <w:rsid w:val="004D685D"/>
    <w:rsid w:val="004D77E1"/>
    <w:rsid w:val="004E0883"/>
    <w:rsid w:val="004E0A56"/>
    <w:rsid w:val="004E1632"/>
    <w:rsid w:val="004E1C71"/>
    <w:rsid w:val="004E1DAD"/>
    <w:rsid w:val="004E2245"/>
    <w:rsid w:val="004E4295"/>
    <w:rsid w:val="004E48F9"/>
    <w:rsid w:val="004E5F63"/>
    <w:rsid w:val="004E6D11"/>
    <w:rsid w:val="004F0C24"/>
    <w:rsid w:val="004F1483"/>
    <w:rsid w:val="004F34F6"/>
    <w:rsid w:val="004F427D"/>
    <w:rsid w:val="004F4E43"/>
    <w:rsid w:val="004F4FDD"/>
    <w:rsid w:val="004F55F6"/>
    <w:rsid w:val="00500E6F"/>
    <w:rsid w:val="00500E7E"/>
    <w:rsid w:val="00501853"/>
    <w:rsid w:val="005029A0"/>
    <w:rsid w:val="00503772"/>
    <w:rsid w:val="00504F21"/>
    <w:rsid w:val="005060E0"/>
    <w:rsid w:val="00507E46"/>
    <w:rsid w:val="00513619"/>
    <w:rsid w:val="0051477F"/>
    <w:rsid w:val="0051509F"/>
    <w:rsid w:val="005152E5"/>
    <w:rsid w:val="00515427"/>
    <w:rsid w:val="00516060"/>
    <w:rsid w:val="005160DE"/>
    <w:rsid w:val="005163B4"/>
    <w:rsid w:val="005168EF"/>
    <w:rsid w:val="00516F2E"/>
    <w:rsid w:val="00517BFD"/>
    <w:rsid w:val="00517F9D"/>
    <w:rsid w:val="005211B9"/>
    <w:rsid w:val="00522A1A"/>
    <w:rsid w:val="00523E0B"/>
    <w:rsid w:val="00524D2D"/>
    <w:rsid w:val="00525905"/>
    <w:rsid w:val="00527E02"/>
    <w:rsid w:val="00527E25"/>
    <w:rsid w:val="00527FAF"/>
    <w:rsid w:val="0053040C"/>
    <w:rsid w:val="00532145"/>
    <w:rsid w:val="005322C0"/>
    <w:rsid w:val="00532759"/>
    <w:rsid w:val="00532BEE"/>
    <w:rsid w:val="005330EA"/>
    <w:rsid w:val="005353EB"/>
    <w:rsid w:val="0053664F"/>
    <w:rsid w:val="00540F12"/>
    <w:rsid w:val="005433F9"/>
    <w:rsid w:val="005445EB"/>
    <w:rsid w:val="00544FD7"/>
    <w:rsid w:val="00545306"/>
    <w:rsid w:val="005461A1"/>
    <w:rsid w:val="00546257"/>
    <w:rsid w:val="00551057"/>
    <w:rsid w:val="00552451"/>
    <w:rsid w:val="00553293"/>
    <w:rsid w:val="00553386"/>
    <w:rsid w:val="0055403C"/>
    <w:rsid w:val="0055406A"/>
    <w:rsid w:val="0055455B"/>
    <w:rsid w:val="00555921"/>
    <w:rsid w:val="00555C4A"/>
    <w:rsid w:val="00556113"/>
    <w:rsid w:val="00556908"/>
    <w:rsid w:val="0055779B"/>
    <w:rsid w:val="005579B8"/>
    <w:rsid w:val="00560F99"/>
    <w:rsid w:val="0056128B"/>
    <w:rsid w:val="0056171F"/>
    <w:rsid w:val="0056226B"/>
    <w:rsid w:val="00562946"/>
    <w:rsid w:val="00562A8F"/>
    <w:rsid w:val="005630EA"/>
    <w:rsid w:val="00563395"/>
    <w:rsid w:val="0056611C"/>
    <w:rsid w:val="00566FDA"/>
    <w:rsid w:val="00567A72"/>
    <w:rsid w:val="0057167F"/>
    <w:rsid w:val="0057355A"/>
    <w:rsid w:val="00573A87"/>
    <w:rsid w:val="0057693D"/>
    <w:rsid w:val="00577C67"/>
    <w:rsid w:val="00580212"/>
    <w:rsid w:val="00581D1C"/>
    <w:rsid w:val="00583823"/>
    <w:rsid w:val="00583A6A"/>
    <w:rsid w:val="00583B2D"/>
    <w:rsid w:val="00584C49"/>
    <w:rsid w:val="00585D46"/>
    <w:rsid w:val="00585FE8"/>
    <w:rsid w:val="0058746B"/>
    <w:rsid w:val="00590175"/>
    <w:rsid w:val="00591A94"/>
    <w:rsid w:val="00592F47"/>
    <w:rsid w:val="0059471F"/>
    <w:rsid w:val="00595444"/>
    <w:rsid w:val="00595AA3"/>
    <w:rsid w:val="0059627D"/>
    <w:rsid w:val="00596A22"/>
    <w:rsid w:val="00597125"/>
    <w:rsid w:val="005A0970"/>
    <w:rsid w:val="005A09B2"/>
    <w:rsid w:val="005A12BE"/>
    <w:rsid w:val="005A272D"/>
    <w:rsid w:val="005A2937"/>
    <w:rsid w:val="005A2F15"/>
    <w:rsid w:val="005A3260"/>
    <w:rsid w:val="005A3A4F"/>
    <w:rsid w:val="005A56FC"/>
    <w:rsid w:val="005A5838"/>
    <w:rsid w:val="005A5926"/>
    <w:rsid w:val="005A63D8"/>
    <w:rsid w:val="005A74B5"/>
    <w:rsid w:val="005A7BE5"/>
    <w:rsid w:val="005B1B1F"/>
    <w:rsid w:val="005B1EB3"/>
    <w:rsid w:val="005B2A7E"/>
    <w:rsid w:val="005B347F"/>
    <w:rsid w:val="005B3B38"/>
    <w:rsid w:val="005B74A2"/>
    <w:rsid w:val="005C0D05"/>
    <w:rsid w:val="005C0DCD"/>
    <w:rsid w:val="005C15BD"/>
    <w:rsid w:val="005C2132"/>
    <w:rsid w:val="005C2327"/>
    <w:rsid w:val="005C30CF"/>
    <w:rsid w:val="005C3254"/>
    <w:rsid w:val="005C4011"/>
    <w:rsid w:val="005C4800"/>
    <w:rsid w:val="005C606E"/>
    <w:rsid w:val="005C6849"/>
    <w:rsid w:val="005C6A65"/>
    <w:rsid w:val="005C6E7A"/>
    <w:rsid w:val="005C6F55"/>
    <w:rsid w:val="005C7473"/>
    <w:rsid w:val="005D04BB"/>
    <w:rsid w:val="005D06AA"/>
    <w:rsid w:val="005D08CF"/>
    <w:rsid w:val="005D3456"/>
    <w:rsid w:val="005D5CC8"/>
    <w:rsid w:val="005D6768"/>
    <w:rsid w:val="005D6939"/>
    <w:rsid w:val="005D75B6"/>
    <w:rsid w:val="005D798F"/>
    <w:rsid w:val="005D7E76"/>
    <w:rsid w:val="005E36E2"/>
    <w:rsid w:val="005E3B58"/>
    <w:rsid w:val="005E58EF"/>
    <w:rsid w:val="005E6F5E"/>
    <w:rsid w:val="005E76AF"/>
    <w:rsid w:val="005E7E57"/>
    <w:rsid w:val="005F1051"/>
    <w:rsid w:val="005F1701"/>
    <w:rsid w:val="005F21A7"/>
    <w:rsid w:val="005F55A2"/>
    <w:rsid w:val="005F5ABA"/>
    <w:rsid w:val="005F63FE"/>
    <w:rsid w:val="006001CF"/>
    <w:rsid w:val="00601733"/>
    <w:rsid w:val="0060197A"/>
    <w:rsid w:val="00603706"/>
    <w:rsid w:val="00610743"/>
    <w:rsid w:val="006110E2"/>
    <w:rsid w:val="006125DA"/>
    <w:rsid w:val="006129E0"/>
    <w:rsid w:val="00615ED8"/>
    <w:rsid w:val="00616494"/>
    <w:rsid w:val="00617E21"/>
    <w:rsid w:val="00621790"/>
    <w:rsid w:val="0062257B"/>
    <w:rsid w:val="00622667"/>
    <w:rsid w:val="0062490B"/>
    <w:rsid w:val="00624B5A"/>
    <w:rsid w:val="00626060"/>
    <w:rsid w:val="006263EE"/>
    <w:rsid w:val="006264E9"/>
    <w:rsid w:val="006277A9"/>
    <w:rsid w:val="00630CC8"/>
    <w:rsid w:val="006317B5"/>
    <w:rsid w:val="00633548"/>
    <w:rsid w:val="00635BCC"/>
    <w:rsid w:val="00635BEE"/>
    <w:rsid w:val="006403A5"/>
    <w:rsid w:val="00640B92"/>
    <w:rsid w:val="00641342"/>
    <w:rsid w:val="00641A0F"/>
    <w:rsid w:val="00641F62"/>
    <w:rsid w:val="00643E14"/>
    <w:rsid w:val="0064482D"/>
    <w:rsid w:val="00645F4A"/>
    <w:rsid w:val="00647E37"/>
    <w:rsid w:val="00647FF4"/>
    <w:rsid w:val="00651FB0"/>
    <w:rsid w:val="006525B8"/>
    <w:rsid w:val="006528FC"/>
    <w:rsid w:val="006537CC"/>
    <w:rsid w:val="006579A0"/>
    <w:rsid w:val="00660B67"/>
    <w:rsid w:val="00663EE6"/>
    <w:rsid w:val="00663FE2"/>
    <w:rsid w:val="0066539C"/>
    <w:rsid w:val="006658D1"/>
    <w:rsid w:val="006669AF"/>
    <w:rsid w:val="00670759"/>
    <w:rsid w:val="00671AC6"/>
    <w:rsid w:val="00671AFD"/>
    <w:rsid w:val="00675ABE"/>
    <w:rsid w:val="00675B6D"/>
    <w:rsid w:val="0068289F"/>
    <w:rsid w:val="006834DE"/>
    <w:rsid w:val="0068593B"/>
    <w:rsid w:val="00685EE6"/>
    <w:rsid w:val="00690549"/>
    <w:rsid w:val="00690D8D"/>
    <w:rsid w:val="006910AB"/>
    <w:rsid w:val="006912A0"/>
    <w:rsid w:val="00691847"/>
    <w:rsid w:val="00691E42"/>
    <w:rsid w:val="00692645"/>
    <w:rsid w:val="00692771"/>
    <w:rsid w:val="00692B90"/>
    <w:rsid w:val="006945A0"/>
    <w:rsid w:val="00694A0F"/>
    <w:rsid w:val="00694C37"/>
    <w:rsid w:val="00697019"/>
    <w:rsid w:val="006A1463"/>
    <w:rsid w:val="006A298B"/>
    <w:rsid w:val="006A34EC"/>
    <w:rsid w:val="006A3DBE"/>
    <w:rsid w:val="006A5224"/>
    <w:rsid w:val="006A5996"/>
    <w:rsid w:val="006A6033"/>
    <w:rsid w:val="006B1110"/>
    <w:rsid w:val="006B257F"/>
    <w:rsid w:val="006B439B"/>
    <w:rsid w:val="006B4D4C"/>
    <w:rsid w:val="006B5086"/>
    <w:rsid w:val="006B533A"/>
    <w:rsid w:val="006B5943"/>
    <w:rsid w:val="006B68B9"/>
    <w:rsid w:val="006C0706"/>
    <w:rsid w:val="006C1982"/>
    <w:rsid w:val="006C4855"/>
    <w:rsid w:val="006C4875"/>
    <w:rsid w:val="006C50F0"/>
    <w:rsid w:val="006C761C"/>
    <w:rsid w:val="006D1561"/>
    <w:rsid w:val="006D19E6"/>
    <w:rsid w:val="006D4068"/>
    <w:rsid w:val="006D46E2"/>
    <w:rsid w:val="006D5764"/>
    <w:rsid w:val="006D66A4"/>
    <w:rsid w:val="006D78FA"/>
    <w:rsid w:val="006E06EE"/>
    <w:rsid w:val="006E12FF"/>
    <w:rsid w:val="006E2A16"/>
    <w:rsid w:val="006E2D65"/>
    <w:rsid w:val="006E32B5"/>
    <w:rsid w:val="006E7E18"/>
    <w:rsid w:val="006F0799"/>
    <w:rsid w:val="006F0DA1"/>
    <w:rsid w:val="006F2478"/>
    <w:rsid w:val="006F3A88"/>
    <w:rsid w:val="006F3F34"/>
    <w:rsid w:val="006F77EF"/>
    <w:rsid w:val="007006DD"/>
    <w:rsid w:val="00700F56"/>
    <w:rsid w:val="0070296C"/>
    <w:rsid w:val="00702986"/>
    <w:rsid w:val="00702CCF"/>
    <w:rsid w:val="0070388B"/>
    <w:rsid w:val="00703E0A"/>
    <w:rsid w:val="00704125"/>
    <w:rsid w:val="007048D2"/>
    <w:rsid w:val="00704F10"/>
    <w:rsid w:val="007061DF"/>
    <w:rsid w:val="00706F04"/>
    <w:rsid w:val="00706F87"/>
    <w:rsid w:val="00706FDC"/>
    <w:rsid w:val="00707C5B"/>
    <w:rsid w:val="00707E30"/>
    <w:rsid w:val="00711D07"/>
    <w:rsid w:val="007137D3"/>
    <w:rsid w:val="00713B48"/>
    <w:rsid w:val="00713D62"/>
    <w:rsid w:val="00713DAC"/>
    <w:rsid w:val="00716D0D"/>
    <w:rsid w:val="007171AE"/>
    <w:rsid w:val="0072099B"/>
    <w:rsid w:val="00721E28"/>
    <w:rsid w:val="007222AC"/>
    <w:rsid w:val="00722C5A"/>
    <w:rsid w:val="0072327E"/>
    <w:rsid w:val="00723DB1"/>
    <w:rsid w:val="0072430B"/>
    <w:rsid w:val="00724625"/>
    <w:rsid w:val="00725216"/>
    <w:rsid w:val="00725EFC"/>
    <w:rsid w:val="00725F91"/>
    <w:rsid w:val="007261C9"/>
    <w:rsid w:val="007309A2"/>
    <w:rsid w:val="00730B61"/>
    <w:rsid w:val="00730E71"/>
    <w:rsid w:val="007321EE"/>
    <w:rsid w:val="00732D37"/>
    <w:rsid w:val="00732E1E"/>
    <w:rsid w:val="0073301F"/>
    <w:rsid w:val="007331FC"/>
    <w:rsid w:val="007338FC"/>
    <w:rsid w:val="00734508"/>
    <w:rsid w:val="00734CC6"/>
    <w:rsid w:val="0073512D"/>
    <w:rsid w:val="0073520B"/>
    <w:rsid w:val="00735369"/>
    <w:rsid w:val="00737787"/>
    <w:rsid w:val="00742228"/>
    <w:rsid w:val="00742B87"/>
    <w:rsid w:val="00743156"/>
    <w:rsid w:val="007458EA"/>
    <w:rsid w:val="00745F3D"/>
    <w:rsid w:val="007464C1"/>
    <w:rsid w:val="00747C31"/>
    <w:rsid w:val="00747FF5"/>
    <w:rsid w:val="00751B0F"/>
    <w:rsid w:val="0075220D"/>
    <w:rsid w:val="007522A2"/>
    <w:rsid w:val="0075511A"/>
    <w:rsid w:val="007553F0"/>
    <w:rsid w:val="00756761"/>
    <w:rsid w:val="00757D13"/>
    <w:rsid w:val="00760E17"/>
    <w:rsid w:val="00760EC7"/>
    <w:rsid w:val="00761231"/>
    <w:rsid w:val="00761B9D"/>
    <w:rsid w:val="0076249E"/>
    <w:rsid w:val="007627F1"/>
    <w:rsid w:val="007634BF"/>
    <w:rsid w:val="00763B34"/>
    <w:rsid w:val="00763CD0"/>
    <w:rsid w:val="00763EB8"/>
    <w:rsid w:val="00764E41"/>
    <w:rsid w:val="007660E2"/>
    <w:rsid w:val="00766841"/>
    <w:rsid w:val="007713A4"/>
    <w:rsid w:val="00771C0C"/>
    <w:rsid w:val="00772F59"/>
    <w:rsid w:val="00775370"/>
    <w:rsid w:val="00775DE1"/>
    <w:rsid w:val="007806EB"/>
    <w:rsid w:val="00781150"/>
    <w:rsid w:val="0078346F"/>
    <w:rsid w:val="007835B6"/>
    <w:rsid w:val="007847A7"/>
    <w:rsid w:val="00785B40"/>
    <w:rsid w:val="007867F8"/>
    <w:rsid w:val="0078779A"/>
    <w:rsid w:val="00787BD7"/>
    <w:rsid w:val="00790026"/>
    <w:rsid w:val="00791666"/>
    <w:rsid w:val="00791A7A"/>
    <w:rsid w:val="00792B9D"/>
    <w:rsid w:val="00792C05"/>
    <w:rsid w:val="00793EB3"/>
    <w:rsid w:val="007A08DE"/>
    <w:rsid w:val="007A1899"/>
    <w:rsid w:val="007A1AB1"/>
    <w:rsid w:val="007A519F"/>
    <w:rsid w:val="007A7354"/>
    <w:rsid w:val="007C116A"/>
    <w:rsid w:val="007C3E5F"/>
    <w:rsid w:val="007C4A72"/>
    <w:rsid w:val="007C4E46"/>
    <w:rsid w:val="007C5639"/>
    <w:rsid w:val="007C6225"/>
    <w:rsid w:val="007C7672"/>
    <w:rsid w:val="007D2A8E"/>
    <w:rsid w:val="007D4C47"/>
    <w:rsid w:val="007D528F"/>
    <w:rsid w:val="007D779D"/>
    <w:rsid w:val="007E0422"/>
    <w:rsid w:val="007E0789"/>
    <w:rsid w:val="007E21C1"/>
    <w:rsid w:val="007E2901"/>
    <w:rsid w:val="007E2D43"/>
    <w:rsid w:val="007E3A18"/>
    <w:rsid w:val="007E44E2"/>
    <w:rsid w:val="007E4C4E"/>
    <w:rsid w:val="007E50DE"/>
    <w:rsid w:val="007E71C4"/>
    <w:rsid w:val="007E74A1"/>
    <w:rsid w:val="007E765D"/>
    <w:rsid w:val="007F0623"/>
    <w:rsid w:val="007F2B46"/>
    <w:rsid w:val="007F31EF"/>
    <w:rsid w:val="00800B84"/>
    <w:rsid w:val="00800F62"/>
    <w:rsid w:val="00801461"/>
    <w:rsid w:val="00801749"/>
    <w:rsid w:val="00802C67"/>
    <w:rsid w:val="00803EAC"/>
    <w:rsid w:val="00804227"/>
    <w:rsid w:val="00804958"/>
    <w:rsid w:val="00804C84"/>
    <w:rsid w:val="0080524B"/>
    <w:rsid w:val="008066FF"/>
    <w:rsid w:val="00807017"/>
    <w:rsid w:val="008125C8"/>
    <w:rsid w:val="0081265E"/>
    <w:rsid w:val="00812992"/>
    <w:rsid w:val="00812D1B"/>
    <w:rsid w:val="008144E1"/>
    <w:rsid w:val="008157C6"/>
    <w:rsid w:val="00815CFA"/>
    <w:rsid w:val="00815D89"/>
    <w:rsid w:val="00815FD8"/>
    <w:rsid w:val="00816A93"/>
    <w:rsid w:val="0082060D"/>
    <w:rsid w:val="00821D64"/>
    <w:rsid w:val="00822B9D"/>
    <w:rsid w:val="00823405"/>
    <w:rsid w:val="00823578"/>
    <w:rsid w:val="0082495A"/>
    <w:rsid w:val="008253F3"/>
    <w:rsid w:val="00825A1C"/>
    <w:rsid w:val="00826B87"/>
    <w:rsid w:val="0082762B"/>
    <w:rsid w:val="00831ED3"/>
    <w:rsid w:val="00832AD6"/>
    <w:rsid w:val="00833488"/>
    <w:rsid w:val="00834409"/>
    <w:rsid w:val="008348BA"/>
    <w:rsid w:val="00837161"/>
    <w:rsid w:val="00837C99"/>
    <w:rsid w:val="0084144D"/>
    <w:rsid w:val="008433C6"/>
    <w:rsid w:val="00844651"/>
    <w:rsid w:val="00845DF0"/>
    <w:rsid w:val="00846AD4"/>
    <w:rsid w:val="008471E5"/>
    <w:rsid w:val="0085032B"/>
    <w:rsid w:val="00850D87"/>
    <w:rsid w:val="0085136B"/>
    <w:rsid w:val="00852284"/>
    <w:rsid w:val="008522AE"/>
    <w:rsid w:val="008534E3"/>
    <w:rsid w:val="008537F6"/>
    <w:rsid w:val="00854DF4"/>
    <w:rsid w:val="00854FFD"/>
    <w:rsid w:val="00856E74"/>
    <w:rsid w:val="008579FA"/>
    <w:rsid w:val="0086127A"/>
    <w:rsid w:val="00862857"/>
    <w:rsid w:val="0086311B"/>
    <w:rsid w:val="008657D5"/>
    <w:rsid w:val="0086664A"/>
    <w:rsid w:val="00867744"/>
    <w:rsid w:val="00870C89"/>
    <w:rsid w:val="0087108A"/>
    <w:rsid w:val="00871DA4"/>
    <w:rsid w:val="00871E5E"/>
    <w:rsid w:val="0087207B"/>
    <w:rsid w:val="00876539"/>
    <w:rsid w:val="00877359"/>
    <w:rsid w:val="008807BB"/>
    <w:rsid w:val="00882476"/>
    <w:rsid w:val="00883412"/>
    <w:rsid w:val="0088375A"/>
    <w:rsid w:val="0088466D"/>
    <w:rsid w:val="008852F9"/>
    <w:rsid w:val="00885AD0"/>
    <w:rsid w:val="00886DCF"/>
    <w:rsid w:val="00887AFD"/>
    <w:rsid w:val="00887B7F"/>
    <w:rsid w:val="00887FC5"/>
    <w:rsid w:val="008947CF"/>
    <w:rsid w:val="00894841"/>
    <w:rsid w:val="00894A5B"/>
    <w:rsid w:val="00896C7B"/>
    <w:rsid w:val="008A0A15"/>
    <w:rsid w:val="008A12DF"/>
    <w:rsid w:val="008A1AED"/>
    <w:rsid w:val="008A21C0"/>
    <w:rsid w:val="008A2BAD"/>
    <w:rsid w:val="008A3ADA"/>
    <w:rsid w:val="008A4660"/>
    <w:rsid w:val="008A51AE"/>
    <w:rsid w:val="008A527E"/>
    <w:rsid w:val="008A55B4"/>
    <w:rsid w:val="008A5B6C"/>
    <w:rsid w:val="008A6100"/>
    <w:rsid w:val="008A7180"/>
    <w:rsid w:val="008B0F1C"/>
    <w:rsid w:val="008B12A5"/>
    <w:rsid w:val="008B4A6F"/>
    <w:rsid w:val="008B5AF4"/>
    <w:rsid w:val="008B5DAE"/>
    <w:rsid w:val="008B76FB"/>
    <w:rsid w:val="008C0026"/>
    <w:rsid w:val="008C2B19"/>
    <w:rsid w:val="008C321C"/>
    <w:rsid w:val="008C3336"/>
    <w:rsid w:val="008C34D6"/>
    <w:rsid w:val="008C4B64"/>
    <w:rsid w:val="008C60AD"/>
    <w:rsid w:val="008C60D2"/>
    <w:rsid w:val="008C6B04"/>
    <w:rsid w:val="008C6C1B"/>
    <w:rsid w:val="008C7635"/>
    <w:rsid w:val="008C76FC"/>
    <w:rsid w:val="008C7DB9"/>
    <w:rsid w:val="008C7FFA"/>
    <w:rsid w:val="008D0040"/>
    <w:rsid w:val="008D01A1"/>
    <w:rsid w:val="008D36E2"/>
    <w:rsid w:val="008D3A24"/>
    <w:rsid w:val="008D3F5B"/>
    <w:rsid w:val="008D5237"/>
    <w:rsid w:val="008D5CD8"/>
    <w:rsid w:val="008D5D1C"/>
    <w:rsid w:val="008D5F1B"/>
    <w:rsid w:val="008D7C09"/>
    <w:rsid w:val="008D7CA9"/>
    <w:rsid w:val="008E0014"/>
    <w:rsid w:val="008E023E"/>
    <w:rsid w:val="008E0DB2"/>
    <w:rsid w:val="008E1539"/>
    <w:rsid w:val="008E2121"/>
    <w:rsid w:val="008E2FAB"/>
    <w:rsid w:val="008E41C6"/>
    <w:rsid w:val="008E4B5F"/>
    <w:rsid w:val="008E4D05"/>
    <w:rsid w:val="008E58A4"/>
    <w:rsid w:val="008E60D4"/>
    <w:rsid w:val="008E63DD"/>
    <w:rsid w:val="008E71A6"/>
    <w:rsid w:val="008F1009"/>
    <w:rsid w:val="008F24C6"/>
    <w:rsid w:val="008F38FB"/>
    <w:rsid w:val="008F3E7F"/>
    <w:rsid w:val="008F3EEE"/>
    <w:rsid w:val="008F58C6"/>
    <w:rsid w:val="008F5A8B"/>
    <w:rsid w:val="008F5D15"/>
    <w:rsid w:val="008F67A3"/>
    <w:rsid w:val="008F6A37"/>
    <w:rsid w:val="008F6DDD"/>
    <w:rsid w:val="008F7CD6"/>
    <w:rsid w:val="009001B6"/>
    <w:rsid w:val="00900E15"/>
    <w:rsid w:val="00900E6C"/>
    <w:rsid w:val="00901055"/>
    <w:rsid w:val="00901084"/>
    <w:rsid w:val="00901554"/>
    <w:rsid w:val="00901BC4"/>
    <w:rsid w:val="00901CF0"/>
    <w:rsid w:val="00902539"/>
    <w:rsid w:val="00902F8B"/>
    <w:rsid w:val="009033F7"/>
    <w:rsid w:val="00905696"/>
    <w:rsid w:val="0090605A"/>
    <w:rsid w:val="009064B8"/>
    <w:rsid w:val="009064D6"/>
    <w:rsid w:val="00907563"/>
    <w:rsid w:val="00910EB7"/>
    <w:rsid w:val="00911F48"/>
    <w:rsid w:val="009127D7"/>
    <w:rsid w:val="00912B87"/>
    <w:rsid w:val="00913488"/>
    <w:rsid w:val="0091381F"/>
    <w:rsid w:val="00913F02"/>
    <w:rsid w:val="00916CCF"/>
    <w:rsid w:val="009171FE"/>
    <w:rsid w:val="0092086C"/>
    <w:rsid w:val="009220D8"/>
    <w:rsid w:val="009225F3"/>
    <w:rsid w:val="00922731"/>
    <w:rsid w:val="00922FB5"/>
    <w:rsid w:val="009238F4"/>
    <w:rsid w:val="00924741"/>
    <w:rsid w:val="009255A7"/>
    <w:rsid w:val="00932C4C"/>
    <w:rsid w:val="00932CA6"/>
    <w:rsid w:val="00933236"/>
    <w:rsid w:val="00933C47"/>
    <w:rsid w:val="009351C8"/>
    <w:rsid w:val="00935940"/>
    <w:rsid w:val="0093776F"/>
    <w:rsid w:val="0094175A"/>
    <w:rsid w:val="00941F16"/>
    <w:rsid w:val="009433EE"/>
    <w:rsid w:val="00943626"/>
    <w:rsid w:val="00943C65"/>
    <w:rsid w:val="00945AA7"/>
    <w:rsid w:val="00945E30"/>
    <w:rsid w:val="009461B4"/>
    <w:rsid w:val="00946672"/>
    <w:rsid w:val="009467B9"/>
    <w:rsid w:val="00947324"/>
    <w:rsid w:val="00947956"/>
    <w:rsid w:val="009508D6"/>
    <w:rsid w:val="00950F36"/>
    <w:rsid w:val="0095249C"/>
    <w:rsid w:val="00953057"/>
    <w:rsid w:val="00953A4F"/>
    <w:rsid w:val="00953BFB"/>
    <w:rsid w:val="00956C0B"/>
    <w:rsid w:val="00956EC0"/>
    <w:rsid w:val="00957951"/>
    <w:rsid w:val="00962E50"/>
    <w:rsid w:val="00963E97"/>
    <w:rsid w:val="00964DB8"/>
    <w:rsid w:val="00965466"/>
    <w:rsid w:val="00966184"/>
    <w:rsid w:val="00966FC9"/>
    <w:rsid w:val="0096704E"/>
    <w:rsid w:val="00972816"/>
    <w:rsid w:val="00973ED0"/>
    <w:rsid w:val="00975BC4"/>
    <w:rsid w:val="0097640A"/>
    <w:rsid w:val="0097695E"/>
    <w:rsid w:val="0097778D"/>
    <w:rsid w:val="00977DC6"/>
    <w:rsid w:val="009820F8"/>
    <w:rsid w:val="0098238E"/>
    <w:rsid w:val="00983BAB"/>
    <w:rsid w:val="00984009"/>
    <w:rsid w:val="00984A49"/>
    <w:rsid w:val="00986013"/>
    <w:rsid w:val="00987C1E"/>
    <w:rsid w:val="00992B81"/>
    <w:rsid w:val="009947E7"/>
    <w:rsid w:val="00995774"/>
    <w:rsid w:val="00997D47"/>
    <w:rsid w:val="009A0C3E"/>
    <w:rsid w:val="009A1F3C"/>
    <w:rsid w:val="009A28A5"/>
    <w:rsid w:val="009A2931"/>
    <w:rsid w:val="009A2AFF"/>
    <w:rsid w:val="009A6165"/>
    <w:rsid w:val="009A67BB"/>
    <w:rsid w:val="009A6918"/>
    <w:rsid w:val="009A71C9"/>
    <w:rsid w:val="009B3094"/>
    <w:rsid w:val="009B3477"/>
    <w:rsid w:val="009B3992"/>
    <w:rsid w:val="009B407E"/>
    <w:rsid w:val="009B4A94"/>
    <w:rsid w:val="009B5692"/>
    <w:rsid w:val="009B6A0C"/>
    <w:rsid w:val="009B6D04"/>
    <w:rsid w:val="009B6DCF"/>
    <w:rsid w:val="009B6ECD"/>
    <w:rsid w:val="009B777C"/>
    <w:rsid w:val="009C0A6E"/>
    <w:rsid w:val="009C180E"/>
    <w:rsid w:val="009C2B09"/>
    <w:rsid w:val="009C3C53"/>
    <w:rsid w:val="009C40B3"/>
    <w:rsid w:val="009C4205"/>
    <w:rsid w:val="009C4E2D"/>
    <w:rsid w:val="009C5716"/>
    <w:rsid w:val="009C6B5F"/>
    <w:rsid w:val="009C6C28"/>
    <w:rsid w:val="009C6C38"/>
    <w:rsid w:val="009C701C"/>
    <w:rsid w:val="009D0275"/>
    <w:rsid w:val="009D1F9D"/>
    <w:rsid w:val="009D313E"/>
    <w:rsid w:val="009D3AF8"/>
    <w:rsid w:val="009D3B86"/>
    <w:rsid w:val="009D3EBA"/>
    <w:rsid w:val="009D3FBE"/>
    <w:rsid w:val="009D46EF"/>
    <w:rsid w:val="009D59E3"/>
    <w:rsid w:val="009D6100"/>
    <w:rsid w:val="009E1273"/>
    <w:rsid w:val="009E166B"/>
    <w:rsid w:val="009E5E56"/>
    <w:rsid w:val="009E6754"/>
    <w:rsid w:val="009E70CE"/>
    <w:rsid w:val="009F05B9"/>
    <w:rsid w:val="009F17A9"/>
    <w:rsid w:val="009F26C9"/>
    <w:rsid w:val="009F2865"/>
    <w:rsid w:val="009F2887"/>
    <w:rsid w:val="009F2977"/>
    <w:rsid w:val="009F2BC9"/>
    <w:rsid w:val="009F3160"/>
    <w:rsid w:val="009F4500"/>
    <w:rsid w:val="009F4B8B"/>
    <w:rsid w:val="009F4DFB"/>
    <w:rsid w:val="009F4E1C"/>
    <w:rsid w:val="009F6670"/>
    <w:rsid w:val="00A006AD"/>
    <w:rsid w:val="00A018DF"/>
    <w:rsid w:val="00A0238A"/>
    <w:rsid w:val="00A05AE0"/>
    <w:rsid w:val="00A05B9B"/>
    <w:rsid w:val="00A0663C"/>
    <w:rsid w:val="00A0746B"/>
    <w:rsid w:val="00A07A65"/>
    <w:rsid w:val="00A11A2E"/>
    <w:rsid w:val="00A11D2A"/>
    <w:rsid w:val="00A14612"/>
    <w:rsid w:val="00A150C6"/>
    <w:rsid w:val="00A152DC"/>
    <w:rsid w:val="00A15F3B"/>
    <w:rsid w:val="00A15F83"/>
    <w:rsid w:val="00A1708A"/>
    <w:rsid w:val="00A21A3E"/>
    <w:rsid w:val="00A226D5"/>
    <w:rsid w:val="00A22C83"/>
    <w:rsid w:val="00A235AE"/>
    <w:rsid w:val="00A2568C"/>
    <w:rsid w:val="00A26589"/>
    <w:rsid w:val="00A268EF"/>
    <w:rsid w:val="00A26B26"/>
    <w:rsid w:val="00A27E10"/>
    <w:rsid w:val="00A30DC5"/>
    <w:rsid w:val="00A325A5"/>
    <w:rsid w:val="00A32BC3"/>
    <w:rsid w:val="00A32CC7"/>
    <w:rsid w:val="00A34F3B"/>
    <w:rsid w:val="00A35A8E"/>
    <w:rsid w:val="00A36A25"/>
    <w:rsid w:val="00A37C09"/>
    <w:rsid w:val="00A40895"/>
    <w:rsid w:val="00A409E9"/>
    <w:rsid w:val="00A40FCB"/>
    <w:rsid w:val="00A43656"/>
    <w:rsid w:val="00A43EFE"/>
    <w:rsid w:val="00A44BFB"/>
    <w:rsid w:val="00A45BD3"/>
    <w:rsid w:val="00A462B2"/>
    <w:rsid w:val="00A46483"/>
    <w:rsid w:val="00A468B5"/>
    <w:rsid w:val="00A46D50"/>
    <w:rsid w:val="00A470A4"/>
    <w:rsid w:val="00A47833"/>
    <w:rsid w:val="00A47F6A"/>
    <w:rsid w:val="00A50BB2"/>
    <w:rsid w:val="00A50BB6"/>
    <w:rsid w:val="00A50D2F"/>
    <w:rsid w:val="00A50EDF"/>
    <w:rsid w:val="00A537A5"/>
    <w:rsid w:val="00A543AD"/>
    <w:rsid w:val="00A54E21"/>
    <w:rsid w:val="00A57D21"/>
    <w:rsid w:val="00A615B2"/>
    <w:rsid w:val="00A61749"/>
    <w:rsid w:val="00A62B45"/>
    <w:rsid w:val="00A64397"/>
    <w:rsid w:val="00A647E5"/>
    <w:rsid w:val="00A666D2"/>
    <w:rsid w:val="00A669D8"/>
    <w:rsid w:val="00A705F1"/>
    <w:rsid w:val="00A709CE"/>
    <w:rsid w:val="00A70BA9"/>
    <w:rsid w:val="00A711D0"/>
    <w:rsid w:val="00A711E0"/>
    <w:rsid w:val="00A728CD"/>
    <w:rsid w:val="00A7600A"/>
    <w:rsid w:val="00A76C65"/>
    <w:rsid w:val="00A8067A"/>
    <w:rsid w:val="00A80D43"/>
    <w:rsid w:val="00A81FEF"/>
    <w:rsid w:val="00A82BB9"/>
    <w:rsid w:val="00A8544B"/>
    <w:rsid w:val="00A85A5B"/>
    <w:rsid w:val="00A85C98"/>
    <w:rsid w:val="00A90027"/>
    <w:rsid w:val="00A90FA0"/>
    <w:rsid w:val="00A92B32"/>
    <w:rsid w:val="00A93935"/>
    <w:rsid w:val="00A94177"/>
    <w:rsid w:val="00A94C68"/>
    <w:rsid w:val="00A951DC"/>
    <w:rsid w:val="00A9593C"/>
    <w:rsid w:val="00A95B50"/>
    <w:rsid w:val="00A95F73"/>
    <w:rsid w:val="00A97ADB"/>
    <w:rsid w:val="00A97C3E"/>
    <w:rsid w:val="00A97CBF"/>
    <w:rsid w:val="00A97EBF"/>
    <w:rsid w:val="00AA0DAF"/>
    <w:rsid w:val="00AA160A"/>
    <w:rsid w:val="00AA1743"/>
    <w:rsid w:val="00AA27B8"/>
    <w:rsid w:val="00AA49BC"/>
    <w:rsid w:val="00AA594C"/>
    <w:rsid w:val="00AA635F"/>
    <w:rsid w:val="00AA6C45"/>
    <w:rsid w:val="00AA7869"/>
    <w:rsid w:val="00AA7C63"/>
    <w:rsid w:val="00AB07F3"/>
    <w:rsid w:val="00AB2D55"/>
    <w:rsid w:val="00AB2E11"/>
    <w:rsid w:val="00AB557E"/>
    <w:rsid w:val="00AB5F3F"/>
    <w:rsid w:val="00AB6652"/>
    <w:rsid w:val="00AB7A16"/>
    <w:rsid w:val="00AB7C17"/>
    <w:rsid w:val="00AC2736"/>
    <w:rsid w:val="00AC28E2"/>
    <w:rsid w:val="00AC2D06"/>
    <w:rsid w:val="00AC6243"/>
    <w:rsid w:val="00AD00CE"/>
    <w:rsid w:val="00AD1299"/>
    <w:rsid w:val="00AD343E"/>
    <w:rsid w:val="00AD39F4"/>
    <w:rsid w:val="00AD4AB7"/>
    <w:rsid w:val="00AD57CB"/>
    <w:rsid w:val="00AE0060"/>
    <w:rsid w:val="00AE11D3"/>
    <w:rsid w:val="00AE18E7"/>
    <w:rsid w:val="00AE1BF4"/>
    <w:rsid w:val="00AE213D"/>
    <w:rsid w:val="00AE290E"/>
    <w:rsid w:val="00AE3249"/>
    <w:rsid w:val="00AE436C"/>
    <w:rsid w:val="00AE446A"/>
    <w:rsid w:val="00AE5C6D"/>
    <w:rsid w:val="00AE5E6A"/>
    <w:rsid w:val="00AE65DF"/>
    <w:rsid w:val="00AE6BF9"/>
    <w:rsid w:val="00AE7804"/>
    <w:rsid w:val="00AF0054"/>
    <w:rsid w:val="00AF097C"/>
    <w:rsid w:val="00AF1772"/>
    <w:rsid w:val="00AF27D8"/>
    <w:rsid w:val="00AF3E5D"/>
    <w:rsid w:val="00AF45C4"/>
    <w:rsid w:val="00AF6645"/>
    <w:rsid w:val="00B00596"/>
    <w:rsid w:val="00B02A26"/>
    <w:rsid w:val="00B031E3"/>
    <w:rsid w:val="00B05480"/>
    <w:rsid w:val="00B068F8"/>
    <w:rsid w:val="00B10DD5"/>
    <w:rsid w:val="00B11748"/>
    <w:rsid w:val="00B12416"/>
    <w:rsid w:val="00B14ECA"/>
    <w:rsid w:val="00B15108"/>
    <w:rsid w:val="00B16EF4"/>
    <w:rsid w:val="00B17212"/>
    <w:rsid w:val="00B20CF5"/>
    <w:rsid w:val="00B2115F"/>
    <w:rsid w:val="00B21AA3"/>
    <w:rsid w:val="00B21D19"/>
    <w:rsid w:val="00B224E3"/>
    <w:rsid w:val="00B2322B"/>
    <w:rsid w:val="00B236FA"/>
    <w:rsid w:val="00B2462D"/>
    <w:rsid w:val="00B26556"/>
    <w:rsid w:val="00B34BBD"/>
    <w:rsid w:val="00B35F1C"/>
    <w:rsid w:val="00B3615E"/>
    <w:rsid w:val="00B36A0A"/>
    <w:rsid w:val="00B40DD0"/>
    <w:rsid w:val="00B42261"/>
    <w:rsid w:val="00B42E11"/>
    <w:rsid w:val="00B4333E"/>
    <w:rsid w:val="00B43A87"/>
    <w:rsid w:val="00B43FA8"/>
    <w:rsid w:val="00B44DF1"/>
    <w:rsid w:val="00B45D09"/>
    <w:rsid w:val="00B47917"/>
    <w:rsid w:val="00B47C4B"/>
    <w:rsid w:val="00B508EA"/>
    <w:rsid w:val="00B51CC3"/>
    <w:rsid w:val="00B52C44"/>
    <w:rsid w:val="00B52D42"/>
    <w:rsid w:val="00B5343C"/>
    <w:rsid w:val="00B53A26"/>
    <w:rsid w:val="00B54373"/>
    <w:rsid w:val="00B54E66"/>
    <w:rsid w:val="00B563AF"/>
    <w:rsid w:val="00B57359"/>
    <w:rsid w:val="00B57758"/>
    <w:rsid w:val="00B6009A"/>
    <w:rsid w:val="00B6079A"/>
    <w:rsid w:val="00B627AC"/>
    <w:rsid w:val="00B63885"/>
    <w:rsid w:val="00B63FA7"/>
    <w:rsid w:val="00B64A02"/>
    <w:rsid w:val="00B658E1"/>
    <w:rsid w:val="00B659D6"/>
    <w:rsid w:val="00B671CF"/>
    <w:rsid w:val="00B675DB"/>
    <w:rsid w:val="00B67962"/>
    <w:rsid w:val="00B70CAC"/>
    <w:rsid w:val="00B70D16"/>
    <w:rsid w:val="00B72D32"/>
    <w:rsid w:val="00B75BAA"/>
    <w:rsid w:val="00B77454"/>
    <w:rsid w:val="00B77BDC"/>
    <w:rsid w:val="00B80B96"/>
    <w:rsid w:val="00B80EF2"/>
    <w:rsid w:val="00B830D8"/>
    <w:rsid w:val="00B83AA4"/>
    <w:rsid w:val="00B8733E"/>
    <w:rsid w:val="00B87814"/>
    <w:rsid w:val="00B90504"/>
    <w:rsid w:val="00B907AC"/>
    <w:rsid w:val="00B91E74"/>
    <w:rsid w:val="00B9233F"/>
    <w:rsid w:val="00B938EC"/>
    <w:rsid w:val="00B942FC"/>
    <w:rsid w:val="00B96D10"/>
    <w:rsid w:val="00BA0D0C"/>
    <w:rsid w:val="00BA10B3"/>
    <w:rsid w:val="00BA15ED"/>
    <w:rsid w:val="00BA1883"/>
    <w:rsid w:val="00BA35E9"/>
    <w:rsid w:val="00BA39C7"/>
    <w:rsid w:val="00BA3DB7"/>
    <w:rsid w:val="00BB0CC7"/>
    <w:rsid w:val="00BB232A"/>
    <w:rsid w:val="00BB29DE"/>
    <w:rsid w:val="00BB308B"/>
    <w:rsid w:val="00BB473C"/>
    <w:rsid w:val="00BB473D"/>
    <w:rsid w:val="00BB5ACD"/>
    <w:rsid w:val="00BB5D58"/>
    <w:rsid w:val="00BB5D8E"/>
    <w:rsid w:val="00BC14D8"/>
    <w:rsid w:val="00BC45ED"/>
    <w:rsid w:val="00BC51A3"/>
    <w:rsid w:val="00BC6A2E"/>
    <w:rsid w:val="00BC720A"/>
    <w:rsid w:val="00BD0EE2"/>
    <w:rsid w:val="00BD20D7"/>
    <w:rsid w:val="00BD21F3"/>
    <w:rsid w:val="00BD35A0"/>
    <w:rsid w:val="00BD4845"/>
    <w:rsid w:val="00BD6BBE"/>
    <w:rsid w:val="00BE1677"/>
    <w:rsid w:val="00BE643A"/>
    <w:rsid w:val="00BE7A4E"/>
    <w:rsid w:val="00BF094C"/>
    <w:rsid w:val="00BF102F"/>
    <w:rsid w:val="00BF2B47"/>
    <w:rsid w:val="00BF2E06"/>
    <w:rsid w:val="00BF3E2A"/>
    <w:rsid w:val="00BF3EAA"/>
    <w:rsid w:val="00BF6682"/>
    <w:rsid w:val="00BF6FCD"/>
    <w:rsid w:val="00BF7CAE"/>
    <w:rsid w:val="00C01D50"/>
    <w:rsid w:val="00C05632"/>
    <w:rsid w:val="00C10BA2"/>
    <w:rsid w:val="00C1149E"/>
    <w:rsid w:val="00C127E6"/>
    <w:rsid w:val="00C131A4"/>
    <w:rsid w:val="00C13294"/>
    <w:rsid w:val="00C1582D"/>
    <w:rsid w:val="00C15F39"/>
    <w:rsid w:val="00C21525"/>
    <w:rsid w:val="00C226FF"/>
    <w:rsid w:val="00C2347B"/>
    <w:rsid w:val="00C2486B"/>
    <w:rsid w:val="00C24C23"/>
    <w:rsid w:val="00C25AB6"/>
    <w:rsid w:val="00C27677"/>
    <w:rsid w:val="00C27B95"/>
    <w:rsid w:val="00C313E2"/>
    <w:rsid w:val="00C327E2"/>
    <w:rsid w:val="00C32CD0"/>
    <w:rsid w:val="00C3453B"/>
    <w:rsid w:val="00C34D4D"/>
    <w:rsid w:val="00C3695B"/>
    <w:rsid w:val="00C36A62"/>
    <w:rsid w:val="00C37489"/>
    <w:rsid w:val="00C40097"/>
    <w:rsid w:val="00C40A17"/>
    <w:rsid w:val="00C40EC1"/>
    <w:rsid w:val="00C421EA"/>
    <w:rsid w:val="00C4288D"/>
    <w:rsid w:val="00C441C0"/>
    <w:rsid w:val="00C45128"/>
    <w:rsid w:val="00C45761"/>
    <w:rsid w:val="00C4623A"/>
    <w:rsid w:val="00C47491"/>
    <w:rsid w:val="00C51F56"/>
    <w:rsid w:val="00C531FE"/>
    <w:rsid w:val="00C533D6"/>
    <w:rsid w:val="00C55B8D"/>
    <w:rsid w:val="00C56F5E"/>
    <w:rsid w:val="00C572F2"/>
    <w:rsid w:val="00C5750E"/>
    <w:rsid w:val="00C575C2"/>
    <w:rsid w:val="00C61042"/>
    <w:rsid w:val="00C614A9"/>
    <w:rsid w:val="00C6197C"/>
    <w:rsid w:val="00C6351A"/>
    <w:rsid w:val="00C64C87"/>
    <w:rsid w:val="00C6511A"/>
    <w:rsid w:val="00C65773"/>
    <w:rsid w:val="00C657C5"/>
    <w:rsid w:val="00C661D7"/>
    <w:rsid w:val="00C67BC4"/>
    <w:rsid w:val="00C707DB"/>
    <w:rsid w:val="00C71259"/>
    <w:rsid w:val="00C717E8"/>
    <w:rsid w:val="00C73072"/>
    <w:rsid w:val="00C74673"/>
    <w:rsid w:val="00C74849"/>
    <w:rsid w:val="00C757B6"/>
    <w:rsid w:val="00C75A23"/>
    <w:rsid w:val="00C76C98"/>
    <w:rsid w:val="00C77BFF"/>
    <w:rsid w:val="00C80F13"/>
    <w:rsid w:val="00C8109A"/>
    <w:rsid w:val="00C84C42"/>
    <w:rsid w:val="00C84C4B"/>
    <w:rsid w:val="00C859DC"/>
    <w:rsid w:val="00C85F5E"/>
    <w:rsid w:val="00C861A5"/>
    <w:rsid w:val="00C863A8"/>
    <w:rsid w:val="00C86822"/>
    <w:rsid w:val="00C878BA"/>
    <w:rsid w:val="00C87D89"/>
    <w:rsid w:val="00C91D63"/>
    <w:rsid w:val="00C9332E"/>
    <w:rsid w:val="00C93E3E"/>
    <w:rsid w:val="00C942C4"/>
    <w:rsid w:val="00C942F3"/>
    <w:rsid w:val="00C94DC3"/>
    <w:rsid w:val="00C95707"/>
    <w:rsid w:val="00C96672"/>
    <w:rsid w:val="00C9686D"/>
    <w:rsid w:val="00C97DFC"/>
    <w:rsid w:val="00CA128B"/>
    <w:rsid w:val="00CA1F09"/>
    <w:rsid w:val="00CA2965"/>
    <w:rsid w:val="00CA340A"/>
    <w:rsid w:val="00CA3C73"/>
    <w:rsid w:val="00CA4A4C"/>
    <w:rsid w:val="00CA5A13"/>
    <w:rsid w:val="00CA6BAA"/>
    <w:rsid w:val="00CB0D90"/>
    <w:rsid w:val="00CB1136"/>
    <w:rsid w:val="00CB3552"/>
    <w:rsid w:val="00CB3D79"/>
    <w:rsid w:val="00CB4168"/>
    <w:rsid w:val="00CB41AF"/>
    <w:rsid w:val="00CB4FAC"/>
    <w:rsid w:val="00CB5494"/>
    <w:rsid w:val="00CB697D"/>
    <w:rsid w:val="00CB6CBF"/>
    <w:rsid w:val="00CC00FD"/>
    <w:rsid w:val="00CC252F"/>
    <w:rsid w:val="00CC384F"/>
    <w:rsid w:val="00CC3A04"/>
    <w:rsid w:val="00CC3F37"/>
    <w:rsid w:val="00CC4995"/>
    <w:rsid w:val="00CC5E84"/>
    <w:rsid w:val="00CC618E"/>
    <w:rsid w:val="00CD0899"/>
    <w:rsid w:val="00CD0F6D"/>
    <w:rsid w:val="00CD4C9A"/>
    <w:rsid w:val="00CD70A7"/>
    <w:rsid w:val="00CE0946"/>
    <w:rsid w:val="00CE0C4B"/>
    <w:rsid w:val="00CE1B8A"/>
    <w:rsid w:val="00CE21AC"/>
    <w:rsid w:val="00CE3037"/>
    <w:rsid w:val="00CE4489"/>
    <w:rsid w:val="00CE6478"/>
    <w:rsid w:val="00CE7048"/>
    <w:rsid w:val="00CE7E13"/>
    <w:rsid w:val="00CF03DC"/>
    <w:rsid w:val="00CF0D2F"/>
    <w:rsid w:val="00CF1000"/>
    <w:rsid w:val="00CF1394"/>
    <w:rsid w:val="00CF2A43"/>
    <w:rsid w:val="00CF4238"/>
    <w:rsid w:val="00CF4B8C"/>
    <w:rsid w:val="00CF5A9C"/>
    <w:rsid w:val="00CF5BBA"/>
    <w:rsid w:val="00D00033"/>
    <w:rsid w:val="00D00095"/>
    <w:rsid w:val="00D006FC"/>
    <w:rsid w:val="00D0073B"/>
    <w:rsid w:val="00D025C8"/>
    <w:rsid w:val="00D031D1"/>
    <w:rsid w:val="00D04755"/>
    <w:rsid w:val="00D05628"/>
    <w:rsid w:val="00D05994"/>
    <w:rsid w:val="00D07E1B"/>
    <w:rsid w:val="00D1182D"/>
    <w:rsid w:val="00D1406D"/>
    <w:rsid w:val="00D14E2C"/>
    <w:rsid w:val="00D15981"/>
    <w:rsid w:val="00D164AE"/>
    <w:rsid w:val="00D169A8"/>
    <w:rsid w:val="00D2209B"/>
    <w:rsid w:val="00D22A12"/>
    <w:rsid w:val="00D231BE"/>
    <w:rsid w:val="00D23F6A"/>
    <w:rsid w:val="00D24DBE"/>
    <w:rsid w:val="00D264B5"/>
    <w:rsid w:val="00D26B53"/>
    <w:rsid w:val="00D27A24"/>
    <w:rsid w:val="00D27C88"/>
    <w:rsid w:val="00D30817"/>
    <w:rsid w:val="00D31782"/>
    <w:rsid w:val="00D32A7F"/>
    <w:rsid w:val="00D33BDB"/>
    <w:rsid w:val="00D33FF5"/>
    <w:rsid w:val="00D3694E"/>
    <w:rsid w:val="00D36A32"/>
    <w:rsid w:val="00D36F10"/>
    <w:rsid w:val="00D40FBF"/>
    <w:rsid w:val="00D41C90"/>
    <w:rsid w:val="00D446D0"/>
    <w:rsid w:val="00D45BA9"/>
    <w:rsid w:val="00D534A3"/>
    <w:rsid w:val="00D539EF"/>
    <w:rsid w:val="00D53CC9"/>
    <w:rsid w:val="00D56091"/>
    <w:rsid w:val="00D567A0"/>
    <w:rsid w:val="00D56B5C"/>
    <w:rsid w:val="00D579CF"/>
    <w:rsid w:val="00D601FC"/>
    <w:rsid w:val="00D623C3"/>
    <w:rsid w:val="00D63032"/>
    <w:rsid w:val="00D63CAE"/>
    <w:rsid w:val="00D65031"/>
    <w:rsid w:val="00D65302"/>
    <w:rsid w:val="00D65D4B"/>
    <w:rsid w:val="00D66535"/>
    <w:rsid w:val="00D67FCF"/>
    <w:rsid w:val="00D71FDA"/>
    <w:rsid w:val="00D723BE"/>
    <w:rsid w:val="00D731B2"/>
    <w:rsid w:val="00D735CC"/>
    <w:rsid w:val="00D73D5A"/>
    <w:rsid w:val="00D74D30"/>
    <w:rsid w:val="00D759FD"/>
    <w:rsid w:val="00D75C9F"/>
    <w:rsid w:val="00D77D88"/>
    <w:rsid w:val="00D821D8"/>
    <w:rsid w:val="00D827F9"/>
    <w:rsid w:val="00D82DD9"/>
    <w:rsid w:val="00D835CA"/>
    <w:rsid w:val="00D84026"/>
    <w:rsid w:val="00D87101"/>
    <w:rsid w:val="00D9354F"/>
    <w:rsid w:val="00D971C5"/>
    <w:rsid w:val="00D97356"/>
    <w:rsid w:val="00D97789"/>
    <w:rsid w:val="00D97D3A"/>
    <w:rsid w:val="00DA0706"/>
    <w:rsid w:val="00DA55BE"/>
    <w:rsid w:val="00DA5649"/>
    <w:rsid w:val="00DA5CB9"/>
    <w:rsid w:val="00DA692D"/>
    <w:rsid w:val="00DA7C3A"/>
    <w:rsid w:val="00DB116C"/>
    <w:rsid w:val="00DB124C"/>
    <w:rsid w:val="00DB182A"/>
    <w:rsid w:val="00DB2622"/>
    <w:rsid w:val="00DB266A"/>
    <w:rsid w:val="00DB3C42"/>
    <w:rsid w:val="00DB61B6"/>
    <w:rsid w:val="00DB66A5"/>
    <w:rsid w:val="00DB67D7"/>
    <w:rsid w:val="00DB759B"/>
    <w:rsid w:val="00DC3452"/>
    <w:rsid w:val="00DC450B"/>
    <w:rsid w:val="00DC4C96"/>
    <w:rsid w:val="00DC5081"/>
    <w:rsid w:val="00DC62D9"/>
    <w:rsid w:val="00DC7769"/>
    <w:rsid w:val="00DC794A"/>
    <w:rsid w:val="00DC7E06"/>
    <w:rsid w:val="00DD063F"/>
    <w:rsid w:val="00DD23B1"/>
    <w:rsid w:val="00DD3237"/>
    <w:rsid w:val="00DD3D6D"/>
    <w:rsid w:val="00DD474B"/>
    <w:rsid w:val="00DD57EE"/>
    <w:rsid w:val="00DD7293"/>
    <w:rsid w:val="00DD7BA5"/>
    <w:rsid w:val="00DE0AC2"/>
    <w:rsid w:val="00DE3394"/>
    <w:rsid w:val="00DE37D8"/>
    <w:rsid w:val="00DE3A75"/>
    <w:rsid w:val="00DE3C40"/>
    <w:rsid w:val="00DE42D7"/>
    <w:rsid w:val="00DE465F"/>
    <w:rsid w:val="00DE4D17"/>
    <w:rsid w:val="00DE5C34"/>
    <w:rsid w:val="00DE5C82"/>
    <w:rsid w:val="00DE5E22"/>
    <w:rsid w:val="00DE6F79"/>
    <w:rsid w:val="00DE7648"/>
    <w:rsid w:val="00DE79E4"/>
    <w:rsid w:val="00DF7150"/>
    <w:rsid w:val="00DF7589"/>
    <w:rsid w:val="00E00D3E"/>
    <w:rsid w:val="00E025D4"/>
    <w:rsid w:val="00E02EF7"/>
    <w:rsid w:val="00E03D34"/>
    <w:rsid w:val="00E03DEA"/>
    <w:rsid w:val="00E03EBD"/>
    <w:rsid w:val="00E03F8F"/>
    <w:rsid w:val="00E05458"/>
    <w:rsid w:val="00E05AB9"/>
    <w:rsid w:val="00E06B2E"/>
    <w:rsid w:val="00E07196"/>
    <w:rsid w:val="00E073D6"/>
    <w:rsid w:val="00E07A10"/>
    <w:rsid w:val="00E108FF"/>
    <w:rsid w:val="00E17B4A"/>
    <w:rsid w:val="00E211C0"/>
    <w:rsid w:val="00E21E8D"/>
    <w:rsid w:val="00E235AD"/>
    <w:rsid w:val="00E24284"/>
    <w:rsid w:val="00E245D1"/>
    <w:rsid w:val="00E27329"/>
    <w:rsid w:val="00E2787C"/>
    <w:rsid w:val="00E27EDC"/>
    <w:rsid w:val="00E30550"/>
    <w:rsid w:val="00E3055C"/>
    <w:rsid w:val="00E332AB"/>
    <w:rsid w:val="00E36493"/>
    <w:rsid w:val="00E36B42"/>
    <w:rsid w:val="00E36C8E"/>
    <w:rsid w:val="00E40677"/>
    <w:rsid w:val="00E42E34"/>
    <w:rsid w:val="00E43373"/>
    <w:rsid w:val="00E43609"/>
    <w:rsid w:val="00E4504F"/>
    <w:rsid w:val="00E45E0D"/>
    <w:rsid w:val="00E466F4"/>
    <w:rsid w:val="00E467E8"/>
    <w:rsid w:val="00E47D56"/>
    <w:rsid w:val="00E50386"/>
    <w:rsid w:val="00E50698"/>
    <w:rsid w:val="00E52C87"/>
    <w:rsid w:val="00E52CC2"/>
    <w:rsid w:val="00E53111"/>
    <w:rsid w:val="00E5525E"/>
    <w:rsid w:val="00E56C41"/>
    <w:rsid w:val="00E600C7"/>
    <w:rsid w:val="00E6101A"/>
    <w:rsid w:val="00E63B9B"/>
    <w:rsid w:val="00E63BEA"/>
    <w:rsid w:val="00E641D6"/>
    <w:rsid w:val="00E64420"/>
    <w:rsid w:val="00E65765"/>
    <w:rsid w:val="00E67121"/>
    <w:rsid w:val="00E679EC"/>
    <w:rsid w:val="00E67B63"/>
    <w:rsid w:val="00E70A19"/>
    <w:rsid w:val="00E7149B"/>
    <w:rsid w:val="00E7374B"/>
    <w:rsid w:val="00E73D5B"/>
    <w:rsid w:val="00E765F7"/>
    <w:rsid w:val="00E8187F"/>
    <w:rsid w:val="00E81CCC"/>
    <w:rsid w:val="00E8218D"/>
    <w:rsid w:val="00E8253B"/>
    <w:rsid w:val="00E82DC3"/>
    <w:rsid w:val="00E85477"/>
    <w:rsid w:val="00E857CC"/>
    <w:rsid w:val="00E86659"/>
    <w:rsid w:val="00E86FE5"/>
    <w:rsid w:val="00E9016D"/>
    <w:rsid w:val="00E9144E"/>
    <w:rsid w:val="00E91460"/>
    <w:rsid w:val="00E91824"/>
    <w:rsid w:val="00E91FE8"/>
    <w:rsid w:val="00E93A96"/>
    <w:rsid w:val="00E93E5D"/>
    <w:rsid w:val="00E942A3"/>
    <w:rsid w:val="00E95553"/>
    <w:rsid w:val="00E96572"/>
    <w:rsid w:val="00E979E3"/>
    <w:rsid w:val="00EA01E9"/>
    <w:rsid w:val="00EA04B9"/>
    <w:rsid w:val="00EA0DFB"/>
    <w:rsid w:val="00EA1D52"/>
    <w:rsid w:val="00EA322E"/>
    <w:rsid w:val="00EA3499"/>
    <w:rsid w:val="00EA3C98"/>
    <w:rsid w:val="00EA53EC"/>
    <w:rsid w:val="00EA6DED"/>
    <w:rsid w:val="00EB0083"/>
    <w:rsid w:val="00EB0F37"/>
    <w:rsid w:val="00EB3C72"/>
    <w:rsid w:val="00EB40A1"/>
    <w:rsid w:val="00EB41A4"/>
    <w:rsid w:val="00EB4A7A"/>
    <w:rsid w:val="00EB4BC0"/>
    <w:rsid w:val="00EB6369"/>
    <w:rsid w:val="00EB7027"/>
    <w:rsid w:val="00EC0A48"/>
    <w:rsid w:val="00EC100F"/>
    <w:rsid w:val="00EC2E79"/>
    <w:rsid w:val="00EC3E6C"/>
    <w:rsid w:val="00EC5223"/>
    <w:rsid w:val="00EC59F6"/>
    <w:rsid w:val="00EC646E"/>
    <w:rsid w:val="00EC75DA"/>
    <w:rsid w:val="00ED1AF6"/>
    <w:rsid w:val="00ED45CE"/>
    <w:rsid w:val="00ED5877"/>
    <w:rsid w:val="00EE1538"/>
    <w:rsid w:val="00EE28D3"/>
    <w:rsid w:val="00EE2C70"/>
    <w:rsid w:val="00EE2E44"/>
    <w:rsid w:val="00EE3B9E"/>
    <w:rsid w:val="00EE571E"/>
    <w:rsid w:val="00EE660F"/>
    <w:rsid w:val="00EE66AA"/>
    <w:rsid w:val="00EF0326"/>
    <w:rsid w:val="00EF04A4"/>
    <w:rsid w:val="00EF227E"/>
    <w:rsid w:val="00EF26AA"/>
    <w:rsid w:val="00EF2D43"/>
    <w:rsid w:val="00EF3914"/>
    <w:rsid w:val="00EF3965"/>
    <w:rsid w:val="00EF3A26"/>
    <w:rsid w:val="00EF4101"/>
    <w:rsid w:val="00EF457B"/>
    <w:rsid w:val="00EF4C0F"/>
    <w:rsid w:val="00EF5019"/>
    <w:rsid w:val="00EF6893"/>
    <w:rsid w:val="00EF6CFF"/>
    <w:rsid w:val="00EF6EA4"/>
    <w:rsid w:val="00EF7DCC"/>
    <w:rsid w:val="00F01530"/>
    <w:rsid w:val="00F01CFC"/>
    <w:rsid w:val="00F03021"/>
    <w:rsid w:val="00F05018"/>
    <w:rsid w:val="00F0590E"/>
    <w:rsid w:val="00F0626A"/>
    <w:rsid w:val="00F10DE3"/>
    <w:rsid w:val="00F11E82"/>
    <w:rsid w:val="00F13666"/>
    <w:rsid w:val="00F13BFE"/>
    <w:rsid w:val="00F144D5"/>
    <w:rsid w:val="00F155B0"/>
    <w:rsid w:val="00F16104"/>
    <w:rsid w:val="00F164A2"/>
    <w:rsid w:val="00F16DCC"/>
    <w:rsid w:val="00F17E2F"/>
    <w:rsid w:val="00F21754"/>
    <w:rsid w:val="00F21953"/>
    <w:rsid w:val="00F21D47"/>
    <w:rsid w:val="00F21FAB"/>
    <w:rsid w:val="00F31639"/>
    <w:rsid w:val="00F31EDA"/>
    <w:rsid w:val="00F3311B"/>
    <w:rsid w:val="00F339C9"/>
    <w:rsid w:val="00F342FD"/>
    <w:rsid w:val="00F344E2"/>
    <w:rsid w:val="00F3515C"/>
    <w:rsid w:val="00F35C1D"/>
    <w:rsid w:val="00F36D22"/>
    <w:rsid w:val="00F377EC"/>
    <w:rsid w:val="00F37DC6"/>
    <w:rsid w:val="00F404CA"/>
    <w:rsid w:val="00F40638"/>
    <w:rsid w:val="00F40CF7"/>
    <w:rsid w:val="00F40D86"/>
    <w:rsid w:val="00F40E37"/>
    <w:rsid w:val="00F421BD"/>
    <w:rsid w:val="00F42328"/>
    <w:rsid w:val="00F43BD4"/>
    <w:rsid w:val="00F4404E"/>
    <w:rsid w:val="00F4457C"/>
    <w:rsid w:val="00F464FC"/>
    <w:rsid w:val="00F50B8C"/>
    <w:rsid w:val="00F50EFD"/>
    <w:rsid w:val="00F511BA"/>
    <w:rsid w:val="00F51FD7"/>
    <w:rsid w:val="00F5226A"/>
    <w:rsid w:val="00F52736"/>
    <w:rsid w:val="00F5434C"/>
    <w:rsid w:val="00F55052"/>
    <w:rsid w:val="00F5608A"/>
    <w:rsid w:val="00F563B6"/>
    <w:rsid w:val="00F565FB"/>
    <w:rsid w:val="00F56876"/>
    <w:rsid w:val="00F577EA"/>
    <w:rsid w:val="00F60166"/>
    <w:rsid w:val="00F608E1"/>
    <w:rsid w:val="00F60D07"/>
    <w:rsid w:val="00F61970"/>
    <w:rsid w:val="00F63D8F"/>
    <w:rsid w:val="00F644EA"/>
    <w:rsid w:val="00F64A52"/>
    <w:rsid w:val="00F64D0B"/>
    <w:rsid w:val="00F65D1B"/>
    <w:rsid w:val="00F663EE"/>
    <w:rsid w:val="00F67A29"/>
    <w:rsid w:val="00F718C9"/>
    <w:rsid w:val="00F73591"/>
    <w:rsid w:val="00F75275"/>
    <w:rsid w:val="00F75DA9"/>
    <w:rsid w:val="00F76C50"/>
    <w:rsid w:val="00F76EE6"/>
    <w:rsid w:val="00F808A3"/>
    <w:rsid w:val="00F812D7"/>
    <w:rsid w:val="00F8353E"/>
    <w:rsid w:val="00F842D1"/>
    <w:rsid w:val="00F8475C"/>
    <w:rsid w:val="00F84A12"/>
    <w:rsid w:val="00F854A1"/>
    <w:rsid w:val="00F85D56"/>
    <w:rsid w:val="00F873F5"/>
    <w:rsid w:val="00F878C3"/>
    <w:rsid w:val="00F91397"/>
    <w:rsid w:val="00F91541"/>
    <w:rsid w:val="00F91C3E"/>
    <w:rsid w:val="00F91F9D"/>
    <w:rsid w:val="00F92011"/>
    <w:rsid w:val="00F92416"/>
    <w:rsid w:val="00F92649"/>
    <w:rsid w:val="00F92929"/>
    <w:rsid w:val="00F92F61"/>
    <w:rsid w:val="00F93190"/>
    <w:rsid w:val="00F9368C"/>
    <w:rsid w:val="00F94C79"/>
    <w:rsid w:val="00F9551B"/>
    <w:rsid w:val="00F95D43"/>
    <w:rsid w:val="00F961E8"/>
    <w:rsid w:val="00FA0674"/>
    <w:rsid w:val="00FA0837"/>
    <w:rsid w:val="00FA0D19"/>
    <w:rsid w:val="00FA0D48"/>
    <w:rsid w:val="00FA3347"/>
    <w:rsid w:val="00FA35CB"/>
    <w:rsid w:val="00FA3ADA"/>
    <w:rsid w:val="00FA4B42"/>
    <w:rsid w:val="00FA67B9"/>
    <w:rsid w:val="00FA6B36"/>
    <w:rsid w:val="00FB4641"/>
    <w:rsid w:val="00FB46F8"/>
    <w:rsid w:val="00FB5494"/>
    <w:rsid w:val="00FB699E"/>
    <w:rsid w:val="00FB74A3"/>
    <w:rsid w:val="00FB7B47"/>
    <w:rsid w:val="00FC15F6"/>
    <w:rsid w:val="00FC16C2"/>
    <w:rsid w:val="00FC1ABB"/>
    <w:rsid w:val="00FC29A7"/>
    <w:rsid w:val="00FC45D4"/>
    <w:rsid w:val="00FC5735"/>
    <w:rsid w:val="00FC7B44"/>
    <w:rsid w:val="00FD08FE"/>
    <w:rsid w:val="00FD19C7"/>
    <w:rsid w:val="00FD3706"/>
    <w:rsid w:val="00FD3ACF"/>
    <w:rsid w:val="00FD45DF"/>
    <w:rsid w:val="00FD4915"/>
    <w:rsid w:val="00FD4B42"/>
    <w:rsid w:val="00FD7E05"/>
    <w:rsid w:val="00FE106B"/>
    <w:rsid w:val="00FE37FE"/>
    <w:rsid w:val="00FE3E28"/>
    <w:rsid w:val="00FE4092"/>
    <w:rsid w:val="00FE4DF8"/>
    <w:rsid w:val="00FE57CB"/>
    <w:rsid w:val="00FE627E"/>
    <w:rsid w:val="00FE63E5"/>
    <w:rsid w:val="00FF29AA"/>
    <w:rsid w:val="00FF3F89"/>
    <w:rsid w:val="00FF4428"/>
    <w:rsid w:val="00FF4CC4"/>
    <w:rsid w:val="00FF52CF"/>
    <w:rsid w:val="00FF5AC5"/>
    <w:rsid w:val="00FF5AC6"/>
    <w:rsid w:val="00FF5E4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eastAsiaTheme="minorEastAsia" w:hAnsi="Calibri"/>
      <w:sz w:val="20"/>
      <w:szCs w:val="20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eastAsiaTheme="minorEastAsia" w:hAnsi="Calibri"/>
      <w:sz w:val="20"/>
      <w:szCs w:val="20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table" w:styleId="TableGridLight">
    <w:name w:val="Grid Table Light"/>
    <w:basedOn w:val="TableNormal"/>
    <w:uiPriority w:val="40"/>
    <w:rsid w:val="00524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2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ulation.gov.a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abs.gov.au/statistics/people/population/national-state-and-territory-population/latest-relea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s.gov.au/statistics/health/causes-death/provisional-mortality-statistics/latest-relea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opulation.gov.au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8CF0-0848-436B-8E42-2B49FBC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National, state and territory population, December 2021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National, state and territory population, December 2021</dc:title>
  <dc:subject/>
  <dc:creator/>
  <cp:keywords/>
  <cp:lastModifiedBy/>
  <cp:revision>1</cp:revision>
  <dcterms:created xsi:type="dcterms:W3CDTF">2022-06-28T00:23:00Z</dcterms:created>
  <dcterms:modified xsi:type="dcterms:W3CDTF">2022-06-28T05:46:00Z</dcterms:modified>
</cp:coreProperties>
</file>