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EB3D" w14:textId="6F151867" w:rsidR="00725216" w:rsidRPr="00463005" w:rsidRDefault="004479ED" w:rsidP="00463005">
      <w:pPr>
        <w:spacing w:before="240" w:after="360"/>
        <w:jc w:val="right"/>
        <w:rPr>
          <w:b/>
          <w:bCs/>
          <w:i/>
          <w:iCs/>
          <w:color w:val="FFFFFF" w:themeColor="background1"/>
          <w:sz w:val="28"/>
          <w:szCs w:val="28"/>
        </w:rPr>
      </w:pPr>
      <w:bookmarkStart w:id="0" w:name="_Hlk74846628"/>
      <w:r w:rsidRPr="00124E92">
        <w:rPr>
          <w:b/>
          <w:bCs/>
          <w:i/>
          <w:iCs/>
          <w:color w:val="FFFFFF" w:themeColor="background1"/>
          <w:sz w:val="28"/>
          <w:szCs w:val="28"/>
        </w:rPr>
        <w:t>16 December 2022</w:t>
      </w:r>
    </w:p>
    <w:tbl>
      <w:tblPr>
        <w:tblW w:w="9185" w:type="dxa"/>
        <w:tblLayout w:type="fixed"/>
        <w:tblLook w:val="04A0" w:firstRow="1" w:lastRow="0" w:firstColumn="1" w:lastColumn="0" w:noHBand="0" w:noVBand="1"/>
      </w:tblPr>
      <w:tblGrid>
        <w:gridCol w:w="9185"/>
      </w:tblGrid>
      <w:tr w:rsidR="00725216" w:rsidRPr="00F21FAB" w14:paraId="57BC2909" w14:textId="77777777" w:rsidTr="00CC3A04">
        <w:trPr>
          <w:trHeight w:val="300"/>
        </w:trPr>
        <w:tc>
          <w:tcPr>
            <w:tcW w:w="5000" w:type="pct"/>
            <w:shd w:val="clear" w:color="auto" w:fill="auto"/>
            <w:vAlign w:val="center"/>
          </w:tcPr>
          <w:p w14:paraId="0EB52E41" w14:textId="66F6E390" w:rsidR="00725216" w:rsidRPr="003A7FFE" w:rsidRDefault="004479ED" w:rsidP="00463005">
            <w:pPr>
              <w:pStyle w:val="Heading2"/>
            </w:pPr>
            <w:bookmarkStart w:id="1" w:name="_Ref74896474"/>
            <w:bookmarkEnd w:id="0"/>
            <w:r>
              <w:t>Overseas Migration</w:t>
            </w:r>
            <w:r w:rsidR="004A6BC4">
              <w:t xml:space="preserve">, </w:t>
            </w:r>
            <w:bookmarkEnd w:id="1"/>
            <w:r>
              <w:t>20</w:t>
            </w:r>
            <w:r w:rsidR="00025A0E">
              <w:t>21–</w:t>
            </w:r>
            <w:r>
              <w:t>22</w:t>
            </w:r>
          </w:p>
        </w:tc>
      </w:tr>
      <w:tr w:rsidR="00725216" w:rsidRPr="0023709A" w14:paraId="37605938" w14:textId="77777777" w:rsidTr="00CC3A04">
        <w:trPr>
          <w:trHeight w:val="300"/>
        </w:trPr>
        <w:tc>
          <w:tcPr>
            <w:tcW w:w="5000" w:type="pct"/>
            <w:shd w:val="clear" w:color="auto" w:fill="CCE3F6" w:themeFill="accent2" w:themeFillTint="33"/>
            <w:vAlign w:val="center"/>
          </w:tcPr>
          <w:p w14:paraId="569348EF" w14:textId="34A330D3" w:rsidR="004479ED" w:rsidRPr="007D022A" w:rsidRDefault="004479ED" w:rsidP="004479ED">
            <w:pPr>
              <w:spacing w:before="80" w:after="80"/>
            </w:pPr>
            <w:r w:rsidRPr="007D022A">
              <w:t xml:space="preserve">This release expands on the data presented in the latest </w:t>
            </w:r>
            <w:r w:rsidRPr="007D022A">
              <w:rPr>
                <w:i/>
                <w:iCs/>
              </w:rPr>
              <w:t>National, state and territory population</w:t>
            </w:r>
            <w:r w:rsidR="005C5E42">
              <w:rPr>
                <w:i/>
                <w:iCs/>
              </w:rPr>
              <w:t>,</w:t>
            </w:r>
            <w:r w:rsidRPr="007D022A">
              <w:t xml:space="preserve"> released </w:t>
            </w:r>
            <w:r w:rsidR="001D44F8" w:rsidRPr="007D022A">
              <w:t>on 15 December 2022</w:t>
            </w:r>
            <w:r w:rsidRPr="007D022A">
              <w:t xml:space="preserve">, </w:t>
            </w:r>
            <w:r w:rsidR="00C4379B" w:rsidRPr="007D022A">
              <w:t>by providing net overseas migration</w:t>
            </w:r>
            <w:r w:rsidR="00CE3459" w:rsidRPr="007D022A">
              <w:t xml:space="preserve"> (NOM)</w:t>
            </w:r>
            <w:r w:rsidR="00C4379B" w:rsidRPr="007D022A">
              <w:t xml:space="preserve"> by </w:t>
            </w:r>
            <w:r w:rsidRPr="007D022A">
              <w:t xml:space="preserve">visa </w:t>
            </w:r>
            <w:r w:rsidR="00C4379B" w:rsidRPr="007D022A">
              <w:t>and by country of birth</w:t>
            </w:r>
            <w:r w:rsidRPr="007D022A">
              <w:t xml:space="preserve">. </w:t>
            </w:r>
          </w:p>
          <w:p w14:paraId="17CAA689" w14:textId="0F93E11B" w:rsidR="004509C9" w:rsidRPr="007D022A" w:rsidRDefault="004479ED" w:rsidP="004479ED">
            <w:pPr>
              <w:spacing w:before="80" w:after="80"/>
            </w:pPr>
            <w:r w:rsidRPr="007D022A">
              <w:t xml:space="preserve">National NOM </w:t>
            </w:r>
            <w:r w:rsidR="004509C9" w:rsidRPr="007D022A">
              <w:t xml:space="preserve">rose </w:t>
            </w:r>
            <w:r w:rsidRPr="007D022A">
              <w:t xml:space="preserve">from </w:t>
            </w:r>
            <w:r w:rsidR="004509C9" w:rsidRPr="007D022A">
              <w:t>-8</w:t>
            </w:r>
            <w:r w:rsidR="007C2474" w:rsidRPr="007D022A">
              <w:t>4</w:t>
            </w:r>
            <w:r w:rsidR="004509C9" w:rsidRPr="007D022A">
              <w:t>,</w:t>
            </w:r>
            <w:r w:rsidR="007C2474" w:rsidRPr="007D022A">
              <w:t>9</w:t>
            </w:r>
            <w:r w:rsidR="004509C9" w:rsidRPr="007D022A">
              <w:t>00</w:t>
            </w:r>
            <w:r w:rsidRPr="007D022A">
              <w:t xml:space="preserve"> in 20</w:t>
            </w:r>
            <w:r w:rsidR="00025A0E">
              <w:t>20–</w:t>
            </w:r>
            <w:r w:rsidRPr="007D022A">
              <w:t xml:space="preserve">21 to </w:t>
            </w:r>
            <w:r w:rsidR="004509C9" w:rsidRPr="007D022A">
              <w:t xml:space="preserve">170,900 </w:t>
            </w:r>
            <w:r w:rsidRPr="007D022A">
              <w:t>in 20</w:t>
            </w:r>
            <w:r w:rsidR="00025A0E">
              <w:t>21–</w:t>
            </w:r>
            <w:r w:rsidRPr="007D022A">
              <w:t xml:space="preserve">22, reflecting </w:t>
            </w:r>
            <w:r w:rsidR="004509C9" w:rsidRPr="007D022A">
              <w:t xml:space="preserve">the easing of </w:t>
            </w:r>
            <w:r w:rsidR="00D663C1">
              <w:t xml:space="preserve">international </w:t>
            </w:r>
            <w:r w:rsidR="00277BE1" w:rsidRPr="007D022A">
              <w:t>travel</w:t>
            </w:r>
            <w:r w:rsidR="004509C9" w:rsidRPr="007D022A">
              <w:t xml:space="preserve"> </w:t>
            </w:r>
            <w:r w:rsidR="00277BE1" w:rsidRPr="007D022A">
              <w:t>restrictions</w:t>
            </w:r>
            <w:r w:rsidR="004509C9" w:rsidRPr="007D022A">
              <w:t xml:space="preserve"> </w:t>
            </w:r>
            <w:r w:rsidR="005F1B61" w:rsidRPr="007D022A">
              <w:t>in</w:t>
            </w:r>
            <w:r w:rsidR="004509C9" w:rsidRPr="007D022A">
              <w:t xml:space="preserve"> late 2021</w:t>
            </w:r>
            <w:r w:rsidR="00277BE1" w:rsidRPr="007D022A">
              <w:t>.</w:t>
            </w:r>
            <w:r w:rsidRPr="007D022A" w:rsidDel="004509C9">
              <w:t xml:space="preserve"> </w:t>
            </w:r>
            <w:r w:rsidR="00C4379B" w:rsidRPr="007D022A">
              <w:t xml:space="preserve">This result was particularly strong considering that international travel restrictions applied for </w:t>
            </w:r>
            <w:r w:rsidR="00137579" w:rsidRPr="007D022A">
              <w:t>more than one</w:t>
            </w:r>
            <w:r w:rsidR="00137579" w:rsidRPr="007D022A">
              <w:noBreakHyphen/>
              <w:t>third of the financial year. The increase was driven by a growth in annual migrant arrivals of 249,000 and a 6,900 fall in departures.</w:t>
            </w:r>
          </w:p>
          <w:p w14:paraId="2D191C53" w14:textId="054DE0D1" w:rsidR="00725216" w:rsidRPr="007D022A" w:rsidRDefault="003B0E36" w:rsidP="00AC547B">
            <w:r w:rsidRPr="007D022A">
              <w:t xml:space="preserve">The return of temporary migration has driven </w:t>
            </w:r>
            <w:r w:rsidR="002D7AF4" w:rsidRPr="007D022A">
              <w:t>a</w:t>
            </w:r>
            <w:r w:rsidRPr="007D022A">
              <w:t xml:space="preserve"> recovery in NOM, especially those arriving on</w:t>
            </w:r>
            <w:r w:rsidR="00AA450F" w:rsidRPr="007D022A">
              <w:t xml:space="preserve"> </w:t>
            </w:r>
            <w:r w:rsidR="00224D41" w:rsidRPr="007D022A">
              <w:t>Student</w:t>
            </w:r>
            <w:r w:rsidR="00137579" w:rsidRPr="007D022A">
              <w:t xml:space="preserve"> visas, many of whom were previously studying online from outside Australia</w:t>
            </w:r>
            <w:r w:rsidR="00AA450F" w:rsidRPr="007D022A">
              <w:t>.</w:t>
            </w:r>
            <w:r w:rsidR="00AB4E01" w:rsidRPr="007D022A">
              <w:t xml:space="preserve"> There were </w:t>
            </w:r>
            <w:r w:rsidR="00FC2C06" w:rsidRPr="007D022A">
              <w:t>1.7</w:t>
            </w:r>
            <w:r w:rsidR="00796089" w:rsidRPr="007D022A">
              <w:t>0</w:t>
            </w:r>
            <w:r w:rsidR="00FC2C06" w:rsidRPr="007D022A">
              <w:t xml:space="preserve"> million</w:t>
            </w:r>
            <w:r w:rsidR="00AB4E01" w:rsidRPr="007D022A">
              <w:t xml:space="preserve"> temporary visa holders in Australia </w:t>
            </w:r>
            <w:r w:rsidR="00561296" w:rsidRPr="007D022A">
              <w:t>at the end of the June 2022 quarter</w:t>
            </w:r>
            <w:r w:rsidR="005C5E42">
              <w:t xml:space="preserve"> (</w:t>
            </w:r>
            <w:r w:rsidR="00D5097A" w:rsidRPr="00BD7756">
              <w:t>excluding Visitor, Crew and Transit, Bridging Visa E and Criminal Justice visa holders)</w:t>
            </w:r>
            <w:r w:rsidR="00AB4E01" w:rsidRPr="007D022A">
              <w:t>, having increased from a low of 1.</w:t>
            </w:r>
            <w:r w:rsidR="00796089" w:rsidRPr="007D022A">
              <w:t>59</w:t>
            </w:r>
            <w:r w:rsidR="00AB4E01" w:rsidRPr="007D022A">
              <w:t xml:space="preserve"> million in the December 2021 quarter. </w:t>
            </w:r>
            <w:r w:rsidR="00AA450F" w:rsidRPr="007D022A">
              <w:t xml:space="preserve">As a result, </w:t>
            </w:r>
            <w:r w:rsidR="00224D41" w:rsidRPr="007D022A">
              <w:t>Victoria</w:t>
            </w:r>
            <w:r w:rsidR="00AA450F" w:rsidRPr="007D022A">
              <w:t xml:space="preserve"> has seen the largest </w:t>
            </w:r>
            <w:r w:rsidR="00025A0E">
              <w:t>increase</w:t>
            </w:r>
            <w:r w:rsidR="00AA450F" w:rsidRPr="007D022A">
              <w:t xml:space="preserve"> in annual NOM, followed by </w:t>
            </w:r>
            <w:r w:rsidR="00224D41" w:rsidRPr="007D022A">
              <w:t>New South Wales</w:t>
            </w:r>
            <w:r w:rsidR="00AA450F" w:rsidRPr="007D022A">
              <w:t>.</w:t>
            </w:r>
          </w:p>
        </w:tc>
      </w:tr>
      <w:tr w:rsidR="00725216" w:rsidRPr="0023709A" w14:paraId="6484E700" w14:textId="77777777" w:rsidTr="00CC3A04">
        <w:trPr>
          <w:trHeight w:val="300"/>
        </w:trPr>
        <w:tc>
          <w:tcPr>
            <w:tcW w:w="5000" w:type="pct"/>
            <w:shd w:val="clear" w:color="auto" w:fill="auto"/>
            <w:vAlign w:val="center"/>
          </w:tcPr>
          <w:p w14:paraId="5E21121C" w14:textId="57201BE7" w:rsidR="009041E9" w:rsidRPr="007D022A" w:rsidRDefault="009041E9" w:rsidP="009041E9">
            <w:pPr>
              <w:rPr>
                <w:bCs/>
              </w:rPr>
            </w:pPr>
            <w:r w:rsidRPr="007D022A">
              <w:rPr>
                <w:b/>
              </w:rPr>
              <w:t>Net overseas migration</w:t>
            </w:r>
            <w:r w:rsidRPr="007D022A">
              <w:rPr>
                <w:bCs/>
              </w:rPr>
              <w:t xml:space="preserve"> (NOM) was </w:t>
            </w:r>
            <w:r w:rsidRPr="007D022A">
              <w:t>170,900</w:t>
            </w:r>
            <w:r w:rsidRPr="007D022A">
              <w:rPr>
                <w:bCs/>
              </w:rPr>
              <w:t xml:space="preserve"> for the </w:t>
            </w:r>
            <w:r w:rsidRPr="007D022A">
              <w:t>20</w:t>
            </w:r>
            <w:r w:rsidR="00025A0E">
              <w:t>21–</w:t>
            </w:r>
            <w:r w:rsidRPr="007D022A">
              <w:t>22</w:t>
            </w:r>
            <w:r w:rsidRPr="007D022A">
              <w:rPr>
                <w:bCs/>
              </w:rPr>
              <w:t xml:space="preserve"> financial year, a substantial increase</w:t>
            </w:r>
            <w:r w:rsidR="00877C4B" w:rsidRPr="007D022A">
              <w:rPr>
                <w:bCs/>
              </w:rPr>
              <w:t xml:space="preserve"> from</w:t>
            </w:r>
            <w:r w:rsidRPr="007D022A">
              <w:rPr>
                <w:bCs/>
              </w:rPr>
              <w:t xml:space="preserve"> </w:t>
            </w:r>
            <w:r w:rsidR="00C733B3" w:rsidRPr="007D022A">
              <w:noBreakHyphen/>
            </w:r>
            <w:r w:rsidR="00C733B3" w:rsidRPr="007D022A">
              <w:rPr>
                <w:bCs/>
              </w:rPr>
              <w:t>8</w:t>
            </w:r>
            <w:r w:rsidR="00C91E78" w:rsidRPr="007D022A">
              <w:rPr>
                <w:bCs/>
              </w:rPr>
              <w:t>4</w:t>
            </w:r>
            <w:r w:rsidRPr="007D022A">
              <w:rPr>
                <w:bCs/>
              </w:rPr>
              <w:t>,</w:t>
            </w:r>
            <w:r w:rsidR="00C91E78" w:rsidRPr="007D022A">
              <w:rPr>
                <w:bCs/>
              </w:rPr>
              <w:t>9</w:t>
            </w:r>
            <w:r w:rsidRPr="007D022A">
              <w:rPr>
                <w:bCs/>
              </w:rPr>
              <w:t xml:space="preserve">00 observed </w:t>
            </w:r>
            <w:r w:rsidR="00877C4B" w:rsidRPr="007D022A">
              <w:rPr>
                <w:bCs/>
              </w:rPr>
              <w:t>in</w:t>
            </w:r>
            <w:r w:rsidRPr="007D022A">
              <w:rPr>
                <w:bCs/>
              </w:rPr>
              <w:t xml:space="preserve"> the </w:t>
            </w:r>
            <w:r w:rsidRPr="007D022A">
              <w:t>20</w:t>
            </w:r>
            <w:r w:rsidR="00025A0E">
              <w:t>20–</w:t>
            </w:r>
            <w:r w:rsidRPr="007D022A">
              <w:t>21</w:t>
            </w:r>
            <w:r w:rsidRPr="007D022A">
              <w:rPr>
                <w:bCs/>
              </w:rPr>
              <w:t xml:space="preserve"> financial year. This </w:t>
            </w:r>
            <w:r w:rsidR="000664EE" w:rsidRPr="007D022A">
              <w:rPr>
                <w:bCs/>
              </w:rPr>
              <w:t>increase reflects the resumption of international travel as restrictions to slow the spread of COVID-1</w:t>
            </w:r>
            <w:r w:rsidR="004F10A8" w:rsidRPr="007D022A">
              <w:rPr>
                <w:bCs/>
              </w:rPr>
              <w:t>9</w:t>
            </w:r>
            <w:r w:rsidR="00152FB3" w:rsidRPr="007D022A">
              <w:rPr>
                <w:bCs/>
              </w:rPr>
              <w:t xml:space="preserve"> </w:t>
            </w:r>
            <w:r w:rsidR="000664EE" w:rsidRPr="007D022A">
              <w:rPr>
                <w:bCs/>
              </w:rPr>
              <w:t>were eased in late 2021.</w:t>
            </w:r>
          </w:p>
          <w:p w14:paraId="5A1C5E62" w14:textId="5B3D6E4D" w:rsidR="00C733B3" w:rsidRPr="00D44CE0" w:rsidRDefault="00601C98" w:rsidP="009041E9">
            <w:pPr>
              <w:rPr>
                <w:bCs/>
              </w:rPr>
            </w:pPr>
            <w:r w:rsidRPr="007D022A">
              <w:t xml:space="preserve">Overseas </w:t>
            </w:r>
            <w:r w:rsidRPr="007D022A">
              <w:rPr>
                <w:b/>
              </w:rPr>
              <w:t>arrivals</w:t>
            </w:r>
            <w:r w:rsidR="00F43427" w:rsidRPr="007D022A">
              <w:t xml:space="preserve"> drove significant increases in NOM</w:t>
            </w:r>
            <w:r w:rsidR="00F43427" w:rsidRPr="007D022A">
              <w:rPr>
                <w:bCs/>
              </w:rPr>
              <w:t>, more than doubling</w:t>
            </w:r>
            <w:r w:rsidRPr="007D022A">
              <w:rPr>
                <w:bCs/>
              </w:rPr>
              <w:t xml:space="preserve"> from 146,000</w:t>
            </w:r>
            <w:r w:rsidR="00FD3BEB" w:rsidRPr="007D022A">
              <w:rPr>
                <w:bCs/>
              </w:rPr>
              <w:t xml:space="preserve"> in 20</w:t>
            </w:r>
            <w:r w:rsidR="00025A0E">
              <w:rPr>
                <w:bCs/>
              </w:rPr>
              <w:t>20–</w:t>
            </w:r>
            <w:r w:rsidR="00FD3BEB" w:rsidRPr="007D022A">
              <w:rPr>
                <w:bCs/>
              </w:rPr>
              <w:t>21</w:t>
            </w:r>
            <w:r w:rsidRPr="007D022A">
              <w:rPr>
                <w:bCs/>
              </w:rPr>
              <w:t xml:space="preserve"> to 395,</w:t>
            </w:r>
            <w:r w:rsidR="00FD3BEB" w:rsidRPr="007D022A">
              <w:rPr>
                <w:bCs/>
              </w:rPr>
              <w:t>000 in 20</w:t>
            </w:r>
            <w:r w:rsidR="00025A0E">
              <w:rPr>
                <w:bCs/>
              </w:rPr>
              <w:t>21–</w:t>
            </w:r>
            <w:r w:rsidR="00FD3BEB" w:rsidRPr="007D022A">
              <w:rPr>
                <w:bCs/>
              </w:rPr>
              <w:t xml:space="preserve">22. </w:t>
            </w:r>
            <w:r w:rsidR="004F10A8" w:rsidRPr="007D022A">
              <w:rPr>
                <w:bCs/>
              </w:rPr>
              <w:t>O</w:t>
            </w:r>
            <w:r w:rsidR="00FD3BEB" w:rsidRPr="007D022A">
              <w:rPr>
                <w:bCs/>
              </w:rPr>
              <w:t xml:space="preserve">verseas </w:t>
            </w:r>
            <w:r w:rsidR="00FD3BEB" w:rsidRPr="007D022A">
              <w:rPr>
                <w:b/>
              </w:rPr>
              <w:t>departures</w:t>
            </w:r>
            <w:r w:rsidR="00FD3BEB" w:rsidRPr="007D022A">
              <w:rPr>
                <w:bCs/>
              </w:rPr>
              <w:t xml:space="preserve"> remained relatively stable, decreasing by only </w:t>
            </w:r>
            <w:r w:rsidR="00FD3BEB" w:rsidRPr="00D44CE0">
              <w:rPr>
                <w:bCs/>
              </w:rPr>
              <w:t>3 per cent from 230,900 in 20</w:t>
            </w:r>
            <w:r w:rsidR="00025A0E">
              <w:rPr>
                <w:bCs/>
              </w:rPr>
              <w:t>20–</w:t>
            </w:r>
            <w:r w:rsidR="00FD3BEB" w:rsidRPr="00D44CE0">
              <w:rPr>
                <w:bCs/>
              </w:rPr>
              <w:t>21 to 224,000 in 20</w:t>
            </w:r>
            <w:r w:rsidR="00025A0E">
              <w:rPr>
                <w:bCs/>
              </w:rPr>
              <w:t>21–</w:t>
            </w:r>
            <w:r w:rsidR="00FD3BEB" w:rsidRPr="00D44CE0">
              <w:rPr>
                <w:bCs/>
              </w:rPr>
              <w:t>22 (Chart 1).</w:t>
            </w:r>
            <w:r w:rsidR="0041701F" w:rsidRPr="00D44CE0">
              <w:rPr>
                <w:bCs/>
              </w:rPr>
              <w:t xml:space="preserve"> </w:t>
            </w:r>
          </w:p>
          <w:p w14:paraId="7D37FB23" w14:textId="1375515C" w:rsidR="00365E6F" w:rsidRPr="007D022A" w:rsidRDefault="0041701F" w:rsidP="009041E9">
            <w:pPr>
              <w:rPr>
                <w:bCs/>
              </w:rPr>
            </w:pPr>
            <w:r w:rsidRPr="00D44CE0">
              <w:rPr>
                <w:b/>
              </w:rPr>
              <w:t>Temporary migrants</w:t>
            </w:r>
            <w:r w:rsidRPr="00D44CE0">
              <w:t xml:space="preserve"> contributed </w:t>
            </w:r>
            <w:r w:rsidR="00C01F74" w:rsidRPr="00D44CE0">
              <w:t xml:space="preserve">to </w:t>
            </w:r>
            <w:r w:rsidR="003E62EF">
              <w:t>more than</w:t>
            </w:r>
            <w:r w:rsidRPr="00D44CE0">
              <w:t xml:space="preserve"> three quarters </w:t>
            </w:r>
            <w:r w:rsidR="00C01F74" w:rsidRPr="00D44CE0">
              <w:t xml:space="preserve">of </w:t>
            </w:r>
            <w:r w:rsidRPr="00D44CE0">
              <w:t>total NOM in 2021</w:t>
            </w:r>
            <w:r w:rsidR="00025A0E">
              <w:t>–</w:t>
            </w:r>
            <w:r w:rsidRPr="00D44CE0">
              <w:t>22</w:t>
            </w:r>
            <w:r w:rsidR="00213933" w:rsidRPr="00C86A4E">
              <w:t>.</w:t>
            </w:r>
            <w:r w:rsidR="00C237F0" w:rsidRPr="00C86A4E">
              <w:t xml:space="preserve"> </w:t>
            </w:r>
            <w:r w:rsidR="00986703" w:rsidRPr="00C86A4E">
              <w:t>In the 3</w:t>
            </w:r>
            <w:r w:rsidR="009A7806" w:rsidRPr="00C86A4E">
              <w:t xml:space="preserve"> financial</w:t>
            </w:r>
            <w:r w:rsidR="00986703" w:rsidRPr="00C86A4E">
              <w:t xml:space="preserve"> years prior to the pandemic, </w:t>
            </w:r>
            <w:r w:rsidR="00352B8E" w:rsidRPr="00C86A4E">
              <w:t xml:space="preserve">temporary migrants </w:t>
            </w:r>
            <w:r w:rsidR="00D663C1">
              <w:t xml:space="preserve">contributed to </w:t>
            </w:r>
            <w:r w:rsidR="00D663C1" w:rsidRPr="00C86A4E">
              <w:t xml:space="preserve">just under three-quarters </w:t>
            </w:r>
            <w:r w:rsidR="00D663C1">
              <w:t>of</w:t>
            </w:r>
            <w:r w:rsidR="00D663C1" w:rsidRPr="00C86A4E">
              <w:t xml:space="preserve"> </w:t>
            </w:r>
            <w:r w:rsidR="00352B8E" w:rsidRPr="00C86A4E">
              <w:t>total NOM</w:t>
            </w:r>
            <w:r w:rsidR="00986703" w:rsidRPr="00C86A4E">
              <w:t>.</w:t>
            </w:r>
          </w:p>
          <w:p w14:paraId="56288EE1" w14:textId="4DC844B0" w:rsidR="00725216" w:rsidRPr="007D022A" w:rsidRDefault="00A649BE">
            <w:pPr>
              <w:pStyle w:val="Chartheading"/>
            </w:pPr>
            <w:r w:rsidRPr="007D022A">
              <w:t>Net overseas migration, year ending quarterly</w:t>
            </w:r>
          </w:p>
          <w:p w14:paraId="6CD3EF59" w14:textId="6C8717E2" w:rsidR="00A321C3" w:rsidRPr="007D022A" w:rsidRDefault="00A321C3" w:rsidP="00AC547B">
            <w:pPr>
              <w:pStyle w:val="Chartheading"/>
              <w:numPr>
                <w:ilvl w:val="0"/>
                <w:numId w:val="0"/>
              </w:numPr>
              <w:ind w:left="992" w:hanging="992"/>
            </w:pPr>
            <w:r w:rsidRPr="007D022A">
              <w:rPr>
                <w:noProof/>
              </w:rPr>
              <w:drawing>
                <wp:inline distT="0" distB="0" distL="0" distR="0" wp14:anchorId="3DF5F51E" wp14:editId="6B92745E">
                  <wp:extent cx="5591175" cy="2524125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57BC7" w14:textId="091D769C" w:rsidR="00A649BE" w:rsidRPr="007D022A" w:rsidRDefault="00A649BE" w:rsidP="00AC547B">
            <w:pPr>
              <w:pStyle w:val="Source"/>
            </w:pPr>
            <w:r w:rsidRPr="007D022A">
              <w:t>Source: ABS National state and territory population, June 2022</w:t>
            </w:r>
          </w:p>
          <w:p w14:paraId="243C361E" w14:textId="3661DFBE" w:rsidR="00736AD0" w:rsidRPr="007D022A" w:rsidRDefault="00A81836" w:rsidP="00A649BE">
            <w:pPr>
              <w:rPr>
                <w:bCs/>
              </w:rPr>
            </w:pPr>
            <w:r w:rsidRPr="007D022A">
              <w:t>Declines</w:t>
            </w:r>
            <w:r w:rsidR="00161FA0" w:rsidRPr="007D022A">
              <w:t xml:space="preserve"> in migration over 20</w:t>
            </w:r>
            <w:r w:rsidR="00025A0E">
              <w:t>20–</w:t>
            </w:r>
            <w:r w:rsidR="00161FA0" w:rsidRPr="007D022A">
              <w:t xml:space="preserve">21 </w:t>
            </w:r>
            <w:proofErr w:type="gramStart"/>
            <w:r w:rsidR="00161FA0" w:rsidRPr="007D022A">
              <w:t>were</w:t>
            </w:r>
            <w:proofErr w:type="gramEnd"/>
            <w:r w:rsidR="00161FA0" w:rsidRPr="007D022A">
              <w:t xml:space="preserve"> mainly concentrated in </w:t>
            </w:r>
            <w:r w:rsidR="00161FA0" w:rsidRPr="007D022A">
              <w:rPr>
                <w:b/>
              </w:rPr>
              <w:t>temporary migrant</w:t>
            </w:r>
            <w:r w:rsidR="00161FA0" w:rsidRPr="007D022A">
              <w:t xml:space="preserve"> categories.</w:t>
            </w:r>
            <w:r w:rsidR="00161FA0" w:rsidRPr="007D022A">
              <w:rPr>
                <w:bCs/>
              </w:rPr>
              <w:t xml:space="preserve"> As international travel </w:t>
            </w:r>
            <w:r w:rsidRPr="007D022A">
              <w:rPr>
                <w:bCs/>
              </w:rPr>
              <w:t>restrictions were eased in 20</w:t>
            </w:r>
            <w:r w:rsidR="00025A0E">
              <w:rPr>
                <w:bCs/>
              </w:rPr>
              <w:t>21–</w:t>
            </w:r>
            <w:r w:rsidRPr="007D022A">
              <w:rPr>
                <w:bCs/>
              </w:rPr>
              <w:t>22</w:t>
            </w:r>
            <w:r w:rsidR="00161FA0" w:rsidRPr="007D022A">
              <w:rPr>
                <w:bCs/>
              </w:rPr>
              <w:t xml:space="preserve">, </w:t>
            </w:r>
            <w:r w:rsidR="00161FA0" w:rsidRPr="007D022A">
              <w:t xml:space="preserve">there were </w:t>
            </w:r>
            <w:r w:rsidR="008F1BEA" w:rsidRPr="007D022A">
              <w:t xml:space="preserve">large </w:t>
            </w:r>
            <w:r w:rsidR="00161FA0" w:rsidRPr="007D022A">
              <w:t xml:space="preserve">net inflows of temporary migrants in </w:t>
            </w:r>
            <w:r w:rsidR="00176F6D" w:rsidRPr="007D022A">
              <w:t>student, temporary skilled and working holiday maker</w:t>
            </w:r>
            <w:r w:rsidRPr="007D022A">
              <w:t xml:space="preserve"> visa</w:t>
            </w:r>
            <w:r w:rsidR="00161FA0" w:rsidRPr="007D022A">
              <w:t xml:space="preserve"> categories</w:t>
            </w:r>
            <w:r w:rsidR="00E127F5" w:rsidRPr="007D022A">
              <w:t xml:space="preserve"> (see Table 1).</w:t>
            </w:r>
            <w:r w:rsidR="00E127F5" w:rsidRPr="007D022A">
              <w:rPr>
                <w:bCs/>
              </w:rPr>
              <w:t xml:space="preserve"> </w:t>
            </w:r>
            <w:r w:rsidR="00E127F5" w:rsidRPr="007D022A">
              <w:t>However, there were outflows in</w:t>
            </w:r>
            <w:r w:rsidR="00161FA0" w:rsidRPr="007D022A">
              <w:t xml:space="preserve"> </w:t>
            </w:r>
            <w:r w:rsidR="00E127F5" w:rsidRPr="007D022A">
              <w:t xml:space="preserve">the </w:t>
            </w:r>
            <w:r w:rsidRPr="007D022A">
              <w:t>‘</w:t>
            </w:r>
            <w:r w:rsidR="00161FA0" w:rsidRPr="007D022A">
              <w:t>Other temporary</w:t>
            </w:r>
            <w:r w:rsidR="000E2A1D" w:rsidRPr="007D022A">
              <w:t>’</w:t>
            </w:r>
            <w:r w:rsidR="00893BF8" w:rsidRPr="007D022A">
              <w:t xml:space="preserve"> category</w:t>
            </w:r>
            <w:r w:rsidR="002934DE" w:rsidRPr="007D022A">
              <w:t>, which includes Bridging visas</w:t>
            </w:r>
            <w:r w:rsidR="000E2A1D" w:rsidRPr="007D022A">
              <w:t>.</w:t>
            </w:r>
          </w:p>
          <w:p w14:paraId="372B20E1" w14:textId="2817B0E1" w:rsidR="00163048" w:rsidRPr="007D022A" w:rsidRDefault="007D0A55" w:rsidP="00163048">
            <w:pPr>
              <w:rPr>
                <w:bCs/>
              </w:rPr>
            </w:pPr>
            <w:r w:rsidRPr="007D022A">
              <w:rPr>
                <w:b/>
              </w:rPr>
              <w:t>International students</w:t>
            </w:r>
            <w:r w:rsidR="002B5D9A" w:rsidRPr="007D022A">
              <w:t xml:space="preserve"> now make up the largest share of migrant arrivals</w:t>
            </w:r>
            <w:r w:rsidR="007A08EB" w:rsidRPr="007D022A">
              <w:rPr>
                <w:bCs/>
              </w:rPr>
              <w:t>, as was the case prior to the pandemic</w:t>
            </w:r>
            <w:r w:rsidR="002B5D9A" w:rsidRPr="007D022A">
              <w:rPr>
                <w:bCs/>
              </w:rPr>
              <w:t xml:space="preserve">, having </w:t>
            </w:r>
            <w:r w:rsidR="00706755" w:rsidRPr="007D022A">
              <w:t>risen</w:t>
            </w:r>
            <w:r w:rsidR="00E12013" w:rsidRPr="007D022A">
              <w:rPr>
                <w:bCs/>
              </w:rPr>
              <w:t xml:space="preserve"> to</w:t>
            </w:r>
            <w:r w:rsidR="002B5D9A" w:rsidRPr="007D022A">
              <w:rPr>
                <w:bCs/>
              </w:rPr>
              <w:t xml:space="preserve"> </w:t>
            </w:r>
            <w:r w:rsidR="008229DF" w:rsidRPr="007D022A">
              <w:rPr>
                <w:bCs/>
              </w:rPr>
              <w:t>138,000</w:t>
            </w:r>
            <w:r w:rsidR="002B5D9A" w:rsidRPr="007D022A">
              <w:rPr>
                <w:bCs/>
              </w:rPr>
              <w:t xml:space="preserve"> in 20</w:t>
            </w:r>
            <w:r w:rsidR="00025A0E">
              <w:rPr>
                <w:bCs/>
              </w:rPr>
              <w:t>21–</w:t>
            </w:r>
            <w:r w:rsidR="002B5D9A" w:rsidRPr="007D022A">
              <w:rPr>
                <w:bCs/>
              </w:rPr>
              <w:t>22 from a low of 1,500 in 20</w:t>
            </w:r>
            <w:r w:rsidR="00025A0E">
              <w:rPr>
                <w:bCs/>
              </w:rPr>
              <w:t>20–</w:t>
            </w:r>
            <w:r w:rsidR="002B5D9A" w:rsidRPr="007D022A">
              <w:rPr>
                <w:bCs/>
              </w:rPr>
              <w:t>21</w:t>
            </w:r>
            <w:r w:rsidR="00E12013" w:rsidRPr="007D022A">
              <w:rPr>
                <w:bCs/>
              </w:rPr>
              <w:t xml:space="preserve">. </w:t>
            </w:r>
            <w:r w:rsidR="00B937DC" w:rsidRPr="007D022A">
              <w:t xml:space="preserve">The availability of online study options allowed student visa holders to continue </w:t>
            </w:r>
            <w:r w:rsidR="002F4A5B" w:rsidRPr="007D022A">
              <w:t>studying</w:t>
            </w:r>
            <w:r w:rsidR="00B937DC" w:rsidRPr="007D022A">
              <w:t xml:space="preserve"> offshore while travel restr</w:t>
            </w:r>
            <w:r w:rsidR="002F4A5B" w:rsidRPr="007D022A">
              <w:t>i</w:t>
            </w:r>
            <w:r w:rsidR="00B937DC" w:rsidRPr="007D022A">
              <w:t xml:space="preserve">ctions were in place. The </w:t>
            </w:r>
            <w:r w:rsidR="00B937DC" w:rsidRPr="007D022A">
              <w:lastRenderedPageBreak/>
              <w:t xml:space="preserve">number of student visa holders in Australia has grown since the easing of these </w:t>
            </w:r>
            <w:r w:rsidR="002F4A5B" w:rsidRPr="007D022A">
              <w:t>restrictions</w:t>
            </w:r>
            <w:r w:rsidR="00B937DC" w:rsidRPr="007D022A">
              <w:t xml:space="preserve"> as students </w:t>
            </w:r>
            <w:r w:rsidR="002F4A5B" w:rsidRPr="007D022A">
              <w:t>have returned onshore</w:t>
            </w:r>
            <w:r w:rsidR="00B937DC" w:rsidRPr="007D022A">
              <w:rPr>
                <w:bCs/>
              </w:rPr>
              <w:t xml:space="preserve">. </w:t>
            </w:r>
            <w:r w:rsidRPr="007D022A">
              <w:rPr>
                <w:bCs/>
              </w:rPr>
              <w:t>International student departures have declined by 34,</w:t>
            </w:r>
            <w:r w:rsidR="00C5769E" w:rsidRPr="007D022A">
              <w:rPr>
                <w:bCs/>
              </w:rPr>
              <w:t>1</w:t>
            </w:r>
            <w:r w:rsidRPr="007D022A">
              <w:rPr>
                <w:bCs/>
              </w:rPr>
              <w:t xml:space="preserve">00 over </w:t>
            </w:r>
            <w:r w:rsidR="00025A0E">
              <w:rPr>
                <w:bCs/>
              </w:rPr>
              <w:t>2021</w:t>
            </w:r>
            <w:r w:rsidR="00025A0E">
              <w:t>–22</w:t>
            </w:r>
            <w:r w:rsidRPr="007D022A">
              <w:rPr>
                <w:bCs/>
              </w:rPr>
              <w:t xml:space="preserve">. </w:t>
            </w:r>
            <w:r w:rsidRPr="007D022A">
              <w:t xml:space="preserve">As a result, NOM for student visa holders </w:t>
            </w:r>
            <w:r w:rsidR="00E95795" w:rsidRPr="007D022A">
              <w:t>has risen</w:t>
            </w:r>
            <w:r w:rsidRPr="007D022A">
              <w:t xml:space="preserve"> from </w:t>
            </w:r>
            <w:r w:rsidR="00E95795" w:rsidRPr="007D022A">
              <w:t>-</w:t>
            </w:r>
            <w:r w:rsidR="00510983" w:rsidRPr="007D022A">
              <w:t>60,700</w:t>
            </w:r>
            <w:r w:rsidRPr="007D022A">
              <w:t xml:space="preserve"> in </w:t>
            </w:r>
            <w:r w:rsidR="00E95795" w:rsidRPr="007D022A">
              <w:t>20</w:t>
            </w:r>
            <w:r w:rsidR="00025A0E">
              <w:t>20–</w:t>
            </w:r>
            <w:r w:rsidR="00E95795" w:rsidRPr="007D022A">
              <w:t>21</w:t>
            </w:r>
            <w:r w:rsidRPr="007D022A">
              <w:t xml:space="preserve"> to </w:t>
            </w:r>
            <w:r w:rsidR="00E95795" w:rsidRPr="007D022A">
              <w:t>108,</w:t>
            </w:r>
            <w:r w:rsidR="00510983" w:rsidRPr="007D022A">
              <w:t>9</w:t>
            </w:r>
            <w:r w:rsidR="00E95795" w:rsidRPr="007D022A">
              <w:t>00</w:t>
            </w:r>
            <w:r w:rsidRPr="007D022A">
              <w:t xml:space="preserve"> in 20</w:t>
            </w:r>
            <w:r w:rsidR="00025A0E">
              <w:t>21–</w:t>
            </w:r>
            <w:r w:rsidRPr="007D022A">
              <w:t xml:space="preserve">22 (Chart </w:t>
            </w:r>
            <w:r w:rsidR="00B73357" w:rsidRPr="007D022A">
              <w:t>2</w:t>
            </w:r>
            <w:r w:rsidR="00CC41E7" w:rsidRPr="007D022A">
              <w:t xml:space="preserve">), </w:t>
            </w:r>
            <w:r w:rsidR="008F5559">
              <w:t>which is</w:t>
            </w:r>
            <w:r w:rsidR="00C00FDB">
              <w:t xml:space="preserve"> </w:t>
            </w:r>
            <w:r w:rsidR="00CC41E7" w:rsidRPr="007D022A">
              <w:t>above pre-pandemic levels</w:t>
            </w:r>
            <w:r w:rsidR="00FC5799" w:rsidRPr="007D022A">
              <w:rPr>
                <w:bCs/>
              </w:rPr>
              <w:t xml:space="preserve"> (Table 1)</w:t>
            </w:r>
            <w:r w:rsidRPr="007D022A">
              <w:rPr>
                <w:bCs/>
              </w:rPr>
              <w:t>.</w:t>
            </w:r>
          </w:p>
          <w:p w14:paraId="6960CB58" w14:textId="2FE9688D" w:rsidR="00163048" w:rsidRPr="007D022A" w:rsidRDefault="00163048" w:rsidP="00BF1F09">
            <w:pPr>
              <w:pStyle w:val="Chartheading"/>
            </w:pPr>
            <w:r w:rsidRPr="007D022A">
              <w:t>National N</w:t>
            </w:r>
            <w:r w:rsidR="00025A0E">
              <w:t>et Overseas Migration</w:t>
            </w:r>
            <w:r w:rsidRPr="007D022A">
              <w:t xml:space="preserve"> by visa group </w:t>
            </w:r>
          </w:p>
          <w:p w14:paraId="18D5E0A8" w14:textId="53787EBD" w:rsidR="0050372F" w:rsidRPr="007D022A" w:rsidRDefault="0050372F" w:rsidP="00163048">
            <w:pPr>
              <w:rPr>
                <w:rFonts w:ascii="Arial"/>
              </w:rPr>
            </w:pPr>
            <w:r w:rsidRPr="007D022A">
              <w:rPr>
                <w:rFonts w:ascii="Arial"/>
                <w:noProof/>
              </w:rPr>
              <w:drawing>
                <wp:inline distT="0" distB="0" distL="0" distR="0" wp14:anchorId="776CF9D6" wp14:editId="76486C87">
                  <wp:extent cx="5581650" cy="2527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252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65E235" w14:textId="58D713DF" w:rsidR="00163048" w:rsidRPr="007D022A" w:rsidRDefault="00C01F74" w:rsidP="00163048">
            <w:pPr>
              <w:pStyle w:val="Source"/>
            </w:pPr>
            <w:r w:rsidRPr="007D022A">
              <w:t xml:space="preserve">Note: </w:t>
            </w:r>
            <w:r w:rsidR="00163048" w:rsidRPr="007D022A">
              <w:t xml:space="preserve">*Other includes all unclassified visa holders as well as migrants that crossed the </w:t>
            </w:r>
            <w:r w:rsidR="00025A0E">
              <w:t>international</w:t>
            </w:r>
            <w:r w:rsidR="00163048" w:rsidRPr="007D022A">
              <w:t xml:space="preserve"> border on visitor visas and likely transitioned to other visa types.</w:t>
            </w:r>
          </w:p>
          <w:p w14:paraId="1C76504F" w14:textId="64DE5044" w:rsidR="00163048" w:rsidRPr="007D022A" w:rsidRDefault="00161FA0" w:rsidP="00947F0C">
            <w:pPr>
              <w:rPr>
                <w:bCs/>
              </w:rPr>
            </w:pPr>
            <w:r w:rsidRPr="007D022A">
              <w:t xml:space="preserve">There were 12,600 </w:t>
            </w:r>
            <w:r w:rsidRPr="007D022A">
              <w:rPr>
                <w:b/>
              </w:rPr>
              <w:t>working holiday maker</w:t>
            </w:r>
            <w:r w:rsidRPr="007D022A">
              <w:t xml:space="preserve"> arrivals in the March and June 2022 quarters, a significant increase from 800 in the September and December 2021 quarters, largely reflecting eased travel restrictions in late 2021 and the seasonal </w:t>
            </w:r>
            <w:r w:rsidR="00025A0E" w:rsidRPr="007D022A">
              <w:t>migrati</w:t>
            </w:r>
            <w:r w:rsidR="00025A0E">
              <w:t>on patterns</w:t>
            </w:r>
            <w:r w:rsidRPr="007D022A">
              <w:t xml:space="preserve"> of </w:t>
            </w:r>
            <w:r w:rsidR="00025A0E">
              <w:t>individual</w:t>
            </w:r>
            <w:r w:rsidRPr="007D022A" w:rsidDel="00025A0E">
              <w:t>s</w:t>
            </w:r>
            <w:r w:rsidRPr="007D022A">
              <w:t xml:space="preserve"> on this visa.</w:t>
            </w:r>
            <w:r w:rsidRPr="007D022A">
              <w:rPr>
                <w:bCs/>
              </w:rPr>
              <w:t xml:space="preserve"> </w:t>
            </w:r>
            <w:r w:rsidR="00397081" w:rsidRPr="007D022A">
              <w:rPr>
                <w:bCs/>
              </w:rPr>
              <w:t xml:space="preserve">Offshore grants of working holiday visas have been increasing, and in September 2022 </w:t>
            </w:r>
            <w:r w:rsidR="00397081" w:rsidRPr="007D022A">
              <w:t>surpassed</w:t>
            </w:r>
            <w:r w:rsidR="00397081" w:rsidRPr="007D022A">
              <w:rPr>
                <w:bCs/>
              </w:rPr>
              <w:t xml:space="preserve"> 2019 levels</w:t>
            </w:r>
            <w:r w:rsidR="00C01F74" w:rsidRPr="007D022A">
              <w:rPr>
                <w:bCs/>
              </w:rPr>
              <w:t xml:space="preserve"> signalling </w:t>
            </w:r>
            <w:proofErr w:type="gramStart"/>
            <w:r w:rsidR="00DC059B">
              <w:rPr>
                <w:bCs/>
              </w:rPr>
              <w:t>that</w:t>
            </w:r>
            <w:r w:rsidR="00C01F74" w:rsidRPr="007D022A">
              <w:rPr>
                <w:bCs/>
              </w:rPr>
              <w:t xml:space="preserve"> arrivals</w:t>
            </w:r>
            <w:proofErr w:type="gramEnd"/>
            <w:r w:rsidR="00DC059B">
              <w:rPr>
                <w:bCs/>
              </w:rPr>
              <w:t xml:space="preserve"> </w:t>
            </w:r>
            <w:r w:rsidR="00B75D8D">
              <w:rPr>
                <w:bCs/>
              </w:rPr>
              <w:t>are likely to continue increasing</w:t>
            </w:r>
            <w:r w:rsidR="007644D9" w:rsidRPr="007D022A">
              <w:rPr>
                <w:bCs/>
              </w:rPr>
              <w:t>.</w:t>
            </w:r>
            <w:r w:rsidR="00397081" w:rsidRPr="007D022A">
              <w:rPr>
                <w:bCs/>
              </w:rPr>
              <w:t xml:space="preserve"> </w:t>
            </w:r>
            <w:r w:rsidR="00176715">
              <w:t>T</w:t>
            </w:r>
            <w:r w:rsidRPr="007D022A">
              <w:t>here was a</w:t>
            </w:r>
            <w:r w:rsidR="00176715">
              <w:t xml:space="preserve"> </w:t>
            </w:r>
            <w:r w:rsidRPr="007D022A">
              <w:t>n</w:t>
            </w:r>
            <w:r w:rsidR="00176715">
              <w:t>et</w:t>
            </w:r>
            <w:r w:rsidRPr="007D022A">
              <w:t xml:space="preserve"> inflow of 8,400 working holiday makers over 2021</w:t>
            </w:r>
            <w:r w:rsidR="00025A0E">
              <w:t>–</w:t>
            </w:r>
            <w:r w:rsidRPr="007D022A">
              <w:t>22</w:t>
            </w:r>
            <w:r w:rsidR="00C01F74" w:rsidRPr="007D022A">
              <w:rPr>
                <w:bCs/>
              </w:rPr>
              <w:t xml:space="preserve"> and the stock of working holiday makers in Australia increased to 40,900 as </w:t>
            </w:r>
            <w:proofErr w:type="gramStart"/>
            <w:r w:rsidR="00C01F74" w:rsidRPr="007D022A">
              <w:rPr>
                <w:bCs/>
              </w:rPr>
              <w:t>at</w:t>
            </w:r>
            <w:proofErr w:type="gramEnd"/>
            <w:r w:rsidR="00C01F74" w:rsidRPr="007D022A">
              <w:rPr>
                <w:bCs/>
              </w:rPr>
              <w:t xml:space="preserve"> 30 June 2022</w:t>
            </w:r>
            <w:r w:rsidRPr="007D022A">
              <w:rPr>
                <w:bCs/>
              </w:rPr>
              <w:t>.</w:t>
            </w:r>
            <w:r w:rsidR="00DF35CE" w:rsidRPr="007D022A">
              <w:rPr>
                <w:bCs/>
              </w:rPr>
              <w:t xml:space="preserve"> </w:t>
            </w:r>
            <w:r w:rsidR="00C01F74" w:rsidRPr="007D022A">
              <w:rPr>
                <w:bCs/>
              </w:rPr>
              <w:t>Since then, the stock of working holiday makers has increased further, to</w:t>
            </w:r>
            <w:r w:rsidR="00DF35CE" w:rsidRPr="007D022A">
              <w:rPr>
                <w:bCs/>
              </w:rPr>
              <w:t xml:space="preserve"> </w:t>
            </w:r>
            <w:r w:rsidR="005448A6" w:rsidRPr="007D022A">
              <w:rPr>
                <w:bCs/>
              </w:rPr>
              <w:t>86,900</w:t>
            </w:r>
            <w:r w:rsidR="007644D9" w:rsidRPr="007D022A">
              <w:rPr>
                <w:bCs/>
              </w:rPr>
              <w:t xml:space="preserve"> as </w:t>
            </w:r>
            <w:proofErr w:type="gramStart"/>
            <w:r w:rsidR="007644D9" w:rsidRPr="007D022A">
              <w:rPr>
                <w:bCs/>
              </w:rPr>
              <w:t>at</w:t>
            </w:r>
            <w:proofErr w:type="gramEnd"/>
            <w:r w:rsidR="007644D9" w:rsidRPr="007D022A">
              <w:rPr>
                <w:bCs/>
              </w:rPr>
              <w:t xml:space="preserve"> 31 October 2022</w:t>
            </w:r>
            <w:r w:rsidR="005448A6" w:rsidRPr="007D022A">
              <w:rPr>
                <w:bCs/>
              </w:rPr>
              <w:t xml:space="preserve">, </w:t>
            </w:r>
            <w:r w:rsidR="00C01F74" w:rsidRPr="007D022A">
              <w:rPr>
                <w:bCs/>
              </w:rPr>
              <w:t xml:space="preserve">although </w:t>
            </w:r>
            <w:r w:rsidR="005448A6" w:rsidRPr="007D022A">
              <w:rPr>
                <w:bCs/>
              </w:rPr>
              <w:t xml:space="preserve">still below the pre-pandemic level of </w:t>
            </w:r>
            <w:r w:rsidR="00C01F74" w:rsidRPr="007D022A">
              <w:rPr>
                <w:bCs/>
              </w:rPr>
              <w:t>141</w:t>
            </w:r>
            <w:r w:rsidR="002566E1" w:rsidRPr="007D022A">
              <w:rPr>
                <w:bCs/>
              </w:rPr>
              <w:t>,</w:t>
            </w:r>
            <w:r w:rsidR="00C01F74" w:rsidRPr="007D022A">
              <w:rPr>
                <w:bCs/>
              </w:rPr>
              <w:t>100</w:t>
            </w:r>
            <w:r w:rsidR="005448A6" w:rsidRPr="007D022A">
              <w:rPr>
                <w:bCs/>
              </w:rPr>
              <w:t xml:space="preserve"> in </w:t>
            </w:r>
            <w:r w:rsidR="00C01F74" w:rsidRPr="007D022A">
              <w:rPr>
                <w:bCs/>
              </w:rPr>
              <w:t>December 2019</w:t>
            </w:r>
            <w:r w:rsidR="006D42DE" w:rsidRPr="007D022A">
              <w:rPr>
                <w:bCs/>
              </w:rPr>
              <w:t>.</w:t>
            </w:r>
          </w:p>
          <w:p w14:paraId="79A84E7F" w14:textId="66A0DE3A" w:rsidR="00163048" w:rsidRPr="007D022A" w:rsidRDefault="00163048" w:rsidP="00163048">
            <w:pPr>
              <w:pStyle w:val="TableHeadingContinued"/>
            </w:pPr>
            <w:r w:rsidRPr="007D022A">
              <w:t xml:space="preserve">Net Overseas Migration </w:t>
            </w:r>
            <w:r w:rsidR="00025A0E">
              <w:t>by</w:t>
            </w:r>
            <w:r w:rsidRPr="007D022A">
              <w:t xml:space="preserve"> Visa Group</w:t>
            </w:r>
            <w:r w:rsidR="00025A0E">
              <w:t xml:space="preserve">, </w:t>
            </w:r>
            <w:r w:rsidRPr="007D022A">
              <w:t>Financial Year</w:t>
            </w:r>
          </w:p>
          <w:tbl>
            <w:tblPr>
              <w:tblStyle w:val="CPOPTable"/>
              <w:tblW w:w="8830" w:type="dxa"/>
              <w:tblBorders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6"/>
              <w:gridCol w:w="1660"/>
              <w:gridCol w:w="1656"/>
              <w:gridCol w:w="1244"/>
              <w:gridCol w:w="1244"/>
            </w:tblGrid>
            <w:tr w:rsidR="006D42DE" w:rsidRPr="007D022A" w14:paraId="3973CDFE" w14:textId="77777777" w:rsidTr="00D7490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26" w:type="dxa"/>
                </w:tcPr>
                <w:p w14:paraId="2CCDE234" w14:textId="0470B66C" w:rsidR="006D42DE" w:rsidRPr="007D022A" w:rsidRDefault="006D42DE" w:rsidP="006D42DE">
                  <w:pPr>
                    <w:pStyle w:val="TableColumnHeadingLeft"/>
                    <w:spacing w:line="276" w:lineRule="auto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60" w:type="dxa"/>
                </w:tcPr>
                <w:p w14:paraId="716BA9D2" w14:textId="447A5207" w:rsidR="006D42DE" w:rsidRPr="007D022A" w:rsidRDefault="006D42DE" w:rsidP="006D42DE">
                  <w:pPr>
                    <w:pStyle w:val="TableColumnHeadingLeft"/>
                    <w:spacing w:line="276" w:lineRule="auto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7D022A">
                    <w:rPr>
                      <w:rFonts w:asciiTheme="minorHAnsi" w:eastAsia="Times New Roman" w:hAnsiTheme="minorHAnsi" w:cstheme="minorHAnsi"/>
                      <w:bCs/>
                      <w:color w:val="002C47" w:themeColor="accent1"/>
                      <w:sz w:val="18"/>
                      <w:szCs w:val="18"/>
                      <w:bdr w:val="none" w:sz="0" w:space="0" w:color="auto"/>
                    </w:rPr>
                    <w:t>2018</w:t>
                  </w:r>
                  <w:r w:rsidR="00CC2934">
                    <w:t>–</w:t>
                  </w:r>
                  <w:r w:rsidRPr="007D022A">
                    <w:rPr>
                      <w:rFonts w:asciiTheme="minorHAnsi" w:eastAsia="Times New Roman" w:hAnsiTheme="minorHAnsi" w:cstheme="minorHAnsi"/>
                      <w:bCs/>
                      <w:color w:val="002C47" w:themeColor="accent1"/>
                      <w:sz w:val="18"/>
                      <w:szCs w:val="18"/>
                      <w:bdr w:val="none" w:sz="0" w:space="0" w:color="auto"/>
                    </w:rPr>
                    <w:t>19</w:t>
                  </w:r>
                </w:p>
              </w:tc>
              <w:tc>
                <w:tcPr>
                  <w:tcW w:w="1656" w:type="dxa"/>
                </w:tcPr>
                <w:p w14:paraId="4A5EE1B0" w14:textId="23A9B328" w:rsidR="006D42DE" w:rsidRPr="007D022A" w:rsidRDefault="006D42DE" w:rsidP="006D42DE">
                  <w:pPr>
                    <w:pStyle w:val="TableColumnHeadingLeft"/>
                    <w:spacing w:line="276" w:lineRule="auto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7D022A">
                    <w:rPr>
                      <w:rFonts w:asciiTheme="minorHAnsi" w:eastAsia="Times New Roman" w:hAnsiTheme="minorHAnsi" w:cstheme="minorHAnsi"/>
                      <w:bCs/>
                      <w:color w:val="002C47" w:themeColor="accent1"/>
                      <w:sz w:val="18"/>
                      <w:szCs w:val="18"/>
                      <w:bdr w:val="none" w:sz="0" w:space="0" w:color="auto"/>
                    </w:rPr>
                    <w:t>2019</w:t>
                  </w:r>
                  <w:r w:rsidR="00CC2934">
                    <w:t>–</w:t>
                  </w:r>
                  <w:r w:rsidRPr="007D022A">
                    <w:rPr>
                      <w:rFonts w:asciiTheme="minorHAnsi" w:eastAsia="Times New Roman" w:hAnsiTheme="minorHAnsi" w:cstheme="minorHAnsi"/>
                      <w:bCs/>
                      <w:color w:val="002C47" w:themeColor="accent1"/>
                      <w:sz w:val="18"/>
                      <w:szCs w:val="18"/>
                      <w:bdr w:val="none" w:sz="0" w:space="0" w:color="auto"/>
                    </w:rPr>
                    <w:t>20</w:t>
                  </w:r>
                </w:p>
              </w:tc>
              <w:tc>
                <w:tcPr>
                  <w:tcW w:w="1244" w:type="dxa"/>
                </w:tcPr>
                <w:p w14:paraId="36C9FD04" w14:textId="404ACC7D" w:rsidR="006D42DE" w:rsidRPr="007D022A" w:rsidRDefault="006D42DE" w:rsidP="006D42DE">
                  <w:pPr>
                    <w:pStyle w:val="TableColumnHeadingLeft"/>
                    <w:spacing w:line="276" w:lineRule="auto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7D022A">
                    <w:rPr>
                      <w:rFonts w:asciiTheme="minorHAnsi" w:eastAsia="Times New Roman" w:hAnsiTheme="minorHAnsi" w:cstheme="minorHAnsi"/>
                      <w:bCs/>
                      <w:color w:val="002C47" w:themeColor="accent1"/>
                      <w:sz w:val="18"/>
                      <w:szCs w:val="18"/>
                      <w:bdr w:val="none" w:sz="0" w:space="0" w:color="auto"/>
                    </w:rPr>
                    <w:t>20</w:t>
                  </w:r>
                  <w:r w:rsidR="00025A0E">
                    <w:rPr>
                      <w:rFonts w:asciiTheme="minorHAnsi" w:eastAsia="Times New Roman" w:hAnsiTheme="minorHAnsi" w:cstheme="minorHAnsi"/>
                      <w:bCs/>
                      <w:color w:val="002C47" w:themeColor="accent1"/>
                      <w:sz w:val="18"/>
                      <w:szCs w:val="18"/>
                      <w:bdr w:val="none" w:sz="0" w:space="0" w:color="auto"/>
                    </w:rPr>
                    <w:t>20–</w:t>
                  </w:r>
                  <w:r w:rsidRPr="007D022A">
                    <w:rPr>
                      <w:rFonts w:asciiTheme="minorHAnsi" w:eastAsia="Times New Roman" w:hAnsiTheme="minorHAnsi" w:cstheme="minorHAnsi"/>
                      <w:bCs/>
                      <w:color w:val="002C47" w:themeColor="accent1"/>
                      <w:sz w:val="18"/>
                      <w:szCs w:val="18"/>
                      <w:bdr w:val="none" w:sz="0" w:space="0" w:color="auto"/>
                    </w:rPr>
                    <w:t>21</w:t>
                  </w:r>
                </w:p>
              </w:tc>
              <w:tc>
                <w:tcPr>
                  <w:tcW w:w="1244" w:type="dxa"/>
                </w:tcPr>
                <w:p w14:paraId="3504F547" w14:textId="1093B1C7" w:rsidR="006D42DE" w:rsidRPr="007D022A" w:rsidRDefault="006D42DE" w:rsidP="006D42DE">
                  <w:pPr>
                    <w:pStyle w:val="TableColumnHeadingLeft"/>
                    <w:spacing w:line="276" w:lineRule="auto"/>
                    <w:jc w:val="right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7D022A">
                    <w:rPr>
                      <w:rFonts w:asciiTheme="minorHAnsi" w:eastAsia="Times New Roman" w:hAnsiTheme="minorHAnsi" w:cstheme="minorHAnsi"/>
                      <w:bCs/>
                      <w:color w:val="002C47" w:themeColor="accent1"/>
                      <w:sz w:val="18"/>
                      <w:szCs w:val="18"/>
                      <w:bdr w:val="none" w:sz="0" w:space="0" w:color="auto"/>
                    </w:rPr>
                    <w:t>20</w:t>
                  </w:r>
                  <w:r w:rsidR="00025A0E">
                    <w:rPr>
                      <w:rFonts w:asciiTheme="minorHAnsi" w:eastAsia="Times New Roman" w:hAnsiTheme="minorHAnsi" w:cstheme="minorHAnsi"/>
                      <w:bCs/>
                      <w:color w:val="002C47" w:themeColor="accent1"/>
                      <w:sz w:val="18"/>
                      <w:szCs w:val="18"/>
                      <w:bdr w:val="none" w:sz="0" w:space="0" w:color="auto"/>
                    </w:rPr>
                    <w:t>21–</w:t>
                  </w:r>
                  <w:r w:rsidRPr="007D022A">
                    <w:rPr>
                      <w:rFonts w:asciiTheme="minorHAnsi" w:eastAsia="Times New Roman" w:hAnsiTheme="minorHAnsi" w:cstheme="minorHAnsi"/>
                      <w:bCs/>
                      <w:color w:val="002C47" w:themeColor="accent1"/>
                      <w:sz w:val="18"/>
                      <w:szCs w:val="18"/>
                      <w:bdr w:val="none" w:sz="0" w:space="0" w:color="auto"/>
                    </w:rPr>
                    <w:t>22</w:t>
                  </w:r>
                </w:p>
              </w:tc>
            </w:tr>
            <w:tr w:rsidR="00E26B25" w:rsidRPr="007D022A" w14:paraId="434D9B1C" w14:textId="77777777" w:rsidTr="006D42DE">
              <w:tc>
                <w:tcPr>
                  <w:tcW w:w="3026" w:type="dxa"/>
                  <w:vAlign w:val="center"/>
                </w:tcPr>
                <w:p w14:paraId="4DA69821" w14:textId="0D17D505" w:rsidR="00E26B25" w:rsidRPr="007D022A" w:rsidRDefault="00025A0E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rPr>
                      <w:rFonts w:asciiTheme="minorHAnsi" w:hAnsiTheme="minorHAnsi" w:cstheme="minorHAnsi"/>
                      <w:b/>
                      <w:i/>
                      <w:color w:val="002C47" w:themeColor="accent1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F</w:t>
                  </w:r>
                  <w:r w:rsidR="00E26B25" w:rsidRPr="007D022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amily</w:t>
                  </w:r>
                </w:p>
              </w:tc>
              <w:tc>
                <w:tcPr>
                  <w:tcW w:w="1660" w:type="dxa"/>
                  <w:vAlign w:val="center"/>
                </w:tcPr>
                <w:p w14:paraId="0B2713F1" w14:textId="4A7CF75C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18,510</w:t>
                  </w:r>
                </w:p>
              </w:tc>
              <w:tc>
                <w:tcPr>
                  <w:tcW w:w="1656" w:type="dxa"/>
                  <w:vAlign w:val="center"/>
                </w:tcPr>
                <w:p w14:paraId="7534B1E1" w14:textId="6E74ED43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13,920</w:t>
                  </w:r>
                </w:p>
              </w:tc>
              <w:tc>
                <w:tcPr>
                  <w:tcW w:w="1244" w:type="dxa"/>
                  <w:vAlign w:val="center"/>
                </w:tcPr>
                <w:p w14:paraId="019900D3" w14:textId="39EF296B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11,470</w:t>
                  </w:r>
                </w:p>
              </w:tc>
              <w:tc>
                <w:tcPr>
                  <w:tcW w:w="1244" w:type="dxa"/>
                  <w:vAlign w:val="center"/>
                </w:tcPr>
                <w:p w14:paraId="65C14A55" w14:textId="632483F3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18,030</w:t>
                  </w:r>
                </w:p>
              </w:tc>
            </w:tr>
            <w:tr w:rsidR="008E3008" w:rsidRPr="007D022A" w14:paraId="19A506B9" w14:textId="77777777" w:rsidTr="006D42DE">
              <w:tc>
                <w:tcPr>
                  <w:tcW w:w="3026" w:type="dxa"/>
                  <w:vAlign w:val="center"/>
                </w:tcPr>
                <w:p w14:paraId="47D4F942" w14:textId="446C45E2" w:rsidR="008E3008" w:rsidRPr="007D022A" w:rsidRDefault="008E3008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D022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Permanent skilled</w:t>
                  </w:r>
                </w:p>
              </w:tc>
              <w:tc>
                <w:tcPr>
                  <w:tcW w:w="1660" w:type="dxa"/>
                  <w:vAlign w:val="center"/>
                </w:tcPr>
                <w:p w14:paraId="506B2F71" w14:textId="08C1CEB7" w:rsidR="008E3008" w:rsidRPr="007D022A" w:rsidRDefault="008E3008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30,740</w:t>
                  </w:r>
                </w:p>
              </w:tc>
              <w:tc>
                <w:tcPr>
                  <w:tcW w:w="1656" w:type="dxa"/>
                  <w:vAlign w:val="center"/>
                </w:tcPr>
                <w:p w14:paraId="3B07F36B" w14:textId="0E23ED45" w:rsidR="008E3008" w:rsidRPr="007D022A" w:rsidRDefault="008E3008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18,780</w:t>
                  </w:r>
                </w:p>
              </w:tc>
              <w:tc>
                <w:tcPr>
                  <w:tcW w:w="1244" w:type="dxa"/>
                  <w:vAlign w:val="center"/>
                </w:tcPr>
                <w:p w14:paraId="3B1222E4" w14:textId="135218AE" w:rsidR="008E3008" w:rsidRPr="007D022A" w:rsidRDefault="008E3008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8,060</w:t>
                  </w:r>
                </w:p>
              </w:tc>
              <w:tc>
                <w:tcPr>
                  <w:tcW w:w="1244" w:type="dxa"/>
                  <w:vAlign w:val="center"/>
                </w:tcPr>
                <w:p w14:paraId="41D1688F" w14:textId="4F898FEB" w:rsidR="008E3008" w:rsidRPr="007D022A" w:rsidRDefault="008E3008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19,790</w:t>
                  </w:r>
                </w:p>
              </w:tc>
            </w:tr>
            <w:tr w:rsidR="00E26B25" w:rsidRPr="007D022A" w14:paraId="7B63D5CB" w14:textId="77777777" w:rsidTr="006D42DE">
              <w:tc>
                <w:tcPr>
                  <w:tcW w:w="3026" w:type="dxa"/>
                  <w:vAlign w:val="center"/>
                </w:tcPr>
                <w:p w14:paraId="13446C9F" w14:textId="77777777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ind w:left="472" w:hanging="472"/>
                    <w:rPr>
                      <w:rFonts w:asciiTheme="minorHAnsi" w:hAnsiTheme="minorHAnsi" w:cstheme="minorHAnsi"/>
                      <w:b/>
                      <w:i/>
                      <w:color w:val="002C47" w:themeColor="accent1"/>
                      <w:sz w:val="18"/>
                      <w:szCs w:val="18"/>
                    </w:rPr>
                  </w:pPr>
                  <w:r w:rsidRPr="007D022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Humanitarian</w:t>
                  </w:r>
                </w:p>
              </w:tc>
              <w:tc>
                <w:tcPr>
                  <w:tcW w:w="1660" w:type="dxa"/>
                  <w:vAlign w:val="center"/>
                </w:tcPr>
                <w:p w14:paraId="4307D55F" w14:textId="77777777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15,170</w:t>
                  </w:r>
                </w:p>
              </w:tc>
              <w:tc>
                <w:tcPr>
                  <w:tcW w:w="1656" w:type="dxa"/>
                  <w:vAlign w:val="center"/>
                </w:tcPr>
                <w:p w14:paraId="1E916D8A" w14:textId="365E2657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12,880</w:t>
                  </w:r>
                </w:p>
              </w:tc>
              <w:tc>
                <w:tcPr>
                  <w:tcW w:w="1244" w:type="dxa"/>
                  <w:vAlign w:val="center"/>
                </w:tcPr>
                <w:p w14:paraId="4C23FA4F" w14:textId="55B8A507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510</w:t>
                  </w:r>
                </w:p>
              </w:tc>
              <w:tc>
                <w:tcPr>
                  <w:tcW w:w="1244" w:type="dxa"/>
                  <w:vAlign w:val="center"/>
                </w:tcPr>
                <w:p w14:paraId="1B4684DD" w14:textId="3A6FB844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7,220</w:t>
                  </w:r>
                </w:p>
              </w:tc>
            </w:tr>
            <w:tr w:rsidR="00D44CE0" w:rsidRPr="007D022A" w14:paraId="425FF4F3" w14:textId="77777777" w:rsidTr="006D42DE">
              <w:tc>
                <w:tcPr>
                  <w:tcW w:w="3026" w:type="dxa"/>
                  <w:shd w:val="clear" w:color="auto" w:fill="D2EDFF" w:themeFill="accent1" w:themeFillTint="1A"/>
                  <w:vAlign w:val="center"/>
                </w:tcPr>
                <w:p w14:paraId="1EC120F3" w14:textId="04B5CEBE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rPr>
                      <w:rFonts w:asciiTheme="minorHAnsi" w:hAnsiTheme="minorHAnsi" w:cstheme="minorHAnsi"/>
                      <w:b/>
                      <w:color w:val="002C47" w:themeColor="accent1"/>
                      <w:sz w:val="18"/>
                      <w:szCs w:val="18"/>
                    </w:rPr>
                  </w:pPr>
                  <w:r w:rsidRPr="007D022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Total permanent (includes Other)</w:t>
                  </w:r>
                </w:p>
              </w:tc>
              <w:tc>
                <w:tcPr>
                  <w:tcW w:w="1660" w:type="dxa"/>
                  <w:shd w:val="clear" w:color="auto" w:fill="D2EDFF" w:themeFill="accent1" w:themeFillTint="1A"/>
                  <w:vAlign w:val="center"/>
                </w:tcPr>
                <w:p w14:paraId="7219C4CB" w14:textId="5FBE4FFF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color w:val="000000"/>
                      <w:sz w:val="18"/>
                      <w:szCs w:val="18"/>
                    </w:rPr>
                    <w:t>63,850</w:t>
                  </w:r>
                </w:p>
              </w:tc>
              <w:tc>
                <w:tcPr>
                  <w:tcW w:w="1656" w:type="dxa"/>
                  <w:shd w:val="clear" w:color="auto" w:fill="D2EDFF" w:themeFill="accent1" w:themeFillTint="1A"/>
                  <w:vAlign w:val="center"/>
                </w:tcPr>
                <w:p w14:paraId="619F9AA0" w14:textId="332BFE8E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color w:val="000000"/>
                      <w:sz w:val="18"/>
                      <w:szCs w:val="18"/>
                    </w:rPr>
                    <w:t>46,480</w:t>
                  </w:r>
                </w:p>
              </w:tc>
              <w:tc>
                <w:tcPr>
                  <w:tcW w:w="1244" w:type="dxa"/>
                  <w:shd w:val="clear" w:color="auto" w:fill="D2EDFF" w:themeFill="accent1" w:themeFillTint="1A"/>
                  <w:vAlign w:val="center"/>
                </w:tcPr>
                <w:p w14:paraId="42FBE822" w14:textId="32038C10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color w:val="000000"/>
                      <w:sz w:val="18"/>
                      <w:szCs w:val="18"/>
                    </w:rPr>
                    <w:t>19,020</w:t>
                  </w:r>
                </w:p>
              </w:tc>
              <w:tc>
                <w:tcPr>
                  <w:tcW w:w="1244" w:type="dxa"/>
                  <w:shd w:val="clear" w:color="auto" w:fill="D2EDFF" w:themeFill="accent1" w:themeFillTint="1A"/>
                  <w:vAlign w:val="center"/>
                </w:tcPr>
                <w:p w14:paraId="55052B6E" w14:textId="09377277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color w:val="000000"/>
                      <w:sz w:val="18"/>
                      <w:szCs w:val="18"/>
                    </w:rPr>
                    <w:t>43,910</w:t>
                  </w:r>
                </w:p>
              </w:tc>
            </w:tr>
            <w:tr w:rsidR="00E26B25" w:rsidRPr="007D022A" w14:paraId="220F5C48" w14:textId="77777777" w:rsidTr="006D42DE">
              <w:tc>
                <w:tcPr>
                  <w:tcW w:w="3026" w:type="dxa"/>
                  <w:vAlign w:val="center"/>
                </w:tcPr>
                <w:p w14:paraId="7644EDE2" w14:textId="10934EA6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ind w:left="472" w:hanging="472"/>
                    <w:rPr>
                      <w:rFonts w:asciiTheme="minorHAnsi" w:hAnsiTheme="minorHAnsi" w:cstheme="minorHAnsi"/>
                      <w:b/>
                      <w:i/>
                      <w:color w:val="002C47" w:themeColor="accent1"/>
                      <w:sz w:val="18"/>
                      <w:szCs w:val="18"/>
                    </w:rPr>
                  </w:pPr>
                  <w:r w:rsidRPr="007D022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Temporary skilled</w:t>
                  </w:r>
                </w:p>
              </w:tc>
              <w:tc>
                <w:tcPr>
                  <w:tcW w:w="1660" w:type="dxa"/>
                  <w:vAlign w:val="center"/>
                </w:tcPr>
                <w:p w14:paraId="4D66EE9D" w14:textId="02762DAB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16,940</w:t>
                  </w:r>
                </w:p>
              </w:tc>
              <w:tc>
                <w:tcPr>
                  <w:tcW w:w="1656" w:type="dxa"/>
                  <w:vAlign w:val="center"/>
                </w:tcPr>
                <w:p w14:paraId="00DCCC17" w14:textId="67D1CD5C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9,190</w:t>
                  </w:r>
                </w:p>
              </w:tc>
              <w:tc>
                <w:tcPr>
                  <w:tcW w:w="1244" w:type="dxa"/>
                  <w:vAlign w:val="center"/>
                </w:tcPr>
                <w:p w14:paraId="318E33AC" w14:textId="46A3627C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-2,370</w:t>
                  </w:r>
                </w:p>
              </w:tc>
              <w:tc>
                <w:tcPr>
                  <w:tcW w:w="1244" w:type="dxa"/>
                  <w:vAlign w:val="center"/>
                </w:tcPr>
                <w:p w14:paraId="3761127F" w14:textId="562AA022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13,440</w:t>
                  </w:r>
                </w:p>
              </w:tc>
            </w:tr>
            <w:tr w:rsidR="00E26B25" w:rsidRPr="007D022A" w14:paraId="7A4351D8" w14:textId="77777777" w:rsidTr="006D42DE">
              <w:tc>
                <w:tcPr>
                  <w:tcW w:w="3026" w:type="dxa"/>
                  <w:vAlign w:val="center"/>
                </w:tcPr>
                <w:p w14:paraId="4253F28C" w14:textId="77777777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ind w:left="472" w:hanging="472"/>
                    <w:rPr>
                      <w:rFonts w:asciiTheme="minorHAnsi" w:hAnsiTheme="minorHAnsi" w:cstheme="minorHAnsi"/>
                      <w:b/>
                      <w:i/>
                      <w:color w:val="002C47" w:themeColor="accent1"/>
                      <w:sz w:val="18"/>
                      <w:szCs w:val="18"/>
                    </w:rPr>
                  </w:pPr>
                  <w:r w:rsidRPr="007D022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Student</w:t>
                  </w:r>
                </w:p>
              </w:tc>
              <w:tc>
                <w:tcPr>
                  <w:tcW w:w="1660" w:type="dxa"/>
                  <w:vAlign w:val="center"/>
                </w:tcPr>
                <w:p w14:paraId="298CCE23" w14:textId="1A7E6F14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96,900</w:t>
                  </w:r>
                </w:p>
              </w:tc>
              <w:tc>
                <w:tcPr>
                  <w:tcW w:w="1656" w:type="dxa"/>
                  <w:vAlign w:val="center"/>
                </w:tcPr>
                <w:p w14:paraId="19CCD010" w14:textId="3C6F8574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9,520</w:t>
                  </w:r>
                </w:p>
              </w:tc>
              <w:tc>
                <w:tcPr>
                  <w:tcW w:w="1244" w:type="dxa"/>
                  <w:vAlign w:val="center"/>
                </w:tcPr>
                <w:p w14:paraId="6156A3E4" w14:textId="72E76AED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-60,670</w:t>
                  </w:r>
                </w:p>
              </w:tc>
              <w:tc>
                <w:tcPr>
                  <w:tcW w:w="1244" w:type="dxa"/>
                  <w:vAlign w:val="center"/>
                </w:tcPr>
                <w:p w14:paraId="53DA56DD" w14:textId="5422624A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108,870</w:t>
                  </w:r>
                </w:p>
              </w:tc>
            </w:tr>
            <w:tr w:rsidR="00E26B25" w:rsidRPr="007D022A" w14:paraId="3AFB0A85" w14:textId="77777777" w:rsidTr="006D42DE">
              <w:tc>
                <w:tcPr>
                  <w:tcW w:w="3026" w:type="dxa"/>
                  <w:vAlign w:val="center"/>
                </w:tcPr>
                <w:p w14:paraId="03A7CB73" w14:textId="77777777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rPr>
                      <w:rFonts w:asciiTheme="minorHAnsi" w:hAnsiTheme="minorHAnsi" w:cstheme="minorHAnsi"/>
                      <w:b/>
                      <w:color w:val="002C47" w:themeColor="accent1"/>
                      <w:sz w:val="18"/>
                      <w:szCs w:val="18"/>
                    </w:rPr>
                  </w:pPr>
                  <w:r w:rsidRPr="007D022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Visitor</w:t>
                  </w:r>
                </w:p>
              </w:tc>
              <w:tc>
                <w:tcPr>
                  <w:tcW w:w="1660" w:type="dxa"/>
                  <w:vAlign w:val="center"/>
                </w:tcPr>
                <w:p w14:paraId="5734B78B" w14:textId="13296679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63,910</w:t>
                  </w:r>
                </w:p>
              </w:tc>
              <w:tc>
                <w:tcPr>
                  <w:tcW w:w="1656" w:type="dxa"/>
                  <w:vAlign w:val="center"/>
                </w:tcPr>
                <w:p w14:paraId="1C723540" w14:textId="3F39856F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100,860</w:t>
                  </w:r>
                </w:p>
              </w:tc>
              <w:tc>
                <w:tcPr>
                  <w:tcW w:w="1244" w:type="dxa"/>
                  <w:vAlign w:val="center"/>
                </w:tcPr>
                <w:p w14:paraId="6471A559" w14:textId="77777777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-7,320</w:t>
                  </w:r>
                </w:p>
              </w:tc>
              <w:tc>
                <w:tcPr>
                  <w:tcW w:w="1244" w:type="dxa"/>
                  <w:vAlign w:val="center"/>
                </w:tcPr>
                <w:p w14:paraId="76E14402" w14:textId="072F43BF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22,860</w:t>
                  </w:r>
                </w:p>
              </w:tc>
            </w:tr>
            <w:tr w:rsidR="00E26B25" w:rsidRPr="007D022A" w14:paraId="43CA400E" w14:textId="77777777" w:rsidTr="006D42DE">
              <w:tc>
                <w:tcPr>
                  <w:tcW w:w="3026" w:type="dxa"/>
                  <w:vAlign w:val="center"/>
                </w:tcPr>
                <w:p w14:paraId="4BCF6BA7" w14:textId="36131917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rPr>
                      <w:rFonts w:asciiTheme="minorHAnsi" w:hAnsiTheme="minorHAnsi" w:cstheme="minorHAnsi"/>
                      <w:b/>
                      <w:color w:val="002C47" w:themeColor="accent1"/>
                      <w:sz w:val="18"/>
                      <w:szCs w:val="18"/>
                    </w:rPr>
                  </w:pPr>
                  <w:r w:rsidRPr="007D022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Working holiday maker</w:t>
                  </w:r>
                </w:p>
              </w:tc>
              <w:tc>
                <w:tcPr>
                  <w:tcW w:w="1660" w:type="dxa"/>
                  <w:vAlign w:val="center"/>
                </w:tcPr>
                <w:p w14:paraId="6F61CF9D" w14:textId="22902235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24,010</w:t>
                  </w:r>
                </w:p>
              </w:tc>
              <w:tc>
                <w:tcPr>
                  <w:tcW w:w="1656" w:type="dxa"/>
                  <w:vAlign w:val="center"/>
                </w:tcPr>
                <w:p w14:paraId="1666B419" w14:textId="6EA3A251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18,430</w:t>
                  </w:r>
                </w:p>
              </w:tc>
              <w:tc>
                <w:tcPr>
                  <w:tcW w:w="1244" w:type="dxa"/>
                  <w:vAlign w:val="center"/>
                </w:tcPr>
                <w:p w14:paraId="7D17D282" w14:textId="35A7680A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-6,800</w:t>
                  </w:r>
                </w:p>
              </w:tc>
              <w:tc>
                <w:tcPr>
                  <w:tcW w:w="1244" w:type="dxa"/>
                  <w:vAlign w:val="center"/>
                </w:tcPr>
                <w:p w14:paraId="15F3C49C" w14:textId="5C884162" w:rsidR="00E26B25" w:rsidRPr="007D022A" w:rsidRDefault="00E26B25" w:rsidP="00D44CE0">
                  <w:pPr>
                    <w:pStyle w:val="Bullet"/>
                    <w:numPr>
                      <w:ilvl w:val="0"/>
                      <w:numId w:val="0"/>
                    </w:numPr>
                    <w:spacing w:before="40" w:after="40"/>
                    <w:jc w:val="righ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8,450</w:t>
                  </w:r>
                </w:p>
              </w:tc>
            </w:tr>
            <w:tr w:rsidR="009A7806" w:rsidRPr="0000710A" w14:paraId="7899DB0F" w14:textId="77777777" w:rsidTr="008E3008">
              <w:tc>
                <w:tcPr>
                  <w:tcW w:w="3026" w:type="dxa"/>
                  <w:shd w:val="clear" w:color="auto" w:fill="D2EDFF" w:themeFill="accent1" w:themeFillTint="1A"/>
                  <w:vAlign w:val="center"/>
                </w:tcPr>
                <w:p w14:paraId="41083972" w14:textId="4224E390" w:rsidR="008E3008" w:rsidRPr="007D022A" w:rsidRDefault="008E3008" w:rsidP="008E3008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eastAsia="en-AU"/>
                    </w:rPr>
                  </w:pPr>
                  <w:r w:rsidRPr="007D022A">
                    <w:rPr>
                      <w:rFonts w:asciiTheme="minorHAnsi" w:eastAsia="Times New Roman" w:hAnsiTheme="minorHAnsi" w:cstheme="minorHAnsi"/>
                      <w:b/>
                      <w:color w:val="000000"/>
                      <w:sz w:val="18"/>
                      <w:szCs w:val="18"/>
                      <w:lang w:eastAsia="en-AU"/>
                    </w:rPr>
                    <w:t>Total temporary (includes Other and Not Applicable)</w:t>
                  </w:r>
                </w:p>
              </w:tc>
              <w:tc>
                <w:tcPr>
                  <w:tcW w:w="1660" w:type="dxa"/>
                  <w:shd w:val="clear" w:color="auto" w:fill="D2EDFF" w:themeFill="accent1" w:themeFillTint="1A"/>
                  <w:vAlign w:val="center"/>
                </w:tcPr>
                <w:p w14:paraId="73909484" w14:textId="4B3B2E64" w:rsidR="008E3008" w:rsidRPr="007D022A" w:rsidRDefault="008E3008" w:rsidP="008E3008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D022A">
                    <w:rPr>
                      <w:rFonts w:cs="Calibri"/>
                      <w:color w:val="000000"/>
                      <w:sz w:val="18"/>
                      <w:szCs w:val="18"/>
                    </w:rPr>
                    <w:t>182,140</w:t>
                  </w:r>
                </w:p>
              </w:tc>
              <w:tc>
                <w:tcPr>
                  <w:tcW w:w="1656" w:type="dxa"/>
                  <w:shd w:val="clear" w:color="auto" w:fill="D2EDFF" w:themeFill="accent1" w:themeFillTint="1A"/>
                  <w:vAlign w:val="center"/>
                </w:tcPr>
                <w:p w14:paraId="0C9E7E72" w14:textId="2B249680" w:rsidR="008E3008" w:rsidRPr="007D022A" w:rsidRDefault="008E3008" w:rsidP="008E3008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D022A">
                    <w:rPr>
                      <w:rFonts w:cs="Calibri"/>
                      <w:color w:val="000000"/>
                      <w:sz w:val="18"/>
                      <w:szCs w:val="18"/>
                    </w:rPr>
                    <w:t>116,830</w:t>
                  </w:r>
                </w:p>
              </w:tc>
              <w:tc>
                <w:tcPr>
                  <w:tcW w:w="1244" w:type="dxa"/>
                  <w:shd w:val="clear" w:color="auto" w:fill="D2EDFF" w:themeFill="accent1" w:themeFillTint="1A"/>
                  <w:vAlign w:val="center"/>
                </w:tcPr>
                <w:p w14:paraId="3765A3DF" w14:textId="0192DE3B" w:rsidR="008E3008" w:rsidRPr="007D022A" w:rsidRDefault="008E3008" w:rsidP="008E3008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D022A">
                    <w:rPr>
                      <w:rFonts w:cs="Calibri"/>
                      <w:color w:val="000000"/>
                      <w:sz w:val="18"/>
                      <w:szCs w:val="18"/>
                    </w:rPr>
                    <w:t>-116,950</w:t>
                  </w:r>
                </w:p>
              </w:tc>
              <w:tc>
                <w:tcPr>
                  <w:tcW w:w="1244" w:type="dxa"/>
                  <w:shd w:val="clear" w:color="auto" w:fill="D2EDFF" w:themeFill="accent1" w:themeFillTint="1A"/>
                  <w:vAlign w:val="center"/>
                </w:tcPr>
                <w:p w14:paraId="514C6E4A" w14:textId="72F41273" w:rsidR="008E3008" w:rsidRPr="007D022A" w:rsidRDefault="008E3008" w:rsidP="008E3008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D022A">
                    <w:rPr>
                      <w:rFonts w:cs="Calibri"/>
                      <w:color w:val="000000"/>
                      <w:sz w:val="18"/>
                      <w:szCs w:val="18"/>
                    </w:rPr>
                    <w:t>137,090</w:t>
                  </w:r>
                </w:p>
              </w:tc>
            </w:tr>
            <w:tr w:rsidR="008E3008" w:rsidRPr="007D022A" w14:paraId="62869882" w14:textId="77777777" w:rsidTr="008E3008">
              <w:tc>
                <w:tcPr>
                  <w:tcW w:w="3026" w:type="dxa"/>
                  <w:vAlign w:val="center"/>
                </w:tcPr>
                <w:p w14:paraId="0B7A8AFF" w14:textId="330B8938" w:rsidR="008E3008" w:rsidRPr="007D022A" w:rsidRDefault="008E3008" w:rsidP="00D44CE0">
                  <w:pPr>
                    <w:spacing w:before="40" w:after="4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D022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Australian citizen</w:t>
                  </w:r>
                </w:p>
              </w:tc>
              <w:tc>
                <w:tcPr>
                  <w:tcW w:w="1660" w:type="dxa"/>
                  <w:vAlign w:val="center"/>
                </w:tcPr>
                <w:p w14:paraId="7732FFD2" w14:textId="5C9C0AD3" w:rsidR="008E3008" w:rsidRPr="007D022A" w:rsidRDefault="008E3008" w:rsidP="00D44CE0">
                  <w:pPr>
                    <w:spacing w:before="40" w:after="40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-6,990</w:t>
                  </w:r>
                </w:p>
              </w:tc>
              <w:tc>
                <w:tcPr>
                  <w:tcW w:w="1656" w:type="dxa"/>
                  <w:vAlign w:val="center"/>
                </w:tcPr>
                <w:p w14:paraId="7A8D1B6A" w14:textId="6958268D" w:rsidR="008E3008" w:rsidRPr="007D022A" w:rsidRDefault="008E3008" w:rsidP="00D44CE0">
                  <w:pPr>
                    <w:spacing w:before="40" w:after="40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36,020</w:t>
                  </w:r>
                </w:p>
              </w:tc>
              <w:tc>
                <w:tcPr>
                  <w:tcW w:w="1244" w:type="dxa"/>
                  <w:vAlign w:val="center"/>
                </w:tcPr>
                <w:p w14:paraId="1261A2BA" w14:textId="75CBF09F" w:rsidR="008E3008" w:rsidRPr="007D022A" w:rsidRDefault="008E3008" w:rsidP="00D44CE0">
                  <w:pPr>
                    <w:spacing w:before="40" w:after="40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17,360</w:t>
                  </w:r>
                </w:p>
              </w:tc>
              <w:tc>
                <w:tcPr>
                  <w:tcW w:w="1244" w:type="dxa"/>
                  <w:vAlign w:val="center"/>
                </w:tcPr>
                <w:p w14:paraId="46AC7EBB" w14:textId="2BDAF834" w:rsidR="008E3008" w:rsidRPr="007D022A" w:rsidRDefault="008E3008" w:rsidP="00D44CE0">
                  <w:pPr>
                    <w:spacing w:before="40" w:after="40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-12,930</w:t>
                  </w:r>
                </w:p>
              </w:tc>
            </w:tr>
            <w:tr w:rsidR="008E3008" w:rsidRPr="007D022A" w14:paraId="782C0CD1" w14:textId="77777777" w:rsidTr="003774E5">
              <w:tc>
                <w:tcPr>
                  <w:tcW w:w="3026" w:type="dxa"/>
                  <w:vAlign w:val="center"/>
                </w:tcPr>
                <w:p w14:paraId="002F3D3F" w14:textId="0A70A0DC" w:rsidR="008E3008" w:rsidRPr="007D022A" w:rsidRDefault="008E3008" w:rsidP="00D44CE0">
                  <w:pPr>
                    <w:spacing w:before="40" w:after="4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D022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New Zealand citizen</w:t>
                  </w:r>
                </w:p>
              </w:tc>
              <w:tc>
                <w:tcPr>
                  <w:tcW w:w="1660" w:type="dxa"/>
                  <w:vAlign w:val="center"/>
                </w:tcPr>
                <w:p w14:paraId="2F4D5143" w14:textId="1DD7D3B8" w:rsidR="008E3008" w:rsidRPr="007D022A" w:rsidRDefault="008E3008" w:rsidP="00D44CE0">
                  <w:pPr>
                    <w:spacing w:before="40" w:after="40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8,130</w:t>
                  </w:r>
                </w:p>
              </w:tc>
              <w:tc>
                <w:tcPr>
                  <w:tcW w:w="1656" w:type="dxa"/>
                  <w:vAlign w:val="center"/>
                </w:tcPr>
                <w:p w14:paraId="443333BC" w14:textId="7BE1EB5E" w:rsidR="008E3008" w:rsidRPr="007D022A" w:rsidRDefault="008E3008" w:rsidP="00D44CE0">
                  <w:pPr>
                    <w:spacing w:before="40" w:after="40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1,370</w:t>
                  </w:r>
                </w:p>
              </w:tc>
              <w:tc>
                <w:tcPr>
                  <w:tcW w:w="1244" w:type="dxa"/>
                  <w:vAlign w:val="center"/>
                </w:tcPr>
                <w:p w14:paraId="7B548497" w14:textId="250F77D3" w:rsidR="008E3008" w:rsidRPr="007D022A" w:rsidRDefault="008E3008" w:rsidP="00D44CE0">
                  <w:pPr>
                    <w:spacing w:before="40" w:after="40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-2,100</w:t>
                  </w:r>
                </w:p>
              </w:tc>
              <w:tc>
                <w:tcPr>
                  <w:tcW w:w="1244" w:type="dxa"/>
                  <w:vAlign w:val="center"/>
                </w:tcPr>
                <w:p w14:paraId="746F9821" w14:textId="5D74AB19" w:rsidR="008E3008" w:rsidRPr="007D022A" w:rsidRDefault="008E3008" w:rsidP="00D44CE0">
                  <w:pPr>
                    <w:spacing w:before="40" w:after="40"/>
                    <w:jc w:val="right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7D022A">
                    <w:rPr>
                      <w:rFonts w:cs="Calibri"/>
                      <w:sz w:val="18"/>
                      <w:szCs w:val="18"/>
                    </w:rPr>
                    <w:t>7,440</w:t>
                  </w:r>
                </w:p>
              </w:tc>
            </w:tr>
            <w:tr w:rsidR="003774E5" w:rsidRPr="007D022A" w14:paraId="0EE9295E" w14:textId="77777777" w:rsidTr="000F37CF">
              <w:tc>
                <w:tcPr>
                  <w:tcW w:w="3026" w:type="dxa"/>
                  <w:tcBorders>
                    <w:bottom w:val="single" w:sz="4" w:space="0" w:color="auto"/>
                  </w:tcBorders>
                  <w:shd w:val="clear" w:color="auto" w:fill="D2EDFF" w:themeFill="accent1" w:themeFillTint="1A"/>
                  <w:vAlign w:val="center"/>
                </w:tcPr>
                <w:p w14:paraId="4FFD6C48" w14:textId="574F3435" w:rsidR="003774E5" w:rsidRPr="007D022A" w:rsidRDefault="003774E5" w:rsidP="00D44CE0">
                  <w:pPr>
                    <w:spacing w:before="40" w:after="40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D022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Total NOM</w:t>
                  </w:r>
                </w:p>
              </w:tc>
              <w:tc>
                <w:tcPr>
                  <w:tcW w:w="1660" w:type="dxa"/>
                  <w:tcBorders>
                    <w:bottom w:val="single" w:sz="4" w:space="0" w:color="auto"/>
                  </w:tcBorders>
                  <w:shd w:val="clear" w:color="auto" w:fill="D2EDFF" w:themeFill="accent1" w:themeFillTint="1A"/>
                </w:tcPr>
                <w:p w14:paraId="482FEB16" w14:textId="55A21662" w:rsidR="003774E5" w:rsidRPr="007D022A" w:rsidRDefault="003774E5" w:rsidP="00D44CE0">
                  <w:pPr>
                    <w:spacing w:before="40" w:after="40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 w:rsidRPr="007D022A">
                    <w:rPr>
                      <w:sz w:val="18"/>
                      <w:szCs w:val="18"/>
                    </w:rPr>
                    <w:t>241,340</w:t>
                  </w:r>
                </w:p>
              </w:tc>
              <w:tc>
                <w:tcPr>
                  <w:tcW w:w="1656" w:type="dxa"/>
                  <w:tcBorders>
                    <w:bottom w:val="single" w:sz="4" w:space="0" w:color="auto"/>
                  </w:tcBorders>
                  <w:shd w:val="clear" w:color="auto" w:fill="D2EDFF" w:themeFill="accent1" w:themeFillTint="1A"/>
                </w:tcPr>
                <w:p w14:paraId="715A782A" w14:textId="46419B26" w:rsidR="003774E5" w:rsidRPr="007D022A" w:rsidRDefault="003774E5" w:rsidP="00D44CE0">
                  <w:pPr>
                    <w:spacing w:before="40" w:after="40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 w:rsidRPr="007D022A">
                    <w:rPr>
                      <w:sz w:val="18"/>
                      <w:szCs w:val="18"/>
                    </w:rPr>
                    <w:t>192,690</w:t>
                  </w:r>
                </w:p>
              </w:tc>
              <w:tc>
                <w:tcPr>
                  <w:tcW w:w="1244" w:type="dxa"/>
                  <w:tcBorders>
                    <w:bottom w:val="single" w:sz="4" w:space="0" w:color="auto"/>
                  </w:tcBorders>
                  <w:shd w:val="clear" w:color="auto" w:fill="D2EDFF" w:themeFill="accent1" w:themeFillTint="1A"/>
                </w:tcPr>
                <w:p w14:paraId="36C0E6E8" w14:textId="5DE9C9B5" w:rsidR="003774E5" w:rsidRPr="007D022A" w:rsidRDefault="003774E5" w:rsidP="00D44CE0">
                  <w:pPr>
                    <w:spacing w:before="40" w:after="40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 w:rsidRPr="007D022A">
                    <w:rPr>
                      <w:sz w:val="18"/>
                      <w:szCs w:val="18"/>
                    </w:rPr>
                    <w:t>-84,930</w:t>
                  </w:r>
                </w:p>
              </w:tc>
              <w:tc>
                <w:tcPr>
                  <w:tcW w:w="1244" w:type="dxa"/>
                  <w:tcBorders>
                    <w:bottom w:val="single" w:sz="4" w:space="0" w:color="auto"/>
                  </w:tcBorders>
                  <w:shd w:val="clear" w:color="auto" w:fill="D2EDFF" w:themeFill="accent1" w:themeFillTint="1A"/>
                </w:tcPr>
                <w:p w14:paraId="216731AB" w14:textId="6CEC1AD7" w:rsidR="003774E5" w:rsidRPr="007D022A" w:rsidRDefault="003774E5" w:rsidP="00D44CE0">
                  <w:pPr>
                    <w:spacing w:before="40" w:after="40"/>
                    <w:jc w:val="right"/>
                    <w:rPr>
                      <w:rFonts w:cs="Calibri"/>
                      <w:sz w:val="18"/>
                      <w:szCs w:val="18"/>
                    </w:rPr>
                  </w:pPr>
                  <w:r w:rsidRPr="007D022A">
                    <w:rPr>
                      <w:sz w:val="18"/>
                      <w:szCs w:val="18"/>
                    </w:rPr>
                    <w:t>170,920</w:t>
                  </w:r>
                </w:p>
              </w:tc>
            </w:tr>
          </w:tbl>
          <w:p w14:paraId="4FC1B0C5" w14:textId="51EFF08F" w:rsidR="00B156B3" w:rsidRPr="007D022A" w:rsidRDefault="00B156B3" w:rsidP="00B156B3">
            <w:pPr>
              <w:pStyle w:val="Source"/>
            </w:pPr>
            <w:r w:rsidRPr="007D022A">
              <w:t>Note: Totals</w:t>
            </w:r>
            <w:r w:rsidR="003A32CE" w:rsidRPr="007D022A">
              <w:t xml:space="preserve"> are lower than the sum of sub-components as Other permanent, Other temporary and Unclassified recorded outflows in some years.</w:t>
            </w:r>
          </w:p>
          <w:p w14:paraId="57C3E090" w14:textId="3A5FE345" w:rsidR="003A32CE" w:rsidRPr="007D022A" w:rsidRDefault="003A32CE" w:rsidP="003A32CE">
            <w:pPr>
              <w:rPr>
                <w:bCs/>
              </w:rPr>
            </w:pPr>
            <w:r w:rsidRPr="007D022A">
              <w:rPr>
                <w:b/>
              </w:rPr>
              <w:lastRenderedPageBreak/>
              <w:t>Permanent migrants</w:t>
            </w:r>
            <w:r w:rsidRPr="007D022A">
              <w:rPr>
                <w:bCs/>
              </w:rPr>
              <w:t xml:space="preserve"> made up </w:t>
            </w:r>
            <w:r w:rsidR="002451A0" w:rsidRPr="007D022A">
              <w:rPr>
                <w:bCs/>
              </w:rPr>
              <w:t>43,900</w:t>
            </w:r>
            <w:r w:rsidRPr="007D022A">
              <w:rPr>
                <w:bCs/>
              </w:rPr>
              <w:t xml:space="preserve"> of total NOM in 20</w:t>
            </w:r>
            <w:r w:rsidR="00025A0E">
              <w:rPr>
                <w:bCs/>
              </w:rPr>
              <w:t>21–</w:t>
            </w:r>
            <w:r w:rsidRPr="007D022A">
              <w:rPr>
                <w:bCs/>
              </w:rPr>
              <w:t>22, still below pre-pandemic levels despite a</w:t>
            </w:r>
            <w:r w:rsidR="002451A0" w:rsidRPr="007D022A">
              <w:rPr>
                <w:bCs/>
              </w:rPr>
              <w:t>n</w:t>
            </w:r>
            <w:r w:rsidRPr="007D022A">
              <w:rPr>
                <w:bCs/>
              </w:rPr>
              <w:t xml:space="preserve"> increase from </w:t>
            </w:r>
            <w:r w:rsidR="002451A0" w:rsidRPr="007D022A">
              <w:rPr>
                <w:bCs/>
              </w:rPr>
              <w:t>19,000</w:t>
            </w:r>
            <w:r w:rsidRPr="007D022A">
              <w:rPr>
                <w:bCs/>
              </w:rPr>
              <w:t xml:space="preserve"> in 20</w:t>
            </w:r>
            <w:r w:rsidR="00025A0E">
              <w:rPr>
                <w:bCs/>
              </w:rPr>
              <w:t>20–</w:t>
            </w:r>
            <w:r w:rsidRPr="007D022A">
              <w:rPr>
                <w:bCs/>
              </w:rPr>
              <w:t>21.</w:t>
            </w:r>
          </w:p>
          <w:p w14:paraId="48C8B9CE" w14:textId="3E149894" w:rsidR="00B156B3" w:rsidRPr="007D022A" w:rsidRDefault="00B156B3" w:rsidP="00B156B3">
            <w:pPr>
              <w:rPr>
                <w:bCs/>
              </w:rPr>
            </w:pPr>
            <w:r w:rsidRPr="007D022A">
              <w:t xml:space="preserve">More </w:t>
            </w:r>
            <w:r w:rsidRPr="007D022A">
              <w:rPr>
                <w:b/>
              </w:rPr>
              <w:t>Australian citizens</w:t>
            </w:r>
            <w:r w:rsidRPr="007D022A">
              <w:t xml:space="preserve"> </w:t>
            </w:r>
            <w:r w:rsidR="00804F4A">
              <w:t>emigrated</w:t>
            </w:r>
            <w:r w:rsidR="00804F4A" w:rsidRPr="007D022A">
              <w:t xml:space="preserve"> </w:t>
            </w:r>
            <w:r w:rsidR="009A6CE3">
              <w:t>from Australia</w:t>
            </w:r>
            <w:r w:rsidRPr="007D022A">
              <w:t xml:space="preserve"> than </w:t>
            </w:r>
            <w:r w:rsidR="00804F4A">
              <w:t>migrated</w:t>
            </w:r>
            <w:r w:rsidR="00F450F1">
              <w:t xml:space="preserve"> to Australia</w:t>
            </w:r>
            <w:r w:rsidR="00804F4A" w:rsidRPr="007D022A">
              <w:t xml:space="preserve"> </w:t>
            </w:r>
            <w:r w:rsidRPr="007D022A">
              <w:t>over 20</w:t>
            </w:r>
            <w:r w:rsidR="00025A0E">
              <w:t>21–</w:t>
            </w:r>
            <w:r w:rsidRPr="007D022A">
              <w:t>22</w:t>
            </w:r>
            <w:r w:rsidRPr="007D022A">
              <w:rPr>
                <w:bCs/>
              </w:rPr>
              <w:t>, driving Australian citizen NOM to the pre-pandemic pattern of net emigration (</w:t>
            </w:r>
            <w:r w:rsidRPr="007D022A">
              <w:t>a net outflow of 12,900</w:t>
            </w:r>
            <w:r w:rsidRPr="007D022A">
              <w:rPr>
                <w:bCs/>
              </w:rPr>
              <w:t>). This outflow was caused by a growth in departures from 44,000 in 20</w:t>
            </w:r>
            <w:r w:rsidR="00025A0E">
              <w:rPr>
                <w:bCs/>
              </w:rPr>
              <w:t>20–</w:t>
            </w:r>
            <w:r w:rsidRPr="007D022A">
              <w:rPr>
                <w:bCs/>
              </w:rPr>
              <w:t xml:space="preserve">21 to </w:t>
            </w:r>
            <w:r w:rsidRPr="007D022A">
              <w:t>74,100 in 20</w:t>
            </w:r>
            <w:r w:rsidR="00025A0E">
              <w:t>21–</w:t>
            </w:r>
            <w:r w:rsidRPr="007D022A">
              <w:t>22</w:t>
            </w:r>
            <w:r w:rsidRPr="007D022A">
              <w:rPr>
                <w:bCs/>
              </w:rPr>
              <w:t xml:space="preserve">, an increase of 68 per cent. Australian citizen arrivals </w:t>
            </w:r>
            <w:r w:rsidR="00B960DC">
              <w:rPr>
                <w:bCs/>
              </w:rPr>
              <w:t xml:space="preserve">were steady </w:t>
            </w:r>
            <w:r w:rsidRPr="007D022A">
              <w:rPr>
                <w:bCs/>
              </w:rPr>
              <w:t>over this period</w:t>
            </w:r>
            <w:r w:rsidR="00B960DC">
              <w:rPr>
                <w:bCs/>
              </w:rPr>
              <w:t xml:space="preserve"> (a decline</w:t>
            </w:r>
            <w:r w:rsidR="00B960DC" w:rsidRPr="007D022A">
              <w:rPr>
                <w:bCs/>
              </w:rPr>
              <w:t xml:space="preserve"> of 0.3 per cent</w:t>
            </w:r>
            <w:r w:rsidR="00B960DC">
              <w:rPr>
                <w:bCs/>
              </w:rPr>
              <w:t>)</w:t>
            </w:r>
            <w:r w:rsidRPr="007D022A">
              <w:rPr>
                <w:bCs/>
              </w:rPr>
              <w:t>.</w:t>
            </w:r>
          </w:p>
          <w:p w14:paraId="25F091AE" w14:textId="372E321E" w:rsidR="001676EE" w:rsidRPr="007D022A" w:rsidRDefault="00A649BE" w:rsidP="007D022A">
            <w:pPr>
              <w:pStyle w:val="Chartheading"/>
            </w:pPr>
            <w:r w:rsidRPr="007D022A">
              <w:t>N</w:t>
            </w:r>
            <w:r w:rsidR="00025A0E">
              <w:t>et Overseas Migration</w:t>
            </w:r>
            <w:r w:rsidRPr="007D022A">
              <w:t xml:space="preserve"> by state, year ending quarterl</w:t>
            </w:r>
            <w:r w:rsidR="006C07BE" w:rsidRPr="007D022A">
              <w:t>y</w:t>
            </w:r>
          </w:p>
          <w:p w14:paraId="10F92836" w14:textId="74CE64E5" w:rsidR="00D502D1" w:rsidRPr="007D022A" w:rsidRDefault="00D502D1" w:rsidP="002D5CDA">
            <w:pPr>
              <w:pStyle w:val="Chartheading"/>
              <w:numPr>
                <w:ilvl w:val="0"/>
                <w:numId w:val="0"/>
              </w:numPr>
              <w:ind w:left="992" w:hanging="992"/>
            </w:pPr>
            <w:r w:rsidRPr="007D022A">
              <w:rPr>
                <w:noProof/>
              </w:rPr>
              <w:drawing>
                <wp:inline distT="0" distB="0" distL="0" distR="0" wp14:anchorId="6C9240A2" wp14:editId="22E636BB">
                  <wp:extent cx="5695315" cy="27717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31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C2DECD" w14:textId="13E2450E" w:rsidR="00A649BE" w:rsidRPr="007D022A" w:rsidRDefault="00A649BE" w:rsidP="00BF1F09">
            <w:pPr>
              <w:pStyle w:val="Source"/>
              <w:rPr>
                <w:noProof/>
                <w:lang w:eastAsia="en-AU"/>
              </w:rPr>
            </w:pPr>
            <w:r w:rsidRPr="007D022A">
              <w:t xml:space="preserve">Source: ABS National state and territory population, June 2022 </w:t>
            </w:r>
          </w:p>
          <w:p w14:paraId="79576C12" w14:textId="687641D3" w:rsidR="00D2430D" w:rsidRPr="007D022A" w:rsidRDefault="00D2430D" w:rsidP="00D2430D">
            <w:r w:rsidRPr="007D022A">
              <w:t>In 20</w:t>
            </w:r>
            <w:r w:rsidR="00025A0E">
              <w:t>21–</w:t>
            </w:r>
            <w:r w:rsidRPr="007D022A">
              <w:t>22, all states and territories experienced a net inflow of migrants after experiencing net outflows in 20</w:t>
            </w:r>
            <w:r w:rsidR="00025A0E">
              <w:t>20–</w:t>
            </w:r>
            <w:r w:rsidRPr="007D022A">
              <w:t>21</w:t>
            </w:r>
            <w:r w:rsidRPr="007D022A">
              <w:rPr>
                <w:bCs/>
              </w:rPr>
              <w:t>.</w:t>
            </w:r>
            <w:r w:rsidRPr="007D022A">
              <w:t xml:space="preserve"> New South Wales and Victoria historically have accounted for the largest share of NOM and correspondingly had the largest increases in 20</w:t>
            </w:r>
            <w:r w:rsidR="00025A0E">
              <w:t>21–</w:t>
            </w:r>
            <w:r w:rsidRPr="007D022A">
              <w:t>22 (Chart 3), primarily due to high student and visitor arrivals. New South Wales and Victoria received 36 per cent and 33 per cent of national NOM in 20</w:t>
            </w:r>
            <w:r w:rsidR="00025A0E">
              <w:t>21–</w:t>
            </w:r>
            <w:r w:rsidRPr="007D022A">
              <w:t>22, respectively. All other jurisdictions received inflows of migrants consistent with their pre-pandemic shares.</w:t>
            </w:r>
          </w:p>
          <w:p w14:paraId="2144487D" w14:textId="666BCEC1" w:rsidR="004E4BCE" w:rsidRPr="007D022A" w:rsidRDefault="0024155D">
            <w:pPr>
              <w:pStyle w:val="Chartheading"/>
            </w:pPr>
            <w:r w:rsidRPr="007D022A">
              <w:t>country of birth composition of N</w:t>
            </w:r>
            <w:r w:rsidR="002004BF">
              <w:t>et Overseas Migration</w:t>
            </w:r>
            <w:r w:rsidRPr="007D022A">
              <w:t>, 20</w:t>
            </w:r>
            <w:r w:rsidR="00025A0E">
              <w:t>21–</w:t>
            </w:r>
            <w:r w:rsidRPr="007D022A">
              <w:t>22</w:t>
            </w:r>
          </w:p>
          <w:p w14:paraId="642D4089" w14:textId="30C439C2" w:rsidR="004E4BCE" w:rsidRPr="007D022A" w:rsidRDefault="004E4BCE" w:rsidP="004E4BCE">
            <w:pPr>
              <w:pStyle w:val="Chartheading"/>
              <w:numPr>
                <w:ilvl w:val="0"/>
                <w:numId w:val="0"/>
              </w:numPr>
              <w:ind w:left="992" w:hanging="992"/>
            </w:pPr>
            <w:r w:rsidRPr="007D022A">
              <w:rPr>
                <w:noProof/>
              </w:rPr>
              <w:drawing>
                <wp:inline distT="0" distB="0" distL="0" distR="0" wp14:anchorId="26EAD4E2" wp14:editId="66C46462">
                  <wp:extent cx="5695315" cy="229552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315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887FD" w14:textId="17F3106F" w:rsidR="00835C72" w:rsidRPr="007D022A" w:rsidRDefault="00835C72" w:rsidP="007D022A">
            <w:pPr>
              <w:pStyle w:val="Source"/>
              <w:rPr>
                <w:noProof/>
                <w:lang w:eastAsia="en-AU"/>
              </w:rPr>
            </w:pPr>
            <w:r w:rsidRPr="007D022A">
              <w:t xml:space="preserve">Note: China excludes the special autonomous regions of Hong Kong and Macau </w:t>
            </w:r>
          </w:p>
          <w:p w14:paraId="393922F5" w14:textId="61D7DFFB" w:rsidR="00D2430D" w:rsidRPr="007D022A" w:rsidRDefault="00D2430D" w:rsidP="00D2430D">
            <w:r w:rsidRPr="007D022A">
              <w:t>The largest contribution to NOM in 20</w:t>
            </w:r>
            <w:r w:rsidR="00025A0E">
              <w:t>21–</w:t>
            </w:r>
            <w:r w:rsidRPr="007D022A">
              <w:t xml:space="preserve">22 came from </w:t>
            </w:r>
            <w:r w:rsidRPr="007D022A">
              <w:rPr>
                <w:b/>
              </w:rPr>
              <w:t>Asian-born migrants</w:t>
            </w:r>
            <w:r w:rsidRPr="007D022A">
              <w:t xml:space="preserve"> (Chart 4). The recovery in NOM from migrants born in China and India was particularly strong, with increases of 65,400 and 48,800</w:t>
            </w:r>
            <w:r w:rsidR="002004BF">
              <w:t>,</w:t>
            </w:r>
            <w:r w:rsidRPr="007D022A">
              <w:t xml:space="preserve"> respectively</w:t>
            </w:r>
            <w:r w:rsidR="002004BF">
              <w:t>,</w:t>
            </w:r>
            <w:r w:rsidRPr="007D022A">
              <w:t xml:space="preserve"> compared to 20</w:t>
            </w:r>
            <w:r w:rsidR="00025A0E">
              <w:t>20–</w:t>
            </w:r>
            <w:r w:rsidRPr="007D022A">
              <w:t xml:space="preserve">21. This has returned migration to pre-pandemic trends where migrants from Asia – especially temporary migrants from China and India – made up </w:t>
            </w:r>
            <w:proofErr w:type="gramStart"/>
            <w:r w:rsidRPr="007D022A">
              <w:t>the majority of</w:t>
            </w:r>
            <w:proofErr w:type="gramEnd"/>
            <w:r w:rsidRPr="007D022A">
              <w:t xml:space="preserve"> NOM. Migration by </w:t>
            </w:r>
            <w:r w:rsidRPr="007D022A">
              <w:lastRenderedPageBreak/>
              <w:t xml:space="preserve">Australian-born persons also returned to pre-pandemic trends of net emigration as international travel </w:t>
            </w:r>
            <w:r w:rsidR="009014A1" w:rsidRPr="007D022A">
              <w:t>restrictions were eased</w:t>
            </w:r>
            <w:r w:rsidRPr="007D022A">
              <w:t xml:space="preserve">. </w:t>
            </w:r>
          </w:p>
          <w:p w14:paraId="75144DB0" w14:textId="78A54CDA" w:rsidR="00167155" w:rsidRPr="007D022A" w:rsidRDefault="00167155" w:rsidP="00167155">
            <w:pPr>
              <w:pStyle w:val="TableHeadingContinued"/>
            </w:pPr>
            <w:r w:rsidRPr="007D022A">
              <w:t>Upcoming major population releases</w:t>
            </w:r>
          </w:p>
          <w:tbl>
            <w:tblPr>
              <w:tblW w:w="7748" w:type="dxa"/>
              <w:jc w:val="center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1"/>
              <w:gridCol w:w="1425"/>
              <w:gridCol w:w="1592"/>
            </w:tblGrid>
            <w:tr w:rsidR="00167155" w:rsidRPr="007D022A" w14:paraId="647D94ED" w14:textId="77777777" w:rsidTr="00BF1F09">
              <w:trPr>
                <w:trHeight w:val="271"/>
                <w:jc w:val="center"/>
              </w:trPr>
              <w:tc>
                <w:tcPr>
                  <w:tcW w:w="4731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  <w:shd w:val="clear" w:color="auto" w:fill="auto"/>
                  <w:noWrap/>
                  <w:tcMar>
                    <w:left w:w="28" w:type="dxa"/>
                    <w:right w:w="0" w:type="dxa"/>
                  </w:tcMar>
                  <w:hideMark/>
                </w:tcPr>
                <w:p w14:paraId="26F53C38" w14:textId="77777777" w:rsidR="00167155" w:rsidRPr="007D022A" w:rsidRDefault="00167155" w:rsidP="00167155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 w:rsidRPr="007D022A"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  <w:t>Release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  <w:shd w:val="clear" w:color="auto" w:fill="auto"/>
                  <w:tcMar>
                    <w:left w:w="28" w:type="dxa"/>
                    <w:right w:w="0" w:type="dxa"/>
                  </w:tcMar>
                  <w:hideMark/>
                </w:tcPr>
                <w:p w14:paraId="2913FDBF" w14:textId="77777777" w:rsidR="00167155" w:rsidRPr="007D022A" w:rsidRDefault="00167155" w:rsidP="00167155">
                  <w:pPr>
                    <w:spacing w:before="40" w:after="4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 w:rsidRPr="007D022A"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  <w:t>Former catalogue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2C47" w:themeColor="accent1"/>
                    <w:bottom w:val="single" w:sz="4" w:space="0" w:color="002C47" w:themeColor="accent1"/>
                  </w:tcBorders>
                  <w:shd w:val="clear" w:color="auto" w:fill="auto"/>
                  <w:tcMar>
                    <w:left w:w="28" w:type="dxa"/>
                    <w:right w:w="0" w:type="dxa"/>
                  </w:tcMar>
                  <w:hideMark/>
                </w:tcPr>
                <w:p w14:paraId="7EFA5436" w14:textId="77777777" w:rsidR="00167155" w:rsidRPr="007D022A" w:rsidRDefault="00167155" w:rsidP="00167155">
                  <w:pPr>
                    <w:spacing w:before="40" w:after="40" w:line="276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</w:pPr>
                  <w:r w:rsidRPr="007D022A">
                    <w:rPr>
                      <w:rFonts w:asciiTheme="minorHAnsi" w:eastAsia="Times New Roman" w:hAnsiTheme="minorHAnsi" w:cstheme="minorHAnsi"/>
                      <w:b/>
                      <w:bCs/>
                      <w:color w:val="002C47" w:themeColor="accent1"/>
                      <w:sz w:val="18"/>
                      <w:szCs w:val="18"/>
                      <w:lang w:eastAsia="en-AU"/>
                    </w:rPr>
                    <w:t>Release date</w:t>
                  </w:r>
                </w:p>
              </w:tc>
            </w:tr>
            <w:tr w:rsidR="00167155" w:rsidRPr="007D022A" w14:paraId="6950ED65" w14:textId="77777777" w:rsidTr="00BF1F09">
              <w:trPr>
                <w:trHeight w:val="204"/>
                <w:jc w:val="center"/>
              </w:trPr>
              <w:tc>
                <w:tcPr>
                  <w:tcW w:w="4731" w:type="dxa"/>
                  <w:tcBorders>
                    <w:top w:val="single" w:sz="4" w:space="0" w:color="002C47" w:themeColor="accent1"/>
                    <w:bottom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40C724EF" w14:textId="023CECA0" w:rsidR="00167155" w:rsidRPr="007D022A" w:rsidRDefault="00512574" w:rsidP="00167155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D02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National, state and territory population, September 2022</w:t>
                  </w:r>
                </w:p>
              </w:tc>
              <w:tc>
                <w:tcPr>
                  <w:tcW w:w="1425" w:type="dxa"/>
                  <w:tcBorders>
                    <w:top w:val="single" w:sz="4" w:space="0" w:color="002C47" w:themeColor="accent1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E0C0B0" w14:textId="780A99BD" w:rsidR="00167155" w:rsidRPr="007D022A" w:rsidRDefault="00512574" w:rsidP="00167155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D022A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3101.0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2C47" w:themeColor="accent1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4CEDEF" w14:textId="779B2984" w:rsidR="00167155" w:rsidRPr="007D022A" w:rsidRDefault="00512574" w:rsidP="00167155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D022A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16</w:t>
                  </w:r>
                  <w:r w:rsidR="00167155" w:rsidRPr="007D022A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/0</w:t>
                  </w:r>
                  <w:r w:rsidRPr="007D022A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</w:t>
                  </w:r>
                  <w:r w:rsidR="00167155" w:rsidRPr="007D022A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/202</w:t>
                  </w:r>
                  <w:r w:rsidRPr="007D022A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</w:t>
                  </w:r>
                </w:p>
              </w:tc>
            </w:tr>
            <w:tr w:rsidR="00345013" w:rsidRPr="007D022A" w14:paraId="499244DC" w14:textId="77777777" w:rsidTr="00BF1F09">
              <w:trPr>
                <w:trHeight w:val="204"/>
                <w:jc w:val="center"/>
              </w:trPr>
              <w:tc>
                <w:tcPr>
                  <w:tcW w:w="4731" w:type="dxa"/>
                  <w:tcBorders>
                    <w:top w:val="nil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2D8C416A" w14:textId="31B890CD" w:rsidR="00345013" w:rsidRPr="007D022A" w:rsidRDefault="00345013" w:rsidP="00167155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D02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Regional Population, 20</w:t>
                  </w:r>
                  <w:r w:rsidR="00025A0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21–</w:t>
                  </w:r>
                  <w:r w:rsidRPr="007D02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22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8B639CD" w14:textId="6C84A8EB" w:rsidR="00345013" w:rsidRPr="007D022A" w:rsidRDefault="00345013" w:rsidP="00167155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D022A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3218.0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D45374" w14:textId="59044476" w:rsidR="00345013" w:rsidRPr="007D022A" w:rsidRDefault="00345013" w:rsidP="00167155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D022A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20/04/2023</w:t>
                  </w:r>
                </w:p>
              </w:tc>
            </w:tr>
            <w:tr w:rsidR="00167155" w:rsidRPr="007D022A" w14:paraId="6D273FCD" w14:textId="77777777" w:rsidTr="00CC3A04">
              <w:trPr>
                <w:trHeight w:val="204"/>
                <w:jc w:val="center"/>
              </w:trPr>
              <w:tc>
                <w:tcPr>
                  <w:tcW w:w="4731" w:type="dxa"/>
                  <w:tcBorders>
                    <w:top w:val="nil"/>
                    <w:bottom w:val="single" w:sz="4" w:space="0" w:color="002C47" w:themeColor="accent1"/>
                  </w:tcBorders>
                  <w:shd w:val="clear" w:color="auto" w:fill="auto"/>
                  <w:noWrap/>
                  <w:tcMar>
                    <w:left w:w="28" w:type="dxa"/>
                  </w:tcMar>
                  <w:vAlign w:val="bottom"/>
                </w:tcPr>
                <w:p w14:paraId="5ADD8446" w14:textId="216371E7" w:rsidR="00167155" w:rsidRPr="007D022A" w:rsidRDefault="00167155" w:rsidP="00167155">
                  <w:pPr>
                    <w:spacing w:before="40" w:after="40" w:line="276" w:lineRule="auto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</w:pPr>
                  <w:r w:rsidRPr="007D02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National, state and territory population</w:t>
                  </w:r>
                  <w:r w:rsidR="00512574" w:rsidRPr="007D022A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eastAsia="en-AU"/>
                    </w:rPr>
                    <w:t>, December 2022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002C47" w:themeColor="accent1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2859E0" w14:textId="77777777" w:rsidR="00167155" w:rsidRPr="007D022A" w:rsidRDefault="00167155" w:rsidP="00167155">
                  <w:pPr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D022A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3101.0</w:t>
                  </w:r>
                </w:p>
              </w:tc>
              <w:tc>
                <w:tcPr>
                  <w:tcW w:w="1592" w:type="dxa"/>
                  <w:tcBorders>
                    <w:top w:val="nil"/>
                    <w:left w:val="nil"/>
                    <w:bottom w:val="single" w:sz="4" w:space="0" w:color="002C47" w:themeColor="accent1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0CEE85" w14:textId="325DC727" w:rsidR="00167155" w:rsidRPr="007D022A" w:rsidRDefault="00512574" w:rsidP="00167155">
                  <w:pPr>
                    <w:tabs>
                      <w:tab w:val="decimal" w:pos="741"/>
                    </w:tabs>
                    <w:spacing w:before="40" w:after="40" w:line="276" w:lineRule="auto"/>
                    <w:jc w:val="right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</w:pPr>
                  <w:r w:rsidRPr="007D022A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15</w:t>
                  </w:r>
                  <w:r w:rsidR="00167155" w:rsidRPr="007D022A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/0</w:t>
                  </w:r>
                  <w:r w:rsidRPr="007D022A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6</w:t>
                  </w:r>
                  <w:r w:rsidR="00167155" w:rsidRPr="007D022A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/202</w:t>
                  </w:r>
                  <w:r w:rsidRPr="007D022A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eastAsia="en-AU"/>
                    </w:rPr>
                    <w:t>3</w:t>
                  </w:r>
                </w:p>
              </w:tc>
            </w:tr>
          </w:tbl>
          <w:p w14:paraId="2D0644AA" w14:textId="28C54279" w:rsidR="00725216" w:rsidRPr="007D022A" w:rsidRDefault="00725216" w:rsidP="00F21FAB"/>
        </w:tc>
      </w:tr>
      <w:tr w:rsidR="00D2430D" w:rsidRPr="0023709A" w14:paraId="6F099DD5" w14:textId="77777777" w:rsidTr="00CC3A04">
        <w:trPr>
          <w:trHeight w:val="300"/>
        </w:trPr>
        <w:tc>
          <w:tcPr>
            <w:tcW w:w="5000" w:type="pct"/>
            <w:shd w:val="clear" w:color="auto" w:fill="auto"/>
            <w:vAlign w:val="center"/>
          </w:tcPr>
          <w:p w14:paraId="4DE89785" w14:textId="5EF8F062" w:rsidR="00D2430D" w:rsidRPr="00AC547B" w:rsidRDefault="00D2430D" w:rsidP="009041E9">
            <w:pPr>
              <w:rPr>
                <w:b/>
              </w:rPr>
            </w:pPr>
          </w:p>
        </w:tc>
      </w:tr>
      <w:tr w:rsidR="00725216" w:rsidRPr="00D24DBE" w14:paraId="4AB1EC6E" w14:textId="77777777" w:rsidTr="00CC3A04">
        <w:trPr>
          <w:trHeight w:val="300"/>
        </w:trPr>
        <w:tc>
          <w:tcPr>
            <w:tcW w:w="5000" w:type="pct"/>
            <w:tcBorders>
              <w:bottom w:val="single" w:sz="12" w:space="0" w:color="002C47" w:themeColor="accent1"/>
            </w:tcBorders>
            <w:shd w:val="clear" w:color="auto" w:fill="auto"/>
            <w:vAlign w:val="center"/>
          </w:tcPr>
          <w:p w14:paraId="70B4801F" w14:textId="77777777" w:rsidR="00725216" w:rsidRPr="006579A0" w:rsidRDefault="00725216" w:rsidP="00F21FAB">
            <w:pPr>
              <w:pStyle w:val="Heading3"/>
            </w:pPr>
            <w:r>
              <w:t>NOTES</w:t>
            </w:r>
          </w:p>
          <w:p w14:paraId="57A4071E" w14:textId="1097E28A" w:rsidR="00725216" w:rsidRPr="00D24DBE" w:rsidRDefault="00725216" w:rsidP="00F21FAB">
            <w:r>
              <w:t xml:space="preserve">Further detail is available from the Australian Bureau </w:t>
            </w:r>
            <w:r w:rsidRPr="001F4448">
              <w:t>of Statistics</w:t>
            </w:r>
            <w:r w:rsidR="001F4448" w:rsidRPr="001F4448">
              <w:t xml:space="preserve"> in</w:t>
            </w:r>
            <w:r w:rsidRPr="001F4448">
              <w:t xml:space="preserve"> </w:t>
            </w:r>
            <w:hyperlink r:id="rId12" w:history="1">
              <w:r w:rsidR="001F4448" w:rsidRPr="007D022A">
                <w:rPr>
                  <w:rStyle w:val="Hyperlink"/>
                  <w:i/>
                  <w:iCs/>
                </w:rPr>
                <w:t>Overseas Migration, 20</w:t>
              </w:r>
              <w:r w:rsidR="00025A0E">
                <w:rPr>
                  <w:rStyle w:val="Hyperlink"/>
                  <w:i/>
                  <w:iCs/>
                </w:rPr>
                <w:t>21–</w:t>
              </w:r>
              <w:r w:rsidR="001F4448" w:rsidRPr="007D022A">
                <w:rPr>
                  <w:rStyle w:val="Hyperlink"/>
                  <w:i/>
                  <w:iCs/>
                </w:rPr>
                <w:t>22</w:t>
              </w:r>
            </w:hyperlink>
          </w:p>
        </w:tc>
      </w:tr>
    </w:tbl>
    <w:p w14:paraId="475E7B83" w14:textId="3582D1BA" w:rsidR="00763EB8" w:rsidRDefault="00763EB8" w:rsidP="00A43EFE">
      <w:pPr>
        <w:rPr>
          <w:color w:val="000000"/>
        </w:rPr>
      </w:pPr>
    </w:p>
    <w:p w14:paraId="76B48B6F" w14:textId="6CD92B8E" w:rsidR="00763EB8" w:rsidRDefault="00763EB8">
      <w:pPr>
        <w:spacing w:before="0" w:after="200" w:line="276" w:lineRule="auto"/>
        <w:rPr>
          <w:color w:val="000000"/>
        </w:rPr>
      </w:pPr>
    </w:p>
    <w:p w14:paraId="2748F8F0" w14:textId="77777777" w:rsidR="00725216" w:rsidRDefault="00725216" w:rsidP="00A43EFE">
      <w:pPr>
        <w:rPr>
          <w:color w:val="000000"/>
        </w:rPr>
      </w:pPr>
    </w:p>
    <w:sectPr w:rsidR="00725216" w:rsidSect="00763E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8B1A" w14:textId="77777777" w:rsidR="0007183D" w:rsidRDefault="0007183D" w:rsidP="008F6A37">
      <w:r>
        <w:separator/>
      </w:r>
    </w:p>
  </w:endnote>
  <w:endnote w:type="continuationSeparator" w:id="0">
    <w:p w14:paraId="74858661" w14:textId="77777777" w:rsidR="0007183D" w:rsidRDefault="0007183D" w:rsidP="008F6A37">
      <w:r>
        <w:continuationSeparator/>
      </w:r>
    </w:p>
  </w:endnote>
  <w:endnote w:type="continuationNotice" w:id="1">
    <w:p w14:paraId="1241DDF1" w14:textId="77777777" w:rsidR="0007183D" w:rsidRDefault="00071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91A5" w14:textId="75752A09" w:rsidR="00F21FAB" w:rsidRDefault="00F21FAB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3</w:t>
    </w:r>
    <w:r w:rsidRPr="004B5358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27CF" w14:textId="4DDB57AF" w:rsidR="00F21FAB" w:rsidRDefault="00F21FAB" w:rsidP="003F60A7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2</w:t>
    </w:r>
    <w:r w:rsidRPr="004B535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6305" w14:textId="7B5B23E0" w:rsidR="00F21FAB" w:rsidRDefault="00F21FAB" w:rsidP="003F60A7">
    <w:pPr>
      <w:pStyle w:val="Footer"/>
    </w:pPr>
    <w:r w:rsidRPr="004B5358">
      <w:t xml:space="preserve">Page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PAGE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1</w:t>
    </w:r>
    <w:r w:rsidRPr="004B5358">
      <w:rPr>
        <w:b/>
        <w:bCs/>
      </w:rPr>
      <w:fldChar w:fldCharType="end"/>
    </w:r>
    <w:r w:rsidRPr="004B5358">
      <w:t xml:space="preserve"> of </w:t>
    </w:r>
    <w:r w:rsidRPr="004B5358">
      <w:rPr>
        <w:b/>
        <w:bCs/>
      </w:rPr>
      <w:fldChar w:fldCharType="begin"/>
    </w:r>
    <w:r w:rsidRPr="004B5358">
      <w:rPr>
        <w:b/>
        <w:bCs/>
      </w:rPr>
      <w:instrText xml:space="preserve"> NUMPAGES  \* Arabic  \* MERGEFORMAT </w:instrText>
    </w:r>
    <w:r w:rsidRPr="004B5358">
      <w:rPr>
        <w:b/>
        <w:bCs/>
      </w:rPr>
      <w:fldChar w:fldCharType="separate"/>
    </w:r>
    <w:r>
      <w:rPr>
        <w:b/>
        <w:bCs/>
      </w:rPr>
      <w:t>2</w:t>
    </w:r>
    <w:r w:rsidRPr="004B535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4E706" w14:textId="77777777" w:rsidR="0007183D" w:rsidRDefault="0007183D" w:rsidP="008F6A37">
      <w:r>
        <w:separator/>
      </w:r>
    </w:p>
  </w:footnote>
  <w:footnote w:type="continuationSeparator" w:id="0">
    <w:p w14:paraId="4DC0D5D9" w14:textId="77777777" w:rsidR="0007183D" w:rsidRDefault="0007183D" w:rsidP="008F6A37">
      <w:r>
        <w:continuationSeparator/>
      </w:r>
    </w:p>
  </w:footnote>
  <w:footnote w:type="continuationNotice" w:id="1">
    <w:p w14:paraId="0A6F0479" w14:textId="77777777" w:rsidR="0007183D" w:rsidRDefault="000718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D1D4" w14:textId="0A9FACF2" w:rsidR="00F21FAB" w:rsidRPr="00763EB8" w:rsidRDefault="00F21FAB" w:rsidP="00763EB8">
    <w:pPr>
      <w:pStyle w:val="Header"/>
      <w:jc w:val="left"/>
      <w:rPr>
        <w:color w:val="002C47" w:themeColor="accent1"/>
      </w:rPr>
    </w:pPr>
    <w:r w:rsidRPr="00763EB8">
      <w:rPr>
        <w:color w:val="002C47" w:themeColor="accent1"/>
      </w:rPr>
      <w:t>Centre for Population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A917" w14:textId="419DBD80" w:rsidR="00F21FAB" w:rsidRPr="00763EB8" w:rsidRDefault="00F21FAB" w:rsidP="00763EB8">
    <w:pPr>
      <w:pStyle w:val="HeaderOdd"/>
      <w:rPr>
        <w:b w:val="0"/>
        <w:bCs/>
        <w:i/>
        <w:iCs/>
      </w:rPr>
    </w:pPr>
    <w:r w:rsidRPr="00512574">
      <w:rPr>
        <w:b w:val="0"/>
        <w:bCs/>
      </w:rPr>
      <w:t>Analysis of</w:t>
    </w:r>
    <w:r w:rsidR="006F3D95" w:rsidRPr="006F3D95">
      <w:rPr>
        <w:b w:val="0"/>
        <w:bCs/>
        <w:i/>
        <w:iCs/>
      </w:rPr>
      <w:t xml:space="preserve"> </w:t>
    </w:r>
    <w:r w:rsidR="00B13328">
      <w:t xml:space="preserve">Overseas Migration, </w:t>
    </w:r>
    <w:r w:rsidR="00512574" w:rsidRPr="006F3D95">
      <w:rPr>
        <w:b w:val="0"/>
        <w:bCs/>
        <w:i/>
        <w:iCs/>
      </w:rPr>
      <w:t>20</w:t>
    </w:r>
    <w:r w:rsidR="00025A0E" w:rsidRPr="006F3D95">
      <w:rPr>
        <w:b w:val="0"/>
        <w:bCs/>
        <w:i/>
        <w:iCs/>
      </w:rPr>
      <w:t>21–</w:t>
    </w:r>
    <w:r w:rsidR="00512574" w:rsidRPr="006F3D95">
      <w:rPr>
        <w:b w:val="0"/>
        <w:bCs/>
        <w:i/>
        <w:iCs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7CB3" w14:textId="5162B5A1" w:rsidR="00F21FAB" w:rsidRPr="00725216" w:rsidRDefault="00F21FAB" w:rsidP="0072521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2DEB93A" wp14:editId="52D99F80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59994" cy="1441305"/>
          <wp:effectExtent l="0" t="0" r="3175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144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F43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8CD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E2B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2AA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A5ABB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382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624E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D2AF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07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520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D3FC7"/>
    <w:multiLevelType w:val="multilevel"/>
    <w:tmpl w:val="88BE7110"/>
    <w:styleLink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1" w15:restartNumberingAfterBreak="0">
    <w:nsid w:val="10653560"/>
    <w:multiLevelType w:val="multilevel"/>
    <w:tmpl w:val="72F8140E"/>
    <w:styleLink w:val="OutlineList"/>
    <w:lvl w:ilvl="0">
      <w:start w:val="1"/>
      <w:numFmt w:val="decimal"/>
      <w:pStyle w:val="OutlineNumbered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utline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OutlineNumbered3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7DF7717"/>
    <w:multiLevelType w:val="multilevel"/>
    <w:tmpl w:val="5DAAA53C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C4A0461"/>
    <w:multiLevelType w:val="hybridMultilevel"/>
    <w:tmpl w:val="91260442"/>
    <w:lvl w:ilvl="0" w:tplc="B49A184C">
      <w:start w:val="1"/>
      <w:numFmt w:val="decimal"/>
      <w:lvlText w:val="Chart %1."/>
      <w:lvlJc w:val="left"/>
      <w:pPr>
        <w:ind w:left="5038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6118" w:hanging="360"/>
      </w:pPr>
    </w:lvl>
    <w:lvl w:ilvl="2" w:tplc="0C09001B" w:tentative="1">
      <w:start w:val="1"/>
      <w:numFmt w:val="lowerRoman"/>
      <w:lvlText w:val="%3."/>
      <w:lvlJc w:val="right"/>
      <w:pPr>
        <w:ind w:left="6838" w:hanging="180"/>
      </w:pPr>
    </w:lvl>
    <w:lvl w:ilvl="3" w:tplc="0C09000F" w:tentative="1">
      <w:start w:val="1"/>
      <w:numFmt w:val="decimal"/>
      <w:lvlText w:val="%4."/>
      <w:lvlJc w:val="left"/>
      <w:pPr>
        <w:ind w:left="7558" w:hanging="360"/>
      </w:pPr>
    </w:lvl>
    <w:lvl w:ilvl="4" w:tplc="0C090019" w:tentative="1">
      <w:start w:val="1"/>
      <w:numFmt w:val="lowerLetter"/>
      <w:lvlText w:val="%5."/>
      <w:lvlJc w:val="left"/>
      <w:pPr>
        <w:ind w:left="8278" w:hanging="360"/>
      </w:pPr>
    </w:lvl>
    <w:lvl w:ilvl="5" w:tplc="0C09001B" w:tentative="1">
      <w:start w:val="1"/>
      <w:numFmt w:val="lowerRoman"/>
      <w:lvlText w:val="%6."/>
      <w:lvlJc w:val="right"/>
      <w:pPr>
        <w:ind w:left="8998" w:hanging="180"/>
      </w:pPr>
    </w:lvl>
    <w:lvl w:ilvl="6" w:tplc="0C09000F" w:tentative="1">
      <w:start w:val="1"/>
      <w:numFmt w:val="decimal"/>
      <w:lvlText w:val="%7."/>
      <w:lvlJc w:val="left"/>
      <w:pPr>
        <w:ind w:left="9718" w:hanging="360"/>
      </w:pPr>
    </w:lvl>
    <w:lvl w:ilvl="7" w:tplc="0C090019" w:tentative="1">
      <w:start w:val="1"/>
      <w:numFmt w:val="lowerLetter"/>
      <w:lvlText w:val="%8."/>
      <w:lvlJc w:val="left"/>
      <w:pPr>
        <w:ind w:left="10438" w:hanging="360"/>
      </w:pPr>
    </w:lvl>
    <w:lvl w:ilvl="8" w:tplc="0C0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4" w15:restartNumberingAfterBreak="0">
    <w:nsid w:val="27826BF0"/>
    <w:multiLevelType w:val="multilevel"/>
    <w:tmpl w:val="863C3022"/>
    <w:lvl w:ilvl="0">
      <w:start w:val="1"/>
      <w:numFmt w:val="lowerRoman"/>
      <w:pStyle w:val="Romannumer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AlphaParagraph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B326A3C"/>
    <w:multiLevelType w:val="multilevel"/>
    <w:tmpl w:val="B472F922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962" w:hanging="360"/>
      </w:pPr>
    </w:lvl>
    <w:lvl w:ilvl="4">
      <w:start w:val="1"/>
      <w:numFmt w:val="lowerLetter"/>
      <w:lvlText w:val="(%5)"/>
      <w:lvlJc w:val="left"/>
      <w:pPr>
        <w:ind w:left="2322" w:hanging="360"/>
      </w:pPr>
    </w:lvl>
    <w:lvl w:ilvl="5">
      <w:start w:val="1"/>
      <w:numFmt w:val="lowerRoman"/>
      <w:lvlText w:val="(%6)"/>
      <w:lvlJc w:val="left"/>
      <w:pPr>
        <w:ind w:left="2682" w:hanging="360"/>
      </w:pPr>
    </w:lvl>
    <w:lvl w:ilvl="6">
      <w:start w:val="1"/>
      <w:numFmt w:val="decimal"/>
      <w:lvlText w:val="%7."/>
      <w:lvlJc w:val="left"/>
      <w:pPr>
        <w:ind w:left="3042" w:hanging="360"/>
      </w:pPr>
    </w:lvl>
    <w:lvl w:ilvl="7">
      <w:start w:val="1"/>
      <w:numFmt w:val="lowerLetter"/>
      <w:lvlText w:val="%8."/>
      <w:lvlJc w:val="left"/>
      <w:pPr>
        <w:ind w:left="3402" w:hanging="360"/>
      </w:pPr>
    </w:lvl>
    <w:lvl w:ilvl="8">
      <w:start w:val="1"/>
      <w:numFmt w:val="lowerRoman"/>
      <w:lvlText w:val="%9."/>
      <w:lvlJc w:val="left"/>
      <w:pPr>
        <w:ind w:left="3762" w:hanging="360"/>
      </w:pPr>
    </w:lvl>
  </w:abstractNum>
  <w:abstractNum w:abstractNumId="16" w15:restartNumberingAfterBreak="0">
    <w:nsid w:val="308C2710"/>
    <w:multiLevelType w:val="multilevel"/>
    <w:tmpl w:val="5810D1F2"/>
    <w:styleLink w:val="BulletedList"/>
    <w:lvl w:ilvl="0">
      <w:start w:val="1"/>
      <w:numFmt w:val="bullet"/>
      <w:lvlRestart w:val="0"/>
      <w:pStyle w:val="Normal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Normal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Normal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17" w15:restartNumberingAfterBreak="0">
    <w:nsid w:val="3238442C"/>
    <w:multiLevelType w:val="multilevel"/>
    <w:tmpl w:val="20C6D62C"/>
    <w:styleLink w:val="ChartandTableFootnoteAlphaList"/>
    <w:lvl w:ilvl="0">
      <w:start w:val="1"/>
      <w:numFmt w:val="lowerLetter"/>
      <w:pStyle w:val="ChartandTableFootnoteAlpha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0C16AD"/>
    <w:multiLevelType w:val="multilevel"/>
    <w:tmpl w:val="D10E9CF6"/>
    <w:styleLink w:val="OneLevelList"/>
    <w:lvl w:ilvl="0">
      <w:start w:val="1"/>
      <w:numFmt w:val="decimal"/>
      <w:pStyle w:val="OneLevelNumberedParagraph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0C37C0"/>
    <w:multiLevelType w:val="hybridMultilevel"/>
    <w:tmpl w:val="7E4EFDA8"/>
    <w:lvl w:ilvl="0" w:tplc="BD6EB0BC">
      <w:start w:val="1"/>
      <w:numFmt w:val="decimal"/>
      <w:lvlText w:val="Chart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F6AB3"/>
    <w:multiLevelType w:val="hybridMultilevel"/>
    <w:tmpl w:val="E8D02006"/>
    <w:lvl w:ilvl="0" w:tplc="56DE09CA">
      <w:start w:val="1"/>
      <w:numFmt w:val="decimal"/>
      <w:lvlText w:val="Table %1.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C47" w:themeColor="accent1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8013C"/>
    <w:multiLevelType w:val="hybridMultilevel"/>
    <w:tmpl w:val="3E24635E"/>
    <w:lvl w:ilvl="0" w:tplc="7C960E5A">
      <w:start w:val="1"/>
      <w:numFmt w:val="decimal"/>
      <w:pStyle w:val="Heading8"/>
      <w:lvlText w:val="Table %1."/>
      <w:lvlJc w:val="left"/>
      <w:pPr>
        <w:tabs>
          <w:tab w:val="num" w:pos="992"/>
        </w:tabs>
        <w:ind w:left="992" w:hanging="9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20637"/>
    <w:multiLevelType w:val="hybridMultilevel"/>
    <w:tmpl w:val="E57A028C"/>
    <w:lvl w:ilvl="0" w:tplc="345E5FF0">
      <w:start w:val="1"/>
      <w:numFmt w:val="decimal"/>
      <w:lvlText w:val="Table %1."/>
      <w:lvlJc w:val="left"/>
      <w:pPr>
        <w:ind w:left="720" w:hanging="360"/>
      </w:pPr>
      <w:rPr>
        <w:b w:val="0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F57A5"/>
    <w:multiLevelType w:val="hybridMultilevel"/>
    <w:tmpl w:val="C5945306"/>
    <w:lvl w:ilvl="0" w:tplc="8A16F684">
      <w:start w:val="1"/>
      <w:numFmt w:val="decimal"/>
      <w:pStyle w:val="TableMainHeading"/>
      <w:lvlText w:val="Table 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2C47" w:themeColor="accent1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508C2"/>
    <w:multiLevelType w:val="hybridMultilevel"/>
    <w:tmpl w:val="76307676"/>
    <w:lvl w:ilvl="0" w:tplc="E162F2F0">
      <w:start w:val="1"/>
      <w:numFmt w:val="decimal"/>
      <w:lvlText w:val="Table %1.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C47" w:themeColor="accent1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66D76"/>
    <w:multiLevelType w:val="hybridMultilevel"/>
    <w:tmpl w:val="2F844B7A"/>
    <w:lvl w:ilvl="0" w:tplc="AC4EB56E">
      <w:start w:val="1"/>
      <w:numFmt w:val="decimal"/>
      <w:pStyle w:val="BoxHeading"/>
      <w:lvlText w:val="Box %1."/>
      <w:lvlJc w:val="left"/>
      <w:pPr>
        <w:ind w:left="720" w:hanging="360"/>
      </w:pPr>
      <w:rPr>
        <w:rFonts w:hint="default"/>
        <w:cap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A02C0"/>
    <w:multiLevelType w:val="hybridMultilevel"/>
    <w:tmpl w:val="CB224C8E"/>
    <w:lvl w:ilvl="0" w:tplc="70DACDBC">
      <w:start w:val="1"/>
      <w:numFmt w:val="decimal"/>
      <w:pStyle w:val="ChartMainHeading"/>
      <w:lvlText w:val="Chart 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040BD"/>
    <w:multiLevelType w:val="hybridMultilevel"/>
    <w:tmpl w:val="0274866E"/>
    <w:lvl w:ilvl="0" w:tplc="797265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97CAF"/>
    <w:multiLevelType w:val="multilevel"/>
    <w:tmpl w:val="87820DF6"/>
    <w:lvl w:ilvl="0">
      <w:start w:val="1"/>
      <w:numFmt w:val="bullet"/>
      <w:lvlText w:val="•"/>
      <w:lvlJc w:val="left"/>
      <w:pPr>
        <w:tabs>
          <w:tab w:val="num" w:pos="472"/>
        </w:tabs>
        <w:ind w:left="472" w:hanging="472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944"/>
        </w:tabs>
        <w:ind w:left="944" w:hanging="472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416"/>
        </w:tabs>
        <w:ind w:left="1416" w:hanging="472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2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24"/>
  </w:num>
  <w:num w:numId="18">
    <w:abstractNumId w:val="17"/>
  </w:num>
  <w:num w:numId="19">
    <w:abstractNumId w:val="12"/>
  </w:num>
  <w:num w:numId="20">
    <w:abstractNumId w:val="20"/>
  </w:num>
  <w:num w:numId="21">
    <w:abstractNumId w:val="13"/>
  </w:num>
  <w:num w:numId="22">
    <w:abstractNumId w:val="18"/>
  </w:num>
  <w:num w:numId="23">
    <w:abstractNumId w:val="11"/>
  </w:num>
  <w:num w:numId="24">
    <w:abstractNumId w:val="14"/>
  </w:num>
  <w:num w:numId="25">
    <w:abstractNumId w:val="22"/>
  </w:num>
  <w:num w:numId="26">
    <w:abstractNumId w:val="19"/>
  </w:num>
  <w:num w:numId="27">
    <w:abstractNumId w:val="23"/>
  </w:num>
  <w:num w:numId="28">
    <w:abstractNumId w:val="26"/>
  </w:num>
  <w:num w:numId="29">
    <w:abstractNumId w:val="25"/>
  </w:num>
  <w:num w:numId="30">
    <w:abstractNumId w:val="21"/>
  </w:num>
  <w:num w:numId="31">
    <w:abstractNumId w:val="26"/>
  </w:num>
  <w:num w:numId="32">
    <w:abstractNumId w:val="15"/>
  </w:num>
  <w:num w:numId="33">
    <w:abstractNumId w:val="15"/>
  </w:num>
  <w:num w:numId="34">
    <w:abstractNumId w:val="15"/>
  </w:num>
  <w:num w:numId="35">
    <w:abstractNumId w:val="26"/>
  </w:num>
  <w:num w:numId="36">
    <w:abstractNumId w:val="26"/>
  </w:num>
  <w:num w:numId="37">
    <w:abstractNumId w:val="26"/>
  </w:num>
  <w:num w:numId="38">
    <w:abstractNumId w:val="1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CF"/>
    <w:rsid w:val="0000248C"/>
    <w:rsid w:val="000024F5"/>
    <w:rsid w:val="000025C3"/>
    <w:rsid w:val="00005552"/>
    <w:rsid w:val="00005C33"/>
    <w:rsid w:val="00005FDD"/>
    <w:rsid w:val="000075D6"/>
    <w:rsid w:val="00011E58"/>
    <w:rsid w:val="0001357F"/>
    <w:rsid w:val="000135AD"/>
    <w:rsid w:val="000138FE"/>
    <w:rsid w:val="00014B3E"/>
    <w:rsid w:val="00017247"/>
    <w:rsid w:val="000212AE"/>
    <w:rsid w:val="000219AA"/>
    <w:rsid w:val="00022B42"/>
    <w:rsid w:val="00022C7A"/>
    <w:rsid w:val="00023CBA"/>
    <w:rsid w:val="00024A4C"/>
    <w:rsid w:val="00024D0B"/>
    <w:rsid w:val="00025A0E"/>
    <w:rsid w:val="00027731"/>
    <w:rsid w:val="00027CE2"/>
    <w:rsid w:val="00030946"/>
    <w:rsid w:val="00030FAB"/>
    <w:rsid w:val="000321E4"/>
    <w:rsid w:val="000330A2"/>
    <w:rsid w:val="00036886"/>
    <w:rsid w:val="000375A5"/>
    <w:rsid w:val="00037E2C"/>
    <w:rsid w:val="0004038D"/>
    <w:rsid w:val="00040405"/>
    <w:rsid w:val="000405D3"/>
    <w:rsid w:val="000409F3"/>
    <w:rsid w:val="0004478B"/>
    <w:rsid w:val="0004496F"/>
    <w:rsid w:val="00044A6C"/>
    <w:rsid w:val="00044BD0"/>
    <w:rsid w:val="00046DAC"/>
    <w:rsid w:val="0004718D"/>
    <w:rsid w:val="00047BA9"/>
    <w:rsid w:val="00050095"/>
    <w:rsid w:val="000507D3"/>
    <w:rsid w:val="00053DE3"/>
    <w:rsid w:val="00053FF1"/>
    <w:rsid w:val="0005424F"/>
    <w:rsid w:val="000554D7"/>
    <w:rsid w:val="0005568F"/>
    <w:rsid w:val="00055F85"/>
    <w:rsid w:val="00056E4C"/>
    <w:rsid w:val="00057D34"/>
    <w:rsid w:val="0006007C"/>
    <w:rsid w:val="00060D1B"/>
    <w:rsid w:val="000638FB"/>
    <w:rsid w:val="00064D04"/>
    <w:rsid w:val="00065FAE"/>
    <w:rsid w:val="000664EE"/>
    <w:rsid w:val="00066DCF"/>
    <w:rsid w:val="0006708B"/>
    <w:rsid w:val="000702C0"/>
    <w:rsid w:val="0007183D"/>
    <w:rsid w:val="00073631"/>
    <w:rsid w:val="000741B6"/>
    <w:rsid w:val="0007513C"/>
    <w:rsid w:val="000767D6"/>
    <w:rsid w:val="0008139F"/>
    <w:rsid w:val="00081BE4"/>
    <w:rsid w:val="00081EC8"/>
    <w:rsid w:val="000833DC"/>
    <w:rsid w:val="000859FB"/>
    <w:rsid w:val="00085F2A"/>
    <w:rsid w:val="00085FC0"/>
    <w:rsid w:val="00093E21"/>
    <w:rsid w:val="00094A06"/>
    <w:rsid w:val="00094BF8"/>
    <w:rsid w:val="00096136"/>
    <w:rsid w:val="000967BC"/>
    <w:rsid w:val="000A002A"/>
    <w:rsid w:val="000A130F"/>
    <w:rsid w:val="000A243E"/>
    <w:rsid w:val="000A24B6"/>
    <w:rsid w:val="000A2E8D"/>
    <w:rsid w:val="000A5882"/>
    <w:rsid w:val="000A709B"/>
    <w:rsid w:val="000A77D4"/>
    <w:rsid w:val="000B065B"/>
    <w:rsid w:val="000B2BC3"/>
    <w:rsid w:val="000B43F7"/>
    <w:rsid w:val="000B4C4B"/>
    <w:rsid w:val="000B6715"/>
    <w:rsid w:val="000B7540"/>
    <w:rsid w:val="000C1DC4"/>
    <w:rsid w:val="000C1E9B"/>
    <w:rsid w:val="000C2BBD"/>
    <w:rsid w:val="000C5C34"/>
    <w:rsid w:val="000C6A5F"/>
    <w:rsid w:val="000D0233"/>
    <w:rsid w:val="000D0E89"/>
    <w:rsid w:val="000D1ADE"/>
    <w:rsid w:val="000D2084"/>
    <w:rsid w:val="000D4B22"/>
    <w:rsid w:val="000D63F6"/>
    <w:rsid w:val="000D7E77"/>
    <w:rsid w:val="000E1BCE"/>
    <w:rsid w:val="000E283D"/>
    <w:rsid w:val="000E287F"/>
    <w:rsid w:val="000E2A1D"/>
    <w:rsid w:val="000E3CD8"/>
    <w:rsid w:val="000E3E0C"/>
    <w:rsid w:val="000E6836"/>
    <w:rsid w:val="000E68E6"/>
    <w:rsid w:val="000F0031"/>
    <w:rsid w:val="000F04C1"/>
    <w:rsid w:val="000F1A5D"/>
    <w:rsid w:val="000F1F16"/>
    <w:rsid w:val="000F37CF"/>
    <w:rsid w:val="000F60AE"/>
    <w:rsid w:val="000F60CF"/>
    <w:rsid w:val="000F6912"/>
    <w:rsid w:val="000F6EAA"/>
    <w:rsid w:val="00103739"/>
    <w:rsid w:val="001039A2"/>
    <w:rsid w:val="001039A8"/>
    <w:rsid w:val="001140DF"/>
    <w:rsid w:val="00114CA5"/>
    <w:rsid w:val="00116FB0"/>
    <w:rsid w:val="00120861"/>
    <w:rsid w:val="001211DA"/>
    <w:rsid w:val="00122466"/>
    <w:rsid w:val="00122485"/>
    <w:rsid w:val="00124E92"/>
    <w:rsid w:val="00126350"/>
    <w:rsid w:val="00133E61"/>
    <w:rsid w:val="00135022"/>
    <w:rsid w:val="00137579"/>
    <w:rsid w:val="001418C5"/>
    <w:rsid w:val="00142FC9"/>
    <w:rsid w:val="0014336B"/>
    <w:rsid w:val="001452FF"/>
    <w:rsid w:val="0014580B"/>
    <w:rsid w:val="00150047"/>
    <w:rsid w:val="00150552"/>
    <w:rsid w:val="00152C88"/>
    <w:rsid w:val="00152FB3"/>
    <w:rsid w:val="00153143"/>
    <w:rsid w:val="00153E9E"/>
    <w:rsid w:val="001540C3"/>
    <w:rsid w:val="00154658"/>
    <w:rsid w:val="001548EE"/>
    <w:rsid w:val="00157C73"/>
    <w:rsid w:val="00157EB6"/>
    <w:rsid w:val="0016052C"/>
    <w:rsid w:val="00160A10"/>
    <w:rsid w:val="00160D09"/>
    <w:rsid w:val="00161FA0"/>
    <w:rsid w:val="00163048"/>
    <w:rsid w:val="00164BB5"/>
    <w:rsid w:val="00166D3E"/>
    <w:rsid w:val="00167034"/>
    <w:rsid w:val="00167155"/>
    <w:rsid w:val="0016769B"/>
    <w:rsid w:val="001676EE"/>
    <w:rsid w:val="00170425"/>
    <w:rsid w:val="001707F2"/>
    <w:rsid w:val="00171B99"/>
    <w:rsid w:val="0017330F"/>
    <w:rsid w:val="001737E2"/>
    <w:rsid w:val="00174442"/>
    <w:rsid w:val="0017486C"/>
    <w:rsid w:val="0017622D"/>
    <w:rsid w:val="00176715"/>
    <w:rsid w:val="00176A27"/>
    <w:rsid w:val="00176F6D"/>
    <w:rsid w:val="0017717F"/>
    <w:rsid w:val="00180671"/>
    <w:rsid w:val="001831C2"/>
    <w:rsid w:val="0018331E"/>
    <w:rsid w:val="001838BA"/>
    <w:rsid w:val="00184350"/>
    <w:rsid w:val="001844D9"/>
    <w:rsid w:val="00186406"/>
    <w:rsid w:val="001869A8"/>
    <w:rsid w:val="00186E59"/>
    <w:rsid w:val="00187C81"/>
    <w:rsid w:val="00187E5F"/>
    <w:rsid w:val="00187EAE"/>
    <w:rsid w:val="00190A0A"/>
    <w:rsid w:val="00192757"/>
    <w:rsid w:val="00194E8F"/>
    <w:rsid w:val="00195A31"/>
    <w:rsid w:val="00197182"/>
    <w:rsid w:val="001A1254"/>
    <w:rsid w:val="001A24B0"/>
    <w:rsid w:val="001A2C27"/>
    <w:rsid w:val="001A3B12"/>
    <w:rsid w:val="001B0934"/>
    <w:rsid w:val="001B0EDA"/>
    <w:rsid w:val="001B0EE4"/>
    <w:rsid w:val="001B20B3"/>
    <w:rsid w:val="001B275D"/>
    <w:rsid w:val="001B2923"/>
    <w:rsid w:val="001B690A"/>
    <w:rsid w:val="001C0224"/>
    <w:rsid w:val="001C0F70"/>
    <w:rsid w:val="001C2DAA"/>
    <w:rsid w:val="001C38B5"/>
    <w:rsid w:val="001C6449"/>
    <w:rsid w:val="001C6454"/>
    <w:rsid w:val="001C6A41"/>
    <w:rsid w:val="001C6CE2"/>
    <w:rsid w:val="001C6E25"/>
    <w:rsid w:val="001D0043"/>
    <w:rsid w:val="001D259D"/>
    <w:rsid w:val="001D4051"/>
    <w:rsid w:val="001D44F8"/>
    <w:rsid w:val="001D5A3A"/>
    <w:rsid w:val="001D76C7"/>
    <w:rsid w:val="001E17A9"/>
    <w:rsid w:val="001E20B9"/>
    <w:rsid w:val="001E2E52"/>
    <w:rsid w:val="001F4448"/>
    <w:rsid w:val="001F5C62"/>
    <w:rsid w:val="001F62EA"/>
    <w:rsid w:val="001F67C7"/>
    <w:rsid w:val="001F6AFA"/>
    <w:rsid w:val="001F7C99"/>
    <w:rsid w:val="002004BF"/>
    <w:rsid w:val="00201F7A"/>
    <w:rsid w:val="002046A2"/>
    <w:rsid w:val="00205715"/>
    <w:rsid w:val="00205B8E"/>
    <w:rsid w:val="00206105"/>
    <w:rsid w:val="002065FF"/>
    <w:rsid w:val="0021002C"/>
    <w:rsid w:val="00211325"/>
    <w:rsid w:val="0021212C"/>
    <w:rsid w:val="0021232B"/>
    <w:rsid w:val="002123E7"/>
    <w:rsid w:val="00213933"/>
    <w:rsid w:val="00215C3B"/>
    <w:rsid w:val="00220979"/>
    <w:rsid w:val="00221231"/>
    <w:rsid w:val="002237C5"/>
    <w:rsid w:val="00223A02"/>
    <w:rsid w:val="00223EE9"/>
    <w:rsid w:val="002240CA"/>
    <w:rsid w:val="00224D41"/>
    <w:rsid w:val="0022778A"/>
    <w:rsid w:val="00230525"/>
    <w:rsid w:val="00230721"/>
    <w:rsid w:val="00230EB4"/>
    <w:rsid w:val="0023398A"/>
    <w:rsid w:val="00233AC7"/>
    <w:rsid w:val="00233BBC"/>
    <w:rsid w:val="00235115"/>
    <w:rsid w:val="0023583C"/>
    <w:rsid w:val="00235CD5"/>
    <w:rsid w:val="00236882"/>
    <w:rsid w:val="00236C31"/>
    <w:rsid w:val="0023709A"/>
    <w:rsid w:val="00237879"/>
    <w:rsid w:val="0023795B"/>
    <w:rsid w:val="002406D2"/>
    <w:rsid w:val="0024076E"/>
    <w:rsid w:val="0024155D"/>
    <w:rsid w:val="002426B5"/>
    <w:rsid w:val="00242910"/>
    <w:rsid w:val="00244526"/>
    <w:rsid w:val="002451A0"/>
    <w:rsid w:val="00245B70"/>
    <w:rsid w:val="00245C98"/>
    <w:rsid w:val="0024662A"/>
    <w:rsid w:val="0024753F"/>
    <w:rsid w:val="00247742"/>
    <w:rsid w:val="0025079E"/>
    <w:rsid w:val="00250DCD"/>
    <w:rsid w:val="00251B7F"/>
    <w:rsid w:val="002526C9"/>
    <w:rsid w:val="00253C5D"/>
    <w:rsid w:val="002566E1"/>
    <w:rsid w:val="00256CAD"/>
    <w:rsid w:val="00257970"/>
    <w:rsid w:val="00257D71"/>
    <w:rsid w:val="00257E05"/>
    <w:rsid w:val="002622FF"/>
    <w:rsid w:val="0026616E"/>
    <w:rsid w:val="002668C3"/>
    <w:rsid w:val="0026788A"/>
    <w:rsid w:val="00270337"/>
    <w:rsid w:val="00273972"/>
    <w:rsid w:val="00275740"/>
    <w:rsid w:val="00275A41"/>
    <w:rsid w:val="00275C6D"/>
    <w:rsid w:val="00277157"/>
    <w:rsid w:val="00277BE1"/>
    <w:rsid w:val="00277DCD"/>
    <w:rsid w:val="00282A93"/>
    <w:rsid w:val="002830CF"/>
    <w:rsid w:val="00283A37"/>
    <w:rsid w:val="00284FDF"/>
    <w:rsid w:val="0028692E"/>
    <w:rsid w:val="00287D12"/>
    <w:rsid w:val="002919A7"/>
    <w:rsid w:val="00291D2F"/>
    <w:rsid w:val="002929EF"/>
    <w:rsid w:val="00292EFE"/>
    <w:rsid w:val="002934DE"/>
    <w:rsid w:val="00293C4B"/>
    <w:rsid w:val="002950F4"/>
    <w:rsid w:val="002A2AB7"/>
    <w:rsid w:val="002A2C03"/>
    <w:rsid w:val="002A4563"/>
    <w:rsid w:val="002A7BB1"/>
    <w:rsid w:val="002B09EB"/>
    <w:rsid w:val="002B0CAC"/>
    <w:rsid w:val="002B1DF1"/>
    <w:rsid w:val="002B40ED"/>
    <w:rsid w:val="002B5824"/>
    <w:rsid w:val="002B5D9A"/>
    <w:rsid w:val="002B5E1D"/>
    <w:rsid w:val="002B684F"/>
    <w:rsid w:val="002B6A32"/>
    <w:rsid w:val="002B74D1"/>
    <w:rsid w:val="002C03D9"/>
    <w:rsid w:val="002C0D7D"/>
    <w:rsid w:val="002C2D5A"/>
    <w:rsid w:val="002D01D9"/>
    <w:rsid w:val="002D0D59"/>
    <w:rsid w:val="002D1DDD"/>
    <w:rsid w:val="002D2002"/>
    <w:rsid w:val="002D4BDD"/>
    <w:rsid w:val="002D4EB4"/>
    <w:rsid w:val="002D5196"/>
    <w:rsid w:val="002D5CDA"/>
    <w:rsid w:val="002D5D79"/>
    <w:rsid w:val="002D76C9"/>
    <w:rsid w:val="002D7AF4"/>
    <w:rsid w:val="002E1020"/>
    <w:rsid w:val="002E1867"/>
    <w:rsid w:val="002E1A7C"/>
    <w:rsid w:val="002E290A"/>
    <w:rsid w:val="002E2FAA"/>
    <w:rsid w:val="002E4452"/>
    <w:rsid w:val="002E57F5"/>
    <w:rsid w:val="002E5932"/>
    <w:rsid w:val="002E6DD2"/>
    <w:rsid w:val="002F0511"/>
    <w:rsid w:val="002F0ECB"/>
    <w:rsid w:val="002F1DE2"/>
    <w:rsid w:val="002F210E"/>
    <w:rsid w:val="002F248C"/>
    <w:rsid w:val="002F323C"/>
    <w:rsid w:val="002F4A5B"/>
    <w:rsid w:val="002F77A5"/>
    <w:rsid w:val="0030289A"/>
    <w:rsid w:val="00302A94"/>
    <w:rsid w:val="0030553F"/>
    <w:rsid w:val="00311278"/>
    <w:rsid w:val="00313F19"/>
    <w:rsid w:val="00317D6E"/>
    <w:rsid w:val="003207E9"/>
    <w:rsid w:val="00323571"/>
    <w:rsid w:val="00325741"/>
    <w:rsid w:val="003266FB"/>
    <w:rsid w:val="003269F4"/>
    <w:rsid w:val="00330482"/>
    <w:rsid w:val="003348F5"/>
    <w:rsid w:val="003369A9"/>
    <w:rsid w:val="00336E85"/>
    <w:rsid w:val="003413C9"/>
    <w:rsid w:val="00341522"/>
    <w:rsid w:val="00341E00"/>
    <w:rsid w:val="0034464F"/>
    <w:rsid w:val="0034475C"/>
    <w:rsid w:val="00344B69"/>
    <w:rsid w:val="00345013"/>
    <w:rsid w:val="003478BF"/>
    <w:rsid w:val="00347F56"/>
    <w:rsid w:val="00351A5B"/>
    <w:rsid w:val="00351DAE"/>
    <w:rsid w:val="00352B8E"/>
    <w:rsid w:val="00354BA3"/>
    <w:rsid w:val="003558C3"/>
    <w:rsid w:val="0035639A"/>
    <w:rsid w:val="00357348"/>
    <w:rsid w:val="003600B6"/>
    <w:rsid w:val="00362537"/>
    <w:rsid w:val="00362605"/>
    <w:rsid w:val="00364843"/>
    <w:rsid w:val="00365126"/>
    <w:rsid w:val="00365E6F"/>
    <w:rsid w:val="00365E78"/>
    <w:rsid w:val="00366737"/>
    <w:rsid w:val="003675B2"/>
    <w:rsid w:val="0037217C"/>
    <w:rsid w:val="0037393C"/>
    <w:rsid w:val="003770CC"/>
    <w:rsid w:val="003774E5"/>
    <w:rsid w:val="0038054F"/>
    <w:rsid w:val="00381B77"/>
    <w:rsid w:val="00381C48"/>
    <w:rsid w:val="003826CF"/>
    <w:rsid w:val="00387A74"/>
    <w:rsid w:val="00392177"/>
    <w:rsid w:val="00393ABA"/>
    <w:rsid w:val="00394E0D"/>
    <w:rsid w:val="00395969"/>
    <w:rsid w:val="00397081"/>
    <w:rsid w:val="003A06BD"/>
    <w:rsid w:val="003A1707"/>
    <w:rsid w:val="003A32CE"/>
    <w:rsid w:val="003A3DD6"/>
    <w:rsid w:val="003A5CFB"/>
    <w:rsid w:val="003A748B"/>
    <w:rsid w:val="003A7FFE"/>
    <w:rsid w:val="003B06DE"/>
    <w:rsid w:val="003B0E36"/>
    <w:rsid w:val="003B47F5"/>
    <w:rsid w:val="003B702A"/>
    <w:rsid w:val="003C01A4"/>
    <w:rsid w:val="003C1811"/>
    <w:rsid w:val="003C3E27"/>
    <w:rsid w:val="003C63DE"/>
    <w:rsid w:val="003C759F"/>
    <w:rsid w:val="003D0561"/>
    <w:rsid w:val="003D148A"/>
    <w:rsid w:val="003D3445"/>
    <w:rsid w:val="003D4110"/>
    <w:rsid w:val="003D4771"/>
    <w:rsid w:val="003D5324"/>
    <w:rsid w:val="003D7915"/>
    <w:rsid w:val="003E1B45"/>
    <w:rsid w:val="003E5E43"/>
    <w:rsid w:val="003E62EF"/>
    <w:rsid w:val="003F00FC"/>
    <w:rsid w:val="003F1886"/>
    <w:rsid w:val="003F2541"/>
    <w:rsid w:val="003F2590"/>
    <w:rsid w:val="003F3B05"/>
    <w:rsid w:val="003F3F0B"/>
    <w:rsid w:val="003F4900"/>
    <w:rsid w:val="003F5859"/>
    <w:rsid w:val="003F5DC8"/>
    <w:rsid w:val="003F60A7"/>
    <w:rsid w:val="003F77B0"/>
    <w:rsid w:val="00400285"/>
    <w:rsid w:val="00400C70"/>
    <w:rsid w:val="00401FAD"/>
    <w:rsid w:val="00402BBA"/>
    <w:rsid w:val="004033FC"/>
    <w:rsid w:val="00403CA5"/>
    <w:rsid w:val="0040438A"/>
    <w:rsid w:val="00404954"/>
    <w:rsid w:val="00405536"/>
    <w:rsid w:val="004056DC"/>
    <w:rsid w:val="00405AD5"/>
    <w:rsid w:val="00410B21"/>
    <w:rsid w:val="004125A9"/>
    <w:rsid w:val="004147D5"/>
    <w:rsid w:val="0041701F"/>
    <w:rsid w:val="004175A1"/>
    <w:rsid w:val="00420363"/>
    <w:rsid w:val="00423191"/>
    <w:rsid w:val="0042650B"/>
    <w:rsid w:val="0042763C"/>
    <w:rsid w:val="0043126C"/>
    <w:rsid w:val="00431FE2"/>
    <w:rsid w:val="0043217F"/>
    <w:rsid w:val="00432A34"/>
    <w:rsid w:val="004331C1"/>
    <w:rsid w:val="00436F8D"/>
    <w:rsid w:val="0043774A"/>
    <w:rsid w:val="0044091A"/>
    <w:rsid w:val="00441AEB"/>
    <w:rsid w:val="004431B7"/>
    <w:rsid w:val="00444A05"/>
    <w:rsid w:val="004459C6"/>
    <w:rsid w:val="00445CD9"/>
    <w:rsid w:val="004464EF"/>
    <w:rsid w:val="004479ED"/>
    <w:rsid w:val="00447B0D"/>
    <w:rsid w:val="00447EDC"/>
    <w:rsid w:val="004509C9"/>
    <w:rsid w:val="00450BCE"/>
    <w:rsid w:val="00451C6F"/>
    <w:rsid w:val="00453087"/>
    <w:rsid w:val="004547F8"/>
    <w:rsid w:val="00455010"/>
    <w:rsid w:val="0045794D"/>
    <w:rsid w:val="00457AF3"/>
    <w:rsid w:val="0046019B"/>
    <w:rsid w:val="0046058D"/>
    <w:rsid w:val="0046136D"/>
    <w:rsid w:val="00461D8E"/>
    <w:rsid w:val="00463005"/>
    <w:rsid w:val="004639F9"/>
    <w:rsid w:val="0046456E"/>
    <w:rsid w:val="00465C90"/>
    <w:rsid w:val="004671F2"/>
    <w:rsid w:val="004711B6"/>
    <w:rsid w:val="0047532A"/>
    <w:rsid w:val="00476CB6"/>
    <w:rsid w:val="0047768D"/>
    <w:rsid w:val="0048070E"/>
    <w:rsid w:val="004820B2"/>
    <w:rsid w:val="00482FE6"/>
    <w:rsid w:val="0048321B"/>
    <w:rsid w:val="00483B62"/>
    <w:rsid w:val="00484CB6"/>
    <w:rsid w:val="0048560C"/>
    <w:rsid w:val="00487CB6"/>
    <w:rsid w:val="00490182"/>
    <w:rsid w:val="004903E5"/>
    <w:rsid w:val="00491076"/>
    <w:rsid w:val="00491E2A"/>
    <w:rsid w:val="004927CF"/>
    <w:rsid w:val="00493780"/>
    <w:rsid w:val="004A1D45"/>
    <w:rsid w:val="004A6A96"/>
    <w:rsid w:val="004A6BC4"/>
    <w:rsid w:val="004A6ECE"/>
    <w:rsid w:val="004A6FE6"/>
    <w:rsid w:val="004A7907"/>
    <w:rsid w:val="004B31F7"/>
    <w:rsid w:val="004B32ED"/>
    <w:rsid w:val="004B523D"/>
    <w:rsid w:val="004B5358"/>
    <w:rsid w:val="004B53AF"/>
    <w:rsid w:val="004C13AE"/>
    <w:rsid w:val="004C38EA"/>
    <w:rsid w:val="004C6AEA"/>
    <w:rsid w:val="004D06C2"/>
    <w:rsid w:val="004D1E83"/>
    <w:rsid w:val="004D1FE9"/>
    <w:rsid w:val="004D5E45"/>
    <w:rsid w:val="004E0C25"/>
    <w:rsid w:val="004E1632"/>
    <w:rsid w:val="004E1C71"/>
    <w:rsid w:val="004E2245"/>
    <w:rsid w:val="004E4BCE"/>
    <w:rsid w:val="004E520F"/>
    <w:rsid w:val="004E580E"/>
    <w:rsid w:val="004E5ED4"/>
    <w:rsid w:val="004E6D11"/>
    <w:rsid w:val="004E6F29"/>
    <w:rsid w:val="004F0C24"/>
    <w:rsid w:val="004F10A8"/>
    <w:rsid w:val="004F34F6"/>
    <w:rsid w:val="004F427D"/>
    <w:rsid w:val="004F4E43"/>
    <w:rsid w:val="004F4FDD"/>
    <w:rsid w:val="004F55F6"/>
    <w:rsid w:val="00500E7E"/>
    <w:rsid w:val="00501215"/>
    <w:rsid w:val="0050181F"/>
    <w:rsid w:val="0050372F"/>
    <w:rsid w:val="00504F21"/>
    <w:rsid w:val="005060E0"/>
    <w:rsid w:val="005073F0"/>
    <w:rsid w:val="00507E46"/>
    <w:rsid w:val="00510983"/>
    <w:rsid w:val="00512574"/>
    <w:rsid w:val="00513619"/>
    <w:rsid w:val="00513FB5"/>
    <w:rsid w:val="0051477F"/>
    <w:rsid w:val="0051509F"/>
    <w:rsid w:val="005152E5"/>
    <w:rsid w:val="00515427"/>
    <w:rsid w:val="00515D66"/>
    <w:rsid w:val="00516060"/>
    <w:rsid w:val="005163B4"/>
    <w:rsid w:val="00516F2E"/>
    <w:rsid w:val="00517F9D"/>
    <w:rsid w:val="005211B9"/>
    <w:rsid w:val="005215CE"/>
    <w:rsid w:val="00523E0B"/>
    <w:rsid w:val="00527E02"/>
    <w:rsid w:val="00527FAF"/>
    <w:rsid w:val="0053040C"/>
    <w:rsid w:val="00532145"/>
    <w:rsid w:val="00532759"/>
    <w:rsid w:val="00532BEE"/>
    <w:rsid w:val="005330EA"/>
    <w:rsid w:val="0053664F"/>
    <w:rsid w:val="00540F12"/>
    <w:rsid w:val="005433F9"/>
    <w:rsid w:val="005448A6"/>
    <w:rsid w:val="005461A1"/>
    <w:rsid w:val="00552451"/>
    <w:rsid w:val="00553293"/>
    <w:rsid w:val="00553D17"/>
    <w:rsid w:val="0055406A"/>
    <w:rsid w:val="0055413E"/>
    <w:rsid w:val="00555C4A"/>
    <w:rsid w:val="00556113"/>
    <w:rsid w:val="00556908"/>
    <w:rsid w:val="005579B8"/>
    <w:rsid w:val="0056128B"/>
    <w:rsid w:val="00561296"/>
    <w:rsid w:val="0056171F"/>
    <w:rsid w:val="0056226B"/>
    <w:rsid w:val="00562946"/>
    <w:rsid w:val="00562A8F"/>
    <w:rsid w:val="005630EA"/>
    <w:rsid w:val="00563213"/>
    <w:rsid w:val="00563395"/>
    <w:rsid w:val="00564EA6"/>
    <w:rsid w:val="0056611C"/>
    <w:rsid w:val="0057167F"/>
    <w:rsid w:val="00581D1C"/>
    <w:rsid w:val="00583823"/>
    <w:rsid w:val="00583A6A"/>
    <w:rsid w:val="00583B2D"/>
    <w:rsid w:val="0058746B"/>
    <w:rsid w:val="00590175"/>
    <w:rsid w:val="00591A94"/>
    <w:rsid w:val="00592A2F"/>
    <w:rsid w:val="00592F47"/>
    <w:rsid w:val="0059471F"/>
    <w:rsid w:val="00595444"/>
    <w:rsid w:val="00596A22"/>
    <w:rsid w:val="005A272D"/>
    <w:rsid w:val="005A2937"/>
    <w:rsid w:val="005A2F15"/>
    <w:rsid w:val="005A3A4F"/>
    <w:rsid w:val="005A439A"/>
    <w:rsid w:val="005A56FC"/>
    <w:rsid w:val="005A5838"/>
    <w:rsid w:val="005A74B5"/>
    <w:rsid w:val="005B1EB3"/>
    <w:rsid w:val="005B2A7E"/>
    <w:rsid w:val="005B347F"/>
    <w:rsid w:val="005B74A2"/>
    <w:rsid w:val="005C0D05"/>
    <w:rsid w:val="005C0DCD"/>
    <w:rsid w:val="005C15BD"/>
    <w:rsid w:val="005C2132"/>
    <w:rsid w:val="005C2327"/>
    <w:rsid w:val="005C307C"/>
    <w:rsid w:val="005C4011"/>
    <w:rsid w:val="005C4800"/>
    <w:rsid w:val="005C5E42"/>
    <w:rsid w:val="005C606E"/>
    <w:rsid w:val="005C6849"/>
    <w:rsid w:val="005C6A65"/>
    <w:rsid w:val="005C6E7A"/>
    <w:rsid w:val="005C7473"/>
    <w:rsid w:val="005D04BB"/>
    <w:rsid w:val="005D06AA"/>
    <w:rsid w:val="005D4A85"/>
    <w:rsid w:val="005D5CC8"/>
    <w:rsid w:val="005D64CC"/>
    <w:rsid w:val="005D6768"/>
    <w:rsid w:val="005D6939"/>
    <w:rsid w:val="005D75B6"/>
    <w:rsid w:val="005D798F"/>
    <w:rsid w:val="005D7E76"/>
    <w:rsid w:val="005E58EF"/>
    <w:rsid w:val="005E6F5E"/>
    <w:rsid w:val="005E7E57"/>
    <w:rsid w:val="005F043F"/>
    <w:rsid w:val="005F1051"/>
    <w:rsid w:val="005F1701"/>
    <w:rsid w:val="005F1B61"/>
    <w:rsid w:val="005F55A1"/>
    <w:rsid w:val="005F55A2"/>
    <w:rsid w:val="005F5ABA"/>
    <w:rsid w:val="005F63FE"/>
    <w:rsid w:val="006001CF"/>
    <w:rsid w:val="00601733"/>
    <w:rsid w:val="00601C98"/>
    <w:rsid w:val="00610743"/>
    <w:rsid w:val="006110E2"/>
    <w:rsid w:val="006129E0"/>
    <w:rsid w:val="00613CFE"/>
    <w:rsid w:val="00616494"/>
    <w:rsid w:val="0062066E"/>
    <w:rsid w:val="00621790"/>
    <w:rsid w:val="00622667"/>
    <w:rsid w:val="0062490B"/>
    <w:rsid w:val="00624B5A"/>
    <w:rsid w:val="00626060"/>
    <w:rsid w:val="006263EE"/>
    <w:rsid w:val="006264E9"/>
    <w:rsid w:val="00630CC8"/>
    <w:rsid w:val="006317B5"/>
    <w:rsid w:val="00633548"/>
    <w:rsid w:val="00635BCC"/>
    <w:rsid w:val="006403A5"/>
    <w:rsid w:val="00640B92"/>
    <w:rsid w:val="00641342"/>
    <w:rsid w:val="00641A0F"/>
    <w:rsid w:val="00643E14"/>
    <w:rsid w:val="00645F4A"/>
    <w:rsid w:val="006528FC"/>
    <w:rsid w:val="006579A0"/>
    <w:rsid w:val="00660B67"/>
    <w:rsid w:val="00663BEC"/>
    <w:rsid w:val="00663E13"/>
    <w:rsid w:val="00663FE2"/>
    <w:rsid w:val="0066539C"/>
    <w:rsid w:val="00666188"/>
    <w:rsid w:val="0066690A"/>
    <w:rsid w:val="006669AF"/>
    <w:rsid w:val="00671AC6"/>
    <w:rsid w:val="00671AFD"/>
    <w:rsid w:val="00675B6D"/>
    <w:rsid w:val="0068296A"/>
    <w:rsid w:val="006834DE"/>
    <w:rsid w:val="00685EE6"/>
    <w:rsid w:val="00690549"/>
    <w:rsid w:val="00690D8D"/>
    <w:rsid w:val="006910AB"/>
    <w:rsid w:val="006912A0"/>
    <w:rsid w:val="00691847"/>
    <w:rsid w:val="00692645"/>
    <w:rsid w:val="00692771"/>
    <w:rsid w:val="00692B90"/>
    <w:rsid w:val="006945A0"/>
    <w:rsid w:val="00694A0F"/>
    <w:rsid w:val="00694C37"/>
    <w:rsid w:val="006A1463"/>
    <w:rsid w:val="006A298B"/>
    <w:rsid w:val="006A3DBE"/>
    <w:rsid w:val="006A5224"/>
    <w:rsid w:val="006A52DB"/>
    <w:rsid w:val="006A787D"/>
    <w:rsid w:val="006A7DB6"/>
    <w:rsid w:val="006B1110"/>
    <w:rsid w:val="006B257F"/>
    <w:rsid w:val="006B5086"/>
    <w:rsid w:val="006B533A"/>
    <w:rsid w:val="006B537F"/>
    <w:rsid w:val="006B5943"/>
    <w:rsid w:val="006C07BE"/>
    <w:rsid w:val="006C4875"/>
    <w:rsid w:val="006C761C"/>
    <w:rsid w:val="006C7B30"/>
    <w:rsid w:val="006D19E6"/>
    <w:rsid w:val="006D1AEE"/>
    <w:rsid w:val="006D42DE"/>
    <w:rsid w:val="006D46DB"/>
    <w:rsid w:val="006D4C0F"/>
    <w:rsid w:val="006D66A4"/>
    <w:rsid w:val="006D78FA"/>
    <w:rsid w:val="006E0C89"/>
    <w:rsid w:val="006E12FF"/>
    <w:rsid w:val="006E2A16"/>
    <w:rsid w:val="006E2D65"/>
    <w:rsid w:val="006E32B5"/>
    <w:rsid w:val="006F2478"/>
    <w:rsid w:val="006F3A88"/>
    <w:rsid w:val="006F3D95"/>
    <w:rsid w:val="006F3F34"/>
    <w:rsid w:val="006F79A0"/>
    <w:rsid w:val="006F7FCB"/>
    <w:rsid w:val="00700A0B"/>
    <w:rsid w:val="0070296C"/>
    <w:rsid w:val="0070388B"/>
    <w:rsid w:val="00704125"/>
    <w:rsid w:val="00704F10"/>
    <w:rsid w:val="0070567D"/>
    <w:rsid w:val="00706755"/>
    <w:rsid w:val="00706F04"/>
    <w:rsid w:val="00706FDC"/>
    <w:rsid w:val="00707C5B"/>
    <w:rsid w:val="00711D07"/>
    <w:rsid w:val="007137D3"/>
    <w:rsid w:val="00714931"/>
    <w:rsid w:val="007171AE"/>
    <w:rsid w:val="00721E28"/>
    <w:rsid w:val="007222AC"/>
    <w:rsid w:val="00722C5A"/>
    <w:rsid w:val="0072327E"/>
    <w:rsid w:val="00723DB1"/>
    <w:rsid w:val="00724625"/>
    <w:rsid w:val="00724DDF"/>
    <w:rsid w:val="00725216"/>
    <w:rsid w:val="00725EFC"/>
    <w:rsid w:val="00725F91"/>
    <w:rsid w:val="007261C9"/>
    <w:rsid w:val="007321EE"/>
    <w:rsid w:val="00732D37"/>
    <w:rsid w:val="00732E1E"/>
    <w:rsid w:val="007331FC"/>
    <w:rsid w:val="00734CC6"/>
    <w:rsid w:val="00734E1E"/>
    <w:rsid w:val="00735209"/>
    <w:rsid w:val="0073520B"/>
    <w:rsid w:val="00735369"/>
    <w:rsid w:val="00736AD0"/>
    <w:rsid w:val="00737787"/>
    <w:rsid w:val="00737FDD"/>
    <w:rsid w:val="00742228"/>
    <w:rsid w:val="00742B87"/>
    <w:rsid w:val="00743156"/>
    <w:rsid w:val="00745F3D"/>
    <w:rsid w:val="007464C1"/>
    <w:rsid w:val="00747C31"/>
    <w:rsid w:val="00751A93"/>
    <w:rsid w:val="00751B0F"/>
    <w:rsid w:val="0075220D"/>
    <w:rsid w:val="007522A2"/>
    <w:rsid w:val="00752A88"/>
    <w:rsid w:val="0075511A"/>
    <w:rsid w:val="007553F0"/>
    <w:rsid w:val="00756761"/>
    <w:rsid w:val="00760EC7"/>
    <w:rsid w:val="00761231"/>
    <w:rsid w:val="00761B9D"/>
    <w:rsid w:val="0076249E"/>
    <w:rsid w:val="007634BF"/>
    <w:rsid w:val="00763CD0"/>
    <w:rsid w:val="00763EB8"/>
    <w:rsid w:val="007644D9"/>
    <w:rsid w:val="00766EF7"/>
    <w:rsid w:val="00771BFB"/>
    <w:rsid w:val="00772A82"/>
    <w:rsid w:val="00775370"/>
    <w:rsid w:val="00775DE1"/>
    <w:rsid w:val="00781150"/>
    <w:rsid w:val="00782254"/>
    <w:rsid w:val="0078335B"/>
    <w:rsid w:val="0078346F"/>
    <w:rsid w:val="007835B6"/>
    <w:rsid w:val="007847A7"/>
    <w:rsid w:val="00787BD7"/>
    <w:rsid w:val="00791A7A"/>
    <w:rsid w:val="00792B9D"/>
    <w:rsid w:val="00792C05"/>
    <w:rsid w:val="00793EB3"/>
    <w:rsid w:val="00794749"/>
    <w:rsid w:val="00796089"/>
    <w:rsid w:val="007A08EB"/>
    <w:rsid w:val="007A14E1"/>
    <w:rsid w:val="007A1AB1"/>
    <w:rsid w:val="007A7949"/>
    <w:rsid w:val="007B16C1"/>
    <w:rsid w:val="007B5AA9"/>
    <w:rsid w:val="007C116A"/>
    <w:rsid w:val="007C2474"/>
    <w:rsid w:val="007C3E5F"/>
    <w:rsid w:val="007C4E46"/>
    <w:rsid w:val="007C5639"/>
    <w:rsid w:val="007D022A"/>
    <w:rsid w:val="007D0A55"/>
    <w:rsid w:val="007D1174"/>
    <w:rsid w:val="007D4C47"/>
    <w:rsid w:val="007E0422"/>
    <w:rsid w:val="007E0789"/>
    <w:rsid w:val="007E21C1"/>
    <w:rsid w:val="007E2901"/>
    <w:rsid w:val="007E2D43"/>
    <w:rsid w:val="007E4C4E"/>
    <w:rsid w:val="007E50DE"/>
    <w:rsid w:val="007E74A1"/>
    <w:rsid w:val="007E765D"/>
    <w:rsid w:val="007F31EF"/>
    <w:rsid w:val="007F514B"/>
    <w:rsid w:val="00800B84"/>
    <w:rsid w:val="00801461"/>
    <w:rsid w:val="00804227"/>
    <w:rsid w:val="00804C84"/>
    <w:rsid w:val="00804F4A"/>
    <w:rsid w:val="008069D7"/>
    <w:rsid w:val="008125C8"/>
    <w:rsid w:val="00812992"/>
    <w:rsid w:val="008144E1"/>
    <w:rsid w:val="00814DF6"/>
    <w:rsid w:val="00815D89"/>
    <w:rsid w:val="00815FD8"/>
    <w:rsid w:val="00816A93"/>
    <w:rsid w:val="0082060D"/>
    <w:rsid w:val="008229DF"/>
    <w:rsid w:val="0082456B"/>
    <w:rsid w:val="008253F3"/>
    <w:rsid w:val="00825A1C"/>
    <w:rsid w:val="00826B87"/>
    <w:rsid w:val="0082762B"/>
    <w:rsid w:val="00831ED3"/>
    <w:rsid w:val="00834409"/>
    <w:rsid w:val="008348BA"/>
    <w:rsid w:val="00834F86"/>
    <w:rsid w:val="00835C72"/>
    <w:rsid w:val="008434D5"/>
    <w:rsid w:val="0084542B"/>
    <w:rsid w:val="00845770"/>
    <w:rsid w:val="00845DF0"/>
    <w:rsid w:val="00846AD4"/>
    <w:rsid w:val="00850D87"/>
    <w:rsid w:val="00852284"/>
    <w:rsid w:val="0085325F"/>
    <w:rsid w:val="008534E3"/>
    <w:rsid w:val="008537F6"/>
    <w:rsid w:val="00854977"/>
    <w:rsid w:val="00854DF4"/>
    <w:rsid w:val="00854FFD"/>
    <w:rsid w:val="00856E74"/>
    <w:rsid w:val="008579FA"/>
    <w:rsid w:val="0086014A"/>
    <w:rsid w:val="0086127A"/>
    <w:rsid w:val="00862857"/>
    <w:rsid w:val="008657D5"/>
    <w:rsid w:val="008658D7"/>
    <w:rsid w:val="00867744"/>
    <w:rsid w:val="00870C89"/>
    <w:rsid w:val="0087108A"/>
    <w:rsid w:val="00871BC7"/>
    <w:rsid w:val="0087207B"/>
    <w:rsid w:val="00876539"/>
    <w:rsid w:val="00877C4B"/>
    <w:rsid w:val="0088375A"/>
    <w:rsid w:val="008852F9"/>
    <w:rsid w:val="00885AD0"/>
    <w:rsid w:val="00886DCF"/>
    <w:rsid w:val="00887B7F"/>
    <w:rsid w:val="00887C8A"/>
    <w:rsid w:val="00887FC5"/>
    <w:rsid w:val="008917F4"/>
    <w:rsid w:val="00893BF8"/>
    <w:rsid w:val="00894841"/>
    <w:rsid w:val="00894A5B"/>
    <w:rsid w:val="0089576A"/>
    <w:rsid w:val="00896C7B"/>
    <w:rsid w:val="008A0584"/>
    <w:rsid w:val="008A12DF"/>
    <w:rsid w:val="008A1AED"/>
    <w:rsid w:val="008A21C0"/>
    <w:rsid w:val="008A3ADA"/>
    <w:rsid w:val="008A4660"/>
    <w:rsid w:val="008A5B6C"/>
    <w:rsid w:val="008A6100"/>
    <w:rsid w:val="008A7180"/>
    <w:rsid w:val="008B006E"/>
    <w:rsid w:val="008B12A5"/>
    <w:rsid w:val="008B4A6F"/>
    <w:rsid w:val="008B5AF4"/>
    <w:rsid w:val="008B76FB"/>
    <w:rsid w:val="008C0026"/>
    <w:rsid w:val="008C321C"/>
    <w:rsid w:val="008C3336"/>
    <w:rsid w:val="008C60D2"/>
    <w:rsid w:val="008C6B04"/>
    <w:rsid w:val="008C6C1B"/>
    <w:rsid w:val="008C7635"/>
    <w:rsid w:val="008C76FC"/>
    <w:rsid w:val="008C7FFA"/>
    <w:rsid w:val="008D0A3D"/>
    <w:rsid w:val="008D36E2"/>
    <w:rsid w:val="008D3DC9"/>
    <w:rsid w:val="008D3F5B"/>
    <w:rsid w:val="008D4543"/>
    <w:rsid w:val="008D5237"/>
    <w:rsid w:val="008D5CD8"/>
    <w:rsid w:val="008D5F1B"/>
    <w:rsid w:val="008D6F87"/>
    <w:rsid w:val="008D7C09"/>
    <w:rsid w:val="008D7CA9"/>
    <w:rsid w:val="008E0014"/>
    <w:rsid w:val="008E1539"/>
    <w:rsid w:val="008E2FAB"/>
    <w:rsid w:val="008E3008"/>
    <w:rsid w:val="008E41C6"/>
    <w:rsid w:val="008E4B5F"/>
    <w:rsid w:val="008E58A4"/>
    <w:rsid w:val="008E71A6"/>
    <w:rsid w:val="008F1445"/>
    <w:rsid w:val="008F1BEA"/>
    <w:rsid w:val="008F24C6"/>
    <w:rsid w:val="008F38FB"/>
    <w:rsid w:val="008F3CF2"/>
    <w:rsid w:val="008F3E7F"/>
    <w:rsid w:val="008F3EEE"/>
    <w:rsid w:val="008F5559"/>
    <w:rsid w:val="008F58C6"/>
    <w:rsid w:val="008F6A37"/>
    <w:rsid w:val="009002FB"/>
    <w:rsid w:val="00900E15"/>
    <w:rsid w:val="00900E6C"/>
    <w:rsid w:val="00901055"/>
    <w:rsid w:val="009014A1"/>
    <w:rsid w:val="00901CF0"/>
    <w:rsid w:val="00902539"/>
    <w:rsid w:val="009033F7"/>
    <w:rsid w:val="009041E9"/>
    <w:rsid w:val="0090605A"/>
    <w:rsid w:val="009064B8"/>
    <w:rsid w:val="009064D6"/>
    <w:rsid w:val="00910DC4"/>
    <w:rsid w:val="00910EB7"/>
    <w:rsid w:val="00912B87"/>
    <w:rsid w:val="00913488"/>
    <w:rsid w:val="00913F02"/>
    <w:rsid w:val="009142C2"/>
    <w:rsid w:val="00914C2C"/>
    <w:rsid w:val="0091523A"/>
    <w:rsid w:val="00916CCF"/>
    <w:rsid w:val="009171FE"/>
    <w:rsid w:val="0092086C"/>
    <w:rsid w:val="009220D8"/>
    <w:rsid w:val="00922FB5"/>
    <w:rsid w:val="00924741"/>
    <w:rsid w:val="009255A7"/>
    <w:rsid w:val="009270D3"/>
    <w:rsid w:val="00932C9E"/>
    <w:rsid w:val="00933C47"/>
    <w:rsid w:val="009351C8"/>
    <w:rsid w:val="00935940"/>
    <w:rsid w:val="0093776F"/>
    <w:rsid w:val="0094175A"/>
    <w:rsid w:val="00941F79"/>
    <w:rsid w:val="009433EE"/>
    <w:rsid w:val="00943626"/>
    <w:rsid w:val="00945AA7"/>
    <w:rsid w:val="00945E30"/>
    <w:rsid w:val="00946672"/>
    <w:rsid w:val="009467B9"/>
    <w:rsid w:val="00947956"/>
    <w:rsid w:val="00947F0C"/>
    <w:rsid w:val="00950F36"/>
    <w:rsid w:val="00953A4F"/>
    <w:rsid w:val="00953BFB"/>
    <w:rsid w:val="00956EC0"/>
    <w:rsid w:val="00957951"/>
    <w:rsid w:val="009609EE"/>
    <w:rsid w:val="0096374F"/>
    <w:rsid w:val="00966184"/>
    <w:rsid w:val="00966FC9"/>
    <w:rsid w:val="0096704E"/>
    <w:rsid w:val="0097389F"/>
    <w:rsid w:val="00975BC4"/>
    <w:rsid w:val="0097778D"/>
    <w:rsid w:val="00977DC6"/>
    <w:rsid w:val="00980DAC"/>
    <w:rsid w:val="009820F8"/>
    <w:rsid w:val="0098238E"/>
    <w:rsid w:val="00982A05"/>
    <w:rsid w:val="00983522"/>
    <w:rsid w:val="009836B0"/>
    <w:rsid w:val="00984A49"/>
    <w:rsid w:val="00986703"/>
    <w:rsid w:val="00987C1E"/>
    <w:rsid w:val="009947E7"/>
    <w:rsid w:val="00995774"/>
    <w:rsid w:val="00997D47"/>
    <w:rsid w:val="009A1775"/>
    <w:rsid w:val="009A1C9B"/>
    <w:rsid w:val="009A2AFF"/>
    <w:rsid w:val="009A3F68"/>
    <w:rsid w:val="009A6918"/>
    <w:rsid w:val="009A6CE3"/>
    <w:rsid w:val="009A71C9"/>
    <w:rsid w:val="009A7806"/>
    <w:rsid w:val="009B2C48"/>
    <w:rsid w:val="009B3992"/>
    <w:rsid w:val="009B6D04"/>
    <w:rsid w:val="009B777C"/>
    <w:rsid w:val="009C180E"/>
    <w:rsid w:val="009C2B09"/>
    <w:rsid w:val="009C3C53"/>
    <w:rsid w:val="009C6C28"/>
    <w:rsid w:val="009D0275"/>
    <w:rsid w:val="009D0BF9"/>
    <w:rsid w:val="009D2628"/>
    <w:rsid w:val="009D3AF8"/>
    <w:rsid w:val="009D3B86"/>
    <w:rsid w:val="009D3FBE"/>
    <w:rsid w:val="009D46EF"/>
    <w:rsid w:val="009D55A0"/>
    <w:rsid w:val="009E166B"/>
    <w:rsid w:val="009E5E56"/>
    <w:rsid w:val="009E70CE"/>
    <w:rsid w:val="009F05B9"/>
    <w:rsid w:val="009F17A9"/>
    <w:rsid w:val="009F1D9F"/>
    <w:rsid w:val="009F2865"/>
    <w:rsid w:val="009F2887"/>
    <w:rsid w:val="009F2977"/>
    <w:rsid w:val="009F2BC9"/>
    <w:rsid w:val="009F3160"/>
    <w:rsid w:val="009F4B8B"/>
    <w:rsid w:val="009F6670"/>
    <w:rsid w:val="00A00546"/>
    <w:rsid w:val="00A006AD"/>
    <w:rsid w:val="00A018DF"/>
    <w:rsid w:val="00A03260"/>
    <w:rsid w:val="00A04709"/>
    <w:rsid w:val="00A05AE0"/>
    <w:rsid w:val="00A05B9B"/>
    <w:rsid w:val="00A0663C"/>
    <w:rsid w:val="00A07A65"/>
    <w:rsid w:val="00A11A2E"/>
    <w:rsid w:val="00A11D2A"/>
    <w:rsid w:val="00A14612"/>
    <w:rsid w:val="00A150C6"/>
    <w:rsid w:val="00A152DC"/>
    <w:rsid w:val="00A15F83"/>
    <w:rsid w:val="00A1708A"/>
    <w:rsid w:val="00A21A3E"/>
    <w:rsid w:val="00A235AE"/>
    <w:rsid w:val="00A24255"/>
    <w:rsid w:val="00A26589"/>
    <w:rsid w:val="00A268EF"/>
    <w:rsid w:val="00A26B26"/>
    <w:rsid w:val="00A27E10"/>
    <w:rsid w:val="00A30786"/>
    <w:rsid w:val="00A321C3"/>
    <w:rsid w:val="00A32494"/>
    <w:rsid w:val="00A325A5"/>
    <w:rsid w:val="00A32BC3"/>
    <w:rsid w:val="00A34F3B"/>
    <w:rsid w:val="00A36A25"/>
    <w:rsid w:val="00A37C09"/>
    <w:rsid w:val="00A40FCB"/>
    <w:rsid w:val="00A43EFE"/>
    <w:rsid w:val="00A44BFB"/>
    <w:rsid w:val="00A45BD3"/>
    <w:rsid w:val="00A462B2"/>
    <w:rsid w:val="00A46483"/>
    <w:rsid w:val="00A468B5"/>
    <w:rsid w:val="00A46D50"/>
    <w:rsid w:val="00A47833"/>
    <w:rsid w:val="00A50BB2"/>
    <w:rsid w:val="00A50D2F"/>
    <w:rsid w:val="00A5285E"/>
    <w:rsid w:val="00A537A5"/>
    <w:rsid w:val="00A543AD"/>
    <w:rsid w:val="00A54E21"/>
    <w:rsid w:val="00A57D21"/>
    <w:rsid w:val="00A615B2"/>
    <w:rsid w:val="00A62B45"/>
    <w:rsid w:val="00A6366F"/>
    <w:rsid w:val="00A647E5"/>
    <w:rsid w:val="00A649BE"/>
    <w:rsid w:val="00A666D2"/>
    <w:rsid w:val="00A669D8"/>
    <w:rsid w:val="00A67031"/>
    <w:rsid w:val="00A67F07"/>
    <w:rsid w:val="00A711D0"/>
    <w:rsid w:val="00A711E0"/>
    <w:rsid w:val="00A728CD"/>
    <w:rsid w:val="00A75DEE"/>
    <w:rsid w:val="00A76C65"/>
    <w:rsid w:val="00A77B2D"/>
    <w:rsid w:val="00A81836"/>
    <w:rsid w:val="00A82BB9"/>
    <w:rsid w:val="00A83D75"/>
    <w:rsid w:val="00A85A5B"/>
    <w:rsid w:val="00A90FA0"/>
    <w:rsid w:val="00A92B32"/>
    <w:rsid w:val="00A951DC"/>
    <w:rsid w:val="00A95B50"/>
    <w:rsid w:val="00A95F73"/>
    <w:rsid w:val="00A97ADB"/>
    <w:rsid w:val="00A97C3E"/>
    <w:rsid w:val="00A97CBF"/>
    <w:rsid w:val="00AA0DAF"/>
    <w:rsid w:val="00AA450F"/>
    <w:rsid w:val="00AA49BC"/>
    <w:rsid w:val="00AA635F"/>
    <w:rsid w:val="00AA6C07"/>
    <w:rsid w:val="00AA6C45"/>
    <w:rsid w:val="00AB2E11"/>
    <w:rsid w:val="00AB3555"/>
    <w:rsid w:val="00AB4E01"/>
    <w:rsid w:val="00AB5575"/>
    <w:rsid w:val="00AB557E"/>
    <w:rsid w:val="00AB6652"/>
    <w:rsid w:val="00AB779F"/>
    <w:rsid w:val="00AB7A16"/>
    <w:rsid w:val="00AB7C17"/>
    <w:rsid w:val="00AC24E6"/>
    <w:rsid w:val="00AC28E2"/>
    <w:rsid w:val="00AC2D06"/>
    <w:rsid w:val="00AC547B"/>
    <w:rsid w:val="00AC6243"/>
    <w:rsid w:val="00AD00CE"/>
    <w:rsid w:val="00AD0587"/>
    <w:rsid w:val="00AD1299"/>
    <w:rsid w:val="00AD343E"/>
    <w:rsid w:val="00AD39F4"/>
    <w:rsid w:val="00AD4AB7"/>
    <w:rsid w:val="00AD57AF"/>
    <w:rsid w:val="00AE0060"/>
    <w:rsid w:val="00AE11D3"/>
    <w:rsid w:val="00AE18E7"/>
    <w:rsid w:val="00AE1BF4"/>
    <w:rsid w:val="00AE213D"/>
    <w:rsid w:val="00AE290E"/>
    <w:rsid w:val="00AE3249"/>
    <w:rsid w:val="00AE436C"/>
    <w:rsid w:val="00AE446A"/>
    <w:rsid w:val="00AE5C6D"/>
    <w:rsid w:val="00AE5E6A"/>
    <w:rsid w:val="00AE6BF9"/>
    <w:rsid w:val="00AE7327"/>
    <w:rsid w:val="00AF097C"/>
    <w:rsid w:val="00AF16DD"/>
    <w:rsid w:val="00AF27D8"/>
    <w:rsid w:val="00AF3E5D"/>
    <w:rsid w:val="00AF6645"/>
    <w:rsid w:val="00B00596"/>
    <w:rsid w:val="00B02A26"/>
    <w:rsid w:val="00B04319"/>
    <w:rsid w:val="00B05480"/>
    <w:rsid w:val="00B068F8"/>
    <w:rsid w:val="00B078D5"/>
    <w:rsid w:val="00B10653"/>
    <w:rsid w:val="00B10691"/>
    <w:rsid w:val="00B12BDB"/>
    <w:rsid w:val="00B13328"/>
    <w:rsid w:val="00B13778"/>
    <w:rsid w:val="00B14ECA"/>
    <w:rsid w:val="00B156B3"/>
    <w:rsid w:val="00B16EF4"/>
    <w:rsid w:val="00B17212"/>
    <w:rsid w:val="00B20CF5"/>
    <w:rsid w:val="00B2115F"/>
    <w:rsid w:val="00B21AA3"/>
    <w:rsid w:val="00B21D19"/>
    <w:rsid w:val="00B2322B"/>
    <w:rsid w:val="00B236FA"/>
    <w:rsid w:val="00B23985"/>
    <w:rsid w:val="00B26556"/>
    <w:rsid w:val="00B31F03"/>
    <w:rsid w:val="00B34BBD"/>
    <w:rsid w:val="00B35F1C"/>
    <w:rsid w:val="00B3615E"/>
    <w:rsid w:val="00B40DD0"/>
    <w:rsid w:val="00B42261"/>
    <w:rsid w:val="00B42971"/>
    <w:rsid w:val="00B4333E"/>
    <w:rsid w:val="00B44DF1"/>
    <w:rsid w:val="00B45D09"/>
    <w:rsid w:val="00B47917"/>
    <w:rsid w:val="00B47C4B"/>
    <w:rsid w:val="00B5087D"/>
    <w:rsid w:val="00B51CC3"/>
    <w:rsid w:val="00B52C44"/>
    <w:rsid w:val="00B52D42"/>
    <w:rsid w:val="00B5343C"/>
    <w:rsid w:val="00B54A6C"/>
    <w:rsid w:val="00B54E66"/>
    <w:rsid w:val="00B555A3"/>
    <w:rsid w:val="00B56715"/>
    <w:rsid w:val="00B57359"/>
    <w:rsid w:val="00B6079A"/>
    <w:rsid w:val="00B6268C"/>
    <w:rsid w:val="00B627AC"/>
    <w:rsid w:val="00B63885"/>
    <w:rsid w:val="00B63E2C"/>
    <w:rsid w:val="00B63FA7"/>
    <w:rsid w:val="00B64A02"/>
    <w:rsid w:val="00B671CF"/>
    <w:rsid w:val="00B67962"/>
    <w:rsid w:val="00B70CAC"/>
    <w:rsid w:val="00B70D16"/>
    <w:rsid w:val="00B727A2"/>
    <w:rsid w:val="00B73357"/>
    <w:rsid w:val="00B75D8D"/>
    <w:rsid w:val="00B77BDC"/>
    <w:rsid w:val="00B80B96"/>
    <w:rsid w:val="00B80EF2"/>
    <w:rsid w:val="00B830D8"/>
    <w:rsid w:val="00B8733E"/>
    <w:rsid w:val="00B87814"/>
    <w:rsid w:val="00B90504"/>
    <w:rsid w:val="00B907AC"/>
    <w:rsid w:val="00B91E74"/>
    <w:rsid w:val="00B937DC"/>
    <w:rsid w:val="00B938EC"/>
    <w:rsid w:val="00B960DC"/>
    <w:rsid w:val="00B96D10"/>
    <w:rsid w:val="00BA0D0C"/>
    <w:rsid w:val="00BA1883"/>
    <w:rsid w:val="00BA2D6B"/>
    <w:rsid w:val="00BA39C7"/>
    <w:rsid w:val="00BB308B"/>
    <w:rsid w:val="00BB473C"/>
    <w:rsid w:val="00BB473D"/>
    <w:rsid w:val="00BB5ACD"/>
    <w:rsid w:val="00BB5D58"/>
    <w:rsid w:val="00BB5D8E"/>
    <w:rsid w:val="00BC14D8"/>
    <w:rsid w:val="00BC45ED"/>
    <w:rsid w:val="00BC720A"/>
    <w:rsid w:val="00BD20D7"/>
    <w:rsid w:val="00BD21F3"/>
    <w:rsid w:val="00BD35A0"/>
    <w:rsid w:val="00BD4845"/>
    <w:rsid w:val="00BD6380"/>
    <w:rsid w:val="00BD6BBE"/>
    <w:rsid w:val="00BD7756"/>
    <w:rsid w:val="00BE1677"/>
    <w:rsid w:val="00BE1F05"/>
    <w:rsid w:val="00BE643A"/>
    <w:rsid w:val="00BF094C"/>
    <w:rsid w:val="00BF1F09"/>
    <w:rsid w:val="00BF2E06"/>
    <w:rsid w:val="00BF3EAA"/>
    <w:rsid w:val="00BF6708"/>
    <w:rsid w:val="00BF7CAE"/>
    <w:rsid w:val="00C00FDB"/>
    <w:rsid w:val="00C01F74"/>
    <w:rsid w:val="00C10BA2"/>
    <w:rsid w:val="00C1149E"/>
    <w:rsid w:val="00C11B89"/>
    <w:rsid w:val="00C127E6"/>
    <w:rsid w:val="00C131A4"/>
    <w:rsid w:val="00C1582D"/>
    <w:rsid w:val="00C226FF"/>
    <w:rsid w:val="00C2347B"/>
    <w:rsid w:val="00C234DE"/>
    <w:rsid w:val="00C23692"/>
    <w:rsid w:val="00C237F0"/>
    <w:rsid w:val="00C2486B"/>
    <w:rsid w:val="00C24C23"/>
    <w:rsid w:val="00C24CA4"/>
    <w:rsid w:val="00C25AB6"/>
    <w:rsid w:val="00C2791E"/>
    <w:rsid w:val="00C32CD0"/>
    <w:rsid w:val="00C3453B"/>
    <w:rsid w:val="00C34D4D"/>
    <w:rsid w:val="00C36997"/>
    <w:rsid w:val="00C36A62"/>
    <w:rsid w:val="00C37489"/>
    <w:rsid w:val="00C40097"/>
    <w:rsid w:val="00C40A17"/>
    <w:rsid w:val="00C40EC1"/>
    <w:rsid w:val="00C427E9"/>
    <w:rsid w:val="00C4288D"/>
    <w:rsid w:val="00C4379B"/>
    <w:rsid w:val="00C441C0"/>
    <w:rsid w:val="00C4623A"/>
    <w:rsid w:val="00C47491"/>
    <w:rsid w:val="00C531FE"/>
    <w:rsid w:val="00C533D6"/>
    <w:rsid w:val="00C56F5E"/>
    <w:rsid w:val="00C572F2"/>
    <w:rsid w:val="00C5750E"/>
    <w:rsid w:val="00C575C2"/>
    <w:rsid w:val="00C5769E"/>
    <w:rsid w:val="00C6197C"/>
    <w:rsid w:val="00C6366F"/>
    <w:rsid w:val="00C657C5"/>
    <w:rsid w:val="00C661D7"/>
    <w:rsid w:val="00C67BC4"/>
    <w:rsid w:val="00C700B9"/>
    <w:rsid w:val="00C707DB"/>
    <w:rsid w:val="00C71259"/>
    <w:rsid w:val="00C7137E"/>
    <w:rsid w:val="00C717E8"/>
    <w:rsid w:val="00C71D3C"/>
    <w:rsid w:val="00C73072"/>
    <w:rsid w:val="00C733B3"/>
    <w:rsid w:val="00C757B6"/>
    <w:rsid w:val="00C76C98"/>
    <w:rsid w:val="00C77BFF"/>
    <w:rsid w:val="00C80F13"/>
    <w:rsid w:val="00C81AFC"/>
    <w:rsid w:val="00C84C42"/>
    <w:rsid w:val="00C84C4B"/>
    <w:rsid w:val="00C859DC"/>
    <w:rsid w:val="00C863A8"/>
    <w:rsid w:val="00C86822"/>
    <w:rsid w:val="00C86A4E"/>
    <w:rsid w:val="00C878BA"/>
    <w:rsid w:val="00C87D89"/>
    <w:rsid w:val="00C902C5"/>
    <w:rsid w:val="00C91E78"/>
    <w:rsid w:val="00C9332E"/>
    <w:rsid w:val="00C942F3"/>
    <w:rsid w:val="00C95707"/>
    <w:rsid w:val="00C97DFC"/>
    <w:rsid w:val="00CA018C"/>
    <w:rsid w:val="00CA128B"/>
    <w:rsid w:val="00CA1D6B"/>
    <w:rsid w:val="00CA1F09"/>
    <w:rsid w:val="00CA27DB"/>
    <w:rsid w:val="00CA2965"/>
    <w:rsid w:val="00CA31D8"/>
    <w:rsid w:val="00CA3C73"/>
    <w:rsid w:val="00CA4A4C"/>
    <w:rsid w:val="00CA4AE7"/>
    <w:rsid w:val="00CA5A13"/>
    <w:rsid w:val="00CA6BAA"/>
    <w:rsid w:val="00CB03E3"/>
    <w:rsid w:val="00CB0D90"/>
    <w:rsid w:val="00CB1136"/>
    <w:rsid w:val="00CB41AF"/>
    <w:rsid w:val="00CB4FAC"/>
    <w:rsid w:val="00CC12FC"/>
    <w:rsid w:val="00CC21E8"/>
    <w:rsid w:val="00CC2934"/>
    <w:rsid w:val="00CC384F"/>
    <w:rsid w:val="00CC3A04"/>
    <w:rsid w:val="00CC3F37"/>
    <w:rsid w:val="00CC41E7"/>
    <w:rsid w:val="00CC4995"/>
    <w:rsid w:val="00CC5E84"/>
    <w:rsid w:val="00CC6CD9"/>
    <w:rsid w:val="00CD0899"/>
    <w:rsid w:val="00CD44F4"/>
    <w:rsid w:val="00CD4C9A"/>
    <w:rsid w:val="00CD65EB"/>
    <w:rsid w:val="00CD70A7"/>
    <w:rsid w:val="00CE0946"/>
    <w:rsid w:val="00CE0C4B"/>
    <w:rsid w:val="00CE21AC"/>
    <w:rsid w:val="00CE3459"/>
    <w:rsid w:val="00CE4489"/>
    <w:rsid w:val="00CE4765"/>
    <w:rsid w:val="00CE5C3D"/>
    <w:rsid w:val="00CE7048"/>
    <w:rsid w:val="00CE7E13"/>
    <w:rsid w:val="00CF0D2F"/>
    <w:rsid w:val="00CF1000"/>
    <w:rsid w:val="00CF2BF2"/>
    <w:rsid w:val="00D00033"/>
    <w:rsid w:val="00D00095"/>
    <w:rsid w:val="00D006FC"/>
    <w:rsid w:val="00D025C8"/>
    <w:rsid w:val="00D04755"/>
    <w:rsid w:val="00D05994"/>
    <w:rsid w:val="00D07E1B"/>
    <w:rsid w:val="00D1182D"/>
    <w:rsid w:val="00D1406D"/>
    <w:rsid w:val="00D14E2C"/>
    <w:rsid w:val="00D164AE"/>
    <w:rsid w:val="00D2209B"/>
    <w:rsid w:val="00D22A12"/>
    <w:rsid w:val="00D231BE"/>
    <w:rsid w:val="00D239AE"/>
    <w:rsid w:val="00D23F6A"/>
    <w:rsid w:val="00D2430D"/>
    <w:rsid w:val="00D2443A"/>
    <w:rsid w:val="00D24DBE"/>
    <w:rsid w:val="00D264B5"/>
    <w:rsid w:val="00D26B53"/>
    <w:rsid w:val="00D27A24"/>
    <w:rsid w:val="00D27C88"/>
    <w:rsid w:val="00D30817"/>
    <w:rsid w:val="00D32A7F"/>
    <w:rsid w:val="00D33FF5"/>
    <w:rsid w:val="00D3694E"/>
    <w:rsid w:val="00D36A32"/>
    <w:rsid w:val="00D36F10"/>
    <w:rsid w:val="00D37F5D"/>
    <w:rsid w:val="00D40FBF"/>
    <w:rsid w:val="00D41C90"/>
    <w:rsid w:val="00D44CE0"/>
    <w:rsid w:val="00D45BA9"/>
    <w:rsid w:val="00D46790"/>
    <w:rsid w:val="00D467D7"/>
    <w:rsid w:val="00D502D1"/>
    <w:rsid w:val="00D5097A"/>
    <w:rsid w:val="00D52EFD"/>
    <w:rsid w:val="00D539EF"/>
    <w:rsid w:val="00D53CC9"/>
    <w:rsid w:val="00D56673"/>
    <w:rsid w:val="00D567A0"/>
    <w:rsid w:val="00D601FC"/>
    <w:rsid w:val="00D61460"/>
    <w:rsid w:val="00D623C3"/>
    <w:rsid w:val="00D6286D"/>
    <w:rsid w:val="00D63032"/>
    <w:rsid w:val="00D63CAE"/>
    <w:rsid w:val="00D64A9E"/>
    <w:rsid w:val="00D65302"/>
    <w:rsid w:val="00D65D4B"/>
    <w:rsid w:val="00D65E34"/>
    <w:rsid w:val="00D663C1"/>
    <w:rsid w:val="00D66535"/>
    <w:rsid w:val="00D67FCF"/>
    <w:rsid w:val="00D71FDA"/>
    <w:rsid w:val="00D723BE"/>
    <w:rsid w:val="00D735CC"/>
    <w:rsid w:val="00D73D5A"/>
    <w:rsid w:val="00D74D30"/>
    <w:rsid w:val="00D759FD"/>
    <w:rsid w:val="00D77571"/>
    <w:rsid w:val="00D827F9"/>
    <w:rsid w:val="00D82DD9"/>
    <w:rsid w:val="00D83443"/>
    <w:rsid w:val="00D84026"/>
    <w:rsid w:val="00D85539"/>
    <w:rsid w:val="00D87101"/>
    <w:rsid w:val="00D904DE"/>
    <w:rsid w:val="00D92C4E"/>
    <w:rsid w:val="00D9354F"/>
    <w:rsid w:val="00D9588C"/>
    <w:rsid w:val="00D971C5"/>
    <w:rsid w:val="00D97356"/>
    <w:rsid w:val="00D97584"/>
    <w:rsid w:val="00D97789"/>
    <w:rsid w:val="00D97D3A"/>
    <w:rsid w:val="00DA0706"/>
    <w:rsid w:val="00DA3785"/>
    <w:rsid w:val="00DA3EA2"/>
    <w:rsid w:val="00DA55BE"/>
    <w:rsid w:val="00DA5649"/>
    <w:rsid w:val="00DA5CB9"/>
    <w:rsid w:val="00DB11A5"/>
    <w:rsid w:val="00DB124C"/>
    <w:rsid w:val="00DB2622"/>
    <w:rsid w:val="00DB266A"/>
    <w:rsid w:val="00DC059B"/>
    <w:rsid w:val="00DC35B2"/>
    <w:rsid w:val="00DC5081"/>
    <w:rsid w:val="00DC62D9"/>
    <w:rsid w:val="00DD063F"/>
    <w:rsid w:val="00DD23B1"/>
    <w:rsid w:val="00DD3237"/>
    <w:rsid w:val="00DD57EE"/>
    <w:rsid w:val="00DD7B43"/>
    <w:rsid w:val="00DD7BA5"/>
    <w:rsid w:val="00DE075A"/>
    <w:rsid w:val="00DE0AC2"/>
    <w:rsid w:val="00DE3394"/>
    <w:rsid w:val="00DE37D8"/>
    <w:rsid w:val="00DE3C40"/>
    <w:rsid w:val="00DE465F"/>
    <w:rsid w:val="00DE5C34"/>
    <w:rsid w:val="00DE5C82"/>
    <w:rsid w:val="00DE5D72"/>
    <w:rsid w:val="00DE5E22"/>
    <w:rsid w:val="00DE6F79"/>
    <w:rsid w:val="00DE7648"/>
    <w:rsid w:val="00DF35CE"/>
    <w:rsid w:val="00DF7589"/>
    <w:rsid w:val="00E02EF7"/>
    <w:rsid w:val="00E0375B"/>
    <w:rsid w:val="00E03D34"/>
    <w:rsid w:val="00E03DEA"/>
    <w:rsid w:val="00E05AB9"/>
    <w:rsid w:val="00E065FA"/>
    <w:rsid w:val="00E06B2E"/>
    <w:rsid w:val="00E07196"/>
    <w:rsid w:val="00E073D6"/>
    <w:rsid w:val="00E07A10"/>
    <w:rsid w:val="00E108FF"/>
    <w:rsid w:val="00E12013"/>
    <w:rsid w:val="00E127F5"/>
    <w:rsid w:val="00E14B1F"/>
    <w:rsid w:val="00E17B4A"/>
    <w:rsid w:val="00E20FAF"/>
    <w:rsid w:val="00E21E8D"/>
    <w:rsid w:val="00E24284"/>
    <w:rsid w:val="00E26B25"/>
    <w:rsid w:val="00E2787C"/>
    <w:rsid w:val="00E27EDC"/>
    <w:rsid w:val="00E30550"/>
    <w:rsid w:val="00E3055C"/>
    <w:rsid w:val="00E36461"/>
    <w:rsid w:val="00E36B42"/>
    <w:rsid w:val="00E36C8E"/>
    <w:rsid w:val="00E40677"/>
    <w:rsid w:val="00E43609"/>
    <w:rsid w:val="00E43F38"/>
    <w:rsid w:val="00E4504F"/>
    <w:rsid w:val="00E45E0D"/>
    <w:rsid w:val="00E466F4"/>
    <w:rsid w:val="00E467E8"/>
    <w:rsid w:val="00E50386"/>
    <w:rsid w:val="00E52C87"/>
    <w:rsid w:val="00E52CC2"/>
    <w:rsid w:val="00E53111"/>
    <w:rsid w:val="00E549BF"/>
    <w:rsid w:val="00E56C41"/>
    <w:rsid w:val="00E57A6A"/>
    <w:rsid w:val="00E6098B"/>
    <w:rsid w:val="00E620F1"/>
    <w:rsid w:val="00E63B9B"/>
    <w:rsid w:val="00E63BEA"/>
    <w:rsid w:val="00E641D6"/>
    <w:rsid w:val="00E65496"/>
    <w:rsid w:val="00E679EC"/>
    <w:rsid w:val="00E70B8A"/>
    <w:rsid w:val="00E7374B"/>
    <w:rsid w:val="00E73D5B"/>
    <w:rsid w:val="00E7409C"/>
    <w:rsid w:val="00E77A8F"/>
    <w:rsid w:val="00E81CCC"/>
    <w:rsid w:val="00E81F41"/>
    <w:rsid w:val="00E8218D"/>
    <w:rsid w:val="00E82DC3"/>
    <w:rsid w:val="00E85477"/>
    <w:rsid w:val="00E857CC"/>
    <w:rsid w:val="00E86659"/>
    <w:rsid w:val="00E86FE5"/>
    <w:rsid w:val="00E9016D"/>
    <w:rsid w:val="00E9144E"/>
    <w:rsid w:val="00E91460"/>
    <w:rsid w:val="00E91824"/>
    <w:rsid w:val="00E9276F"/>
    <w:rsid w:val="00E92855"/>
    <w:rsid w:val="00E93E5D"/>
    <w:rsid w:val="00E95795"/>
    <w:rsid w:val="00E979E3"/>
    <w:rsid w:val="00EA01E9"/>
    <w:rsid w:val="00EA1D52"/>
    <w:rsid w:val="00EA322E"/>
    <w:rsid w:val="00EA3499"/>
    <w:rsid w:val="00EA483E"/>
    <w:rsid w:val="00EA620D"/>
    <w:rsid w:val="00EA6DED"/>
    <w:rsid w:val="00EB2D6A"/>
    <w:rsid w:val="00EB40A1"/>
    <w:rsid w:val="00EB7027"/>
    <w:rsid w:val="00EB721E"/>
    <w:rsid w:val="00EB7F3E"/>
    <w:rsid w:val="00EC0A48"/>
    <w:rsid w:val="00EC100F"/>
    <w:rsid w:val="00EC3E6C"/>
    <w:rsid w:val="00EC49E6"/>
    <w:rsid w:val="00EC5223"/>
    <w:rsid w:val="00EC646E"/>
    <w:rsid w:val="00ED1AF6"/>
    <w:rsid w:val="00ED45CE"/>
    <w:rsid w:val="00ED5877"/>
    <w:rsid w:val="00ED747F"/>
    <w:rsid w:val="00EE1538"/>
    <w:rsid w:val="00EE28D3"/>
    <w:rsid w:val="00EE34C3"/>
    <w:rsid w:val="00EE571E"/>
    <w:rsid w:val="00EE660F"/>
    <w:rsid w:val="00EE66AA"/>
    <w:rsid w:val="00EF0326"/>
    <w:rsid w:val="00EF04A4"/>
    <w:rsid w:val="00EF26AA"/>
    <w:rsid w:val="00EF3965"/>
    <w:rsid w:val="00EF4C0F"/>
    <w:rsid w:val="00EF6CFF"/>
    <w:rsid w:val="00EF6EA4"/>
    <w:rsid w:val="00EF75C2"/>
    <w:rsid w:val="00EF7DCC"/>
    <w:rsid w:val="00F01530"/>
    <w:rsid w:val="00F01CFC"/>
    <w:rsid w:val="00F03114"/>
    <w:rsid w:val="00F0590E"/>
    <w:rsid w:val="00F0626A"/>
    <w:rsid w:val="00F06E5C"/>
    <w:rsid w:val="00F11E82"/>
    <w:rsid w:val="00F13BFE"/>
    <w:rsid w:val="00F155B0"/>
    <w:rsid w:val="00F15951"/>
    <w:rsid w:val="00F164A2"/>
    <w:rsid w:val="00F21FAB"/>
    <w:rsid w:val="00F22E4F"/>
    <w:rsid w:val="00F31639"/>
    <w:rsid w:val="00F31EDA"/>
    <w:rsid w:val="00F3311B"/>
    <w:rsid w:val="00F337AE"/>
    <w:rsid w:val="00F342FD"/>
    <w:rsid w:val="00F344E2"/>
    <w:rsid w:val="00F35C1D"/>
    <w:rsid w:val="00F36D22"/>
    <w:rsid w:val="00F377EC"/>
    <w:rsid w:val="00F37899"/>
    <w:rsid w:val="00F37DC6"/>
    <w:rsid w:val="00F404CA"/>
    <w:rsid w:val="00F40638"/>
    <w:rsid w:val="00F40CF7"/>
    <w:rsid w:val="00F40D86"/>
    <w:rsid w:val="00F421BD"/>
    <w:rsid w:val="00F43427"/>
    <w:rsid w:val="00F43BD4"/>
    <w:rsid w:val="00F450F1"/>
    <w:rsid w:val="00F464FC"/>
    <w:rsid w:val="00F5038F"/>
    <w:rsid w:val="00F50EFD"/>
    <w:rsid w:val="00F51FD7"/>
    <w:rsid w:val="00F55052"/>
    <w:rsid w:val="00F5608A"/>
    <w:rsid w:val="00F563B6"/>
    <w:rsid w:val="00F565FB"/>
    <w:rsid w:val="00F608E1"/>
    <w:rsid w:val="00F60943"/>
    <w:rsid w:val="00F63871"/>
    <w:rsid w:val="00F63D8F"/>
    <w:rsid w:val="00F644EA"/>
    <w:rsid w:val="00F64A52"/>
    <w:rsid w:val="00F64D0B"/>
    <w:rsid w:val="00F65D1B"/>
    <w:rsid w:val="00F7120C"/>
    <w:rsid w:val="00F718C9"/>
    <w:rsid w:val="00F73591"/>
    <w:rsid w:val="00F75275"/>
    <w:rsid w:val="00F75DA9"/>
    <w:rsid w:val="00F76C50"/>
    <w:rsid w:val="00F812D7"/>
    <w:rsid w:val="00F8353E"/>
    <w:rsid w:val="00F83D9E"/>
    <w:rsid w:val="00F842D1"/>
    <w:rsid w:val="00F8475C"/>
    <w:rsid w:val="00F84A12"/>
    <w:rsid w:val="00F854A1"/>
    <w:rsid w:val="00F873F5"/>
    <w:rsid w:val="00F91541"/>
    <w:rsid w:val="00F91C3E"/>
    <w:rsid w:val="00F92416"/>
    <w:rsid w:val="00F92520"/>
    <w:rsid w:val="00F92649"/>
    <w:rsid w:val="00F92929"/>
    <w:rsid w:val="00F92F61"/>
    <w:rsid w:val="00F9368C"/>
    <w:rsid w:val="00F93EA2"/>
    <w:rsid w:val="00F94C79"/>
    <w:rsid w:val="00F9551B"/>
    <w:rsid w:val="00F95D43"/>
    <w:rsid w:val="00F961E8"/>
    <w:rsid w:val="00FA0D48"/>
    <w:rsid w:val="00FA3347"/>
    <w:rsid w:val="00FA35CB"/>
    <w:rsid w:val="00FA3ADA"/>
    <w:rsid w:val="00FA67B9"/>
    <w:rsid w:val="00FA72CB"/>
    <w:rsid w:val="00FB46F8"/>
    <w:rsid w:val="00FB74A3"/>
    <w:rsid w:val="00FB769D"/>
    <w:rsid w:val="00FC15F6"/>
    <w:rsid w:val="00FC29A7"/>
    <w:rsid w:val="00FC2C06"/>
    <w:rsid w:val="00FC45D4"/>
    <w:rsid w:val="00FC5735"/>
    <w:rsid w:val="00FC5799"/>
    <w:rsid w:val="00FC7B44"/>
    <w:rsid w:val="00FD141E"/>
    <w:rsid w:val="00FD19C7"/>
    <w:rsid w:val="00FD3BEB"/>
    <w:rsid w:val="00FD45DF"/>
    <w:rsid w:val="00FD4915"/>
    <w:rsid w:val="00FD4B42"/>
    <w:rsid w:val="00FD7E05"/>
    <w:rsid w:val="00FE03DF"/>
    <w:rsid w:val="00FE0D5F"/>
    <w:rsid w:val="00FE106B"/>
    <w:rsid w:val="00FE3E28"/>
    <w:rsid w:val="00FE4092"/>
    <w:rsid w:val="00FE4DF8"/>
    <w:rsid w:val="00FE57CB"/>
    <w:rsid w:val="00FE627E"/>
    <w:rsid w:val="00FE63E5"/>
    <w:rsid w:val="00FF0322"/>
    <w:rsid w:val="00FF29AA"/>
    <w:rsid w:val="00FF3F89"/>
    <w:rsid w:val="00FF4428"/>
    <w:rsid w:val="00FF4CC4"/>
    <w:rsid w:val="00FF5AC5"/>
    <w:rsid w:val="00FF5AC6"/>
    <w:rsid w:val="00FF5E41"/>
    <w:rsid w:val="00FF7102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03A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A3E"/>
    <w:pPr>
      <w:spacing w:before="120" w:after="120" w:line="240" w:lineRule="auto"/>
    </w:pPr>
    <w:rPr>
      <w:rFonts w:ascii="Calibri" w:eastAsiaTheme="minorEastAsia" w:hAnsi="Calibri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75BC4"/>
    <w:pPr>
      <w:keepNext/>
      <w:spacing w:after="240"/>
      <w:outlineLvl w:val="0"/>
    </w:pPr>
    <w:rPr>
      <w:b/>
      <w:color w:val="002C47"/>
      <w:sz w:val="36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463005"/>
    <w:pPr>
      <w:keepNext/>
      <w:spacing w:before="200"/>
      <w:outlineLvl w:val="1"/>
    </w:pPr>
    <w:rPr>
      <w:b/>
      <w:i/>
      <w:color w:val="002C47"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C38EA"/>
    <w:pPr>
      <w:keepNext/>
      <w:outlineLvl w:val="2"/>
    </w:pPr>
    <w:rPr>
      <w:rFonts w:eastAsia="Calibri"/>
      <w:b/>
      <w:i/>
      <w:iCs/>
      <w:color w:val="002C47" w:themeColor="accen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468B5"/>
    <w:pPr>
      <w:pBdr>
        <w:top w:val="dotted" w:sz="6" w:space="1" w:color="002C47" w:themeColor="accent1"/>
      </w:pBdr>
      <w:spacing w:before="200" w:after="0"/>
      <w:outlineLvl w:val="3"/>
    </w:pPr>
    <w:rPr>
      <w:b/>
      <w:smallCaps/>
      <w:color w:val="002C47" w:themeColor="accent1"/>
      <w:spacing w:val="10"/>
    </w:rPr>
  </w:style>
  <w:style w:type="paragraph" w:styleId="Heading5">
    <w:name w:val="heading 5"/>
    <w:basedOn w:val="Normal"/>
    <w:next w:val="Normal"/>
    <w:link w:val="Heading5Char"/>
    <w:unhideWhenUsed/>
    <w:qFormat/>
    <w:rsid w:val="00A468B5"/>
    <w:pPr>
      <w:keepNext/>
      <w:pBdr>
        <w:bottom w:val="single" w:sz="6" w:space="1" w:color="002C47" w:themeColor="accent1"/>
      </w:pBdr>
      <w:spacing w:before="200" w:after="0"/>
      <w:outlineLvl w:val="4"/>
    </w:pPr>
    <w:rPr>
      <w:i/>
      <w:smallCaps/>
      <w:color w:val="002C47" w:themeColor="accent1"/>
      <w:spacing w:val="10"/>
    </w:rPr>
  </w:style>
  <w:style w:type="paragraph" w:styleId="Heading6">
    <w:name w:val="heading 6"/>
    <w:basedOn w:val="Normal"/>
    <w:next w:val="Normal"/>
    <w:link w:val="Heading6Char"/>
    <w:unhideWhenUsed/>
    <w:qFormat/>
    <w:rsid w:val="00A468B5"/>
    <w:pPr>
      <w:pBdr>
        <w:bottom w:val="dotted" w:sz="6" w:space="1" w:color="002C47" w:themeColor="accent1"/>
      </w:pBdr>
      <w:spacing w:before="200" w:after="0"/>
      <w:outlineLvl w:val="5"/>
    </w:pPr>
    <w:rPr>
      <w:i/>
      <w:smallCaps/>
      <w:color w:val="002C47" w:themeColor="accent1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468B5"/>
    <w:pPr>
      <w:spacing w:after="0"/>
      <w:outlineLvl w:val="6"/>
    </w:pPr>
    <w:rPr>
      <w:b/>
      <w:i/>
      <w:color w:val="002C47" w:themeColor="accent1"/>
    </w:rPr>
  </w:style>
  <w:style w:type="paragraph" w:styleId="Heading8">
    <w:name w:val="heading 8"/>
    <w:basedOn w:val="Heading9"/>
    <w:next w:val="Normal"/>
    <w:link w:val="Heading8Char"/>
    <w:uiPriority w:val="9"/>
    <w:unhideWhenUsed/>
    <w:qFormat/>
    <w:rsid w:val="0028692E"/>
    <w:pPr>
      <w:numPr>
        <w:numId w:val="30"/>
      </w:numPr>
      <w:outlineLvl w:val="7"/>
    </w:pPr>
  </w:style>
  <w:style w:type="paragraph" w:styleId="Heading9">
    <w:name w:val="heading 9"/>
    <w:basedOn w:val="ChartMainHeading"/>
    <w:next w:val="Normal"/>
    <w:link w:val="Heading9Char"/>
    <w:uiPriority w:val="9"/>
    <w:unhideWhenUsed/>
    <w:qFormat/>
    <w:rsid w:val="008E0014"/>
    <w:pPr>
      <w:pBdr>
        <w:top w:val="dashed" w:sz="4" w:space="1" w:color="002C47" w:themeColor="accent1"/>
      </w:pBdr>
      <w:spacing w:before="120"/>
    </w:pPr>
    <w:rPr>
      <w:rFonts w:eastAsia="Calibri"/>
      <w:bCs/>
      <w:smallCaps/>
      <w:color w:val="002C47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8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B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8B5"/>
  </w:style>
  <w:style w:type="character" w:customStyle="1" w:styleId="CommentTextChar">
    <w:name w:val="Comment Text Char"/>
    <w:basedOn w:val="DefaultParagraphFont"/>
    <w:link w:val="CommentText"/>
    <w:uiPriority w:val="99"/>
    <w:rsid w:val="00A468B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8B5"/>
    <w:rPr>
      <w:rFonts w:eastAsiaTheme="minorEastAsia"/>
      <w:b/>
      <w:bCs/>
      <w:sz w:val="20"/>
      <w:szCs w:val="20"/>
    </w:rPr>
  </w:style>
  <w:style w:type="paragraph" w:customStyle="1" w:styleId="Bullet">
    <w:name w:val="Bullet"/>
    <w:aliases w:val="b,b + line,b1,Body,Bullet + line,level 1,BodyNum"/>
    <w:basedOn w:val="Normal"/>
    <w:link w:val="BulletChar"/>
    <w:qFormat/>
    <w:rsid w:val="009F6670"/>
    <w:pPr>
      <w:numPr>
        <w:numId w:val="1"/>
      </w:numPr>
    </w:pPr>
  </w:style>
  <w:style w:type="character" w:customStyle="1" w:styleId="BulletChar">
    <w:name w:val="Bullet Char"/>
    <w:aliases w:val="b + line Char Char,b Char,b Char Char,Body Char,Bullet + line Char,b + line Char,b1 Char,level 1 Char,Number Char,Bullets Char,L Char,List Paragraph Char,List Paragraph1 Char,List Paragraph11 Char,Recommendation Char,List Paragraph2 Char"/>
    <w:basedOn w:val="DefaultParagraphFont"/>
    <w:link w:val="Bullet"/>
    <w:qFormat/>
    <w:rsid w:val="009F6670"/>
    <w:rPr>
      <w:rFonts w:ascii="Calibri" w:eastAsiaTheme="minorEastAsia" w:hAnsi="Calibri"/>
      <w:sz w:val="20"/>
      <w:szCs w:val="20"/>
    </w:rPr>
  </w:style>
  <w:style w:type="paragraph" w:customStyle="1" w:styleId="Dash">
    <w:name w:val="Dash"/>
    <w:basedOn w:val="Normal"/>
    <w:link w:val="DashChar"/>
    <w:qFormat/>
    <w:rsid w:val="009F6670"/>
    <w:pPr>
      <w:numPr>
        <w:ilvl w:val="1"/>
        <w:numId w:val="1"/>
      </w:numPr>
    </w:pPr>
  </w:style>
  <w:style w:type="character" w:customStyle="1" w:styleId="DashChar">
    <w:name w:val="Dash Char"/>
    <w:basedOn w:val="DefaultParagraphFont"/>
    <w:link w:val="Dash"/>
    <w:rsid w:val="009F6670"/>
    <w:rPr>
      <w:rFonts w:ascii="Calibri" w:eastAsiaTheme="minorEastAsia" w:hAnsi="Calibri"/>
      <w:sz w:val="20"/>
      <w:szCs w:val="20"/>
    </w:rPr>
  </w:style>
  <w:style w:type="paragraph" w:customStyle="1" w:styleId="DoubleDot">
    <w:name w:val="Double Dot"/>
    <w:basedOn w:val="Normal"/>
    <w:link w:val="DoubleDotChar"/>
    <w:qFormat/>
    <w:rsid w:val="009F6670"/>
    <w:pPr>
      <w:numPr>
        <w:ilvl w:val="2"/>
        <w:numId w:val="1"/>
      </w:numPr>
    </w:pPr>
  </w:style>
  <w:style w:type="character" w:customStyle="1" w:styleId="DoubleDotChar">
    <w:name w:val="Double Dot Char"/>
    <w:basedOn w:val="DefaultParagraphFont"/>
    <w:link w:val="DoubleDot"/>
    <w:rsid w:val="009F6670"/>
    <w:rPr>
      <w:rFonts w:ascii="Calibri" w:eastAsiaTheme="minorEastAsia" w:hAnsi="Calibri"/>
      <w:sz w:val="20"/>
      <w:szCs w:val="20"/>
    </w:rPr>
  </w:style>
  <w:style w:type="paragraph" w:customStyle="1" w:styleId="Default">
    <w:name w:val="Default"/>
    <w:rsid w:val="00A468B5"/>
    <w:pPr>
      <w:autoSpaceDE w:val="0"/>
      <w:autoSpaceDN w:val="0"/>
      <w:adjustRightInd w:val="0"/>
      <w:spacing w:before="100" w:after="0" w:line="240" w:lineRule="auto"/>
    </w:pPr>
    <w:rPr>
      <w:rFonts w:ascii="Palatino" w:eastAsia="Times New Roman" w:hAnsi="Palatino" w:cs="Palatin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468B5"/>
    <w:pPr>
      <w:spacing w:before="100" w:after="240" w:line="260" w:lineRule="exact"/>
      <w:jc w:val="both"/>
    </w:pPr>
    <w:rPr>
      <w:rFonts w:eastAsia="Times New Roman" w:cs="Times New Roman"/>
      <w:sz w:val="20"/>
      <w:szCs w:val="20"/>
      <w:lang w:eastAsia="en-AU"/>
    </w:rPr>
    <w:tblPr/>
    <w:tcPr>
      <w:shd w:val="clear" w:color="auto" w:fill="E6E6E6"/>
    </w:tcPr>
  </w:style>
  <w:style w:type="paragraph" w:styleId="Revision">
    <w:name w:val="Revision"/>
    <w:hidden/>
    <w:uiPriority w:val="99"/>
    <w:semiHidden/>
    <w:rsid w:val="001B275D"/>
    <w:pPr>
      <w:spacing w:after="0" w:line="240" w:lineRule="auto"/>
    </w:pPr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39"/>
    <w:rsid w:val="006E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8B5"/>
    <w:pPr>
      <w:keepNext/>
      <w:spacing w:before="0" w:after="0"/>
      <w:jc w:val="right"/>
    </w:pPr>
    <w:rPr>
      <w:color w:val="004A7F"/>
    </w:rPr>
  </w:style>
  <w:style w:type="character" w:customStyle="1" w:styleId="HeaderChar">
    <w:name w:val="Header Char"/>
    <w:basedOn w:val="DefaultParagraphFont"/>
    <w:link w:val="Header"/>
    <w:uiPriority w:val="99"/>
    <w:rsid w:val="00A468B5"/>
    <w:rPr>
      <w:rFonts w:eastAsiaTheme="minorEastAsia"/>
      <w:color w:val="004A7F"/>
      <w:sz w:val="20"/>
      <w:szCs w:val="20"/>
    </w:rPr>
  </w:style>
  <w:style w:type="paragraph" w:styleId="Footer">
    <w:name w:val="footer"/>
    <w:basedOn w:val="Normal"/>
    <w:link w:val="FooterChar"/>
    <w:unhideWhenUsed/>
    <w:rsid w:val="004B5358"/>
    <w:pPr>
      <w:tabs>
        <w:tab w:val="center" w:pos="4513"/>
        <w:tab w:val="right" w:pos="9026"/>
      </w:tabs>
      <w:spacing w:before="0" w:after="0"/>
      <w:jc w:val="center"/>
    </w:pPr>
    <w:rPr>
      <w:color w:val="002C47"/>
      <w:sz w:val="18"/>
    </w:rPr>
  </w:style>
  <w:style w:type="character" w:customStyle="1" w:styleId="FooterChar">
    <w:name w:val="Footer Char"/>
    <w:basedOn w:val="DefaultParagraphFont"/>
    <w:link w:val="Footer"/>
    <w:rsid w:val="004B5358"/>
    <w:rPr>
      <w:rFonts w:ascii="Calibri" w:eastAsiaTheme="minorEastAsia" w:hAnsi="Calibri"/>
      <w:color w:val="002C47"/>
      <w:sz w:val="18"/>
      <w:szCs w:val="20"/>
    </w:rPr>
  </w:style>
  <w:style w:type="character" w:styleId="Hyperlink">
    <w:name w:val="Hyperlink"/>
    <w:basedOn w:val="DefaultParagraphFont"/>
    <w:uiPriority w:val="99"/>
    <w:rsid w:val="0048560C"/>
    <w:rPr>
      <w:color w:val="4470A7"/>
      <w:u w:val="none"/>
    </w:rPr>
  </w:style>
  <w:style w:type="paragraph" w:styleId="ListParagraph">
    <w:name w:val="List Paragraph"/>
    <w:basedOn w:val="Normal"/>
    <w:uiPriority w:val="34"/>
    <w:rsid w:val="00A468B5"/>
    <w:pPr>
      <w:ind w:left="720"/>
      <w:contextualSpacing/>
    </w:pPr>
  </w:style>
  <w:style w:type="paragraph" w:styleId="FootnoteText">
    <w:name w:val="footnote text"/>
    <w:basedOn w:val="CommentText"/>
    <w:link w:val="FootnoteTextChar"/>
    <w:uiPriority w:val="99"/>
    <w:rsid w:val="00BF7CAE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CAE"/>
    <w:rPr>
      <w:rFonts w:ascii="Calibri" w:eastAsiaTheme="minorEastAsia" w:hAnsi="Calibri"/>
      <w:sz w:val="16"/>
      <w:szCs w:val="20"/>
    </w:rPr>
  </w:style>
  <w:style w:type="character" w:styleId="FootnoteReference">
    <w:name w:val="footnote reference"/>
    <w:basedOn w:val="DefaultParagraphFont"/>
    <w:uiPriority w:val="99"/>
    <w:rsid w:val="00A468B5"/>
    <w:rPr>
      <w:rFonts w:ascii="Calibri" w:hAnsi="Calibri"/>
      <w:sz w:val="20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975BC4"/>
    <w:rPr>
      <w:rFonts w:ascii="Calibri" w:eastAsiaTheme="minorEastAsia" w:hAnsi="Calibri"/>
      <w:b/>
      <w:color w:val="002C47"/>
      <w:sz w:val="36"/>
    </w:rPr>
  </w:style>
  <w:style w:type="character" w:customStyle="1" w:styleId="Heading2Char">
    <w:name w:val="Heading 2 Char"/>
    <w:basedOn w:val="DefaultParagraphFont"/>
    <w:link w:val="Heading2"/>
    <w:rsid w:val="00463005"/>
    <w:rPr>
      <w:rFonts w:ascii="Calibri" w:eastAsiaTheme="minorEastAsia" w:hAnsi="Calibri"/>
      <w:b/>
      <w:i/>
      <w:color w:val="002C47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C38EA"/>
    <w:rPr>
      <w:rFonts w:ascii="Calibri" w:eastAsia="Calibri" w:hAnsi="Calibri"/>
      <w:b/>
      <w:i/>
      <w:iCs/>
      <w:color w:val="002C47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468B5"/>
    <w:rPr>
      <w:rFonts w:eastAsiaTheme="minorEastAsia"/>
      <w:b/>
      <w:smallCaps/>
      <w:color w:val="002C47" w:themeColor="accent1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A468B5"/>
    <w:rPr>
      <w:rFonts w:eastAsiaTheme="minorEastAsia"/>
      <w:i/>
      <w:smallCaps/>
      <w:color w:val="002C47" w:themeColor="accent1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A468B5"/>
    <w:rPr>
      <w:rFonts w:eastAsiaTheme="minorEastAsia"/>
      <w:i/>
      <w:smallCaps/>
      <w:color w:val="002C47" w:themeColor="accent1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A468B5"/>
    <w:rPr>
      <w:rFonts w:eastAsiaTheme="minorEastAsia"/>
      <w:b/>
      <w:i/>
      <w:color w:val="002C47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28692E"/>
    <w:rPr>
      <w:rFonts w:ascii="Calibri" w:eastAsiaTheme="minorEastAsia" w:hAnsi="Calibri"/>
      <w:b/>
      <w:color w:val="002C47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E0014"/>
    <w:rPr>
      <w:rFonts w:ascii="Calibri" w:eastAsia="Calibri" w:hAnsi="Calibri"/>
      <w:b/>
      <w:bCs/>
      <w:smallCaps/>
      <w:color w:val="002C47" w:themeColor="accent1"/>
      <w:sz w:val="20"/>
      <w:szCs w:val="20"/>
    </w:rPr>
  </w:style>
  <w:style w:type="paragraph" w:customStyle="1" w:styleId="ChartGraphic">
    <w:name w:val="Chart Graphic"/>
    <w:basedOn w:val="Normal"/>
    <w:next w:val="Normal"/>
    <w:rsid w:val="00142FC9"/>
    <w:pPr>
      <w:keepNext/>
      <w:spacing w:before="0" w:after="240"/>
    </w:pPr>
    <w:rPr>
      <w:color w:val="004A7F"/>
    </w:rPr>
  </w:style>
  <w:style w:type="paragraph" w:customStyle="1" w:styleId="AlphaParagraph">
    <w:name w:val="Alpha Paragraph"/>
    <w:basedOn w:val="Normal"/>
    <w:rsid w:val="00A468B5"/>
    <w:pPr>
      <w:numPr>
        <w:ilvl w:val="1"/>
        <w:numId w:val="24"/>
      </w:numPr>
      <w:spacing w:before="0"/>
    </w:pPr>
  </w:style>
  <w:style w:type="paragraph" w:customStyle="1" w:styleId="BoxBullet">
    <w:name w:val="Box Bullet"/>
    <w:basedOn w:val="Normal"/>
    <w:link w:val="BoxBulletChar"/>
    <w:rsid w:val="00A468B5"/>
    <w:pPr>
      <w:numPr>
        <w:numId w:val="15"/>
      </w:numPr>
      <w:spacing w:before="40" w:after="40"/>
      <w:jc w:val="both"/>
    </w:pPr>
    <w:rPr>
      <w:rFonts w:cs="Times New Roman"/>
      <w:bdr w:val="none" w:sz="0" w:space="0" w:color="auto" w:frame="1"/>
      <w:lang w:eastAsia="en-AU"/>
    </w:rPr>
  </w:style>
  <w:style w:type="paragraph" w:customStyle="1" w:styleId="BoxDash">
    <w:name w:val="Box Dash"/>
    <w:basedOn w:val="Normal"/>
    <w:link w:val="BoxDashChar"/>
    <w:rsid w:val="00A468B5"/>
    <w:pPr>
      <w:numPr>
        <w:ilvl w:val="1"/>
        <w:numId w:val="15"/>
      </w:numPr>
      <w:spacing w:before="40" w:after="40"/>
      <w:jc w:val="both"/>
    </w:pPr>
    <w:rPr>
      <w:rFonts w:cs="Times New Roman"/>
      <w:bdr w:val="none" w:sz="0" w:space="0" w:color="auto" w:frame="1"/>
      <w:lang w:eastAsia="en-AU"/>
    </w:rPr>
  </w:style>
  <w:style w:type="paragraph" w:customStyle="1" w:styleId="BoxDoubleDot">
    <w:name w:val="Box Double Dot"/>
    <w:basedOn w:val="Normal"/>
    <w:rsid w:val="00A468B5"/>
    <w:pPr>
      <w:numPr>
        <w:ilvl w:val="2"/>
        <w:numId w:val="15"/>
      </w:numPr>
      <w:spacing w:before="0"/>
    </w:pPr>
  </w:style>
  <w:style w:type="paragraph" w:customStyle="1" w:styleId="BoxHeading">
    <w:name w:val="Box Heading"/>
    <w:basedOn w:val="Heading3"/>
    <w:next w:val="BoxText"/>
    <w:qFormat/>
    <w:rsid w:val="00A468B5"/>
    <w:pPr>
      <w:numPr>
        <w:numId w:val="29"/>
      </w:numPr>
      <w:tabs>
        <w:tab w:val="left" w:pos="1134"/>
      </w:tabs>
      <w:spacing w:before="240"/>
      <w:ind w:left="0" w:firstLine="0"/>
      <w:jc w:val="both"/>
    </w:pPr>
    <w:rPr>
      <w:rFonts w:asciiTheme="majorHAnsi" w:hAnsiTheme="majorHAnsi" w:cstheme="majorHAnsi"/>
      <w:sz w:val="26"/>
      <w:szCs w:val="26"/>
      <w:lang w:eastAsia="en-AU"/>
    </w:rPr>
  </w:style>
  <w:style w:type="paragraph" w:customStyle="1" w:styleId="BoxText">
    <w:name w:val="Box Text"/>
    <w:basedOn w:val="Normal"/>
    <w:rsid w:val="00A21A3E"/>
    <w:pPr>
      <w:ind w:left="57" w:right="57"/>
      <w:jc w:val="both"/>
    </w:pPr>
    <w:rPr>
      <w:rFonts w:cstheme="minorHAnsi"/>
      <w:sz w:val="19"/>
      <w:lang w:eastAsia="en-AU"/>
    </w:rPr>
  </w:style>
  <w:style w:type="paragraph" w:customStyle="1" w:styleId="Normalbullet">
    <w:name w:val="Normal bullet"/>
    <w:basedOn w:val="Normal"/>
    <w:link w:val="NormalbulletChar"/>
    <w:qFormat/>
    <w:rsid w:val="00A468B5"/>
    <w:pPr>
      <w:numPr>
        <w:numId w:val="16"/>
      </w:numPr>
      <w:spacing w:before="0"/>
    </w:pPr>
  </w:style>
  <w:style w:type="paragraph" w:customStyle="1" w:styleId="ChartandTableFootnoteAlpha">
    <w:name w:val="Chart and Table Footnote Alpha"/>
    <w:rsid w:val="00A468B5"/>
    <w:pPr>
      <w:numPr>
        <w:numId w:val="18"/>
      </w:numPr>
      <w:spacing w:before="100"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16"/>
      <w:lang w:eastAsia="en-AU"/>
    </w:rPr>
  </w:style>
  <w:style w:type="paragraph" w:customStyle="1" w:styleId="ChartMainHeading">
    <w:name w:val="Chart Main Heading"/>
    <w:basedOn w:val="Normal"/>
    <w:next w:val="ChartGraphic"/>
    <w:rsid w:val="005C6849"/>
    <w:pPr>
      <w:keepNext/>
      <w:numPr>
        <w:numId w:val="28"/>
      </w:numPr>
      <w:spacing w:before="240"/>
      <w:outlineLvl w:val="8"/>
    </w:pPr>
    <w:rPr>
      <w:b/>
      <w:color w:val="1E75BA" w:themeColor="accent2"/>
      <w:sz w:val="22"/>
    </w:rPr>
  </w:style>
  <w:style w:type="paragraph" w:customStyle="1" w:styleId="ChartorTableNote">
    <w:name w:val="Chart or Table Note"/>
    <w:next w:val="Normal"/>
    <w:rsid w:val="00A711E0"/>
    <w:pPr>
      <w:tabs>
        <w:tab w:val="left" w:pos="454"/>
      </w:tabs>
      <w:spacing w:after="360" w:line="240" w:lineRule="auto"/>
      <w:ind w:left="454" w:hanging="454"/>
      <w:jc w:val="both"/>
    </w:pPr>
    <w:rPr>
      <w:rFonts w:ascii="Calibri" w:eastAsia="Times New Roman" w:hAnsi="Calibri" w:cs="Times New Roman"/>
      <w:bCs/>
      <w:color w:val="4470A7"/>
      <w:sz w:val="17"/>
      <w:szCs w:val="20"/>
      <w:lang w:eastAsia="en-AU"/>
    </w:rPr>
  </w:style>
  <w:style w:type="paragraph" w:customStyle="1" w:styleId="ChartSecondHeading">
    <w:name w:val="Chart Second Heading"/>
    <w:basedOn w:val="TableSecondHeading"/>
    <w:next w:val="ChartGraphic"/>
    <w:rsid w:val="00A468B5"/>
    <w:rPr>
      <w:color w:val="277F98" w:themeColor="accent6"/>
    </w:rPr>
  </w:style>
  <w:style w:type="paragraph" w:customStyle="1" w:styleId="ReportDate">
    <w:name w:val="Report Date"/>
    <w:basedOn w:val="Normal"/>
    <w:link w:val="ReportDateChar"/>
    <w:rsid w:val="00A468B5"/>
    <w:pPr>
      <w:keepNext/>
      <w:spacing w:before="0" w:after="360"/>
    </w:pPr>
    <w:rPr>
      <w:color w:val="FFFFFF" w:themeColor="background1"/>
      <w:sz w:val="44"/>
    </w:rPr>
  </w:style>
  <w:style w:type="paragraph" w:customStyle="1" w:styleId="Normaldash">
    <w:name w:val="Normal dash"/>
    <w:basedOn w:val="Normal"/>
    <w:link w:val="NormaldashChar"/>
    <w:qFormat/>
    <w:rsid w:val="00A468B5"/>
    <w:pPr>
      <w:numPr>
        <w:ilvl w:val="1"/>
        <w:numId w:val="16"/>
      </w:numPr>
      <w:spacing w:before="0"/>
    </w:pPr>
  </w:style>
  <w:style w:type="paragraph" w:customStyle="1" w:styleId="Normaldoubledot">
    <w:name w:val="Normal double dot"/>
    <w:basedOn w:val="Normal"/>
    <w:qFormat/>
    <w:rsid w:val="00A468B5"/>
    <w:pPr>
      <w:numPr>
        <w:ilvl w:val="2"/>
        <w:numId w:val="16"/>
      </w:numPr>
      <w:spacing w:before="0"/>
    </w:pPr>
  </w:style>
  <w:style w:type="paragraph" w:customStyle="1" w:styleId="TableMainHeading">
    <w:name w:val="Table Main Heading"/>
    <w:basedOn w:val="Normal"/>
    <w:next w:val="Normal"/>
    <w:rsid w:val="00A468B5"/>
    <w:pPr>
      <w:keepNext/>
      <w:numPr>
        <w:numId w:val="27"/>
      </w:numPr>
      <w:pBdr>
        <w:top w:val="dashed" w:sz="4" w:space="1" w:color="002C47" w:themeColor="accent1"/>
      </w:pBdr>
      <w:tabs>
        <w:tab w:val="left" w:pos="993"/>
      </w:tabs>
      <w:spacing w:after="0"/>
      <w:ind w:left="993" w:hanging="993"/>
      <w:outlineLvl w:val="7"/>
    </w:pPr>
    <w:rPr>
      <w:b/>
      <w:smallCaps/>
      <w:color w:val="002C47" w:themeColor="accent1"/>
      <w:spacing w:val="15"/>
    </w:rPr>
  </w:style>
  <w:style w:type="paragraph" w:customStyle="1" w:styleId="FooterEven">
    <w:name w:val="Footer Even"/>
    <w:basedOn w:val="Footer"/>
    <w:rsid w:val="00A468B5"/>
    <w:pPr>
      <w:keepNext/>
      <w:tabs>
        <w:tab w:val="clear" w:pos="4513"/>
        <w:tab w:val="clear" w:pos="9026"/>
      </w:tabs>
      <w:jc w:val="left"/>
    </w:pPr>
    <w:rPr>
      <w:noProof/>
      <w:color w:val="002C47" w:themeColor="accent1"/>
    </w:rPr>
  </w:style>
  <w:style w:type="paragraph" w:customStyle="1" w:styleId="FooterOdd">
    <w:name w:val="Footer Odd"/>
    <w:basedOn w:val="Footer"/>
    <w:rsid w:val="00A468B5"/>
    <w:pPr>
      <w:keepNext/>
      <w:tabs>
        <w:tab w:val="clear" w:pos="4513"/>
        <w:tab w:val="clear" w:pos="9026"/>
      </w:tabs>
      <w:jc w:val="right"/>
    </w:pPr>
    <w:rPr>
      <w:color w:val="002C47" w:themeColor="accent1"/>
    </w:rPr>
  </w:style>
  <w:style w:type="paragraph" w:customStyle="1" w:styleId="OutlineNumbered1">
    <w:name w:val="Outline Numbered 1"/>
    <w:basedOn w:val="Normal"/>
    <w:rsid w:val="00A468B5"/>
    <w:pPr>
      <w:numPr>
        <w:numId w:val="23"/>
      </w:numPr>
      <w:spacing w:before="0"/>
    </w:pPr>
  </w:style>
  <w:style w:type="paragraph" w:customStyle="1" w:styleId="OneLevelNumberedParagraph">
    <w:name w:val="One Level Numbered Paragraph"/>
    <w:basedOn w:val="Normal"/>
    <w:rsid w:val="00A468B5"/>
    <w:pPr>
      <w:numPr>
        <w:numId w:val="22"/>
      </w:numPr>
      <w:spacing w:before="0"/>
    </w:pPr>
  </w:style>
  <w:style w:type="paragraph" w:customStyle="1" w:styleId="OutlineNumbered2">
    <w:name w:val="Outline Numbered 2"/>
    <w:basedOn w:val="Normal"/>
    <w:rsid w:val="00A468B5"/>
    <w:pPr>
      <w:numPr>
        <w:ilvl w:val="1"/>
        <w:numId w:val="23"/>
      </w:numPr>
      <w:spacing w:before="0"/>
    </w:pPr>
  </w:style>
  <w:style w:type="paragraph" w:customStyle="1" w:styleId="OutlineNumbered3">
    <w:name w:val="Outline Numbered 3"/>
    <w:basedOn w:val="Normal"/>
    <w:rsid w:val="00A468B5"/>
    <w:pPr>
      <w:numPr>
        <w:ilvl w:val="2"/>
        <w:numId w:val="23"/>
      </w:numPr>
      <w:spacing w:before="0"/>
    </w:pPr>
  </w:style>
  <w:style w:type="paragraph" w:customStyle="1" w:styleId="Romannumeral">
    <w:name w:val="Roman numeral"/>
    <w:basedOn w:val="Normal"/>
    <w:rsid w:val="00A468B5"/>
    <w:pPr>
      <w:numPr>
        <w:numId w:val="24"/>
      </w:numPr>
      <w:tabs>
        <w:tab w:val="clear" w:pos="720"/>
        <w:tab w:val="num" w:pos="851"/>
      </w:tabs>
      <w:spacing w:before="0"/>
    </w:pPr>
  </w:style>
  <w:style w:type="paragraph" w:customStyle="1" w:styleId="SingleParagraph">
    <w:name w:val="Single Paragraph"/>
    <w:basedOn w:val="Normal"/>
    <w:link w:val="SingleParagraphChar"/>
    <w:rsid w:val="00A468B5"/>
    <w:pPr>
      <w:spacing w:before="0" w:after="0"/>
    </w:pPr>
  </w:style>
  <w:style w:type="paragraph" w:customStyle="1" w:styleId="TableSecondHeading">
    <w:name w:val="Table Second Heading"/>
    <w:basedOn w:val="Normal"/>
    <w:next w:val="Normal"/>
    <w:qFormat/>
    <w:rsid w:val="00FA35CB"/>
    <w:pPr>
      <w:spacing w:before="40" w:after="40" w:line="276" w:lineRule="auto"/>
      <w:jc w:val="center"/>
    </w:pPr>
    <w:rPr>
      <w:rFonts w:asciiTheme="minorHAnsi" w:eastAsia="Times New Roman" w:hAnsiTheme="minorHAnsi" w:cstheme="minorHAnsi"/>
      <w:b/>
      <w:bCs/>
      <w:color w:val="002C47" w:themeColor="accent1"/>
      <w:sz w:val="18"/>
      <w:szCs w:val="18"/>
      <w:lang w:eastAsia="en-AU"/>
    </w:rPr>
  </w:style>
  <w:style w:type="paragraph" w:customStyle="1" w:styleId="TableColumnHeadingCentred">
    <w:name w:val="Table Column Heading Centred"/>
    <w:basedOn w:val="TableTextLeft"/>
    <w:rsid w:val="00A468B5"/>
    <w:pPr>
      <w:jc w:val="center"/>
    </w:pPr>
    <w:rPr>
      <w:b/>
      <w:color w:val="004A7F"/>
    </w:rPr>
  </w:style>
  <w:style w:type="paragraph" w:customStyle="1" w:styleId="TableColumnHeadingLeft">
    <w:name w:val="Table Column Heading Left"/>
    <w:basedOn w:val="TableTextLeft"/>
    <w:rsid w:val="00A468B5"/>
    <w:rPr>
      <w:b/>
      <w:color w:val="004A7F"/>
    </w:rPr>
  </w:style>
  <w:style w:type="paragraph" w:customStyle="1" w:styleId="TableColumnHeadingRight">
    <w:name w:val="Table Column Heading Right"/>
    <w:basedOn w:val="TableTextLeft"/>
    <w:rsid w:val="00A468B5"/>
    <w:pPr>
      <w:jc w:val="right"/>
    </w:pPr>
    <w:rPr>
      <w:b/>
      <w:color w:val="004A7F"/>
    </w:rPr>
  </w:style>
  <w:style w:type="paragraph" w:customStyle="1" w:styleId="TableTextCentered">
    <w:name w:val="Table Text Centered"/>
    <w:basedOn w:val="TableTextRight"/>
    <w:rsid w:val="00A468B5"/>
    <w:pPr>
      <w:jc w:val="center"/>
    </w:pPr>
  </w:style>
  <w:style w:type="paragraph" w:customStyle="1" w:styleId="TableTextLeft">
    <w:name w:val="Table Text Left"/>
    <w:basedOn w:val="TableTextRight"/>
    <w:rsid w:val="00A468B5"/>
    <w:pPr>
      <w:jc w:val="left"/>
    </w:pPr>
    <w:rPr>
      <w:rFonts w:cs="Times New Roman"/>
      <w:bdr w:val="none" w:sz="0" w:space="0" w:color="auto" w:frame="1"/>
      <w:lang w:eastAsia="en-AU"/>
    </w:rPr>
  </w:style>
  <w:style w:type="paragraph" w:customStyle="1" w:styleId="TableTextRight">
    <w:name w:val="Table Text Right"/>
    <w:basedOn w:val="Normal"/>
    <w:rsid w:val="00A468B5"/>
    <w:pPr>
      <w:spacing w:before="40" w:after="40"/>
      <w:jc w:val="right"/>
    </w:pPr>
    <w:rPr>
      <w:color w:val="000000"/>
    </w:rPr>
  </w:style>
  <w:style w:type="paragraph" w:styleId="TOC1">
    <w:name w:val="toc 1"/>
    <w:basedOn w:val="Normal"/>
    <w:next w:val="Normal"/>
    <w:uiPriority w:val="39"/>
    <w:rsid w:val="00A468B5"/>
    <w:pPr>
      <w:keepNext/>
      <w:tabs>
        <w:tab w:val="right" w:leader="dot" w:pos="9072"/>
      </w:tabs>
      <w:spacing w:before="180" w:after="0"/>
      <w:ind w:right="-2"/>
    </w:pPr>
    <w:rPr>
      <w:b/>
      <w:noProof/>
      <w:color w:val="000000" w:themeColor="text1"/>
      <w:szCs w:val="22"/>
    </w:rPr>
  </w:style>
  <w:style w:type="paragraph" w:styleId="TOC2">
    <w:name w:val="toc 2"/>
    <w:basedOn w:val="Normal"/>
    <w:next w:val="Normal"/>
    <w:uiPriority w:val="39"/>
    <w:rsid w:val="00A468B5"/>
    <w:pPr>
      <w:keepNext/>
      <w:tabs>
        <w:tab w:val="right" w:leader="dot" w:pos="9072"/>
      </w:tabs>
      <w:spacing w:before="40" w:after="20"/>
      <w:ind w:left="142" w:right="-2"/>
    </w:pPr>
    <w:rPr>
      <w:noProof/>
      <w:color w:val="000000" w:themeColor="text1"/>
    </w:rPr>
  </w:style>
  <w:style w:type="paragraph" w:styleId="TOC3">
    <w:name w:val="toc 3"/>
    <w:basedOn w:val="Normal"/>
    <w:next w:val="Normal"/>
    <w:uiPriority w:val="39"/>
    <w:rsid w:val="00A468B5"/>
    <w:pPr>
      <w:tabs>
        <w:tab w:val="right" w:leader="dot" w:pos="9072"/>
      </w:tabs>
      <w:spacing w:before="20" w:after="0"/>
      <w:ind w:left="284" w:right="-2"/>
    </w:pPr>
    <w:rPr>
      <w:rFonts w:cs="Calibri"/>
      <w:noProof/>
      <w:color w:val="000000" w:themeColor="text1"/>
    </w:rPr>
  </w:style>
  <w:style w:type="numbering" w:customStyle="1" w:styleId="OutlineList">
    <w:name w:val="OutlineList"/>
    <w:uiPriority w:val="99"/>
    <w:rsid w:val="00A468B5"/>
    <w:pPr>
      <w:numPr>
        <w:numId w:val="23"/>
      </w:numPr>
    </w:pPr>
  </w:style>
  <w:style w:type="numbering" w:customStyle="1" w:styleId="BulletedList">
    <w:name w:val="Bulleted List"/>
    <w:uiPriority w:val="99"/>
    <w:rsid w:val="00A468B5"/>
    <w:pPr>
      <w:numPr>
        <w:numId w:val="16"/>
      </w:numPr>
    </w:pPr>
  </w:style>
  <w:style w:type="numbering" w:customStyle="1" w:styleId="BoxBulletedList">
    <w:name w:val="Box Bulleted List"/>
    <w:uiPriority w:val="99"/>
    <w:rsid w:val="00A468B5"/>
    <w:pPr>
      <w:numPr>
        <w:numId w:val="15"/>
      </w:numPr>
    </w:pPr>
  </w:style>
  <w:style w:type="numbering" w:customStyle="1" w:styleId="OneLevelList">
    <w:name w:val="OneLevelList"/>
    <w:uiPriority w:val="99"/>
    <w:rsid w:val="00A468B5"/>
    <w:pPr>
      <w:numPr>
        <w:numId w:val="22"/>
      </w:numPr>
    </w:pPr>
  </w:style>
  <w:style w:type="numbering" w:customStyle="1" w:styleId="ChartandTableFootnoteAlphaList">
    <w:name w:val="ChartandTableFootnoteAlphaList"/>
    <w:uiPriority w:val="99"/>
    <w:rsid w:val="00A468B5"/>
    <w:pPr>
      <w:numPr>
        <w:numId w:val="18"/>
      </w:numPr>
    </w:pPr>
  </w:style>
  <w:style w:type="paragraph" w:customStyle="1" w:styleId="Crest">
    <w:name w:val="Crest"/>
    <w:basedOn w:val="Header"/>
    <w:rsid w:val="00A468B5"/>
    <w:pPr>
      <w:spacing w:after="480"/>
      <w:jc w:val="center"/>
    </w:pPr>
    <w:rPr>
      <w:color w:val="000000" w:themeColor="text1"/>
    </w:rPr>
  </w:style>
  <w:style w:type="paragraph" w:customStyle="1" w:styleId="Heading1Numbered">
    <w:name w:val="Heading 1 Numbered"/>
    <w:basedOn w:val="Heading1"/>
    <w:next w:val="Normal"/>
    <w:rsid w:val="00A468B5"/>
    <w:pPr>
      <w:numPr>
        <w:numId w:val="19"/>
      </w:numPr>
    </w:pPr>
  </w:style>
  <w:style w:type="character" w:customStyle="1" w:styleId="SingleParagraphChar">
    <w:name w:val="Single Paragraph Char"/>
    <w:basedOn w:val="DefaultParagraphFont"/>
    <w:link w:val="SingleParagraph"/>
    <w:rsid w:val="00A468B5"/>
    <w:rPr>
      <w:rFonts w:eastAsiaTheme="minorEastAsia"/>
      <w:sz w:val="20"/>
      <w:szCs w:val="20"/>
    </w:rPr>
  </w:style>
  <w:style w:type="paragraph" w:customStyle="1" w:styleId="Heading2Numbered">
    <w:name w:val="Heading 2 Numbered"/>
    <w:basedOn w:val="Heading2"/>
    <w:next w:val="Normal"/>
    <w:rsid w:val="00A468B5"/>
    <w:pPr>
      <w:numPr>
        <w:ilvl w:val="1"/>
        <w:numId w:val="19"/>
      </w:numPr>
    </w:pPr>
  </w:style>
  <w:style w:type="paragraph" w:customStyle="1" w:styleId="Heading3Numbered">
    <w:name w:val="Heading 3 Numbered"/>
    <w:basedOn w:val="Heading3"/>
    <w:qFormat/>
    <w:rsid w:val="00A468B5"/>
    <w:pPr>
      <w:numPr>
        <w:ilvl w:val="2"/>
        <w:numId w:val="1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A468B5"/>
    <w:pPr>
      <w:spacing w:before="0" w:after="0"/>
    </w:pPr>
    <w:rPr>
      <w:rFonts w:asciiTheme="majorHAnsi" w:eastAsiaTheme="majorEastAsia" w:hAnsiTheme="majorHAnsi" w:cstheme="majorBidi"/>
      <w:b/>
      <w:caps/>
      <w:color w:val="FFFFFF" w:themeColor="background1"/>
      <w:spacing w:val="1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68B5"/>
    <w:rPr>
      <w:rFonts w:asciiTheme="majorHAnsi" w:eastAsiaTheme="majorEastAsia" w:hAnsiTheme="majorHAnsi" w:cstheme="majorBidi"/>
      <w:b/>
      <w:caps/>
      <w:color w:val="FFFFFF" w:themeColor="background1"/>
      <w:spacing w:val="1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A468B5"/>
    <w:pPr>
      <w:spacing w:before="0" w:after="500"/>
    </w:pPr>
    <w:rPr>
      <w:caps/>
      <w:color w:val="FFFFFF" w:themeColor="background1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468B5"/>
    <w:rPr>
      <w:rFonts w:eastAsiaTheme="minorEastAsia"/>
      <w:caps/>
      <w:color w:val="FFFFFF" w:themeColor="background1"/>
      <w:spacing w:val="10"/>
      <w:sz w:val="21"/>
      <w:szCs w:val="21"/>
    </w:rPr>
  </w:style>
  <w:style w:type="character" w:styleId="SubtleEmphasis">
    <w:name w:val="Subtle Emphasis"/>
    <w:uiPriority w:val="19"/>
    <w:rsid w:val="00A468B5"/>
    <w:rPr>
      <w:i/>
      <w:iCs/>
      <w:color w:val="001523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A468B5"/>
    <w:rPr>
      <w:color w:val="808080"/>
    </w:rPr>
  </w:style>
  <w:style w:type="paragraph" w:customStyle="1" w:styleId="AppendixHeading">
    <w:name w:val="Appendix Heading"/>
    <w:basedOn w:val="Normal"/>
    <w:next w:val="Normal"/>
    <w:rsid w:val="00A468B5"/>
    <w:pPr>
      <w:keepNext/>
      <w:spacing w:before="720" w:after="360"/>
    </w:pPr>
    <w:rPr>
      <w:rFonts w:ascii="Arial Bold" w:hAnsi="Arial Bold"/>
      <w:b/>
      <w:smallCaps/>
      <w:color w:val="004A7F"/>
      <w:sz w:val="36"/>
      <w:szCs w:val="36"/>
    </w:rPr>
  </w:style>
  <w:style w:type="paragraph" w:customStyle="1" w:styleId="HeadingBase">
    <w:name w:val="Heading Base"/>
    <w:rsid w:val="00A468B5"/>
    <w:pPr>
      <w:keepNext/>
      <w:spacing w:before="100" w:after="120" w:line="240" w:lineRule="auto"/>
    </w:pPr>
    <w:rPr>
      <w:rFonts w:ascii="Calibri" w:eastAsia="Times New Roman" w:hAnsi="Calibri" w:cs="Arial"/>
      <w:bCs/>
      <w:color w:val="002C47" w:themeColor="accent1"/>
      <w:kern w:val="32"/>
      <w:sz w:val="48"/>
      <w:szCs w:val="36"/>
      <w:lang w:eastAsia="en-AU"/>
    </w:rPr>
  </w:style>
  <w:style w:type="character" w:customStyle="1" w:styleId="ReportDateChar">
    <w:name w:val="Report Date Char"/>
    <w:basedOn w:val="DefaultParagraphFont"/>
    <w:link w:val="ReportDate"/>
    <w:rsid w:val="00A468B5"/>
    <w:rPr>
      <w:rFonts w:eastAsiaTheme="minorEastAsia"/>
      <w:color w:val="FFFFFF" w:themeColor="background1"/>
      <w:sz w:val="44"/>
      <w:szCs w:val="20"/>
    </w:rPr>
  </w:style>
  <w:style w:type="paragraph" w:customStyle="1" w:styleId="Disclaimer">
    <w:name w:val="Disclaimer"/>
    <w:basedOn w:val="ReportDate"/>
    <w:rsid w:val="00A468B5"/>
    <w:pPr>
      <w:spacing w:after="1800"/>
      <w:ind w:right="142"/>
    </w:pPr>
    <w:rPr>
      <w:rFonts w:ascii="Century Gothic" w:hAnsi="Century Gothic"/>
      <w:b/>
      <w:bCs/>
      <w:color w:val="38AFCF" w:themeColor="text2"/>
      <w:sz w:val="22"/>
    </w:rPr>
  </w:style>
  <w:style w:type="paragraph" w:customStyle="1" w:styleId="NotesHeading">
    <w:name w:val="Notes Heading"/>
    <w:basedOn w:val="Normal"/>
    <w:rsid w:val="00A468B5"/>
    <w:pPr>
      <w:keepNext/>
      <w:spacing w:before="240" w:after="360"/>
      <w:jc w:val="center"/>
    </w:pPr>
    <w:rPr>
      <w:rFonts w:ascii="Century Gothic" w:hAnsi="Century Gothic"/>
      <w:smallCaps/>
      <w:color w:val="38AFCF" w:themeColor="text2"/>
      <w:sz w:val="36"/>
      <w:szCs w:val="36"/>
    </w:rPr>
  </w:style>
  <w:style w:type="paragraph" w:customStyle="1" w:styleId="Divider">
    <w:name w:val="Divider"/>
    <w:basedOn w:val="ReportDate"/>
    <w:rsid w:val="00A468B5"/>
    <w:pPr>
      <w:spacing w:after="1800"/>
    </w:pPr>
    <w:rPr>
      <w:rFonts w:ascii="Rockwell" w:hAnsi="Rockwell"/>
      <w:sz w:val="24"/>
    </w:rPr>
  </w:style>
  <w:style w:type="character" w:customStyle="1" w:styleId="FramedFooter">
    <w:name w:val="Framed Footer"/>
    <w:rsid w:val="00A468B5"/>
    <w:rPr>
      <w:rFonts w:ascii="Arial" w:hAnsi="Arial"/>
      <w:color w:val="002C47"/>
      <w:sz w:val="18"/>
    </w:rPr>
  </w:style>
  <w:style w:type="character" w:customStyle="1" w:styleId="FramedHeader">
    <w:name w:val="Framed Header"/>
    <w:basedOn w:val="DefaultParagraphFont"/>
    <w:rsid w:val="00A468B5"/>
    <w:rPr>
      <w:rFonts w:ascii="Arial" w:hAnsi="Arial"/>
      <w:dstrike w:val="0"/>
      <w:color w:val="auto"/>
      <w:sz w:val="18"/>
      <w:vertAlign w:val="baseline"/>
    </w:rPr>
  </w:style>
  <w:style w:type="paragraph" w:customStyle="1" w:styleId="TableTextIndented">
    <w:name w:val="Table Text Indented"/>
    <w:basedOn w:val="TableTextLeft"/>
    <w:rsid w:val="00A468B5"/>
    <w:pPr>
      <w:ind w:left="284"/>
    </w:pPr>
  </w:style>
  <w:style w:type="paragraph" w:customStyle="1" w:styleId="TableHeadingContinued">
    <w:name w:val="Table Heading Continued"/>
    <w:basedOn w:val="TableMainHeading"/>
    <w:next w:val="TableGraphic"/>
    <w:qFormat/>
    <w:rsid w:val="00FA35CB"/>
    <w:pPr>
      <w:spacing w:after="120"/>
      <w:ind w:left="992" w:hanging="992"/>
    </w:pPr>
  </w:style>
  <w:style w:type="paragraph" w:customStyle="1" w:styleId="TableGraphic">
    <w:name w:val="Table Graphic"/>
    <w:basedOn w:val="HeadingBase"/>
    <w:next w:val="Normal"/>
    <w:rsid w:val="00A468B5"/>
    <w:pPr>
      <w:spacing w:after="0"/>
    </w:pPr>
    <w:rPr>
      <w:color w:val="auto"/>
      <w:sz w:val="22"/>
    </w:rPr>
  </w:style>
  <w:style w:type="paragraph" w:customStyle="1" w:styleId="HeaderEven">
    <w:name w:val="Header Even"/>
    <w:basedOn w:val="HeaderOdd"/>
    <w:rsid w:val="00975BC4"/>
    <w:pPr>
      <w:jc w:val="left"/>
    </w:pPr>
  </w:style>
  <w:style w:type="paragraph" w:customStyle="1" w:styleId="HeaderOdd">
    <w:name w:val="Header Odd"/>
    <w:basedOn w:val="Header"/>
    <w:rsid w:val="00975BC4"/>
    <w:rPr>
      <w:b/>
      <w:color w:val="002C47" w:themeColor="accent1"/>
      <w:sz w:val="18"/>
    </w:rPr>
  </w:style>
  <w:style w:type="paragraph" w:styleId="NoSpacing">
    <w:name w:val="No Spacing"/>
    <w:link w:val="NoSpacingChar"/>
    <w:uiPriority w:val="1"/>
    <w:rsid w:val="00A468B5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468B5"/>
    <w:rPr>
      <w:rFonts w:eastAsiaTheme="minorEastAsia"/>
      <w:sz w:val="20"/>
      <w:szCs w:val="20"/>
    </w:rPr>
  </w:style>
  <w:style w:type="paragraph" w:customStyle="1" w:styleId="PreparedBy">
    <w:name w:val="PreparedBy"/>
    <w:basedOn w:val="Subtitle"/>
    <w:qFormat/>
    <w:rsid w:val="00A468B5"/>
  </w:style>
  <w:style w:type="character" w:styleId="BookTitle">
    <w:name w:val="Book Title"/>
    <w:uiPriority w:val="33"/>
    <w:rsid w:val="00A468B5"/>
    <w:rPr>
      <w:b/>
      <w:bCs/>
      <w:i/>
      <w:iCs/>
      <w:spacing w:val="0"/>
    </w:rPr>
  </w:style>
  <w:style w:type="character" w:customStyle="1" w:styleId="NormalbulletChar">
    <w:name w:val="Normal bullet Char"/>
    <w:basedOn w:val="DefaultParagraphFont"/>
    <w:link w:val="Normalbullet"/>
    <w:locked/>
    <w:rsid w:val="00A468B5"/>
    <w:rPr>
      <w:rFonts w:eastAsiaTheme="minorEastAsi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68B5"/>
    <w:rPr>
      <w:b/>
      <w:bCs/>
      <w:color w:val="002035" w:themeColor="accent1" w:themeShade="BF"/>
      <w:sz w:val="16"/>
      <w:szCs w:val="16"/>
    </w:rPr>
  </w:style>
  <w:style w:type="character" w:customStyle="1" w:styleId="NormaldashChar">
    <w:name w:val="Normal dash Char"/>
    <w:basedOn w:val="DefaultParagraphFont"/>
    <w:link w:val="Normaldash"/>
    <w:locked/>
    <w:rsid w:val="00A468B5"/>
    <w:rPr>
      <w:rFonts w:eastAsiaTheme="minorEastAsia"/>
      <w:sz w:val="20"/>
      <w:szCs w:val="20"/>
    </w:rPr>
  </w:style>
  <w:style w:type="character" w:styleId="Emphasis">
    <w:name w:val="Emphasis"/>
    <w:uiPriority w:val="20"/>
    <w:rsid w:val="00A468B5"/>
    <w:rPr>
      <w:caps/>
      <w:color w:val="001523" w:themeColor="accent1" w:themeShade="7F"/>
      <w:spacing w:val="5"/>
    </w:rPr>
  </w:style>
  <w:style w:type="character" w:styleId="IntenseEmphasis">
    <w:name w:val="Intense Emphasis"/>
    <w:uiPriority w:val="21"/>
    <w:rsid w:val="00A468B5"/>
    <w:rPr>
      <w:b/>
      <w:bCs/>
      <w:caps/>
      <w:color w:val="00152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rsid w:val="00A468B5"/>
    <w:pPr>
      <w:spacing w:before="240" w:after="240"/>
      <w:ind w:left="1080" w:right="1080"/>
      <w:jc w:val="center"/>
    </w:pPr>
    <w:rPr>
      <w:color w:val="002C4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8B5"/>
    <w:rPr>
      <w:rFonts w:eastAsiaTheme="minorEastAsia"/>
      <w:color w:val="002C47" w:themeColor="accent1"/>
      <w:sz w:val="24"/>
      <w:szCs w:val="24"/>
    </w:rPr>
  </w:style>
  <w:style w:type="character" w:styleId="IntenseReference">
    <w:name w:val="Intense Reference"/>
    <w:uiPriority w:val="32"/>
    <w:rsid w:val="00A468B5"/>
    <w:rPr>
      <w:b/>
      <w:bCs/>
      <w:i/>
      <w:iCs/>
      <w:caps/>
      <w:color w:val="002C47" w:themeColor="accent1"/>
    </w:rPr>
  </w:style>
  <w:style w:type="paragraph" w:styleId="NormalWeb">
    <w:name w:val="Normal (Web)"/>
    <w:basedOn w:val="Normal"/>
    <w:uiPriority w:val="99"/>
    <w:unhideWhenUsed/>
    <w:rsid w:val="00A468B5"/>
    <w:pPr>
      <w:spacing w:beforeAutospacing="1" w:after="100" w:afterAutospacing="1"/>
    </w:pPr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rsid w:val="00A468B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68B5"/>
    <w:rPr>
      <w:rFonts w:eastAsiaTheme="minorEastAsia"/>
      <w:i/>
      <w:iCs/>
      <w:sz w:val="24"/>
      <w:szCs w:val="24"/>
    </w:rPr>
  </w:style>
  <w:style w:type="character" w:styleId="Strong">
    <w:name w:val="Strong"/>
    <w:uiPriority w:val="22"/>
    <w:rsid w:val="00A468B5"/>
    <w:rPr>
      <w:b/>
      <w:bCs/>
    </w:rPr>
  </w:style>
  <w:style w:type="character" w:styleId="SubtleReference">
    <w:name w:val="Subtle Reference"/>
    <w:uiPriority w:val="31"/>
    <w:rsid w:val="00A468B5"/>
    <w:rPr>
      <w:b/>
      <w:bCs/>
      <w:color w:val="002C47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8B5"/>
    <w:pPr>
      <w:outlineLvl w:val="9"/>
    </w:pPr>
  </w:style>
  <w:style w:type="character" w:customStyle="1" w:styleId="value">
    <w:name w:val="value"/>
    <w:basedOn w:val="DefaultParagraphFont"/>
    <w:rsid w:val="00A468B5"/>
  </w:style>
  <w:style w:type="paragraph" w:styleId="BodyText">
    <w:name w:val="Body Text"/>
    <w:basedOn w:val="Normal"/>
    <w:link w:val="BodyTextChar"/>
    <w:uiPriority w:val="99"/>
    <w:semiHidden/>
    <w:unhideWhenUsed/>
    <w:rsid w:val="00A468B5"/>
  </w:style>
  <w:style w:type="character" w:customStyle="1" w:styleId="BodyTextChar">
    <w:name w:val="Body Text Char"/>
    <w:basedOn w:val="DefaultParagraphFont"/>
    <w:link w:val="BodyText"/>
    <w:uiPriority w:val="99"/>
    <w:semiHidden/>
    <w:rsid w:val="00A468B5"/>
    <w:rPr>
      <w:rFonts w:eastAsiaTheme="minorEastAsia"/>
      <w:sz w:val="20"/>
      <w:szCs w:val="20"/>
    </w:rPr>
  </w:style>
  <w:style w:type="character" w:customStyle="1" w:styleId="BoxBulletChar">
    <w:name w:val="Box Bullet Char"/>
    <w:basedOn w:val="DefaultParagraphFont"/>
    <w:link w:val="BoxBullet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character" w:customStyle="1" w:styleId="BoxDashChar">
    <w:name w:val="Box Dash Char"/>
    <w:basedOn w:val="DefaultParagraphFont"/>
    <w:link w:val="BoxDash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paragraph" w:customStyle="1" w:styleId="Source">
    <w:name w:val="Source"/>
    <w:basedOn w:val="Normaldash"/>
    <w:link w:val="SourceChar"/>
    <w:qFormat/>
    <w:rsid w:val="00815D89"/>
    <w:pPr>
      <w:numPr>
        <w:ilvl w:val="0"/>
        <w:numId w:val="0"/>
      </w:numPr>
      <w:pBdr>
        <w:bottom w:val="dashed" w:sz="4" w:space="1" w:color="002C47" w:themeColor="accent1"/>
      </w:pBdr>
      <w:tabs>
        <w:tab w:val="left" w:pos="596"/>
      </w:tabs>
      <w:ind w:left="596" w:hanging="567"/>
    </w:pPr>
    <w:rPr>
      <w:bdr w:val="none" w:sz="0" w:space="0" w:color="auto" w:frame="1"/>
    </w:rPr>
  </w:style>
  <w:style w:type="character" w:customStyle="1" w:styleId="SourceChar">
    <w:name w:val="Source Char"/>
    <w:basedOn w:val="NormaldashChar"/>
    <w:link w:val="Source"/>
    <w:rsid w:val="00815D89"/>
    <w:rPr>
      <w:rFonts w:ascii="Calibri" w:eastAsiaTheme="minorEastAsia" w:hAnsi="Calibri"/>
      <w:sz w:val="20"/>
      <w:szCs w:val="20"/>
      <w:bdr w:val="none" w:sz="0" w:space="0" w:color="auto" w:frame="1"/>
    </w:rPr>
  </w:style>
  <w:style w:type="paragraph" w:customStyle="1" w:styleId="Tabledash">
    <w:name w:val="Table dash"/>
    <w:basedOn w:val="BoxDash"/>
    <w:link w:val="TabledashChar"/>
    <w:qFormat/>
    <w:rsid w:val="00A468B5"/>
    <w:pPr>
      <w:tabs>
        <w:tab w:val="clear" w:pos="567"/>
        <w:tab w:val="num" w:pos="283"/>
      </w:tabs>
      <w:ind w:left="568" w:hanging="283"/>
    </w:pPr>
  </w:style>
  <w:style w:type="character" w:customStyle="1" w:styleId="TabledashChar">
    <w:name w:val="Table dash Char"/>
    <w:basedOn w:val="BoxDashChar"/>
    <w:link w:val="Tabledash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paragraph" w:customStyle="1" w:styleId="Tabledot">
    <w:name w:val="Table dot"/>
    <w:basedOn w:val="BoxBullet"/>
    <w:link w:val="TabledotChar"/>
    <w:qFormat/>
    <w:rsid w:val="00A468B5"/>
    <w:pPr>
      <w:numPr>
        <w:numId w:val="0"/>
      </w:numPr>
    </w:pPr>
  </w:style>
  <w:style w:type="character" w:customStyle="1" w:styleId="TabledotChar">
    <w:name w:val="Table dot Char"/>
    <w:basedOn w:val="BoxBulletChar"/>
    <w:link w:val="Tabledot"/>
    <w:rsid w:val="00A468B5"/>
    <w:rPr>
      <w:rFonts w:eastAsiaTheme="minorEastAsia" w:cs="Times New Roman"/>
      <w:sz w:val="20"/>
      <w:szCs w:val="20"/>
      <w:bdr w:val="none" w:sz="0" w:space="0" w:color="auto" w:frame="1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971C5"/>
    <w:rPr>
      <w:color w:val="605E5C"/>
      <w:shd w:val="clear" w:color="auto" w:fill="E1DFDD"/>
    </w:rPr>
  </w:style>
  <w:style w:type="paragraph" w:customStyle="1" w:styleId="Chartheading">
    <w:name w:val="Chart heading"/>
    <w:basedOn w:val="Heading9"/>
    <w:link w:val="ChartheadingChar"/>
    <w:qFormat/>
    <w:rsid w:val="00FA35CB"/>
  </w:style>
  <w:style w:type="character" w:customStyle="1" w:styleId="ChartheadingChar">
    <w:name w:val="Chart heading Char"/>
    <w:basedOn w:val="Heading9Char"/>
    <w:link w:val="Chartheading"/>
    <w:rsid w:val="00FA35CB"/>
    <w:rPr>
      <w:rFonts w:ascii="Calibri" w:eastAsia="Calibri" w:hAnsi="Calibri"/>
      <w:b/>
      <w:bCs/>
      <w:smallCaps/>
      <w:color w:val="002C47" w:themeColor="accent1"/>
      <w:sz w:val="20"/>
      <w:szCs w:val="20"/>
    </w:rPr>
  </w:style>
  <w:style w:type="table" w:styleId="GridTable1Light">
    <w:name w:val="Grid Table 1 Light"/>
    <w:basedOn w:val="TableNormal"/>
    <w:uiPriority w:val="46"/>
    <w:rsid w:val="001A2C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EA62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POPTable">
    <w:name w:val="CPOP Table"/>
    <w:basedOn w:val="TableNormal"/>
    <w:uiPriority w:val="99"/>
    <w:rsid w:val="00FF72A3"/>
    <w:pPr>
      <w:spacing w:after="0" w:line="240" w:lineRule="auto"/>
    </w:pPr>
    <w:tblPr>
      <w:tblBorders>
        <w:bottom w:val="single" w:sz="8" w:space="0" w:color="000000" w:themeColor="text1"/>
      </w:tblBorders>
    </w:tblPr>
    <w:tcPr>
      <w:shd w:val="clear" w:color="auto" w:fill="auto"/>
    </w:tcPr>
    <w:tblStylePr w:type="firstRow"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bs.gov.au/statistics/people/population/overseas-migration/latest-relea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CPOP accessible">
      <a:dk1>
        <a:sysClr val="windowText" lastClr="000000"/>
      </a:dk1>
      <a:lt1>
        <a:sysClr val="window" lastClr="FFFFFF"/>
      </a:lt1>
      <a:dk2>
        <a:srgbClr val="38AFCF"/>
      </a:dk2>
      <a:lt2>
        <a:srgbClr val="4DBC8D"/>
      </a:lt2>
      <a:accent1>
        <a:srgbClr val="002C47"/>
      </a:accent1>
      <a:accent2>
        <a:srgbClr val="1E75BA"/>
      </a:accent2>
      <a:accent3>
        <a:srgbClr val="CF542F"/>
      </a:accent3>
      <a:accent4>
        <a:srgbClr val="2F8361"/>
      </a:accent4>
      <a:accent5>
        <a:srgbClr val="9E928F"/>
      </a:accent5>
      <a:accent6>
        <a:srgbClr val="277F98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8CF0-0848-436B-8E42-2B49FBC2E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Migration, 2021-22</vt:lpstr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Migration, 2021-22</dc:title>
  <dc:subject/>
  <dc:creator/>
  <cp:keywords/>
  <cp:lastModifiedBy/>
  <cp:revision>1</cp:revision>
  <dcterms:created xsi:type="dcterms:W3CDTF">2022-12-16T04:01:00Z</dcterms:created>
  <dcterms:modified xsi:type="dcterms:W3CDTF">2022-12-16T04:24:00Z</dcterms:modified>
</cp:coreProperties>
</file>