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4784004"/>
        <w:docPartObj>
          <w:docPartGallery w:val="Cover Pages"/>
          <w:docPartUnique/>
        </w:docPartObj>
      </w:sdtPr>
      <w:sdtEndPr/>
      <w:sdtContent>
        <w:p w14:paraId="741D14A5" w14:textId="07EBAF18" w:rsidR="00D207AA" w:rsidRDefault="00BC7C5B" w:rsidP="00204375">
          <w:r>
            <w:rPr>
              <w:noProof/>
            </w:rPr>
            <w:drawing>
              <wp:anchor distT="0" distB="0" distL="114300" distR="114300" simplePos="0" relativeHeight="251658240" behindDoc="1" locked="0" layoutInCell="1" allowOverlap="1" wp14:anchorId="2A0D833F" wp14:editId="78030707">
                <wp:simplePos x="0" y="0"/>
                <wp:positionH relativeFrom="page">
                  <wp:align>center</wp:align>
                </wp:positionH>
                <wp:positionV relativeFrom="page">
                  <wp:align>top</wp:align>
                </wp:positionV>
                <wp:extent cx="7578000" cy="10717200"/>
                <wp:effectExtent l="0" t="0" r="4445" b="8255"/>
                <wp:wrapTight wrapText="bothSides">
                  <wp:wrapPolygon edited="0">
                    <wp:start x="0" y="0"/>
                    <wp:lineTo x="0" y="21578"/>
                    <wp:lineTo x="21558" y="21578"/>
                    <wp:lineTo x="21558"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r w:rsidR="00D207AA">
            <w:rPr>
              <w:noProof/>
            </w:rPr>
            <w:br w:type="page"/>
          </w:r>
        </w:p>
      </w:sdtContent>
    </w:sdt>
    <w:p w14:paraId="1AADF65B" w14:textId="38522608" w:rsidR="000E0B74" w:rsidRDefault="000E0B74" w:rsidP="005877AC">
      <w:pPr>
        <w:spacing w:before="0" w:after="160" w:line="259" w:lineRule="auto"/>
        <w:rPr>
          <w:noProof/>
        </w:rPr>
      </w:pPr>
      <w:r w:rsidRPr="00661BF0">
        <w:lastRenderedPageBreak/>
        <w:t>© Commonwealth of Au</w:t>
      </w:r>
      <w:r w:rsidRPr="006743FE">
        <w:t>stralia 20</w:t>
      </w:r>
      <w:r w:rsidR="004F4893" w:rsidRPr="006743FE">
        <w:t>2</w:t>
      </w:r>
      <w:r w:rsidR="006743FE" w:rsidRPr="006743FE">
        <w:t>2</w:t>
      </w:r>
    </w:p>
    <w:p w14:paraId="1ED0B0A4" w14:textId="77777777" w:rsidR="000E0B74" w:rsidRPr="00086F82" w:rsidRDefault="000E0B74" w:rsidP="000E0B74">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12"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 xml:space="preserve">and where otherwise stated </w:t>
      </w:r>
      <w:r w:rsidRPr="00B344C9">
        <w:t>[list if required]</w:t>
      </w:r>
      <w:r w:rsidRPr="002F1BC2">
        <w:t>. The full licence terms are available from</w:t>
      </w:r>
      <w:r w:rsidRPr="00476F09">
        <w:rPr>
          <w:rFonts w:cstheme="minorHAnsi"/>
          <w:sz w:val="24"/>
          <w:szCs w:val="24"/>
        </w:rPr>
        <w:t xml:space="preserve"> </w:t>
      </w:r>
      <w:hyperlink r:id="rId13"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4715442B" w14:textId="77777777" w:rsidR="000E0B74" w:rsidRDefault="000E0B74" w:rsidP="000E0B74">
      <w:pPr>
        <w:pStyle w:val="ChartGraphic"/>
        <w:jc w:val="left"/>
      </w:pPr>
      <w:r w:rsidRPr="00E56DFB">
        <w:rPr>
          <w:noProof/>
          <w:lang w:eastAsia="en-AU"/>
        </w:rPr>
        <w:drawing>
          <wp:inline distT="0" distB="0" distL="0" distR="0" wp14:anchorId="74FFF0FE" wp14:editId="19CD395C">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15E4EF21"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5"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0AB67FBC" w14:textId="5C37E599" w:rsidR="000E0B74" w:rsidRPr="00BC4DA9" w:rsidRDefault="000E0B74" w:rsidP="00BC4DA9">
      <w:pPr>
        <w:rPr>
          <w:b/>
          <w:bCs/>
          <w:iCs/>
        </w:rPr>
      </w:pPr>
      <w:r w:rsidRPr="00BC4DA9">
        <w:rPr>
          <w:b/>
          <w:bCs/>
          <w:iCs/>
        </w:rPr>
        <w:t>Treasury material used ‘as supplied’</w:t>
      </w:r>
    </w:p>
    <w:p w14:paraId="164F125C"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72801CB3" w14:textId="77777777" w:rsidR="000E0B74" w:rsidRPr="00A13A11" w:rsidRDefault="000E0B74" w:rsidP="000E0B74">
      <w:pPr>
        <w:ind w:firstLine="720"/>
      </w:pPr>
      <w:r w:rsidRPr="00BC4DA9">
        <w:rPr>
          <w:iCs/>
        </w:rPr>
        <w:t>Source:</w:t>
      </w:r>
      <w:r w:rsidRPr="002F1BC2">
        <w:rPr>
          <w:i/>
        </w:rPr>
        <w:t xml:space="preserve"> </w:t>
      </w:r>
      <w:r w:rsidR="00A736E9">
        <w:rPr>
          <w:i/>
          <w:iCs/>
        </w:rPr>
        <w:t>Centre for Population</w:t>
      </w:r>
      <w:r w:rsidR="004F4893">
        <w:rPr>
          <w:i/>
          <w:iCs/>
        </w:rPr>
        <w:t xml:space="preserve"> [year], ‘Title’, The Australian Government, Canberra.</w:t>
      </w:r>
    </w:p>
    <w:p w14:paraId="37D9F19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F1623B8"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F6518F8" w14:textId="511250F2" w:rsidR="000E0B74" w:rsidRPr="006627B4" w:rsidRDefault="000E0B74" w:rsidP="000E0B74">
      <w:pPr>
        <w:ind w:firstLine="720"/>
      </w:pPr>
      <w:r w:rsidRPr="002F1BC2">
        <w:rPr>
          <w:i/>
        </w:rPr>
        <w:t xml:space="preserve">Based on </w:t>
      </w:r>
      <w:r w:rsidR="00A736E9">
        <w:rPr>
          <w:i/>
          <w:iCs/>
        </w:rPr>
        <w:t>Centre for Population</w:t>
      </w:r>
      <w:r w:rsidR="004F4893">
        <w:rPr>
          <w:i/>
          <w:iCs/>
        </w:rPr>
        <w:t xml:space="preserve"> analysis/data.</w:t>
      </w:r>
    </w:p>
    <w:p w14:paraId="747BB4BD" w14:textId="77777777" w:rsidR="000E0B74" w:rsidRPr="006627B4" w:rsidRDefault="000E0B74" w:rsidP="000E0B74">
      <w:pPr>
        <w:spacing w:before="240"/>
        <w:rPr>
          <w:b/>
        </w:rPr>
      </w:pPr>
      <w:r w:rsidRPr="006627B4">
        <w:rPr>
          <w:b/>
        </w:rPr>
        <w:t>Use of the Coat of Arms</w:t>
      </w:r>
    </w:p>
    <w:p w14:paraId="48D19DE9" w14:textId="2192445E"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6" w:history="1">
        <w:r w:rsidR="002B778B" w:rsidRPr="004F13AE">
          <w:rPr>
            <w:rStyle w:val="Hyperlink"/>
          </w:rPr>
          <w:t>www.pmc.gov.au/government/commonwealth-coat-arms</w:t>
        </w:r>
      </w:hyperlink>
      <w:r w:rsidRPr="005C503A">
        <w:t>).</w:t>
      </w:r>
    </w:p>
    <w:p w14:paraId="2CA3D92D" w14:textId="77777777" w:rsidR="000E0B74" w:rsidRPr="006627B4" w:rsidRDefault="000E0B74" w:rsidP="000E0B74">
      <w:pPr>
        <w:spacing w:before="240"/>
        <w:rPr>
          <w:b/>
        </w:rPr>
      </w:pPr>
      <w:r>
        <w:rPr>
          <w:b/>
        </w:rPr>
        <w:t>Other u</w:t>
      </w:r>
      <w:r w:rsidRPr="006627B4">
        <w:rPr>
          <w:b/>
        </w:rPr>
        <w:t>ses</w:t>
      </w:r>
    </w:p>
    <w:p w14:paraId="24CF4B8C" w14:textId="77777777" w:rsidR="000E0B74" w:rsidRPr="006627B4" w:rsidRDefault="000E0B74" w:rsidP="000E0B74">
      <w:r>
        <w:t>E</w:t>
      </w:r>
      <w:r w:rsidRPr="006627B4">
        <w:t>nquiries regarding this licence and any other use of this document are welcome at:</w:t>
      </w:r>
    </w:p>
    <w:p w14:paraId="3EBEFA34" w14:textId="0CD4F6CD" w:rsidR="00F836F9" w:rsidRDefault="000E0B74" w:rsidP="006743FE">
      <w:pPr>
        <w:ind w:left="720"/>
        <w:rPr>
          <w:rStyle w:val="Hyperlink"/>
        </w:rPr>
      </w:pPr>
      <w:r w:rsidRPr="006627B4">
        <w:t>Manager</w:t>
      </w:r>
      <w:r w:rsidR="00A72960">
        <w:br/>
      </w:r>
      <w:r>
        <w:t>Media and Speeches Unit</w:t>
      </w:r>
      <w:r>
        <w:br/>
      </w:r>
      <w:r w:rsidRPr="006627B4">
        <w:t>The Treasury</w:t>
      </w:r>
      <w:r>
        <w:br/>
      </w:r>
      <w:r w:rsidRPr="006627B4">
        <w:t xml:space="preserve">Langton Crescent </w:t>
      </w:r>
      <w:r>
        <w:br/>
      </w:r>
      <w:r w:rsidR="008B1AA5" w:rsidRPr="006627B4">
        <w:t xml:space="preserve">Parkes </w:t>
      </w:r>
      <w:r w:rsidR="008B1AA5">
        <w:t>ACT</w:t>
      </w:r>
      <w:r w:rsidRPr="006627B4">
        <w:t xml:space="preserve"> 2600</w:t>
      </w:r>
      <w:r>
        <w:br/>
      </w:r>
      <w:r w:rsidRPr="006627B4">
        <w:t xml:space="preserve">Email: </w:t>
      </w:r>
      <w:hyperlink r:id="rId17" w:history="1">
        <w:r w:rsidR="00570FA2" w:rsidRPr="008574BF">
          <w:rPr>
            <w:rStyle w:val="Hyperlink"/>
          </w:rPr>
          <w:t>media@treasury.gov.au</w:t>
        </w:r>
      </w:hyperlink>
    </w:p>
    <w:p w14:paraId="6335D6B2" w14:textId="77777777" w:rsidR="00476121" w:rsidRDefault="00476121" w:rsidP="006743FE">
      <w:pPr>
        <w:rPr>
          <w:color w:val="0563C1"/>
        </w:rPr>
      </w:pPr>
    </w:p>
    <w:p w14:paraId="652E219B" w14:textId="77777777" w:rsidR="00794453" w:rsidRDefault="00794453">
      <w:pPr>
        <w:spacing w:before="0" w:after="160" w:line="259" w:lineRule="auto"/>
        <w:rPr>
          <w:b/>
          <w:smallCaps/>
          <w:color w:val="FFFFFF" w:themeColor="background1"/>
          <w:spacing w:val="15"/>
          <w:sz w:val="22"/>
          <w:szCs w:val="22"/>
        </w:rPr>
      </w:pPr>
      <w:bookmarkStart w:id="0" w:name="_Toc110260066"/>
      <w:bookmarkStart w:id="1" w:name="_Toc110260182"/>
      <w:bookmarkStart w:id="2" w:name="_Toc110260312"/>
      <w:bookmarkStart w:id="3" w:name="_Toc110263562"/>
      <w:bookmarkStart w:id="4" w:name="_Toc110263857"/>
      <w:bookmarkStart w:id="5" w:name="_Toc110263932"/>
      <w:bookmarkStart w:id="6" w:name="_Toc110264102"/>
      <w:bookmarkStart w:id="7" w:name="_Toc110264638"/>
      <w:bookmarkStart w:id="8" w:name="_Toc110267052"/>
      <w:bookmarkStart w:id="9" w:name="_Toc112059522"/>
      <w:bookmarkStart w:id="10" w:name="_Toc112059606"/>
      <w:bookmarkStart w:id="11" w:name="_Toc115336106"/>
      <w:bookmarkStart w:id="12" w:name="_Toc118811041"/>
      <w:bookmarkStart w:id="13" w:name="_Toc118887248"/>
      <w:bookmarkStart w:id="14" w:name="_Toc120635092"/>
      <w:bookmarkStart w:id="15" w:name="_Toc122601773"/>
      <w:bookmarkStart w:id="16" w:name="_Toc122603282"/>
      <w:bookmarkStart w:id="17" w:name="_Toc122603483"/>
      <w:bookmarkStart w:id="18" w:name="_Toc122617925"/>
      <w:bookmarkStart w:id="19" w:name="_Toc122618352"/>
      <w:r>
        <w:br w:type="page"/>
      </w:r>
    </w:p>
    <w:p w14:paraId="26BC334B" w14:textId="77752C37" w:rsidR="00476121" w:rsidRPr="009A7017" w:rsidRDefault="00283A10" w:rsidP="009A7017">
      <w:pPr>
        <w:pStyle w:val="Heading1"/>
      </w:pPr>
      <w:r w:rsidRPr="009A7017">
        <w:lastRenderedPageBreak/>
        <w:t>A</w:t>
      </w:r>
      <w:r w:rsidR="00476121" w:rsidRPr="009A7017">
        <w:t xml:space="preserve">cknowledgement of </w:t>
      </w:r>
      <w:r w:rsidR="00C344D8" w:rsidRPr="009A7017">
        <w:t>C</w:t>
      </w:r>
      <w:r w:rsidR="00476121" w:rsidRPr="009A7017">
        <w:t>ountry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1C3F5038" w14:textId="77777777" w:rsidR="00CE7098" w:rsidRDefault="00930125" w:rsidP="00CE7098">
      <w:pPr>
        <w:rPr>
          <w:rFonts w:eastAsia="Calibri" w:cstheme="minorHAnsi"/>
          <w:shd w:val="clear" w:color="auto" w:fill="FFFFFF"/>
        </w:rPr>
      </w:pPr>
      <w:r w:rsidRPr="008C5A36">
        <w:rPr>
          <w:rFonts w:eastAsia="Calibri" w:cstheme="minorHAnsi"/>
          <w:shd w:val="clear" w:color="auto" w:fill="FFFFFF"/>
        </w:rPr>
        <w:t xml:space="preserve">In the spirit of reconciliation Treasury acknowledges the Traditional Custodians of country throughout Australia and their connections to land, sea and community. </w:t>
      </w:r>
    </w:p>
    <w:p w14:paraId="67BAFC48" w14:textId="4065CB91" w:rsidR="006F6638" w:rsidRDefault="00930125" w:rsidP="00CE7098">
      <w:r w:rsidRPr="008C5A36">
        <w:rPr>
          <w:rFonts w:eastAsia="Calibri" w:cstheme="minorHAnsi"/>
          <w:shd w:val="clear" w:color="auto" w:fill="FFFFFF"/>
        </w:rPr>
        <w:t>We pay our respect</w:t>
      </w:r>
      <w:r w:rsidRPr="008C5A36">
        <w:rPr>
          <w:rFonts w:eastAsia="Calibri" w:cstheme="minorHAnsi"/>
        </w:rPr>
        <w:t>s</w:t>
      </w:r>
      <w:r w:rsidRPr="008C5A36">
        <w:rPr>
          <w:rFonts w:eastAsia="Calibri" w:cstheme="minorHAnsi"/>
          <w:shd w:val="clear" w:color="auto" w:fill="FFFFFF"/>
        </w:rPr>
        <w:t xml:space="preserve"> to their Elders past and present and extend that respect to all Aboriginal and Torres Strait Islander peoples today.</w:t>
      </w:r>
    </w:p>
    <w:p w14:paraId="71F12282" w14:textId="77777777" w:rsidR="00794453" w:rsidRDefault="00794453">
      <w:pPr>
        <w:spacing w:before="0" w:after="160" w:line="259" w:lineRule="auto"/>
        <w:rPr>
          <w:b/>
          <w:smallCaps/>
          <w:color w:val="FFFFFF" w:themeColor="background1"/>
          <w:spacing w:val="15"/>
          <w:sz w:val="22"/>
          <w:szCs w:val="22"/>
        </w:rPr>
      </w:pPr>
      <w:bookmarkStart w:id="20" w:name="_Toc118811042"/>
      <w:bookmarkStart w:id="21" w:name="_Toc118887249"/>
      <w:bookmarkStart w:id="22" w:name="_Toc120635093"/>
      <w:bookmarkStart w:id="23" w:name="_Toc122601774"/>
      <w:bookmarkStart w:id="24" w:name="_Toc25162288"/>
      <w:bookmarkStart w:id="25" w:name="_Toc110260067"/>
      <w:bookmarkStart w:id="26" w:name="_Toc110260313"/>
      <w:bookmarkStart w:id="27" w:name="_Toc110263563"/>
      <w:bookmarkStart w:id="28" w:name="_Toc110263858"/>
      <w:bookmarkStart w:id="29" w:name="_Toc110263933"/>
      <w:bookmarkStart w:id="30" w:name="_Toc110264103"/>
      <w:bookmarkStart w:id="31" w:name="_Toc110264639"/>
      <w:bookmarkStart w:id="32" w:name="_Toc110267053"/>
      <w:bookmarkStart w:id="33" w:name="_Toc112059523"/>
      <w:bookmarkStart w:id="34" w:name="_Toc112059607"/>
      <w:bookmarkStart w:id="35" w:name="_Toc115336107"/>
      <w:bookmarkStart w:id="36" w:name="_Toc122603283"/>
      <w:bookmarkStart w:id="37" w:name="_Toc122603484"/>
      <w:bookmarkStart w:id="38" w:name="_Toc122617926"/>
      <w:bookmarkStart w:id="39" w:name="_Toc122618353"/>
      <w:r>
        <w:br w:type="page"/>
      </w:r>
    </w:p>
    <w:p w14:paraId="1F131752" w14:textId="77777777" w:rsidR="00794453" w:rsidRDefault="00794453">
      <w:pPr>
        <w:spacing w:before="0" w:after="160" w:line="259" w:lineRule="auto"/>
        <w:rPr>
          <w:b/>
          <w:smallCaps/>
          <w:color w:val="FFFFFF" w:themeColor="background1"/>
          <w:spacing w:val="15"/>
          <w:sz w:val="22"/>
          <w:szCs w:val="22"/>
        </w:rPr>
      </w:pPr>
      <w:r>
        <w:lastRenderedPageBreak/>
        <w:br w:type="page"/>
      </w:r>
    </w:p>
    <w:p w14:paraId="23DE8D54" w14:textId="4AC5BDE7" w:rsidR="00D27BD9" w:rsidRDefault="000E0B74" w:rsidP="00A45D68">
      <w:pPr>
        <w:pStyle w:val="Heading1"/>
        <w:rPr>
          <w:noProof/>
        </w:rPr>
      </w:pPr>
      <w:r w:rsidRPr="001F1B27">
        <w:lastRenderedPageBreak/>
        <w:t>Contents</w:t>
      </w:r>
      <w:bookmarkStart w:id="40" w:name="_Toc432067103"/>
      <w:bookmarkStart w:id="41" w:name="_Toc45263503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1633BF">
        <w:rPr>
          <w:color w:val="004A7F"/>
        </w:rPr>
        <w:fldChar w:fldCharType="begin"/>
      </w:r>
      <w:r w:rsidR="001633BF">
        <w:rPr>
          <w:color w:val="004A7F"/>
        </w:rPr>
        <w:instrText xml:space="preserve"> TOC \o "1-2" \h \z \t "Heading 3,3,Heading 3 Numbered,3" </w:instrText>
      </w:r>
      <w:r w:rsidR="001633BF">
        <w:rPr>
          <w:color w:val="004A7F"/>
        </w:rPr>
        <w:fldChar w:fldCharType="separate"/>
      </w:r>
    </w:p>
    <w:p w14:paraId="254F19A4" w14:textId="7ABC525D" w:rsidR="00D27BD9" w:rsidRDefault="006010CB">
      <w:pPr>
        <w:pStyle w:val="TOC1"/>
        <w:rPr>
          <w:b w:val="0"/>
          <w:color w:val="auto"/>
          <w:sz w:val="22"/>
          <w:lang w:eastAsia="en-AU"/>
        </w:rPr>
      </w:pPr>
      <w:hyperlink w:anchor="_Toc122618354" w:history="1">
        <w:r w:rsidR="00D27BD9" w:rsidRPr="004F789A">
          <w:rPr>
            <w:rStyle w:val="Hyperlink"/>
          </w:rPr>
          <w:t>From the Treasurer</w:t>
        </w:r>
        <w:r w:rsidR="00D27BD9">
          <w:rPr>
            <w:webHidden/>
          </w:rPr>
          <w:tab/>
        </w:r>
        <w:r w:rsidR="00D27BD9">
          <w:rPr>
            <w:webHidden/>
          </w:rPr>
          <w:fldChar w:fldCharType="begin"/>
        </w:r>
        <w:r w:rsidR="00D27BD9">
          <w:rPr>
            <w:webHidden/>
          </w:rPr>
          <w:instrText xml:space="preserve"> PAGEREF _Toc122618354 \h </w:instrText>
        </w:r>
        <w:r w:rsidR="00D27BD9">
          <w:rPr>
            <w:webHidden/>
          </w:rPr>
        </w:r>
        <w:r w:rsidR="00D27BD9">
          <w:rPr>
            <w:webHidden/>
          </w:rPr>
          <w:fldChar w:fldCharType="separate"/>
        </w:r>
        <w:r>
          <w:rPr>
            <w:webHidden/>
          </w:rPr>
          <w:t>vi</w:t>
        </w:r>
        <w:r w:rsidR="00D27BD9">
          <w:rPr>
            <w:webHidden/>
          </w:rPr>
          <w:fldChar w:fldCharType="end"/>
        </w:r>
      </w:hyperlink>
    </w:p>
    <w:p w14:paraId="669770E2" w14:textId="182FDF15" w:rsidR="00D27BD9" w:rsidRDefault="006010CB">
      <w:pPr>
        <w:pStyle w:val="TOC1"/>
        <w:rPr>
          <w:b w:val="0"/>
          <w:color w:val="auto"/>
          <w:sz w:val="22"/>
          <w:lang w:eastAsia="en-AU"/>
        </w:rPr>
      </w:pPr>
      <w:hyperlink w:anchor="_Toc122618355" w:history="1">
        <w:r w:rsidR="00D27BD9" w:rsidRPr="004F789A">
          <w:rPr>
            <w:rStyle w:val="Hyperlink"/>
          </w:rPr>
          <w:t>From the Executive Director of the Centre for Population</w:t>
        </w:r>
        <w:r w:rsidR="00D27BD9">
          <w:rPr>
            <w:webHidden/>
          </w:rPr>
          <w:tab/>
        </w:r>
        <w:r w:rsidR="00D27BD9">
          <w:rPr>
            <w:webHidden/>
          </w:rPr>
          <w:fldChar w:fldCharType="begin"/>
        </w:r>
        <w:r w:rsidR="00D27BD9">
          <w:rPr>
            <w:webHidden/>
          </w:rPr>
          <w:instrText xml:space="preserve"> PAGEREF _Toc122618355 \h </w:instrText>
        </w:r>
        <w:r w:rsidR="00D27BD9">
          <w:rPr>
            <w:webHidden/>
          </w:rPr>
        </w:r>
        <w:r w:rsidR="00D27BD9">
          <w:rPr>
            <w:webHidden/>
          </w:rPr>
          <w:fldChar w:fldCharType="separate"/>
        </w:r>
        <w:r>
          <w:rPr>
            <w:webHidden/>
          </w:rPr>
          <w:t>vii</w:t>
        </w:r>
        <w:r w:rsidR="00D27BD9">
          <w:rPr>
            <w:webHidden/>
          </w:rPr>
          <w:fldChar w:fldCharType="end"/>
        </w:r>
      </w:hyperlink>
    </w:p>
    <w:p w14:paraId="5AD272CE" w14:textId="04833878" w:rsidR="00D27BD9" w:rsidRDefault="006010CB">
      <w:pPr>
        <w:pStyle w:val="TOC1"/>
        <w:rPr>
          <w:b w:val="0"/>
          <w:color w:val="auto"/>
          <w:sz w:val="22"/>
          <w:lang w:eastAsia="en-AU"/>
        </w:rPr>
      </w:pPr>
      <w:hyperlink w:anchor="_Toc122618356" w:history="1">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_Toc122618356 \h </w:instrText>
        </w:r>
        <w:r w:rsidR="00D27BD9">
          <w:rPr>
            <w:webHidden/>
          </w:rPr>
        </w:r>
        <w:r w:rsidR="00D27BD9">
          <w:rPr>
            <w:webHidden/>
          </w:rPr>
          <w:fldChar w:fldCharType="separate"/>
        </w:r>
        <w:r>
          <w:rPr>
            <w:webHidden/>
          </w:rPr>
          <w:t>1</w:t>
        </w:r>
        <w:r w:rsidR="00D27BD9">
          <w:rPr>
            <w:webHidden/>
          </w:rPr>
          <w:fldChar w:fldCharType="end"/>
        </w:r>
      </w:hyperlink>
    </w:p>
    <w:p w14:paraId="568B2778" w14:textId="38263CD9" w:rsidR="00D27BD9" w:rsidRDefault="006010CB">
      <w:pPr>
        <w:pStyle w:val="TOC1"/>
        <w:tabs>
          <w:tab w:val="left" w:pos="660"/>
        </w:tabs>
        <w:rPr>
          <w:b w:val="0"/>
          <w:color w:val="auto"/>
          <w:sz w:val="22"/>
          <w:lang w:eastAsia="en-AU"/>
        </w:rPr>
      </w:pPr>
      <w:hyperlink w:anchor="_Toc122618357" w:history="1">
        <w:r w:rsidR="00D27BD9" w:rsidRPr="004F789A">
          <w:rPr>
            <w:rStyle w:val="Hyperlink"/>
          </w:rPr>
          <w:t>1.</w:t>
        </w:r>
        <w:r w:rsidR="00D27BD9">
          <w:rPr>
            <w:b w:val="0"/>
            <w:color w:val="auto"/>
            <w:sz w:val="22"/>
            <w:lang w:eastAsia="en-AU"/>
          </w:rPr>
          <w:tab/>
        </w:r>
        <w:r w:rsidR="00D27BD9" w:rsidRPr="004F789A">
          <w:rPr>
            <w:rStyle w:val="Hyperlink"/>
          </w:rPr>
          <w:t>National population</w:t>
        </w:r>
        <w:r w:rsidR="00D27BD9">
          <w:rPr>
            <w:webHidden/>
          </w:rPr>
          <w:tab/>
        </w:r>
        <w:r w:rsidR="00D27BD9">
          <w:rPr>
            <w:webHidden/>
          </w:rPr>
          <w:fldChar w:fldCharType="begin"/>
        </w:r>
        <w:r w:rsidR="00D27BD9">
          <w:rPr>
            <w:webHidden/>
          </w:rPr>
          <w:instrText xml:space="preserve"> PAGEREF _Toc122618357 \h </w:instrText>
        </w:r>
        <w:r w:rsidR="00D27BD9">
          <w:rPr>
            <w:webHidden/>
          </w:rPr>
        </w:r>
        <w:r w:rsidR="00D27BD9">
          <w:rPr>
            <w:webHidden/>
          </w:rPr>
          <w:fldChar w:fldCharType="separate"/>
        </w:r>
        <w:r>
          <w:rPr>
            <w:webHidden/>
          </w:rPr>
          <w:t>2</w:t>
        </w:r>
        <w:r w:rsidR="00D27BD9">
          <w:rPr>
            <w:webHidden/>
          </w:rPr>
          <w:fldChar w:fldCharType="end"/>
        </w:r>
      </w:hyperlink>
    </w:p>
    <w:p w14:paraId="3376103E" w14:textId="495FEBBF" w:rsidR="00D27BD9" w:rsidRDefault="006010CB">
      <w:pPr>
        <w:pStyle w:val="TOC2"/>
        <w:tabs>
          <w:tab w:val="left" w:pos="660"/>
        </w:tabs>
        <w:rPr>
          <w:color w:val="auto"/>
          <w:sz w:val="22"/>
          <w:szCs w:val="22"/>
          <w:lang w:eastAsia="en-AU"/>
        </w:rPr>
      </w:pPr>
      <w:hyperlink w:anchor="_Toc122618358" w:history="1">
        <w:r w:rsidR="00D27BD9" w:rsidRPr="004F789A">
          <w:rPr>
            <w:rStyle w:val="Hyperlink"/>
          </w:rPr>
          <w:t>1.1</w:t>
        </w:r>
        <w:r w:rsidR="00D27BD9">
          <w:rPr>
            <w:color w:val="auto"/>
            <w:sz w:val="22"/>
            <w:szCs w:val="22"/>
            <w:lang w:eastAsia="en-AU"/>
          </w:rPr>
          <w:tab/>
        </w:r>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_Toc122618358 \h </w:instrText>
        </w:r>
        <w:r w:rsidR="00D27BD9">
          <w:rPr>
            <w:webHidden/>
          </w:rPr>
        </w:r>
        <w:r w:rsidR="00D27BD9">
          <w:rPr>
            <w:webHidden/>
          </w:rPr>
          <w:fldChar w:fldCharType="separate"/>
        </w:r>
        <w:r>
          <w:rPr>
            <w:webHidden/>
          </w:rPr>
          <w:t>2</w:t>
        </w:r>
        <w:r w:rsidR="00D27BD9">
          <w:rPr>
            <w:webHidden/>
          </w:rPr>
          <w:fldChar w:fldCharType="end"/>
        </w:r>
      </w:hyperlink>
    </w:p>
    <w:p w14:paraId="5359F8B5" w14:textId="609AD562" w:rsidR="00D27BD9" w:rsidRDefault="006010CB">
      <w:pPr>
        <w:pStyle w:val="TOC2"/>
        <w:tabs>
          <w:tab w:val="left" w:pos="660"/>
        </w:tabs>
        <w:rPr>
          <w:color w:val="auto"/>
          <w:sz w:val="22"/>
          <w:szCs w:val="22"/>
          <w:lang w:eastAsia="en-AU"/>
        </w:rPr>
      </w:pPr>
      <w:hyperlink w:anchor="_Toc122618359" w:history="1">
        <w:r w:rsidR="00D27BD9" w:rsidRPr="004F789A">
          <w:rPr>
            <w:rStyle w:val="Hyperlink"/>
          </w:rPr>
          <w:t>1.2</w:t>
        </w:r>
        <w:r w:rsidR="00D27BD9">
          <w:rPr>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_Toc122618359 \h </w:instrText>
        </w:r>
        <w:r w:rsidR="00D27BD9">
          <w:rPr>
            <w:webHidden/>
          </w:rPr>
        </w:r>
        <w:r w:rsidR="00D27BD9">
          <w:rPr>
            <w:webHidden/>
          </w:rPr>
          <w:fldChar w:fldCharType="separate"/>
        </w:r>
        <w:r>
          <w:rPr>
            <w:webHidden/>
          </w:rPr>
          <w:t>3</w:t>
        </w:r>
        <w:r w:rsidR="00D27BD9">
          <w:rPr>
            <w:webHidden/>
          </w:rPr>
          <w:fldChar w:fldCharType="end"/>
        </w:r>
      </w:hyperlink>
    </w:p>
    <w:p w14:paraId="50A70506" w14:textId="1EF33AF7" w:rsidR="00D27BD9" w:rsidRDefault="006010CB">
      <w:pPr>
        <w:pStyle w:val="TOC2"/>
        <w:tabs>
          <w:tab w:val="left" w:pos="660"/>
        </w:tabs>
        <w:rPr>
          <w:color w:val="auto"/>
          <w:sz w:val="22"/>
          <w:szCs w:val="22"/>
          <w:lang w:eastAsia="en-AU"/>
        </w:rPr>
      </w:pPr>
      <w:hyperlink w:anchor="_Toc122618363" w:history="1">
        <w:r w:rsidR="00D27BD9" w:rsidRPr="004F789A">
          <w:rPr>
            <w:rStyle w:val="Hyperlink"/>
          </w:rPr>
          <w:t>1.3</w:t>
        </w:r>
        <w:r w:rsidR="00D27BD9">
          <w:rPr>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_Toc122618363 \h </w:instrText>
        </w:r>
        <w:r w:rsidR="00D27BD9">
          <w:rPr>
            <w:webHidden/>
          </w:rPr>
        </w:r>
        <w:r w:rsidR="00D27BD9">
          <w:rPr>
            <w:webHidden/>
          </w:rPr>
          <w:fldChar w:fldCharType="separate"/>
        </w:r>
        <w:r>
          <w:rPr>
            <w:webHidden/>
          </w:rPr>
          <w:t>8</w:t>
        </w:r>
        <w:r w:rsidR="00D27BD9">
          <w:rPr>
            <w:webHidden/>
          </w:rPr>
          <w:fldChar w:fldCharType="end"/>
        </w:r>
      </w:hyperlink>
    </w:p>
    <w:p w14:paraId="07C71994" w14:textId="0537E3FA" w:rsidR="00D27BD9" w:rsidRDefault="006010CB">
      <w:pPr>
        <w:pStyle w:val="TOC2"/>
        <w:tabs>
          <w:tab w:val="left" w:pos="660"/>
        </w:tabs>
        <w:rPr>
          <w:color w:val="auto"/>
          <w:sz w:val="22"/>
          <w:szCs w:val="22"/>
          <w:lang w:eastAsia="en-AU"/>
        </w:rPr>
      </w:pPr>
      <w:hyperlink w:anchor="_Toc122618366" w:history="1">
        <w:r w:rsidR="00D27BD9" w:rsidRPr="004F789A">
          <w:rPr>
            <w:rStyle w:val="Hyperlink"/>
          </w:rPr>
          <w:t>1.4</w:t>
        </w:r>
        <w:r w:rsidR="00D27BD9">
          <w:rPr>
            <w:color w:val="auto"/>
            <w:sz w:val="22"/>
            <w:szCs w:val="22"/>
            <w:lang w:eastAsia="en-AU"/>
          </w:rPr>
          <w:tab/>
        </w:r>
        <w:r w:rsidR="00D27BD9" w:rsidRPr="004F789A">
          <w:rPr>
            <w:rStyle w:val="Hyperlink"/>
          </w:rPr>
          <w:t>Population age structure</w:t>
        </w:r>
        <w:r w:rsidR="00D27BD9">
          <w:rPr>
            <w:webHidden/>
          </w:rPr>
          <w:tab/>
        </w:r>
        <w:r w:rsidR="00D27BD9">
          <w:rPr>
            <w:webHidden/>
          </w:rPr>
          <w:fldChar w:fldCharType="begin"/>
        </w:r>
        <w:r w:rsidR="00D27BD9">
          <w:rPr>
            <w:webHidden/>
          </w:rPr>
          <w:instrText xml:space="preserve"> PAGEREF _Toc122618366 \h </w:instrText>
        </w:r>
        <w:r w:rsidR="00D27BD9">
          <w:rPr>
            <w:webHidden/>
          </w:rPr>
        </w:r>
        <w:r w:rsidR="00D27BD9">
          <w:rPr>
            <w:webHidden/>
          </w:rPr>
          <w:fldChar w:fldCharType="separate"/>
        </w:r>
        <w:r>
          <w:rPr>
            <w:webHidden/>
          </w:rPr>
          <w:t>18</w:t>
        </w:r>
        <w:r w:rsidR="00D27BD9">
          <w:rPr>
            <w:webHidden/>
          </w:rPr>
          <w:fldChar w:fldCharType="end"/>
        </w:r>
      </w:hyperlink>
    </w:p>
    <w:p w14:paraId="6356F656" w14:textId="27BDAA02" w:rsidR="00D27BD9" w:rsidRDefault="006010CB">
      <w:pPr>
        <w:pStyle w:val="TOC1"/>
        <w:tabs>
          <w:tab w:val="left" w:pos="660"/>
        </w:tabs>
        <w:rPr>
          <w:b w:val="0"/>
          <w:color w:val="auto"/>
          <w:sz w:val="22"/>
          <w:lang w:eastAsia="en-AU"/>
        </w:rPr>
      </w:pPr>
      <w:hyperlink w:anchor="_Toc122618369" w:history="1">
        <w:r w:rsidR="00D27BD9" w:rsidRPr="004F789A">
          <w:rPr>
            <w:rStyle w:val="Hyperlink"/>
          </w:rPr>
          <w:t>2.</w:t>
        </w:r>
        <w:r w:rsidR="00D27BD9">
          <w:rPr>
            <w:b w:val="0"/>
            <w:color w:val="auto"/>
            <w:sz w:val="22"/>
            <w:lang w:eastAsia="en-AU"/>
          </w:rPr>
          <w:tab/>
        </w:r>
        <w:r w:rsidR="00D27BD9" w:rsidRPr="004F789A">
          <w:rPr>
            <w:rStyle w:val="Hyperlink"/>
          </w:rPr>
          <w:t>Sub-National populations</w:t>
        </w:r>
        <w:r w:rsidR="00D27BD9">
          <w:rPr>
            <w:webHidden/>
          </w:rPr>
          <w:tab/>
        </w:r>
        <w:r w:rsidR="00D27BD9">
          <w:rPr>
            <w:webHidden/>
          </w:rPr>
          <w:fldChar w:fldCharType="begin"/>
        </w:r>
        <w:r w:rsidR="00D27BD9">
          <w:rPr>
            <w:webHidden/>
          </w:rPr>
          <w:instrText xml:space="preserve"> PAGEREF _Toc122618369 \h </w:instrText>
        </w:r>
        <w:r w:rsidR="00D27BD9">
          <w:rPr>
            <w:webHidden/>
          </w:rPr>
        </w:r>
        <w:r w:rsidR="00D27BD9">
          <w:rPr>
            <w:webHidden/>
          </w:rPr>
          <w:fldChar w:fldCharType="separate"/>
        </w:r>
        <w:r>
          <w:rPr>
            <w:webHidden/>
          </w:rPr>
          <w:t>23</w:t>
        </w:r>
        <w:r w:rsidR="00D27BD9">
          <w:rPr>
            <w:webHidden/>
          </w:rPr>
          <w:fldChar w:fldCharType="end"/>
        </w:r>
      </w:hyperlink>
    </w:p>
    <w:p w14:paraId="1A352832" w14:textId="6DE0CF0F" w:rsidR="00D27BD9" w:rsidRDefault="006010CB">
      <w:pPr>
        <w:pStyle w:val="TOC2"/>
        <w:tabs>
          <w:tab w:val="left" w:pos="660"/>
        </w:tabs>
        <w:rPr>
          <w:color w:val="auto"/>
          <w:sz w:val="22"/>
          <w:szCs w:val="22"/>
          <w:lang w:eastAsia="en-AU"/>
        </w:rPr>
      </w:pPr>
      <w:hyperlink w:anchor="_Toc122618370" w:history="1">
        <w:r w:rsidR="00D27BD9" w:rsidRPr="004F789A">
          <w:rPr>
            <w:rStyle w:val="Hyperlink"/>
          </w:rPr>
          <w:t>2.1</w:t>
        </w:r>
        <w:r w:rsidR="00D27BD9">
          <w:rPr>
            <w:color w:val="auto"/>
            <w:sz w:val="22"/>
            <w:szCs w:val="22"/>
            <w:lang w:eastAsia="en-AU"/>
          </w:rPr>
          <w:tab/>
        </w:r>
        <w:r w:rsidR="00D27BD9" w:rsidRPr="004F789A">
          <w:rPr>
            <w:rStyle w:val="Hyperlink"/>
          </w:rPr>
          <w:t>Summary</w:t>
        </w:r>
        <w:r w:rsidR="00D27BD9">
          <w:rPr>
            <w:webHidden/>
          </w:rPr>
          <w:tab/>
        </w:r>
        <w:r w:rsidR="00D27BD9">
          <w:rPr>
            <w:webHidden/>
          </w:rPr>
          <w:fldChar w:fldCharType="begin"/>
        </w:r>
        <w:r w:rsidR="00D27BD9">
          <w:rPr>
            <w:webHidden/>
          </w:rPr>
          <w:instrText xml:space="preserve"> PAGEREF _Toc122618370 \h </w:instrText>
        </w:r>
        <w:r w:rsidR="00D27BD9">
          <w:rPr>
            <w:webHidden/>
          </w:rPr>
        </w:r>
        <w:r w:rsidR="00D27BD9">
          <w:rPr>
            <w:webHidden/>
          </w:rPr>
          <w:fldChar w:fldCharType="separate"/>
        </w:r>
        <w:r>
          <w:rPr>
            <w:webHidden/>
          </w:rPr>
          <w:t>23</w:t>
        </w:r>
        <w:r w:rsidR="00D27BD9">
          <w:rPr>
            <w:webHidden/>
          </w:rPr>
          <w:fldChar w:fldCharType="end"/>
        </w:r>
      </w:hyperlink>
    </w:p>
    <w:p w14:paraId="65D8FE7E" w14:textId="60FAD273" w:rsidR="00D27BD9" w:rsidRDefault="006010CB">
      <w:pPr>
        <w:pStyle w:val="TOC2"/>
        <w:tabs>
          <w:tab w:val="left" w:pos="660"/>
        </w:tabs>
        <w:rPr>
          <w:color w:val="auto"/>
          <w:sz w:val="22"/>
          <w:szCs w:val="22"/>
          <w:lang w:eastAsia="en-AU"/>
        </w:rPr>
      </w:pPr>
      <w:hyperlink w:anchor="_Toc122618373" w:history="1">
        <w:r w:rsidR="00D27BD9" w:rsidRPr="004F789A">
          <w:rPr>
            <w:rStyle w:val="Hyperlink"/>
          </w:rPr>
          <w:t>2.2</w:t>
        </w:r>
        <w:r w:rsidR="00D27BD9">
          <w:rPr>
            <w:color w:val="auto"/>
            <w:sz w:val="22"/>
            <w:szCs w:val="22"/>
            <w:lang w:eastAsia="en-AU"/>
          </w:rPr>
          <w:tab/>
        </w:r>
        <w:r w:rsidR="00D27BD9" w:rsidRPr="004F789A">
          <w:rPr>
            <w:rStyle w:val="Hyperlink"/>
          </w:rPr>
          <w:t>New South Wales</w:t>
        </w:r>
        <w:r w:rsidR="00D27BD9">
          <w:rPr>
            <w:webHidden/>
          </w:rPr>
          <w:tab/>
        </w:r>
        <w:r w:rsidR="00D27BD9">
          <w:rPr>
            <w:webHidden/>
          </w:rPr>
          <w:fldChar w:fldCharType="begin"/>
        </w:r>
        <w:r w:rsidR="00D27BD9">
          <w:rPr>
            <w:webHidden/>
          </w:rPr>
          <w:instrText xml:space="preserve"> PAGEREF _Toc122618373 \h </w:instrText>
        </w:r>
        <w:r w:rsidR="00D27BD9">
          <w:rPr>
            <w:webHidden/>
          </w:rPr>
        </w:r>
        <w:r w:rsidR="00D27BD9">
          <w:rPr>
            <w:webHidden/>
          </w:rPr>
          <w:fldChar w:fldCharType="separate"/>
        </w:r>
        <w:r>
          <w:rPr>
            <w:webHidden/>
          </w:rPr>
          <w:t>28</w:t>
        </w:r>
        <w:r w:rsidR="00D27BD9">
          <w:rPr>
            <w:webHidden/>
          </w:rPr>
          <w:fldChar w:fldCharType="end"/>
        </w:r>
      </w:hyperlink>
    </w:p>
    <w:p w14:paraId="5B973012" w14:textId="6EFA819B" w:rsidR="00D27BD9" w:rsidRDefault="006010CB">
      <w:pPr>
        <w:pStyle w:val="TOC2"/>
        <w:tabs>
          <w:tab w:val="left" w:pos="660"/>
        </w:tabs>
        <w:rPr>
          <w:color w:val="auto"/>
          <w:sz w:val="22"/>
          <w:szCs w:val="22"/>
          <w:lang w:eastAsia="en-AU"/>
        </w:rPr>
      </w:pPr>
      <w:hyperlink w:anchor="_Toc122618375" w:history="1">
        <w:r w:rsidR="00D27BD9" w:rsidRPr="004F789A">
          <w:rPr>
            <w:rStyle w:val="Hyperlink"/>
          </w:rPr>
          <w:t>2.3</w:t>
        </w:r>
        <w:r w:rsidR="00D27BD9">
          <w:rPr>
            <w:color w:val="auto"/>
            <w:sz w:val="22"/>
            <w:szCs w:val="22"/>
            <w:lang w:eastAsia="en-AU"/>
          </w:rPr>
          <w:tab/>
        </w:r>
        <w:r w:rsidR="00D27BD9" w:rsidRPr="004F789A">
          <w:rPr>
            <w:rStyle w:val="Hyperlink"/>
          </w:rPr>
          <w:t>Victoria</w:t>
        </w:r>
        <w:r w:rsidR="00D27BD9">
          <w:rPr>
            <w:webHidden/>
          </w:rPr>
          <w:tab/>
        </w:r>
        <w:r w:rsidR="00D27BD9">
          <w:rPr>
            <w:webHidden/>
          </w:rPr>
          <w:fldChar w:fldCharType="begin"/>
        </w:r>
        <w:r w:rsidR="00D27BD9">
          <w:rPr>
            <w:webHidden/>
          </w:rPr>
          <w:instrText xml:space="preserve"> PAGEREF _Toc122618375 \h </w:instrText>
        </w:r>
        <w:r w:rsidR="00D27BD9">
          <w:rPr>
            <w:webHidden/>
          </w:rPr>
        </w:r>
        <w:r w:rsidR="00D27BD9">
          <w:rPr>
            <w:webHidden/>
          </w:rPr>
          <w:fldChar w:fldCharType="separate"/>
        </w:r>
        <w:r>
          <w:rPr>
            <w:webHidden/>
          </w:rPr>
          <w:t>31</w:t>
        </w:r>
        <w:r w:rsidR="00D27BD9">
          <w:rPr>
            <w:webHidden/>
          </w:rPr>
          <w:fldChar w:fldCharType="end"/>
        </w:r>
      </w:hyperlink>
    </w:p>
    <w:p w14:paraId="1ADE16AD" w14:textId="2AF72C95" w:rsidR="00D27BD9" w:rsidRDefault="006010CB">
      <w:pPr>
        <w:pStyle w:val="TOC2"/>
        <w:tabs>
          <w:tab w:val="left" w:pos="660"/>
        </w:tabs>
        <w:rPr>
          <w:color w:val="auto"/>
          <w:sz w:val="22"/>
          <w:szCs w:val="22"/>
          <w:lang w:eastAsia="en-AU"/>
        </w:rPr>
      </w:pPr>
      <w:hyperlink w:anchor="_Toc122618377" w:history="1">
        <w:r w:rsidR="00D27BD9" w:rsidRPr="004F789A">
          <w:rPr>
            <w:rStyle w:val="Hyperlink"/>
          </w:rPr>
          <w:t>2.4</w:t>
        </w:r>
        <w:r w:rsidR="00D27BD9">
          <w:rPr>
            <w:color w:val="auto"/>
            <w:sz w:val="22"/>
            <w:szCs w:val="22"/>
            <w:lang w:eastAsia="en-AU"/>
          </w:rPr>
          <w:tab/>
        </w:r>
        <w:r w:rsidR="00D27BD9" w:rsidRPr="004F789A">
          <w:rPr>
            <w:rStyle w:val="Hyperlink"/>
          </w:rPr>
          <w:t>Queensland</w:t>
        </w:r>
        <w:r w:rsidR="00D27BD9">
          <w:rPr>
            <w:webHidden/>
          </w:rPr>
          <w:tab/>
        </w:r>
        <w:r w:rsidR="00D27BD9">
          <w:rPr>
            <w:webHidden/>
          </w:rPr>
          <w:fldChar w:fldCharType="begin"/>
        </w:r>
        <w:r w:rsidR="00D27BD9">
          <w:rPr>
            <w:webHidden/>
          </w:rPr>
          <w:instrText xml:space="preserve"> PAGEREF _Toc122618377 \h </w:instrText>
        </w:r>
        <w:r w:rsidR="00D27BD9">
          <w:rPr>
            <w:webHidden/>
          </w:rPr>
        </w:r>
        <w:r w:rsidR="00D27BD9">
          <w:rPr>
            <w:webHidden/>
          </w:rPr>
          <w:fldChar w:fldCharType="separate"/>
        </w:r>
        <w:r>
          <w:rPr>
            <w:webHidden/>
          </w:rPr>
          <w:t>34</w:t>
        </w:r>
        <w:r w:rsidR="00D27BD9">
          <w:rPr>
            <w:webHidden/>
          </w:rPr>
          <w:fldChar w:fldCharType="end"/>
        </w:r>
      </w:hyperlink>
    </w:p>
    <w:p w14:paraId="2C08CD21" w14:textId="38DC1BCC" w:rsidR="00D27BD9" w:rsidRDefault="006010CB">
      <w:pPr>
        <w:pStyle w:val="TOC2"/>
        <w:tabs>
          <w:tab w:val="left" w:pos="660"/>
        </w:tabs>
        <w:rPr>
          <w:color w:val="auto"/>
          <w:sz w:val="22"/>
          <w:szCs w:val="22"/>
          <w:lang w:eastAsia="en-AU"/>
        </w:rPr>
      </w:pPr>
      <w:hyperlink w:anchor="_Toc122618379" w:history="1">
        <w:r w:rsidR="00D27BD9" w:rsidRPr="004F789A">
          <w:rPr>
            <w:rStyle w:val="Hyperlink"/>
            <w:lang w:eastAsia="en-AU"/>
          </w:rPr>
          <w:t>2.5</w:t>
        </w:r>
        <w:r w:rsidR="00D27BD9">
          <w:rPr>
            <w:color w:val="auto"/>
            <w:sz w:val="22"/>
            <w:szCs w:val="22"/>
            <w:lang w:eastAsia="en-AU"/>
          </w:rPr>
          <w:tab/>
        </w:r>
        <w:r w:rsidR="00D27BD9" w:rsidRPr="004F789A">
          <w:rPr>
            <w:rStyle w:val="Hyperlink"/>
          </w:rPr>
          <w:t>South Australia</w:t>
        </w:r>
        <w:r w:rsidR="00D27BD9">
          <w:rPr>
            <w:webHidden/>
          </w:rPr>
          <w:tab/>
        </w:r>
        <w:r w:rsidR="00D27BD9">
          <w:rPr>
            <w:webHidden/>
          </w:rPr>
          <w:fldChar w:fldCharType="begin"/>
        </w:r>
        <w:r w:rsidR="00D27BD9">
          <w:rPr>
            <w:webHidden/>
          </w:rPr>
          <w:instrText xml:space="preserve"> PAGEREF _Toc122618379 \h </w:instrText>
        </w:r>
        <w:r w:rsidR="00D27BD9">
          <w:rPr>
            <w:webHidden/>
          </w:rPr>
        </w:r>
        <w:r w:rsidR="00D27BD9">
          <w:rPr>
            <w:webHidden/>
          </w:rPr>
          <w:fldChar w:fldCharType="separate"/>
        </w:r>
        <w:r>
          <w:rPr>
            <w:webHidden/>
          </w:rPr>
          <w:t>37</w:t>
        </w:r>
        <w:r w:rsidR="00D27BD9">
          <w:rPr>
            <w:webHidden/>
          </w:rPr>
          <w:fldChar w:fldCharType="end"/>
        </w:r>
      </w:hyperlink>
    </w:p>
    <w:p w14:paraId="168952E9" w14:textId="32605311" w:rsidR="00D27BD9" w:rsidRDefault="006010CB">
      <w:pPr>
        <w:pStyle w:val="TOC2"/>
        <w:tabs>
          <w:tab w:val="left" w:pos="660"/>
        </w:tabs>
        <w:rPr>
          <w:color w:val="auto"/>
          <w:sz w:val="22"/>
          <w:szCs w:val="22"/>
          <w:lang w:eastAsia="en-AU"/>
        </w:rPr>
      </w:pPr>
      <w:hyperlink w:anchor="_Toc122618381" w:history="1">
        <w:r w:rsidR="00D27BD9" w:rsidRPr="004F789A">
          <w:rPr>
            <w:rStyle w:val="Hyperlink"/>
          </w:rPr>
          <w:t>2.6</w:t>
        </w:r>
        <w:r w:rsidR="00D27BD9">
          <w:rPr>
            <w:color w:val="auto"/>
            <w:sz w:val="22"/>
            <w:szCs w:val="22"/>
            <w:lang w:eastAsia="en-AU"/>
          </w:rPr>
          <w:tab/>
        </w:r>
        <w:r w:rsidR="00D27BD9" w:rsidRPr="004F789A">
          <w:rPr>
            <w:rStyle w:val="Hyperlink"/>
          </w:rPr>
          <w:t>Western Australia</w:t>
        </w:r>
        <w:r w:rsidR="00D27BD9">
          <w:rPr>
            <w:webHidden/>
          </w:rPr>
          <w:tab/>
        </w:r>
        <w:r w:rsidR="00D27BD9">
          <w:rPr>
            <w:webHidden/>
          </w:rPr>
          <w:fldChar w:fldCharType="begin"/>
        </w:r>
        <w:r w:rsidR="00D27BD9">
          <w:rPr>
            <w:webHidden/>
          </w:rPr>
          <w:instrText xml:space="preserve"> PAGEREF _Toc122618381 \h </w:instrText>
        </w:r>
        <w:r w:rsidR="00D27BD9">
          <w:rPr>
            <w:webHidden/>
          </w:rPr>
        </w:r>
        <w:r w:rsidR="00D27BD9">
          <w:rPr>
            <w:webHidden/>
          </w:rPr>
          <w:fldChar w:fldCharType="separate"/>
        </w:r>
        <w:r>
          <w:rPr>
            <w:webHidden/>
          </w:rPr>
          <w:t>40</w:t>
        </w:r>
        <w:r w:rsidR="00D27BD9">
          <w:rPr>
            <w:webHidden/>
          </w:rPr>
          <w:fldChar w:fldCharType="end"/>
        </w:r>
      </w:hyperlink>
    </w:p>
    <w:p w14:paraId="5074C4AE" w14:textId="4FA93006" w:rsidR="00D27BD9" w:rsidRDefault="006010CB">
      <w:pPr>
        <w:pStyle w:val="TOC2"/>
        <w:tabs>
          <w:tab w:val="left" w:pos="660"/>
        </w:tabs>
        <w:rPr>
          <w:color w:val="auto"/>
          <w:sz w:val="22"/>
          <w:szCs w:val="22"/>
          <w:lang w:eastAsia="en-AU"/>
        </w:rPr>
      </w:pPr>
      <w:hyperlink w:anchor="_Toc122618383" w:history="1">
        <w:r w:rsidR="00D27BD9" w:rsidRPr="004F789A">
          <w:rPr>
            <w:rStyle w:val="Hyperlink"/>
          </w:rPr>
          <w:t>2.7</w:t>
        </w:r>
        <w:r w:rsidR="00D27BD9">
          <w:rPr>
            <w:color w:val="auto"/>
            <w:sz w:val="22"/>
            <w:szCs w:val="22"/>
            <w:lang w:eastAsia="en-AU"/>
          </w:rPr>
          <w:tab/>
        </w:r>
        <w:r w:rsidR="00D27BD9" w:rsidRPr="004F789A">
          <w:rPr>
            <w:rStyle w:val="Hyperlink"/>
          </w:rPr>
          <w:t>Tasmania</w:t>
        </w:r>
        <w:r w:rsidR="00D27BD9">
          <w:rPr>
            <w:webHidden/>
          </w:rPr>
          <w:tab/>
        </w:r>
        <w:r w:rsidR="00D27BD9">
          <w:rPr>
            <w:webHidden/>
          </w:rPr>
          <w:fldChar w:fldCharType="begin"/>
        </w:r>
        <w:r w:rsidR="00D27BD9">
          <w:rPr>
            <w:webHidden/>
          </w:rPr>
          <w:instrText xml:space="preserve"> PAGEREF _Toc122618383 \h </w:instrText>
        </w:r>
        <w:r w:rsidR="00D27BD9">
          <w:rPr>
            <w:webHidden/>
          </w:rPr>
        </w:r>
        <w:r w:rsidR="00D27BD9">
          <w:rPr>
            <w:webHidden/>
          </w:rPr>
          <w:fldChar w:fldCharType="separate"/>
        </w:r>
        <w:r>
          <w:rPr>
            <w:webHidden/>
          </w:rPr>
          <w:t>43</w:t>
        </w:r>
        <w:r w:rsidR="00D27BD9">
          <w:rPr>
            <w:webHidden/>
          </w:rPr>
          <w:fldChar w:fldCharType="end"/>
        </w:r>
      </w:hyperlink>
    </w:p>
    <w:p w14:paraId="5CCE155E" w14:textId="3D154A06" w:rsidR="00D27BD9" w:rsidRDefault="006010CB">
      <w:pPr>
        <w:pStyle w:val="TOC2"/>
        <w:tabs>
          <w:tab w:val="left" w:pos="660"/>
        </w:tabs>
        <w:rPr>
          <w:color w:val="auto"/>
          <w:sz w:val="22"/>
          <w:szCs w:val="22"/>
          <w:lang w:eastAsia="en-AU"/>
        </w:rPr>
      </w:pPr>
      <w:hyperlink w:anchor="_Toc122618385" w:history="1">
        <w:r w:rsidR="00D27BD9" w:rsidRPr="004F789A">
          <w:rPr>
            <w:rStyle w:val="Hyperlink"/>
          </w:rPr>
          <w:t>2.8</w:t>
        </w:r>
        <w:r w:rsidR="00D27BD9">
          <w:rPr>
            <w:color w:val="auto"/>
            <w:sz w:val="22"/>
            <w:szCs w:val="22"/>
            <w:lang w:eastAsia="en-AU"/>
          </w:rPr>
          <w:tab/>
        </w:r>
        <w:r w:rsidR="00D27BD9" w:rsidRPr="004F789A">
          <w:rPr>
            <w:rStyle w:val="Hyperlink"/>
          </w:rPr>
          <w:t>Northern Territory</w:t>
        </w:r>
        <w:r w:rsidR="00D27BD9">
          <w:rPr>
            <w:webHidden/>
          </w:rPr>
          <w:tab/>
        </w:r>
        <w:r w:rsidR="00D27BD9">
          <w:rPr>
            <w:webHidden/>
          </w:rPr>
          <w:fldChar w:fldCharType="begin"/>
        </w:r>
        <w:r w:rsidR="00D27BD9">
          <w:rPr>
            <w:webHidden/>
          </w:rPr>
          <w:instrText xml:space="preserve"> PAGEREF _Toc122618385 \h </w:instrText>
        </w:r>
        <w:r w:rsidR="00D27BD9">
          <w:rPr>
            <w:webHidden/>
          </w:rPr>
        </w:r>
        <w:r w:rsidR="00D27BD9">
          <w:rPr>
            <w:webHidden/>
          </w:rPr>
          <w:fldChar w:fldCharType="separate"/>
        </w:r>
        <w:r>
          <w:rPr>
            <w:webHidden/>
          </w:rPr>
          <w:t>46</w:t>
        </w:r>
        <w:r w:rsidR="00D27BD9">
          <w:rPr>
            <w:webHidden/>
          </w:rPr>
          <w:fldChar w:fldCharType="end"/>
        </w:r>
      </w:hyperlink>
    </w:p>
    <w:p w14:paraId="21C22BB7" w14:textId="5D586650" w:rsidR="00D27BD9" w:rsidRDefault="006010CB">
      <w:pPr>
        <w:pStyle w:val="TOC2"/>
        <w:tabs>
          <w:tab w:val="left" w:pos="660"/>
        </w:tabs>
        <w:rPr>
          <w:color w:val="auto"/>
          <w:sz w:val="22"/>
          <w:szCs w:val="22"/>
          <w:lang w:eastAsia="en-AU"/>
        </w:rPr>
      </w:pPr>
      <w:hyperlink w:anchor="_Toc122618387" w:history="1">
        <w:r w:rsidR="00D27BD9" w:rsidRPr="004F789A">
          <w:rPr>
            <w:rStyle w:val="Hyperlink"/>
          </w:rPr>
          <w:t>2.9</w:t>
        </w:r>
        <w:r w:rsidR="00D27BD9">
          <w:rPr>
            <w:color w:val="auto"/>
            <w:sz w:val="22"/>
            <w:szCs w:val="22"/>
            <w:lang w:eastAsia="en-AU"/>
          </w:rPr>
          <w:tab/>
        </w:r>
        <w:r w:rsidR="00D27BD9" w:rsidRPr="004F789A">
          <w:rPr>
            <w:rStyle w:val="Hyperlink"/>
          </w:rPr>
          <w:t>Australian Capital Territory</w:t>
        </w:r>
        <w:r w:rsidR="00D27BD9">
          <w:rPr>
            <w:webHidden/>
          </w:rPr>
          <w:tab/>
        </w:r>
        <w:r w:rsidR="00D27BD9">
          <w:rPr>
            <w:webHidden/>
          </w:rPr>
          <w:fldChar w:fldCharType="begin"/>
        </w:r>
        <w:r w:rsidR="00D27BD9">
          <w:rPr>
            <w:webHidden/>
          </w:rPr>
          <w:instrText xml:space="preserve"> PAGEREF _Toc122618387 \h </w:instrText>
        </w:r>
        <w:r w:rsidR="00D27BD9">
          <w:rPr>
            <w:webHidden/>
          </w:rPr>
        </w:r>
        <w:r w:rsidR="00D27BD9">
          <w:rPr>
            <w:webHidden/>
          </w:rPr>
          <w:fldChar w:fldCharType="separate"/>
        </w:r>
        <w:r>
          <w:rPr>
            <w:webHidden/>
          </w:rPr>
          <w:t>49</w:t>
        </w:r>
        <w:r w:rsidR="00D27BD9">
          <w:rPr>
            <w:webHidden/>
          </w:rPr>
          <w:fldChar w:fldCharType="end"/>
        </w:r>
      </w:hyperlink>
    </w:p>
    <w:p w14:paraId="3113C2A1" w14:textId="4EAE958D" w:rsidR="00D27BD9" w:rsidRDefault="006010CB">
      <w:pPr>
        <w:pStyle w:val="TOC1"/>
        <w:tabs>
          <w:tab w:val="left" w:pos="660"/>
        </w:tabs>
        <w:rPr>
          <w:b w:val="0"/>
          <w:color w:val="auto"/>
          <w:sz w:val="22"/>
          <w:lang w:eastAsia="en-AU"/>
        </w:rPr>
      </w:pPr>
      <w:hyperlink w:anchor="_Toc122618388" w:history="1">
        <w:r w:rsidR="00D27BD9" w:rsidRPr="004F789A">
          <w:rPr>
            <w:rStyle w:val="Hyperlink"/>
          </w:rPr>
          <w:t>3.</w:t>
        </w:r>
        <w:r w:rsidR="00D27BD9">
          <w:rPr>
            <w:b w:val="0"/>
            <w:color w:val="auto"/>
            <w:sz w:val="22"/>
            <w:lang w:eastAsia="en-AU"/>
          </w:rPr>
          <w:tab/>
        </w:r>
        <w:r w:rsidR="00D27BD9" w:rsidRPr="004F789A">
          <w:rPr>
            <w:rStyle w:val="Hyperlink"/>
          </w:rPr>
          <w:t>Technical appendix</w:t>
        </w:r>
        <w:r w:rsidR="00D27BD9">
          <w:rPr>
            <w:webHidden/>
          </w:rPr>
          <w:tab/>
        </w:r>
        <w:r w:rsidR="00D27BD9">
          <w:rPr>
            <w:webHidden/>
          </w:rPr>
          <w:fldChar w:fldCharType="begin"/>
        </w:r>
        <w:r w:rsidR="00D27BD9">
          <w:rPr>
            <w:webHidden/>
          </w:rPr>
          <w:instrText xml:space="preserve"> PAGEREF _Toc122618388 \h </w:instrText>
        </w:r>
        <w:r w:rsidR="00D27BD9">
          <w:rPr>
            <w:webHidden/>
          </w:rPr>
        </w:r>
        <w:r w:rsidR="00D27BD9">
          <w:rPr>
            <w:webHidden/>
          </w:rPr>
          <w:fldChar w:fldCharType="separate"/>
        </w:r>
        <w:r>
          <w:rPr>
            <w:webHidden/>
          </w:rPr>
          <w:t>51</w:t>
        </w:r>
        <w:r w:rsidR="00D27BD9">
          <w:rPr>
            <w:webHidden/>
          </w:rPr>
          <w:fldChar w:fldCharType="end"/>
        </w:r>
      </w:hyperlink>
    </w:p>
    <w:p w14:paraId="5E1E6856" w14:textId="5647B44C" w:rsidR="00D27BD9" w:rsidRDefault="006010CB">
      <w:pPr>
        <w:pStyle w:val="TOC2"/>
        <w:tabs>
          <w:tab w:val="left" w:pos="660"/>
        </w:tabs>
        <w:rPr>
          <w:color w:val="auto"/>
          <w:sz w:val="22"/>
          <w:szCs w:val="22"/>
          <w:lang w:eastAsia="en-AU"/>
        </w:rPr>
      </w:pPr>
      <w:hyperlink w:anchor="_Toc122618389" w:history="1">
        <w:r w:rsidR="00D27BD9" w:rsidRPr="004F789A">
          <w:rPr>
            <w:rStyle w:val="Hyperlink"/>
          </w:rPr>
          <w:t>3.1</w:t>
        </w:r>
        <w:r w:rsidR="00D27BD9">
          <w:rPr>
            <w:color w:val="auto"/>
            <w:sz w:val="22"/>
            <w:szCs w:val="22"/>
            <w:lang w:eastAsia="en-AU"/>
          </w:rPr>
          <w:tab/>
        </w:r>
        <w:r w:rsidR="00D27BD9" w:rsidRPr="004F789A">
          <w:rPr>
            <w:rStyle w:val="Hyperlink"/>
          </w:rPr>
          <w:t>Forecast context and limitations</w:t>
        </w:r>
        <w:r w:rsidR="00D27BD9">
          <w:rPr>
            <w:webHidden/>
          </w:rPr>
          <w:tab/>
        </w:r>
        <w:r w:rsidR="00D27BD9">
          <w:rPr>
            <w:webHidden/>
          </w:rPr>
          <w:fldChar w:fldCharType="begin"/>
        </w:r>
        <w:r w:rsidR="00D27BD9">
          <w:rPr>
            <w:webHidden/>
          </w:rPr>
          <w:instrText xml:space="preserve"> PAGEREF _Toc122618389 \h </w:instrText>
        </w:r>
        <w:r w:rsidR="00D27BD9">
          <w:rPr>
            <w:webHidden/>
          </w:rPr>
        </w:r>
        <w:r w:rsidR="00D27BD9">
          <w:rPr>
            <w:webHidden/>
          </w:rPr>
          <w:fldChar w:fldCharType="separate"/>
        </w:r>
        <w:r>
          <w:rPr>
            <w:webHidden/>
          </w:rPr>
          <w:t>51</w:t>
        </w:r>
        <w:r w:rsidR="00D27BD9">
          <w:rPr>
            <w:webHidden/>
          </w:rPr>
          <w:fldChar w:fldCharType="end"/>
        </w:r>
      </w:hyperlink>
    </w:p>
    <w:p w14:paraId="4F95A0E1" w14:textId="05E58D8F" w:rsidR="00D27BD9" w:rsidRDefault="006010CB">
      <w:pPr>
        <w:pStyle w:val="TOC3"/>
        <w:tabs>
          <w:tab w:val="left" w:pos="1100"/>
        </w:tabs>
        <w:rPr>
          <w:rFonts w:cstheme="minorBidi"/>
          <w:color w:val="auto"/>
          <w:sz w:val="22"/>
          <w:szCs w:val="22"/>
          <w:lang w:eastAsia="en-AU"/>
        </w:rPr>
      </w:pPr>
      <w:hyperlink w:anchor="_Toc122618390" w:history="1">
        <w:r w:rsidR="00D27BD9" w:rsidRPr="004F789A">
          <w:rPr>
            <w:rStyle w:val="Hyperlink"/>
          </w:rPr>
          <w:t>3.1.1</w:t>
        </w:r>
        <w:r w:rsidR="00D27BD9">
          <w:rPr>
            <w:rFonts w:cstheme="minorBidi"/>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_Toc122618390 \h </w:instrText>
        </w:r>
        <w:r w:rsidR="00D27BD9">
          <w:rPr>
            <w:webHidden/>
          </w:rPr>
        </w:r>
        <w:r w:rsidR="00D27BD9">
          <w:rPr>
            <w:webHidden/>
          </w:rPr>
          <w:fldChar w:fldCharType="separate"/>
        </w:r>
        <w:r>
          <w:rPr>
            <w:webHidden/>
          </w:rPr>
          <w:t>51</w:t>
        </w:r>
        <w:r w:rsidR="00D27BD9">
          <w:rPr>
            <w:webHidden/>
          </w:rPr>
          <w:fldChar w:fldCharType="end"/>
        </w:r>
      </w:hyperlink>
    </w:p>
    <w:p w14:paraId="3A49B852" w14:textId="523FB5FB" w:rsidR="00D27BD9" w:rsidRDefault="006010CB">
      <w:pPr>
        <w:pStyle w:val="TOC3"/>
        <w:tabs>
          <w:tab w:val="left" w:pos="1100"/>
        </w:tabs>
        <w:rPr>
          <w:rFonts w:cstheme="minorBidi"/>
          <w:color w:val="auto"/>
          <w:sz w:val="22"/>
          <w:szCs w:val="22"/>
          <w:lang w:eastAsia="en-AU"/>
        </w:rPr>
      </w:pPr>
      <w:hyperlink w:anchor="_Toc122618391" w:history="1">
        <w:r w:rsidR="00D27BD9" w:rsidRPr="004F789A">
          <w:rPr>
            <w:rStyle w:val="Hyperlink"/>
          </w:rPr>
          <w:t>3.1.2</w:t>
        </w:r>
        <w:r w:rsidR="00D27BD9">
          <w:rPr>
            <w:rFonts w:cstheme="minorBidi"/>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_Toc122618391 \h </w:instrText>
        </w:r>
        <w:r w:rsidR="00D27BD9">
          <w:rPr>
            <w:webHidden/>
          </w:rPr>
        </w:r>
        <w:r w:rsidR="00D27BD9">
          <w:rPr>
            <w:webHidden/>
          </w:rPr>
          <w:fldChar w:fldCharType="separate"/>
        </w:r>
        <w:r>
          <w:rPr>
            <w:webHidden/>
          </w:rPr>
          <w:t>52</w:t>
        </w:r>
        <w:r w:rsidR="00D27BD9">
          <w:rPr>
            <w:webHidden/>
          </w:rPr>
          <w:fldChar w:fldCharType="end"/>
        </w:r>
      </w:hyperlink>
    </w:p>
    <w:p w14:paraId="393100CD" w14:textId="20C19AB8" w:rsidR="00D27BD9" w:rsidRDefault="006010CB">
      <w:pPr>
        <w:pStyle w:val="TOC3"/>
        <w:tabs>
          <w:tab w:val="left" w:pos="1100"/>
        </w:tabs>
        <w:rPr>
          <w:rFonts w:cstheme="minorBidi"/>
          <w:color w:val="auto"/>
          <w:sz w:val="22"/>
          <w:szCs w:val="22"/>
          <w:lang w:eastAsia="en-AU"/>
        </w:rPr>
      </w:pPr>
      <w:hyperlink w:anchor="_Toc122618392" w:history="1">
        <w:r w:rsidR="00D27BD9" w:rsidRPr="004F789A">
          <w:rPr>
            <w:rStyle w:val="Hyperlink"/>
          </w:rPr>
          <w:t>3.1.3</w:t>
        </w:r>
        <w:r w:rsidR="00D27BD9">
          <w:rPr>
            <w:rFonts w:cstheme="minorBidi"/>
            <w:color w:val="auto"/>
            <w:sz w:val="22"/>
            <w:szCs w:val="22"/>
            <w:lang w:eastAsia="en-AU"/>
          </w:rPr>
          <w:tab/>
        </w:r>
        <w:r w:rsidR="00D27BD9" w:rsidRPr="004F789A">
          <w:rPr>
            <w:rStyle w:val="Hyperlink"/>
          </w:rPr>
          <w:t>Net internal migration</w:t>
        </w:r>
        <w:r w:rsidR="00D27BD9">
          <w:rPr>
            <w:webHidden/>
          </w:rPr>
          <w:tab/>
        </w:r>
        <w:r w:rsidR="00D27BD9">
          <w:rPr>
            <w:webHidden/>
          </w:rPr>
          <w:fldChar w:fldCharType="begin"/>
        </w:r>
        <w:r w:rsidR="00D27BD9">
          <w:rPr>
            <w:webHidden/>
          </w:rPr>
          <w:instrText xml:space="preserve"> PAGEREF _Toc122618392 \h </w:instrText>
        </w:r>
        <w:r w:rsidR="00D27BD9">
          <w:rPr>
            <w:webHidden/>
          </w:rPr>
        </w:r>
        <w:r w:rsidR="00D27BD9">
          <w:rPr>
            <w:webHidden/>
          </w:rPr>
          <w:fldChar w:fldCharType="separate"/>
        </w:r>
        <w:r>
          <w:rPr>
            <w:webHidden/>
          </w:rPr>
          <w:t>53</w:t>
        </w:r>
        <w:r w:rsidR="00D27BD9">
          <w:rPr>
            <w:webHidden/>
          </w:rPr>
          <w:fldChar w:fldCharType="end"/>
        </w:r>
      </w:hyperlink>
    </w:p>
    <w:p w14:paraId="27F8783D" w14:textId="7FE9726C" w:rsidR="00D27BD9" w:rsidRDefault="006010CB">
      <w:pPr>
        <w:pStyle w:val="TOC2"/>
        <w:tabs>
          <w:tab w:val="left" w:pos="660"/>
        </w:tabs>
        <w:rPr>
          <w:color w:val="auto"/>
          <w:sz w:val="22"/>
          <w:szCs w:val="22"/>
          <w:lang w:eastAsia="en-AU"/>
        </w:rPr>
      </w:pPr>
      <w:hyperlink w:anchor="_Toc122618393" w:history="1">
        <w:r w:rsidR="00D27BD9" w:rsidRPr="004F789A">
          <w:rPr>
            <w:rStyle w:val="Hyperlink"/>
          </w:rPr>
          <w:t>3.2</w:t>
        </w:r>
        <w:r w:rsidR="00D27BD9">
          <w:rPr>
            <w:color w:val="auto"/>
            <w:sz w:val="22"/>
            <w:szCs w:val="22"/>
            <w:lang w:eastAsia="en-AU"/>
          </w:rPr>
          <w:tab/>
        </w:r>
        <w:r w:rsidR="00D27BD9" w:rsidRPr="004F789A">
          <w:rPr>
            <w:rStyle w:val="Hyperlink"/>
          </w:rPr>
          <w:t>Assumptions</w:t>
        </w:r>
        <w:r w:rsidR="00D27BD9">
          <w:rPr>
            <w:webHidden/>
          </w:rPr>
          <w:tab/>
        </w:r>
        <w:r w:rsidR="00D27BD9">
          <w:rPr>
            <w:webHidden/>
          </w:rPr>
          <w:fldChar w:fldCharType="begin"/>
        </w:r>
        <w:r w:rsidR="00D27BD9">
          <w:rPr>
            <w:webHidden/>
          </w:rPr>
          <w:instrText xml:space="preserve"> PAGEREF _Toc122618393 \h </w:instrText>
        </w:r>
        <w:r w:rsidR="00D27BD9">
          <w:rPr>
            <w:webHidden/>
          </w:rPr>
        </w:r>
        <w:r w:rsidR="00D27BD9">
          <w:rPr>
            <w:webHidden/>
          </w:rPr>
          <w:fldChar w:fldCharType="separate"/>
        </w:r>
        <w:r>
          <w:rPr>
            <w:webHidden/>
          </w:rPr>
          <w:t>55</w:t>
        </w:r>
        <w:r w:rsidR="00D27BD9">
          <w:rPr>
            <w:webHidden/>
          </w:rPr>
          <w:fldChar w:fldCharType="end"/>
        </w:r>
      </w:hyperlink>
    </w:p>
    <w:p w14:paraId="022985BE" w14:textId="1FE3E6E7" w:rsidR="00D27BD9" w:rsidRDefault="006010CB">
      <w:pPr>
        <w:pStyle w:val="TOC3"/>
        <w:tabs>
          <w:tab w:val="left" w:pos="1100"/>
        </w:tabs>
        <w:rPr>
          <w:rFonts w:cstheme="minorBidi"/>
          <w:color w:val="auto"/>
          <w:sz w:val="22"/>
          <w:szCs w:val="22"/>
          <w:lang w:eastAsia="en-AU"/>
        </w:rPr>
      </w:pPr>
      <w:hyperlink w:anchor="_Toc122618394" w:history="1">
        <w:r w:rsidR="00D27BD9" w:rsidRPr="004F789A">
          <w:rPr>
            <w:rStyle w:val="Hyperlink"/>
          </w:rPr>
          <w:t>3.2.1</w:t>
        </w:r>
        <w:r w:rsidR="00D27BD9">
          <w:rPr>
            <w:rFonts w:cstheme="minorBidi"/>
            <w:color w:val="auto"/>
            <w:sz w:val="22"/>
            <w:szCs w:val="22"/>
            <w:lang w:eastAsia="en-AU"/>
          </w:rPr>
          <w:tab/>
        </w:r>
        <w:r w:rsidR="00D27BD9" w:rsidRPr="004F789A">
          <w:rPr>
            <w:rStyle w:val="Hyperlink"/>
          </w:rPr>
          <w:t>Net overseas migration</w:t>
        </w:r>
        <w:r w:rsidR="00D27BD9">
          <w:rPr>
            <w:webHidden/>
          </w:rPr>
          <w:tab/>
        </w:r>
        <w:r w:rsidR="00D27BD9">
          <w:rPr>
            <w:webHidden/>
          </w:rPr>
          <w:fldChar w:fldCharType="begin"/>
        </w:r>
        <w:r w:rsidR="00D27BD9">
          <w:rPr>
            <w:webHidden/>
          </w:rPr>
          <w:instrText xml:space="preserve"> PAGEREF _Toc122618394 \h </w:instrText>
        </w:r>
        <w:r w:rsidR="00D27BD9">
          <w:rPr>
            <w:webHidden/>
          </w:rPr>
        </w:r>
        <w:r w:rsidR="00D27BD9">
          <w:rPr>
            <w:webHidden/>
          </w:rPr>
          <w:fldChar w:fldCharType="separate"/>
        </w:r>
        <w:r>
          <w:rPr>
            <w:webHidden/>
          </w:rPr>
          <w:t>55</w:t>
        </w:r>
        <w:r w:rsidR="00D27BD9">
          <w:rPr>
            <w:webHidden/>
          </w:rPr>
          <w:fldChar w:fldCharType="end"/>
        </w:r>
      </w:hyperlink>
    </w:p>
    <w:p w14:paraId="0DFC8BBD" w14:textId="6685D20F" w:rsidR="00D27BD9" w:rsidRDefault="006010CB">
      <w:pPr>
        <w:pStyle w:val="TOC3"/>
        <w:tabs>
          <w:tab w:val="left" w:pos="1100"/>
        </w:tabs>
        <w:rPr>
          <w:rFonts w:cstheme="minorBidi"/>
          <w:color w:val="auto"/>
          <w:sz w:val="22"/>
          <w:szCs w:val="22"/>
          <w:lang w:eastAsia="en-AU"/>
        </w:rPr>
      </w:pPr>
      <w:hyperlink w:anchor="_Toc122618395" w:history="1">
        <w:r w:rsidR="00D27BD9" w:rsidRPr="004F789A">
          <w:rPr>
            <w:rStyle w:val="Hyperlink"/>
          </w:rPr>
          <w:t>3.2.2</w:t>
        </w:r>
        <w:r w:rsidR="00D27BD9">
          <w:rPr>
            <w:rFonts w:cstheme="minorBidi"/>
            <w:color w:val="auto"/>
            <w:sz w:val="22"/>
            <w:szCs w:val="22"/>
            <w:lang w:eastAsia="en-AU"/>
          </w:rPr>
          <w:tab/>
        </w:r>
        <w:r w:rsidR="00D27BD9" w:rsidRPr="004F789A">
          <w:rPr>
            <w:rStyle w:val="Hyperlink"/>
          </w:rPr>
          <w:t>Natural increase</w:t>
        </w:r>
        <w:r w:rsidR="00D27BD9">
          <w:rPr>
            <w:webHidden/>
          </w:rPr>
          <w:tab/>
        </w:r>
        <w:r w:rsidR="00D27BD9">
          <w:rPr>
            <w:webHidden/>
          </w:rPr>
          <w:fldChar w:fldCharType="begin"/>
        </w:r>
        <w:r w:rsidR="00D27BD9">
          <w:rPr>
            <w:webHidden/>
          </w:rPr>
          <w:instrText xml:space="preserve"> PAGEREF _Toc122618395 \h </w:instrText>
        </w:r>
        <w:r w:rsidR="00D27BD9">
          <w:rPr>
            <w:webHidden/>
          </w:rPr>
        </w:r>
        <w:r w:rsidR="00D27BD9">
          <w:rPr>
            <w:webHidden/>
          </w:rPr>
          <w:fldChar w:fldCharType="separate"/>
        </w:r>
        <w:r>
          <w:rPr>
            <w:webHidden/>
          </w:rPr>
          <w:t>56</w:t>
        </w:r>
        <w:r w:rsidR="00D27BD9">
          <w:rPr>
            <w:webHidden/>
          </w:rPr>
          <w:fldChar w:fldCharType="end"/>
        </w:r>
      </w:hyperlink>
    </w:p>
    <w:p w14:paraId="2C89909B" w14:textId="29C158E3" w:rsidR="00D27BD9" w:rsidRDefault="006010CB">
      <w:pPr>
        <w:pStyle w:val="TOC3"/>
        <w:tabs>
          <w:tab w:val="left" w:pos="1100"/>
        </w:tabs>
        <w:rPr>
          <w:rFonts w:cstheme="minorBidi"/>
          <w:color w:val="auto"/>
          <w:sz w:val="22"/>
          <w:szCs w:val="22"/>
          <w:lang w:eastAsia="en-AU"/>
        </w:rPr>
      </w:pPr>
      <w:hyperlink w:anchor="_Toc122618396" w:history="1">
        <w:r w:rsidR="00D27BD9" w:rsidRPr="004F789A">
          <w:rPr>
            <w:rStyle w:val="Hyperlink"/>
          </w:rPr>
          <w:t>3.2.3</w:t>
        </w:r>
        <w:r w:rsidR="00D27BD9">
          <w:rPr>
            <w:rFonts w:cstheme="minorBidi"/>
            <w:color w:val="auto"/>
            <w:sz w:val="22"/>
            <w:szCs w:val="22"/>
            <w:lang w:eastAsia="en-AU"/>
          </w:rPr>
          <w:tab/>
        </w:r>
        <w:r w:rsidR="00D27BD9" w:rsidRPr="004F789A">
          <w:rPr>
            <w:rStyle w:val="Hyperlink"/>
          </w:rPr>
          <w:t>Net internal migration</w:t>
        </w:r>
        <w:r w:rsidR="00D27BD9">
          <w:rPr>
            <w:webHidden/>
          </w:rPr>
          <w:tab/>
        </w:r>
        <w:r w:rsidR="00D27BD9">
          <w:rPr>
            <w:webHidden/>
          </w:rPr>
          <w:fldChar w:fldCharType="begin"/>
        </w:r>
        <w:r w:rsidR="00D27BD9">
          <w:rPr>
            <w:webHidden/>
          </w:rPr>
          <w:instrText xml:space="preserve"> PAGEREF _Toc122618396 \h </w:instrText>
        </w:r>
        <w:r w:rsidR="00D27BD9">
          <w:rPr>
            <w:webHidden/>
          </w:rPr>
        </w:r>
        <w:r w:rsidR="00D27BD9">
          <w:rPr>
            <w:webHidden/>
          </w:rPr>
          <w:fldChar w:fldCharType="separate"/>
        </w:r>
        <w:r>
          <w:rPr>
            <w:webHidden/>
          </w:rPr>
          <w:t>59</w:t>
        </w:r>
        <w:r w:rsidR="00D27BD9">
          <w:rPr>
            <w:webHidden/>
          </w:rPr>
          <w:fldChar w:fldCharType="end"/>
        </w:r>
      </w:hyperlink>
    </w:p>
    <w:p w14:paraId="347D449B" w14:textId="1E18A8AD" w:rsidR="00D27BD9" w:rsidRDefault="006010CB">
      <w:pPr>
        <w:pStyle w:val="TOC2"/>
        <w:tabs>
          <w:tab w:val="left" w:pos="660"/>
        </w:tabs>
        <w:rPr>
          <w:color w:val="auto"/>
          <w:sz w:val="22"/>
          <w:szCs w:val="22"/>
          <w:lang w:eastAsia="en-AU"/>
        </w:rPr>
      </w:pPr>
      <w:hyperlink w:anchor="_Toc122618397" w:history="1">
        <w:r w:rsidR="00D27BD9" w:rsidRPr="004F789A">
          <w:rPr>
            <w:rStyle w:val="Hyperlink"/>
          </w:rPr>
          <w:t>3.3</w:t>
        </w:r>
        <w:r w:rsidR="00D27BD9">
          <w:rPr>
            <w:color w:val="auto"/>
            <w:sz w:val="22"/>
            <w:szCs w:val="22"/>
            <w:lang w:eastAsia="en-AU"/>
          </w:rPr>
          <w:tab/>
        </w:r>
        <w:r w:rsidR="00D27BD9" w:rsidRPr="004F789A">
          <w:rPr>
            <w:rStyle w:val="Hyperlink"/>
          </w:rPr>
          <w:t>Impacts of 2021 Census rebasing on population estimates</w:t>
        </w:r>
        <w:r w:rsidR="00D27BD9">
          <w:rPr>
            <w:webHidden/>
          </w:rPr>
          <w:tab/>
        </w:r>
        <w:r w:rsidR="00D27BD9">
          <w:rPr>
            <w:webHidden/>
          </w:rPr>
          <w:fldChar w:fldCharType="begin"/>
        </w:r>
        <w:r w:rsidR="00D27BD9">
          <w:rPr>
            <w:webHidden/>
          </w:rPr>
          <w:instrText xml:space="preserve"> PAGEREF _Toc122618397 \h </w:instrText>
        </w:r>
        <w:r w:rsidR="00D27BD9">
          <w:rPr>
            <w:webHidden/>
          </w:rPr>
        </w:r>
        <w:r w:rsidR="00D27BD9">
          <w:rPr>
            <w:webHidden/>
          </w:rPr>
          <w:fldChar w:fldCharType="separate"/>
        </w:r>
        <w:r>
          <w:rPr>
            <w:webHidden/>
          </w:rPr>
          <w:t>61</w:t>
        </w:r>
        <w:r w:rsidR="00D27BD9">
          <w:rPr>
            <w:webHidden/>
          </w:rPr>
          <w:fldChar w:fldCharType="end"/>
        </w:r>
      </w:hyperlink>
    </w:p>
    <w:p w14:paraId="3BC618BE" w14:textId="62593D68" w:rsidR="00D27BD9" w:rsidRDefault="006010CB">
      <w:pPr>
        <w:pStyle w:val="TOC2"/>
        <w:tabs>
          <w:tab w:val="left" w:pos="660"/>
        </w:tabs>
        <w:rPr>
          <w:color w:val="auto"/>
          <w:sz w:val="22"/>
          <w:szCs w:val="22"/>
          <w:lang w:eastAsia="en-AU"/>
        </w:rPr>
      </w:pPr>
      <w:hyperlink w:anchor="_Toc122618399" w:history="1">
        <w:r w:rsidR="00D27BD9" w:rsidRPr="004F789A">
          <w:rPr>
            <w:rStyle w:val="Hyperlink"/>
          </w:rPr>
          <w:t>3.4</w:t>
        </w:r>
        <w:r w:rsidR="00D27BD9">
          <w:rPr>
            <w:color w:val="auto"/>
            <w:sz w:val="22"/>
            <w:szCs w:val="22"/>
            <w:lang w:eastAsia="en-AU"/>
          </w:rPr>
          <w:tab/>
        </w:r>
        <w:r w:rsidR="00D27BD9" w:rsidRPr="004F789A">
          <w:rPr>
            <w:rStyle w:val="Hyperlink"/>
          </w:rPr>
          <w:t>Comparing past forecasts and projections to outcomes</w:t>
        </w:r>
        <w:r w:rsidR="00D27BD9">
          <w:rPr>
            <w:webHidden/>
          </w:rPr>
          <w:tab/>
        </w:r>
        <w:r w:rsidR="00D27BD9">
          <w:rPr>
            <w:webHidden/>
          </w:rPr>
          <w:fldChar w:fldCharType="begin"/>
        </w:r>
        <w:r w:rsidR="00D27BD9">
          <w:rPr>
            <w:webHidden/>
          </w:rPr>
          <w:instrText xml:space="preserve"> PAGEREF _Toc122618399 \h </w:instrText>
        </w:r>
        <w:r w:rsidR="00D27BD9">
          <w:rPr>
            <w:webHidden/>
          </w:rPr>
        </w:r>
        <w:r w:rsidR="00D27BD9">
          <w:rPr>
            <w:webHidden/>
          </w:rPr>
          <w:fldChar w:fldCharType="separate"/>
        </w:r>
        <w:r>
          <w:rPr>
            <w:webHidden/>
          </w:rPr>
          <w:t>65</w:t>
        </w:r>
        <w:r w:rsidR="00D27BD9">
          <w:rPr>
            <w:webHidden/>
          </w:rPr>
          <w:fldChar w:fldCharType="end"/>
        </w:r>
      </w:hyperlink>
    </w:p>
    <w:p w14:paraId="39AFFAFA" w14:textId="4DEF70B0" w:rsidR="00D27BD9" w:rsidRDefault="006010CB">
      <w:pPr>
        <w:pStyle w:val="TOC1"/>
        <w:rPr>
          <w:b w:val="0"/>
          <w:color w:val="auto"/>
          <w:sz w:val="22"/>
          <w:lang w:eastAsia="en-AU"/>
        </w:rPr>
      </w:pPr>
      <w:hyperlink w:anchor="_Toc122618400" w:history="1">
        <w:r w:rsidR="00D27BD9" w:rsidRPr="004F789A">
          <w:rPr>
            <w:rStyle w:val="Hyperlink"/>
          </w:rPr>
          <w:t>Notes</w:t>
        </w:r>
        <w:r w:rsidR="00D27BD9">
          <w:rPr>
            <w:webHidden/>
          </w:rPr>
          <w:tab/>
        </w:r>
        <w:r w:rsidR="00D27BD9">
          <w:rPr>
            <w:webHidden/>
          </w:rPr>
          <w:fldChar w:fldCharType="begin"/>
        </w:r>
        <w:r w:rsidR="00D27BD9">
          <w:rPr>
            <w:webHidden/>
          </w:rPr>
          <w:instrText xml:space="preserve"> PAGEREF _Toc122618400 \h </w:instrText>
        </w:r>
        <w:r w:rsidR="00D27BD9">
          <w:rPr>
            <w:webHidden/>
          </w:rPr>
        </w:r>
        <w:r w:rsidR="00D27BD9">
          <w:rPr>
            <w:webHidden/>
          </w:rPr>
          <w:fldChar w:fldCharType="separate"/>
        </w:r>
        <w:r>
          <w:rPr>
            <w:webHidden/>
          </w:rPr>
          <w:t>69</w:t>
        </w:r>
        <w:r w:rsidR="00D27BD9">
          <w:rPr>
            <w:webHidden/>
          </w:rPr>
          <w:fldChar w:fldCharType="end"/>
        </w:r>
      </w:hyperlink>
    </w:p>
    <w:p w14:paraId="2F3C2D60" w14:textId="5086D4DD" w:rsidR="00D27BD9" w:rsidRDefault="006010CB">
      <w:pPr>
        <w:pStyle w:val="TOC1"/>
        <w:rPr>
          <w:b w:val="0"/>
          <w:color w:val="auto"/>
          <w:sz w:val="22"/>
          <w:lang w:eastAsia="en-AU"/>
        </w:rPr>
      </w:pPr>
      <w:hyperlink w:anchor="_Toc122618401" w:history="1">
        <w:r w:rsidR="00D27BD9" w:rsidRPr="004F789A">
          <w:rPr>
            <w:rStyle w:val="Hyperlink"/>
          </w:rPr>
          <w:t>Glossary</w:t>
        </w:r>
        <w:r w:rsidR="00D27BD9">
          <w:rPr>
            <w:webHidden/>
          </w:rPr>
          <w:tab/>
        </w:r>
        <w:r w:rsidR="00D27BD9">
          <w:rPr>
            <w:webHidden/>
          </w:rPr>
          <w:fldChar w:fldCharType="begin"/>
        </w:r>
        <w:r w:rsidR="00D27BD9">
          <w:rPr>
            <w:webHidden/>
          </w:rPr>
          <w:instrText xml:space="preserve"> PAGEREF _Toc122618401 \h </w:instrText>
        </w:r>
        <w:r w:rsidR="00D27BD9">
          <w:rPr>
            <w:webHidden/>
          </w:rPr>
        </w:r>
        <w:r w:rsidR="00D27BD9">
          <w:rPr>
            <w:webHidden/>
          </w:rPr>
          <w:fldChar w:fldCharType="separate"/>
        </w:r>
        <w:r>
          <w:rPr>
            <w:webHidden/>
          </w:rPr>
          <w:t>70</w:t>
        </w:r>
        <w:r w:rsidR="00D27BD9">
          <w:rPr>
            <w:webHidden/>
          </w:rPr>
          <w:fldChar w:fldCharType="end"/>
        </w:r>
      </w:hyperlink>
    </w:p>
    <w:p w14:paraId="6752974A" w14:textId="3D3D3193" w:rsidR="00D27BD9" w:rsidRDefault="006010CB">
      <w:pPr>
        <w:pStyle w:val="TOC1"/>
        <w:rPr>
          <w:b w:val="0"/>
          <w:color w:val="auto"/>
          <w:sz w:val="22"/>
          <w:lang w:eastAsia="en-AU"/>
        </w:rPr>
      </w:pPr>
      <w:hyperlink w:anchor="_Toc122618426" w:history="1">
        <w:r w:rsidR="00D27BD9" w:rsidRPr="004F789A">
          <w:rPr>
            <w:rStyle w:val="Hyperlink"/>
          </w:rPr>
          <w:t>References</w:t>
        </w:r>
        <w:r w:rsidR="00D27BD9">
          <w:rPr>
            <w:webHidden/>
          </w:rPr>
          <w:tab/>
        </w:r>
        <w:r w:rsidR="00D27BD9">
          <w:rPr>
            <w:webHidden/>
          </w:rPr>
          <w:fldChar w:fldCharType="begin"/>
        </w:r>
        <w:r w:rsidR="00D27BD9">
          <w:rPr>
            <w:webHidden/>
          </w:rPr>
          <w:instrText xml:space="preserve"> PAGEREF _Toc122618426 \h </w:instrText>
        </w:r>
        <w:r w:rsidR="00D27BD9">
          <w:rPr>
            <w:webHidden/>
          </w:rPr>
        </w:r>
        <w:r w:rsidR="00D27BD9">
          <w:rPr>
            <w:webHidden/>
          </w:rPr>
          <w:fldChar w:fldCharType="separate"/>
        </w:r>
        <w:r>
          <w:rPr>
            <w:webHidden/>
          </w:rPr>
          <w:t>74</w:t>
        </w:r>
        <w:r w:rsidR="00D27BD9">
          <w:rPr>
            <w:webHidden/>
          </w:rPr>
          <w:fldChar w:fldCharType="end"/>
        </w:r>
      </w:hyperlink>
    </w:p>
    <w:p w14:paraId="2121AAB8" w14:textId="77777777" w:rsidR="00716831" w:rsidRDefault="001633BF" w:rsidP="00716831">
      <w:pPr>
        <w:pStyle w:val="SingleParagraph"/>
        <w:ind w:right="-2"/>
      </w:pPr>
      <w:r>
        <w:rPr>
          <w:b/>
          <w:noProof/>
          <w:color w:val="004A7F"/>
          <w:szCs w:val="22"/>
        </w:rPr>
        <w:fldChar w:fldCharType="end"/>
      </w:r>
      <w:bookmarkStart w:id="42" w:name="_Toc122618354"/>
      <w:bookmarkEnd w:id="40"/>
      <w:bookmarkEnd w:id="41"/>
    </w:p>
    <w:p w14:paraId="2B1F94A6" w14:textId="77777777" w:rsidR="00716831" w:rsidRDefault="00716831">
      <w:pPr>
        <w:spacing w:before="0" w:after="160" w:line="259" w:lineRule="auto"/>
      </w:pPr>
      <w:r>
        <w:br w:type="page"/>
      </w:r>
    </w:p>
    <w:p w14:paraId="6DF3C421" w14:textId="239F2372" w:rsidR="00475085" w:rsidRPr="00C66F11" w:rsidRDefault="00283A10" w:rsidP="00716831">
      <w:pPr>
        <w:pStyle w:val="Heading1"/>
      </w:pPr>
      <w:r>
        <w:lastRenderedPageBreak/>
        <w:t>F</w:t>
      </w:r>
      <w:r w:rsidR="00EA4CEE">
        <w:t xml:space="preserve">rom the </w:t>
      </w:r>
      <w:r>
        <w:t>T</w:t>
      </w:r>
      <w:r w:rsidR="00EA4CEE">
        <w:t>reasurer</w:t>
      </w:r>
      <w:bookmarkEnd w:id="42"/>
    </w:p>
    <w:tbl>
      <w:tblPr>
        <w:tblStyle w:val="TableGrid"/>
        <w:tblW w:w="9158" w:type="dxa"/>
        <w:tblLook w:val="04A0" w:firstRow="1" w:lastRow="0" w:firstColumn="1" w:lastColumn="0" w:noHBand="0" w:noVBand="1"/>
      </w:tblPr>
      <w:tblGrid>
        <w:gridCol w:w="1984"/>
        <w:gridCol w:w="7174"/>
      </w:tblGrid>
      <w:tr w:rsidR="004F027B" w14:paraId="776BF838" w14:textId="77777777" w:rsidTr="003A3DC7">
        <w:tc>
          <w:tcPr>
            <w:tcW w:w="1984" w:type="dxa"/>
            <w:shd w:val="clear" w:color="auto" w:fill="auto"/>
          </w:tcPr>
          <w:p w14:paraId="6DD5A3AF" w14:textId="27935BD9" w:rsidR="004F027B" w:rsidRDefault="003A3DC7" w:rsidP="005A5F17">
            <w:r>
              <w:rPr>
                <w:noProof/>
              </w:rPr>
              <w:drawing>
                <wp:inline distT="0" distB="0" distL="0" distR="0" wp14:anchorId="5B37692D" wp14:editId="031D244C">
                  <wp:extent cx="1112851" cy="1495422"/>
                  <wp:effectExtent l="0" t="0" r="0" b="0"/>
                  <wp:docPr id="13" name="Picture 13" descr="Jim Chal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im Chalmers"/>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112851" cy="1495422"/>
                          </a:xfrm>
                          <a:prstGeom prst="rect">
                            <a:avLst/>
                          </a:prstGeom>
                          <a:noFill/>
                          <a:ln>
                            <a:noFill/>
                          </a:ln>
                        </pic:spPr>
                      </pic:pic>
                    </a:graphicData>
                  </a:graphic>
                </wp:inline>
              </w:drawing>
            </w:r>
          </w:p>
        </w:tc>
        <w:tc>
          <w:tcPr>
            <w:tcW w:w="7174" w:type="dxa"/>
            <w:shd w:val="clear" w:color="auto" w:fill="auto"/>
          </w:tcPr>
          <w:p w14:paraId="37F571E7" w14:textId="77777777" w:rsidR="00CE7098" w:rsidRPr="008C20A4" w:rsidRDefault="00CE7098" w:rsidP="00CE7098">
            <w:pPr>
              <w:pStyle w:val="NoSpacing"/>
              <w:spacing w:before="200"/>
              <w:jc w:val="left"/>
              <w:rPr>
                <w:b/>
                <w:bCs/>
                <w:color w:val="002C47" w:themeColor="accent1"/>
              </w:rPr>
            </w:pPr>
            <w:r w:rsidRPr="008C20A4">
              <w:rPr>
                <w:b/>
                <w:bCs/>
                <w:color w:val="002C47" w:themeColor="accent1"/>
              </w:rPr>
              <w:t>The Hon Dr Jim Chalmers MP</w:t>
            </w:r>
          </w:p>
          <w:p w14:paraId="5E1F722C" w14:textId="77777777" w:rsidR="004F027B" w:rsidRPr="0055200C" w:rsidRDefault="004F027B" w:rsidP="005A5F17">
            <w:r w:rsidRPr="0055200C">
              <w:t>Treasurer</w:t>
            </w:r>
          </w:p>
        </w:tc>
      </w:tr>
    </w:tbl>
    <w:p w14:paraId="28C98BA3" w14:textId="77777777" w:rsidR="00C84E59" w:rsidRDefault="00C84E59" w:rsidP="00C84E59">
      <w:r w:rsidRPr="003C2A8F">
        <w:t xml:space="preserve">The Albanese Government is committed to building a stronger, fairer Australia </w:t>
      </w:r>
      <w:r>
        <w:t xml:space="preserve">that is better placed to meet the challenges ahead of us – and where there are more opportunities for more people, in every part of our great country. </w:t>
      </w:r>
    </w:p>
    <w:p w14:paraId="56FEB69E" w14:textId="77777777" w:rsidR="00C84E59" w:rsidRDefault="00C84E59" w:rsidP="00C84E59">
      <w:r>
        <w:t xml:space="preserve">An important part of this is having a responsible plan to deliver the housing, services and infrastructure that Australia’s changing population needs. It is also about ensuring that we have the workers and the skills needed for the future economy, and recognising the strength that comes from our cultural diversity. </w:t>
      </w:r>
    </w:p>
    <w:p w14:paraId="04B0B367" w14:textId="77777777" w:rsidR="00C84E59" w:rsidRPr="003C2A8F" w:rsidRDefault="00C84E59" w:rsidP="00C84E59">
      <w:r w:rsidRPr="00877EDE">
        <w:t xml:space="preserve">The 2022 Population Statement provides evidence and analysis </w:t>
      </w:r>
      <w:r>
        <w:t>to</w:t>
      </w:r>
      <w:r w:rsidRPr="00877EDE">
        <w:t xml:space="preserve"> help us to </w:t>
      </w:r>
      <w:r>
        <w:t xml:space="preserve">prepare for the changes and challenges ahead. </w:t>
      </w:r>
    </w:p>
    <w:p w14:paraId="09DF2E65" w14:textId="30002B58" w:rsidR="00C84E59" w:rsidRPr="003C2A8F" w:rsidRDefault="00C84E59" w:rsidP="00C84E59">
      <w:r w:rsidRPr="003C2A8F">
        <w:t xml:space="preserve">The past </w:t>
      </w:r>
      <w:r>
        <w:t>few</w:t>
      </w:r>
      <w:r w:rsidRPr="003C2A8F">
        <w:t xml:space="preserve"> years have seen some of the biggest changes to our population since Federation. As a result of the international travel restrictions introduced to slow the spread of COVID</w:t>
      </w:r>
      <w:r>
        <w:t>-</w:t>
      </w:r>
      <w:r w:rsidRPr="003C2A8F">
        <w:t xml:space="preserve">19, Australia experienced the first net outflow of overseas </w:t>
      </w:r>
      <w:r w:rsidR="00B97336">
        <w:t>migrat</w:t>
      </w:r>
      <w:r w:rsidR="00A04285">
        <w:t>ion</w:t>
      </w:r>
      <w:r w:rsidR="00B97336" w:rsidRPr="003C2A8F">
        <w:t xml:space="preserve"> </w:t>
      </w:r>
      <w:r w:rsidRPr="003C2A8F">
        <w:t xml:space="preserve">since World War II. </w:t>
      </w:r>
      <w:r>
        <w:t xml:space="preserve">This has had an impact on cities and regions across the country. </w:t>
      </w:r>
    </w:p>
    <w:p w14:paraId="5203801A" w14:textId="77777777" w:rsidR="00C84E59" w:rsidRPr="00877EDE" w:rsidRDefault="00C84E59" w:rsidP="00C84E59">
      <w:r w:rsidRPr="003C2A8F">
        <w:t xml:space="preserve">Now restrictions have eased, population growth has begun to recover. However, ongoing demographic challenges like ageing will continue to influence how our population evolves over time. </w:t>
      </w:r>
    </w:p>
    <w:p w14:paraId="6B56541D" w14:textId="77777777" w:rsidR="00C84E59" w:rsidRDefault="00C84E59" w:rsidP="00C84E59">
      <w:r w:rsidRPr="00877EDE">
        <w:t>The 2022 Population Statement examines how the different components of population growth interact</w:t>
      </w:r>
      <w:r>
        <w:t>,</w:t>
      </w:r>
      <w:r w:rsidRPr="00877EDE">
        <w:t xml:space="preserve"> and tells us how the population is expected to grow over the next decade</w:t>
      </w:r>
      <w:r>
        <w:t xml:space="preserve"> – </w:t>
      </w:r>
      <w:r w:rsidRPr="00877EDE">
        <w:t>at the national, state, city and regional levels. The Statement also provides a picture of how the composition of the population is expected to change</w:t>
      </w:r>
      <w:r>
        <w:t xml:space="preserve"> and age over time</w:t>
      </w:r>
      <w:r w:rsidRPr="00877EDE">
        <w:t xml:space="preserve">. </w:t>
      </w:r>
    </w:p>
    <w:p w14:paraId="009C7018" w14:textId="69E5C13D" w:rsidR="00687E2E" w:rsidRPr="004A07BA" w:rsidRDefault="00C84E59" w:rsidP="00C84E59">
      <w:r>
        <w:t>The Government will draw on this evidence to better align Australia’s infrastructure planning, housing, and service delivery with its population projections. The findings from this Statement will also inform</w:t>
      </w:r>
      <w:r w:rsidRPr="00877EDE">
        <w:t xml:space="preserve"> the Government</w:t>
      </w:r>
      <w:r>
        <w:t>’s</w:t>
      </w:r>
      <w:r w:rsidRPr="00877EDE">
        <w:t xml:space="preserve"> </w:t>
      </w:r>
      <w:r>
        <w:t>r</w:t>
      </w:r>
      <w:r w:rsidRPr="00877EDE">
        <w:t xml:space="preserve">eview of the </w:t>
      </w:r>
      <w:r>
        <w:t>m</w:t>
      </w:r>
      <w:r w:rsidRPr="00877EDE">
        <w:t xml:space="preserve">igration </w:t>
      </w:r>
      <w:r>
        <w:t>s</w:t>
      </w:r>
      <w:r w:rsidRPr="00877EDE">
        <w:t>ystem, the Employment White Paper and the next Intergenerational Report</w:t>
      </w:r>
      <w:r>
        <w:t xml:space="preserve">, </w:t>
      </w:r>
      <w:r w:rsidRPr="00877EDE">
        <w:t xml:space="preserve">so we can </w:t>
      </w:r>
      <w:r>
        <w:t>keep building</w:t>
      </w:r>
      <w:r w:rsidRPr="00877EDE">
        <w:t xml:space="preserve"> a better future for Australia.</w:t>
      </w:r>
    </w:p>
    <w:p w14:paraId="3584F86D" w14:textId="17A866E2" w:rsidR="00CE7098" w:rsidRDefault="009D7798" w:rsidP="00CE7098">
      <w:pPr>
        <w:spacing w:before="400"/>
      </w:pPr>
      <w:r>
        <w:rPr>
          <w:noProof/>
        </w:rPr>
        <w:drawing>
          <wp:inline distT="0" distB="0" distL="0" distR="0" wp14:anchorId="571421CD" wp14:editId="3A61AB09">
            <wp:extent cx="1866900" cy="586623"/>
            <wp:effectExtent l="0" t="0" r="0" b="4445"/>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2527" cy="591533"/>
                    </a:xfrm>
                    <a:prstGeom prst="rect">
                      <a:avLst/>
                    </a:prstGeom>
                  </pic:spPr>
                </pic:pic>
              </a:graphicData>
            </a:graphic>
          </wp:inline>
        </w:drawing>
      </w:r>
    </w:p>
    <w:p w14:paraId="79D5F34F" w14:textId="77777777" w:rsidR="00687E2E" w:rsidRDefault="00687E2E" w:rsidP="004F027B"/>
    <w:p w14:paraId="6CDED56F" w14:textId="77777777" w:rsidR="004F027B" w:rsidRDefault="004F027B" w:rsidP="004F027B">
      <w:pPr>
        <w:spacing w:before="0" w:after="160" w:line="259" w:lineRule="auto"/>
        <w:rPr>
          <w:b/>
          <w:smallCaps/>
          <w:color w:val="FFFFFF" w:themeColor="background1"/>
          <w:spacing w:val="15"/>
          <w:sz w:val="22"/>
          <w:szCs w:val="22"/>
        </w:rPr>
      </w:pPr>
      <w:r>
        <w:br w:type="page"/>
      </w:r>
    </w:p>
    <w:p w14:paraId="424DE425" w14:textId="419B820C" w:rsidR="006C5B73" w:rsidRDefault="00283A10" w:rsidP="007A1ED0">
      <w:pPr>
        <w:pStyle w:val="Heading1"/>
      </w:pPr>
      <w:bookmarkStart w:id="43" w:name="_Toc122618355"/>
      <w:r>
        <w:lastRenderedPageBreak/>
        <w:t>F</w:t>
      </w:r>
      <w:r w:rsidR="00EA4CEE">
        <w:t xml:space="preserve">rom the </w:t>
      </w:r>
      <w:r>
        <w:t>E</w:t>
      </w:r>
      <w:r w:rsidR="00EA4CEE">
        <w:t xml:space="preserve">xecutive </w:t>
      </w:r>
      <w:r>
        <w:t>D</w:t>
      </w:r>
      <w:r w:rsidR="00EA4CEE">
        <w:t xml:space="preserve">irector of the </w:t>
      </w:r>
      <w:r>
        <w:t>Ce</w:t>
      </w:r>
      <w:r w:rsidR="00EA4CEE">
        <w:t xml:space="preserve">ntre for </w:t>
      </w:r>
      <w:r>
        <w:t>P</w:t>
      </w:r>
      <w:r w:rsidR="00EA4CEE">
        <w:t>opulation</w:t>
      </w:r>
      <w:bookmarkEnd w:id="43"/>
    </w:p>
    <w:tbl>
      <w:tblPr>
        <w:tblStyle w:val="TableGrid"/>
        <w:tblW w:w="0" w:type="auto"/>
        <w:tblLook w:val="04A0" w:firstRow="1" w:lastRow="0" w:firstColumn="1" w:lastColumn="0" w:noHBand="0" w:noVBand="1"/>
      </w:tblPr>
      <w:tblGrid>
        <w:gridCol w:w="1984"/>
        <w:gridCol w:w="6093"/>
      </w:tblGrid>
      <w:tr w:rsidR="00C14438" w14:paraId="19D436C1" w14:textId="77777777" w:rsidTr="002C06DC">
        <w:trPr>
          <w:trHeight w:val="2693"/>
        </w:trPr>
        <w:tc>
          <w:tcPr>
            <w:tcW w:w="1984" w:type="dxa"/>
            <w:shd w:val="clear" w:color="auto" w:fill="auto"/>
          </w:tcPr>
          <w:p w14:paraId="01C61195" w14:textId="5B5FD886" w:rsidR="00A51384" w:rsidRDefault="00A51384" w:rsidP="00A51384">
            <w:pPr>
              <w:jc w:val="center"/>
            </w:pPr>
            <w:r>
              <w:rPr>
                <w:noProof/>
              </w:rPr>
              <w:drawing>
                <wp:inline distT="0" distB="0" distL="0" distR="0" wp14:anchorId="72D917F0" wp14:editId="12C28C49">
                  <wp:extent cx="1112851" cy="1495424"/>
                  <wp:effectExtent l="0" t="0" r="0" b="0"/>
                  <wp:docPr id="2" name="Picture 2" descr="Damie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amien White"/>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12851" cy="1495424"/>
                          </a:xfrm>
                          <a:prstGeom prst="rect">
                            <a:avLst/>
                          </a:prstGeom>
                          <a:noFill/>
                          <a:ln>
                            <a:noFill/>
                          </a:ln>
                        </pic:spPr>
                      </pic:pic>
                    </a:graphicData>
                  </a:graphic>
                </wp:inline>
              </w:drawing>
            </w:r>
          </w:p>
        </w:tc>
        <w:tc>
          <w:tcPr>
            <w:tcW w:w="6093" w:type="dxa"/>
            <w:shd w:val="clear" w:color="auto" w:fill="auto"/>
          </w:tcPr>
          <w:p w14:paraId="269D1FED" w14:textId="16953E44" w:rsidR="00A51384" w:rsidRPr="008C20A4" w:rsidRDefault="00A51384" w:rsidP="008B17E6">
            <w:pPr>
              <w:pStyle w:val="NoSpacing"/>
              <w:spacing w:before="200"/>
              <w:jc w:val="left"/>
              <w:rPr>
                <w:b/>
                <w:bCs/>
                <w:color w:val="002C47" w:themeColor="accent1"/>
              </w:rPr>
            </w:pPr>
            <w:r>
              <w:rPr>
                <w:b/>
                <w:bCs/>
                <w:color w:val="002C47" w:themeColor="accent1"/>
              </w:rPr>
              <w:t>Damien White</w:t>
            </w:r>
          </w:p>
          <w:p w14:paraId="144F3096" w14:textId="77777777" w:rsidR="00A51384" w:rsidRDefault="00A51384" w:rsidP="00A51384">
            <w:pPr>
              <w:pStyle w:val="SingleParagraph"/>
            </w:pPr>
            <w:r>
              <w:t>Executive Director</w:t>
            </w:r>
          </w:p>
          <w:p w14:paraId="3D07B978" w14:textId="77777777" w:rsidR="00A51384" w:rsidRDefault="00A51384" w:rsidP="00A51384">
            <w:pPr>
              <w:pStyle w:val="SingleParagraph"/>
            </w:pPr>
            <w:r>
              <w:t>Centre for Population</w:t>
            </w:r>
          </w:p>
          <w:p w14:paraId="74DE93AC" w14:textId="7FAFCE96" w:rsidR="00A51384" w:rsidRPr="0055200C" w:rsidRDefault="00A51384" w:rsidP="008B17E6"/>
        </w:tc>
      </w:tr>
    </w:tbl>
    <w:p w14:paraId="58C84DCC" w14:textId="77777777" w:rsidR="00687E2E" w:rsidRPr="00877EDE" w:rsidRDefault="00687E2E" w:rsidP="00687E2E">
      <w:r w:rsidRPr="00877EDE">
        <w:t xml:space="preserve">The Population Statement is the Centre for Population’s flagship annual publication. It provides insights into how Australia’s population has recently changed and projects future population changes. This is the third edition of the Statement, building on the analysis and projections contained in the 2020 and 2021 Population Statements. </w:t>
      </w:r>
    </w:p>
    <w:p w14:paraId="175D7C54" w14:textId="6BE33127" w:rsidR="00687E2E" w:rsidRPr="00877EDE" w:rsidRDefault="00687E2E" w:rsidP="00687E2E">
      <w:r w:rsidRPr="00877EDE">
        <w:t xml:space="preserve">The 2022 Population Statement looks at population change over the past year and includes projections of the population over the next decade, providing further detail on the projections in the </w:t>
      </w:r>
      <w:r w:rsidR="00413382" w:rsidRPr="00877EDE">
        <w:t>2022</w:t>
      </w:r>
      <w:r w:rsidR="00413382">
        <w:t>–</w:t>
      </w:r>
      <w:r w:rsidR="00413382" w:rsidRPr="00877EDE">
        <w:t>23</w:t>
      </w:r>
      <w:r w:rsidR="00E12B08">
        <w:t xml:space="preserve"> October</w:t>
      </w:r>
      <w:r w:rsidR="00413382">
        <w:t xml:space="preserve"> </w:t>
      </w:r>
      <w:r w:rsidRPr="00877EDE">
        <w:t>Budget. It analyses the role of the different drivers of population change – overseas migration, natural increase, internal migration, as well as the impact of the current age structure of the population. The analysis spans states and territories, capital cities and regions, age and sex, as well as providing insights from the 2021 Census.</w:t>
      </w:r>
    </w:p>
    <w:p w14:paraId="78776799" w14:textId="04A08673" w:rsidR="00687E2E" w:rsidRPr="00877EDE" w:rsidRDefault="00687E2E" w:rsidP="00687E2E">
      <w:bookmarkStart w:id="44" w:name="_Hlk120270967"/>
      <w:r w:rsidRPr="00877EDE">
        <w:t xml:space="preserve">The Centre for Population </w:t>
      </w:r>
      <w:r w:rsidR="00FD4FE6">
        <w:t>continues to</w:t>
      </w:r>
      <w:r w:rsidRPr="00877EDE">
        <w:t xml:space="preserve"> add to the population evidence</w:t>
      </w:r>
      <w:r w:rsidR="00FD4FE6">
        <w:t>-</w:t>
      </w:r>
      <w:r w:rsidRPr="00877EDE">
        <w:t xml:space="preserve">base with insights into relevant population issues. The Centre </w:t>
      </w:r>
      <w:r w:rsidR="00AF0D65">
        <w:t xml:space="preserve">drives </w:t>
      </w:r>
      <w:r w:rsidRPr="00877EDE">
        <w:t xml:space="preserve">research on </w:t>
      </w:r>
      <w:r w:rsidR="007172DB" w:rsidRPr="00877EDE">
        <w:t>several</w:t>
      </w:r>
      <w:r w:rsidRPr="00877EDE">
        <w:t xml:space="preserve"> population topics</w:t>
      </w:r>
      <w:r w:rsidR="00AF0D65">
        <w:t>,</w:t>
      </w:r>
      <w:r w:rsidRPr="00877EDE">
        <w:t xml:space="preserve"> </w:t>
      </w:r>
      <w:proofErr w:type="gramStart"/>
      <w:r w:rsidRPr="00877EDE">
        <w:t>including</w:t>
      </w:r>
      <w:r w:rsidR="00AF0D65">
        <w:t>:</w:t>
      </w:r>
      <w:proofErr w:type="gramEnd"/>
      <w:r w:rsidRPr="00877EDE">
        <w:t xml:space="preserve"> </w:t>
      </w:r>
      <w:r w:rsidR="007172DB">
        <w:t>how</w:t>
      </w:r>
      <w:r w:rsidRPr="00877EDE">
        <w:t xml:space="preserve"> policies </w:t>
      </w:r>
      <w:r w:rsidR="007172DB">
        <w:t>affect</w:t>
      </w:r>
      <w:r w:rsidRPr="00877EDE">
        <w:t xml:space="preserve"> fertility rates and net internal migration</w:t>
      </w:r>
      <w:r w:rsidR="00AF0D65">
        <w:t>;</w:t>
      </w:r>
      <w:r w:rsidRPr="00877EDE">
        <w:t xml:space="preserve"> how different fertility rates and different levels of migration impact Australia’s future population and interact with the economy</w:t>
      </w:r>
      <w:r w:rsidR="00AF0D65">
        <w:t>;</w:t>
      </w:r>
      <w:r w:rsidRPr="00877EDE">
        <w:t xml:space="preserve"> how temporary migrants transition to permanent residency</w:t>
      </w:r>
      <w:r w:rsidR="00AF0D65">
        <w:t>;</w:t>
      </w:r>
      <w:r w:rsidRPr="00877EDE">
        <w:t xml:space="preserve"> and how population growth has differed across different cities and regions. We continue to publish regular </w:t>
      </w:r>
      <w:r w:rsidR="00AF0D65">
        <w:t>analysis of</w:t>
      </w:r>
      <w:r w:rsidRPr="00877EDE">
        <w:t xml:space="preserve"> Australian Bureau of Statistics’ data, including revisions to Australia’s population from the 2021 Census.</w:t>
      </w:r>
    </w:p>
    <w:bookmarkEnd w:id="44"/>
    <w:p w14:paraId="17CE448E" w14:textId="3553624D" w:rsidR="00687E2E" w:rsidRPr="00877EDE" w:rsidRDefault="00687E2E" w:rsidP="00687E2E">
      <w:r w:rsidRPr="00877EDE">
        <w:t xml:space="preserve">Ongoing changes to Australia’s population and data </w:t>
      </w:r>
      <w:r w:rsidR="00EE3698">
        <w:t>due to</w:t>
      </w:r>
      <w:r w:rsidRPr="00877EDE">
        <w:t xml:space="preserve"> the COVID</w:t>
      </w:r>
      <w:r w:rsidR="00011107">
        <w:t>-</w:t>
      </w:r>
      <w:r w:rsidRPr="00877EDE">
        <w:t xml:space="preserve">19 pandemic </w:t>
      </w:r>
      <w:r w:rsidR="00EE3698">
        <w:t>make it</w:t>
      </w:r>
      <w:r w:rsidRPr="00877EDE">
        <w:t xml:space="preserve"> difficult to confidently analyse recent population trend</w:t>
      </w:r>
      <w:r w:rsidR="00F54C01">
        <w:t>s</w:t>
      </w:r>
      <w:r w:rsidR="00EE3698">
        <w:t>. T</w:t>
      </w:r>
      <w:r w:rsidRPr="00877EDE">
        <w:t xml:space="preserve">here is significant uncertainty around projections of future population. The Centre has used its best professional judgement in its analysis and will continue to monitor developments as new data become available. </w:t>
      </w:r>
    </w:p>
    <w:p w14:paraId="750511C0" w14:textId="5A5F226C" w:rsidR="00D657AE" w:rsidRDefault="00687E2E" w:rsidP="00706B83">
      <w:bookmarkStart w:id="45" w:name="_Hlk120271579"/>
      <w:r w:rsidRPr="00877EDE">
        <w:t xml:space="preserve">In preparing the Population Statement, the Centre has drawn on external input from academics and </w:t>
      </w:r>
      <w:r w:rsidR="004C21C6">
        <w:t xml:space="preserve">other </w:t>
      </w:r>
      <w:r w:rsidRPr="00877EDE">
        <w:t>population experts. The Statement has also been developed in consultation with the states</w:t>
      </w:r>
      <w:r w:rsidR="00B01492">
        <w:t xml:space="preserve"> and</w:t>
      </w:r>
      <w:r w:rsidRPr="00877EDE">
        <w:t xml:space="preserve"> territories. I</w:t>
      </w:r>
      <w:r w:rsidR="00DE726B">
        <w:t> </w:t>
      </w:r>
      <w:r w:rsidRPr="00877EDE">
        <w:t>thank all those involved in its preparation.</w:t>
      </w:r>
    </w:p>
    <w:p w14:paraId="16B6B370" w14:textId="124691D3" w:rsidR="00680951" w:rsidRDefault="007F0C78" w:rsidP="002C06DC">
      <w:pPr>
        <w:rPr>
          <w:b/>
          <w:smallCaps/>
          <w:color w:val="FFFFFF" w:themeColor="background1"/>
          <w:spacing w:val="15"/>
          <w:sz w:val="22"/>
          <w:szCs w:val="22"/>
        </w:rPr>
      </w:pPr>
      <w:r>
        <w:rPr>
          <w:noProof/>
        </w:rPr>
        <w:drawing>
          <wp:inline distT="0" distB="0" distL="0" distR="0" wp14:anchorId="3300F617" wp14:editId="46ED95ED">
            <wp:extent cx="1812898" cy="567225"/>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269" cy="572034"/>
                    </a:xfrm>
                    <a:prstGeom prst="rect">
                      <a:avLst/>
                    </a:prstGeom>
                  </pic:spPr>
                </pic:pic>
              </a:graphicData>
            </a:graphic>
          </wp:inline>
        </w:drawing>
      </w:r>
      <w:bookmarkEnd w:id="45"/>
      <w:r w:rsidR="00680951">
        <w:br w:type="page"/>
      </w:r>
    </w:p>
    <w:p w14:paraId="14F93C10" w14:textId="77777777" w:rsidR="00716831" w:rsidRDefault="00716831" w:rsidP="001B2CF1">
      <w:pPr>
        <w:sectPr w:rsidR="00716831" w:rsidSect="00E35CCB">
          <w:footerReference w:type="even" r:id="rId22"/>
          <w:footerReference w:type="default" r:id="rId23"/>
          <w:pgSz w:w="11906" w:h="16838" w:code="9"/>
          <w:pgMar w:top="1418" w:right="1418" w:bottom="1418" w:left="1418" w:header="709" w:footer="709" w:gutter="0"/>
          <w:pgNumType w:fmt="lowerRoman"/>
          <w:cols w:space="708"/>
          <w:docGrid w:linePitch="360"/>
        </w:sectPr>
      </w:pPr>
      <w:bookmarkStart w:id="46" w:name="_Toc122618356"/>
      <w:r>
        <w:lastRenderedPageBreak/>
        <w:br w:type="page"/>
      </w:r>
    </w:p>
    <w:p w14:paraId="40E26B99" w14:textId="43FD3538" w:rsidR="0092522E" w:rsidRDefault="0092522E" w:rsidP="0092522E">
      <w:pPr>
        <w:pStyle w:val="Heading1"/>
      </w:pPr>
      <w:r>
        <w:lastRenderedPageBreak/>
        <w:t>Summary</w:t>
      </w:r>
      <w:bookmarkEnd w:id="46"/>
    </w:p>
    <w:p w14:paraId="57EB34FC" w14:textId="04BA54A6" w:rsidR="00055125" w:rsidRPr="00877EDE" w:rsidRDefault="00055125" w:rsidP="00F5784C">
      <w:r w:rsidRPr="00B344C9">
        <w:t>The COVID</w:t>
      </w:r>
      <w:r w:rsidR="00011107" w:rsidRPr="00B344C9">
        <w:t>-</w:t>
      </w:r>
      <w:r w:rsidRPr="00B344C9">
        <w:t xml:space="preserve">19 pandemic has had a substantial impact on Australia’s population, mostly </w:t>
      </w:r>
      <w:r w:rsidR="007928DE">
        <w:t>due to</w:t>
      </w:r>
      <w:r w:rsidRPr="00B344C9">
        <w:t xml:space="preserve"> international border restrictions limiting overseas migration. As a result, our population is now expected to be smaller and older than was estimated prior to the onset of the pandemic.</w:t>
      </w:r>
    </w:p>
    <w:p w14:paraId="6805F422" w14:textId="054239F8" w:rsidR="00687E2E" w:rsidRPr="00877EDE" w:rsidRDefault="00687E2E" w:rsidP="00F5784C">
      <w:r w:rsidRPr="00877EDE">
        <w:t>Over the past year</w:t>
      </w:r>
      <w:r w:rsidR="008C4C5F">
        <w:t>,</w:t>
      </w:r>
      <w:r w:rsidRPr="00877EDE">
        <w:t xml:space="preserve"> restrictions have eased and Australia is </w:t>
      </w:r>
      <w:r w:rsidR="008C4C5F">
        <w:t>adjusting</w:t>
      </w:r>
      <w:r w:rsidR="008C4C5F" w:rsidRPr="00877EDE">
        <w:t xml:space="preserve"> </w:t>
      </w:r>
      <w:r w:rsidRPr="00877EDE">
        <w:t>to liv</w:t>
      </w:r>
      <w:r w:rsidR="008C4C5F">
        <w:t>ing</w:t>
      </w:r>
      <w:r w:rsidRPr="00877EDE">
        <w:t xml:space="preserve"> with COVID</w:t>
      </w:r>
      <w:r w:rsidR="00011107">
        <w:t>-</w:t>
      </w:r>
      <w:r w:rsidRPr="00877EDE">
        <w:t>19. The 2022</w:t>
      </w:r>
      <w:r w:rsidR="00DD255D">
        <w:t> </w:t>
      </w:r>
      <w:r w:rsidRPr="00877EDE">
        <w:t xml:space="preserve">Population Statement details how Australia’s population growth is projected to recover and how it is expected to change over the next decade, reflecting longstanding demographic trends like population ageing. </w:t>
      </w:r>
    </w:p>
    <w:p w14:paraId="5A3C25F3" w14:textId="30D9B939" w:rsidR="00410E4F" w:rsidRDefault="00410E4F" w:rsidP="00F5784C">
      <w:r w:rsidRPr="00410E4F">
        <w:t>Part 1 of the Statement explains how Australia’s estimated resident population is expected to grow from 25.7 million on 30 June 2021 to 29.9 million by 30 June 2033</w:t>
      </w:r>
      <w:r w:rsidR="00BA04C6">
        <w:t>. This</w:t>
      </w:r>
      <w:r w:rsidRPr="00410E4F">
        <w:t xml:space="preserve"> indicat</w:t>
      </w:r>
      <w:r w:rsidR="00BA04C6">
        <w:t>es</w:t>
      </w:r>
      <w:r w:rsidRPr="00410E4F">
        <w:t xml:space="preserve"> a slight, but not full recovery from the pandemic. Annual population growth is </w:t>
      </w:r>
      <w:r w:rsidR="005C0D42">
        <w:t>forecast</w:t>
      </w:r>
      <w:r w:rsidR="005C0D42" w:rsidRPr="00410E4F">
        <w:t xml:space="preserve"> </w:t>
      </w:r>
      <w:r w:rsidRPr="00410E4F">
        <w:t xml:space="preserve">to increase from 0.1 per cent in 2020–21 to 1.4 per cent </w:t>
      </w:r>
      <w:r w:rsidR="004A0C69">
        <w:t>in</w:t>
      </w:r>
      <w:r w:rsidR="004A0C69" w:rsidRPr="00410E4F">
        <w:t xml:space="preserve"> </w:t>
      </w:r>
      <w:r w:rsidRPr="00410E4F">
        <w:t>202</w:t>
      </w:r>
      <w:r w:rsidR="004A0C69">
        <w:t>2</w:t>
      </w:r>
      <w:r w:rsidRPr="00410E4F">
        <w:t>–2</w:t>
      </w:r>
      <w:r w:rsidR="004A0C69">
        <w:t>3</w:t>
      </w:r>
      <w:r w:rsidRPr="00410E4F">
        <w:t>. Growth is then projected to gradually decline from 2024–25, reaching 1.2 per cent by 2032–33. Ageing will continue to present a demographic challenge for Australia, with the median age projected to increase from 38.4</w:t>
      </w:r>
      <w:r w:rsidR="00BA04C6">
        <w:t xml:space="preserve"> years</w:t>
      </w:r>
      <w:r w:rsidRPr="00410E4F">
        <w:t xml:space="preserve"> in 2020–21 to 40.1</w:t>
      </w:r>
      <w:r w:rsidR="00BA04C6">
        <w:t xml:space="preserve"> years</w:t>
      </w:r>
      <w:r w:rsidRPr="00410E4F">
        <w:t xml:space="preserve"> by 2032–33.</w:t>
      </w:r>
    </w:p>
    <w:p w14:paraId="5E3A6F66" w14:textId="0835D6B4" w:rsidR="00B344C9" w:rsidRPr="00B344C9" w:rsidRDefault="00B344C9" w:rsidP="00F5784C">
      <w:r w:rsidRPr="00B344C9">
        <w:t>Overseas migration was particularly affected by COVID</w:t>
      </w:r>
      <w:r w:rsidR="000569AB">
        <w:t>-</w:t>
      </w:r>
      <w:r w:rsidRPr="00B344C9">
        <w:t>19, with international travel restrictions resulting in a net outflow of 85,000 overseas migrants from Australia in 2020–21. With the easing</w:t>
      </w:r>
      <w:r w:rsidR="00BA04C6">
        <w:t xml:space="preserve"> </w:t>
      </w:r>
      <w:r w:rsidR="00F34A17">
        <w:t xml:space="preserve">of </w:t>
      </w:r>
      <w:r w:rsidRPr="00B344C9">
        <w:t>restrictions, overseas migration has returned quickly and is expected to recover to the pre</w:t>
      </w:r>
      <w:r w:rsidR="00680E67">
        <w:noBreakHyphen/>
      </w:r>
      <w:r w:rsidRPr="00B344C9">
        <w:t xml:space="preserve">pandemic trend of a net inflow of 235,000 people from 2022–23. However, the recovery in migration is not expected to fully offset the lost population </w:t>
      </w:r>
      <w:r w:rsidR="00A64DCD">
        <w:t xml:space="preserve">growth </w:t>
      </w:r>
      <w:r w:rsidRPr="00B344C9">
        <w:t>during the pandemic, with Australia expected to remain smaller and older than would have otherwise been the case.</w:t>
      </w:r>
    </w:p>
    <w:p w14:paraId="13001846" w14:textId="28A1283A" w:rsidR="00687E2E" w:rsidRPr="00877EDE" w:rsidRDefault="00687E2E" w:rsidP="00F5784C">
      <w:r w:rsidRPr="00877EDE">
        <w:t>So far, COVID</w:t>
      </w:r>
      <w:r w:rsidR="00011107">
        <w:t>-</w:t>
      </w:r>
      <w:r w:rsidRPr="00877EDE">
        <w:t>19 has not had as large an impact on deaths in Australia as in many other developed countries. However, as COVID</w:t>
      </w:r>
      <w:r w:rsidR="00011107">
        <w:t>-</w:t>
      </w:r>
      <w:r w:rsidRPr="00877EDE">
        <w:t xml:space="preserve">19 infection rates increased </w:t>
      </w:r>
      <w:r w:rsidR="00A64DCD">
        <w:t>in</w:t>
      </w:r>
      <w:r w:rsidRPr="00877EDE">
        <w:t xml:space="preserve"> 2022, deaths from COVID</w:t>
      </w:r>
      <w:r w:rsidR="00011107">
        <w:t>-</w:t>
      </w:r>
      <w:r w:rsidRPr="00877EDE">
        <w:t>19 and other causes have also increased</w:t>
      </w:r>
      <w:r w:rsidR="007172DB">
        <w:t xml:space="preserve"> in Australia</w:t>
      </w:r>
      <w:r w:rsidRPr="00877EDE">
        <w:t>. This is expected to result in a short</w:t>
      </w:r>
      <w:r w:rsidR="00011107">
        <w:t>-</w:t>
      </w:r>
      <w:r w:rsidRPr="00877EDE">
        <w:t>term fall in life expectancy in 2021</w:t>
      </w:r>
      <w:r w:rsidR="0033101B">
        <w:t>–</w:t>
      </w:r>
      <w:r w:rsidRPr="00877EDE">
        <w:t>22 and 2022</w:t>
      </w:r>
      <w:r w:rsidR="0033101B">
        <w:t>–</w:t>
      </w:r>
      <w:r w:rsidRPr="00877EDE">
        <w:t>23, after which life expectancy is projected to improve at the same rate as was expected before the pandemic</w:t>
      </w:r>
      <w:r w:rsidR="00FB5402">
        <w:t>, reflecting uncertainty</w:t>
      </w:r>
      <w:r w:rsidR="00975C2A">
        <w:t xml:space="preserve"> around</w:t>
      </w:r>
      <w:r w:rsidR="00FB5402">
        <w:t xml:space="preserve"> the long-term impact of </w:t>
      </w:r>
      <w:r w:rsidR="00975C2A">
        <w:t>the pandemic</w:t>
      </w:r>
      <w:r w:rsidR="00A40F5A">
        <w:t xml:space="preserve"> on mortality</w:t>
      </w:r>
      <w:r w:rsidRPr="00877EDE">
        <w:t>.</w:t>
      </w:r>
    </w:p>
    <w:p w14:paraId="05AFEF6E" w14:textId="21E58771" w:rsidR="00687E2E" w:rsidRPr="00877EDE" w:rsidRDefault="00687E2E" w:rsidP="00F5784C">
      <w:r w:rsidRPr="00877EDE">
        <w:t>COVID</w:t>
      </w:r>
      <w:r w:rsidR="00011107">
        <w:t>-</w:t>
      </w:r>
      <w:r w:rsidRPr="00877EDE">
        <w:t>19 has not had a significant impact on fertility rates, although it may have affected the timing of</w:t>
      </w:r>
      <w:r w:rsidR="00F34A17">
        <w:t xml:space="preserve"> some</w:t>
      </w:r>
      <w:r w:rsidRPr="00877EDE">
        <w:t xml:space="preserve"> </w:t>
      </w:r>
      <w:r w:rsidR="00A64DCD">
        <w:t>conceptions</w:t>
      </w:r>
      <w:r w:rsidR="00A64DCD" w:rsidRPr="00877EDE">
        <w:t xml:space="preserve"> </w:t>
      </w:r>
      <w:r w:rsidRPr="00877EDE">
        <w:t>in 2020</w:t>
      </w:r>
      <w:r w:rsidR="00EE3698">
        <w:t>–</w:t>
      </w:r>
      <w:r w:rsidRPr="00877EDE">
        <w:t xml:space="preserve">21. Fertility rates have been slowly declining over the past </w:t>
      </w:r>
      <w:r w:rsidR="008B3DE3">
        <w:t>60</w:t>
      </w:r>
      <w:r w:rsidR="008B3DE3" w:rsidRPr="00877EDE">
        <w:t xml:space="preserve"> </w:t>
      </w:r>
      <w:r w:rsidRPr="00877EDE">
        <w:t>years and this trend is expected to continue. The total fertility rate is projected to decline from 1.66 babies per woman in 2021</w:t>
      </w:r>
      <w:r w:rsidR="00EE3698">
        <w:t>–</w:t>
      </w:r>
      <w:r w:rsidRPr="00877EDE">
        <w:t xml:space="preserve">22 to 1.62 </w:t>
      </w:r>
      <w:r w:rsidR="00680E67">
        <w:t xml:space="preserve">babies </w:t>
      </w:r>
      <w:r w:rsidRPr="00877EDE">
        <w:t>by 2030</w:t>
      </w:r>
      <w:r w:rsidR="00EE3698">
        <w:t>–</w:t>
      </w:r>
      <w:r w:rsidRPr="00877EDE">
        <w:t xml:space="preserve">31. </w:t>
      </w:r>
    </w:p>
    <w:p w14:paraId="3FE458AF" w14:textId="076041F7" w:rsidR="00055125" w:rsidRPr="00877EDE" w:rsidRDefault="00055125" w:rsidP="00055125">
      <w:r w:rsidRPr="00B344C9">
        <w:t xml:space="preserve">Part 2 of the Statement analyses population growth and changes within the states and territories (including at the capital city and </w:t>
      </w:r>
      <w:r w:rsidR="00590952" w:rsidRPr="00B344C9">
        <w:t>rest-of-state</w:t>
      </w:r>
      <w:r w:rsidRPr="00B344C9">
        <w:t xml:space="preserve"> level) over the past year. It also provides projections of future growth. The revisions to Australia’s population estimates using the 2021 Census data (known as rebasing) </w:t>
      </w:r>
      <w:r w:rsidR="007D31C2" w:rsidRPr="00B344C9">
        <w:t>have</w:t>
      </w:r>
      <w:r w:rsidRPr="00B344C9">
        <w:t xml:space="preserve"> revised growth patterns over the past 5 years, with the population of the two largest states revised downwards, and the population of smaller jurisdictions revised upwards.</w:t>
      </w:r>
    </w:p>
    <w:p w14:paraId="49BD20BF" w14:textId="56224903" w:rsidR="00410E4F" w:rsidRPr="00877EDE" w:rsidRDefault="00410E4F" w:rsidP="00410E4F">
      <w:r w:rsidRPr="00410E4F">
        <w:t xml:space="preserve">States and territories are projected to return to the well-established patterns of population growth that </w:t>
      </w:r>
      <w:r w:rsidR="00F34A17">
        <w:t>were</w:t>
      </w:r>
      <w:r w:rsidRPr="00410E4F">
        <w:t xml:space="preserve"> experienced pre-pandemic. Capital cities and regional areas are also projected to return to normal patterns of population growth as net overseas migration returns and internal migration returns to pre-pandemic patterns. Melbourne is projected to overtake Sydney as Australia’s largest city in 2031–32. South Australia and Tasmania are expected to continue to be older than other states, and rest-of-state areas (except for the rest of the Northern Territory) are expected to continue to be older than capital cities.</w:t>
      </w:r>
    </w:p>
    <w:p w14:paraId="22328168" w14:textId="2340C4C8" w:rsidR="002853C1" w:rsidRDefault="00687E2E" w:rsidP="00F5784C">
      <w:r w:rsidRPr="00877EDE">
        <w:t>Part 3 details the assumptions applied to the projections in this Statement, which are consistent with the 2022</w:t>
      </w:r>
      <w:r w:rsidR="00C02AB9">
        <w:sym w:font="Symbol" w:char="F02D"/>
      </w:r>
      <w:r w:rsidR="00C02AB9">
        <w:t>23</w:t>
      </w:r>
      <w:r w:rsidRPr="00877EDE">
        <w:t xml:space="preserve"> October Budget (see also </w:t>
      </w:r>
      <w:hyperlink r:id="rId24" w:history="1">
        <w:r w:rsidRPr="00FD6A80">
          <w:rPr>
            <w:rStyle w:val="Hyperlink"/>
          </w:rPr>
          <w:t>Budget Paper 3</w:t>
        </w:r>
      </w:hyperlink>
      <w:r w:rsidRPr="00532861">
        <w:rPr>
          <w:rStyle w:val="Hyperlink"/>
          <w:color w:val="auto"/>
        </w:rPr>
        <w:t>,</w:t>
      </w:r>
      <w:r w:rsidRPr="00877EDE">
        <w:rPr>
          <w:rStyle w:val="Hyperlink"/>
        </w:rPr>
        <w:t xml:space="preserve"> </w:t>
      </w:r>
      <w:r w:rsidRPr="00877EDE">
        <w:t>2022</w:t>
      </w:r>
      <w:r w:rsidR="00C02AB9">
        <w:t>–</w:t>
      </w:r>
      <w:r w:rsidRPr="00877EDE">
        <w:t xml:space="preserve">23 October Budget). Data for the projections used in the Statement can be found at </w:t>
      </w:r>
      <w:hyperlink r:id="rId25" w:history="1">
        <w:r w:rsidRPr="00877EDE">
          <w:rPr>
            <w:rStyle w:val="Hyperlink"/>
          </w:rPr>
          <w:t>population.gov.au</w:t>
        </w:r>
      </w:hyperlink>
      <w:r w:rsidRPr="00877EDE">
        <w:t>.</w:t>
      </w:r>
      <w:r>
        <w:t xml:space="preserve"> </w:t>
      </w:r>
    </w:p>
    <w:p w14:paraId="0B34D63A" w14:textId="77777777" w:rsidR="006A64B4" w:rsidRPr="00870349" w:rsidRDefault="006A64B4" w:rsidP="00870349">
      <w:pPr>
        <w:pStyle w:val="Heading1Numbered"/>
      </w:pPr>
      <w:bookmarkStart w:id="47" w:name="_Toc118792143"/>
      <w:bookmarkStart w:id="48" w:name="_Toc122618357"/>
      <w:r w:rsidRPr="00870349">
        <w:lastRenderedPageBreak/>
        <w:t>National population</w:t>
      </w:r>
      <w:bookmarkEnd w:id="47"/>
      <w:bookmarkEnd w:id="48"/>
    </w:p>
    <w:p w14:paraId="5CECED05" w14:textId="77777777" w:rsidR="006A64B4" w:rsidRPr="00870349" w:rsidRDefault="006A64B4" w:rsidP="00870349">
      <w:pPr>
        <w:pStyle w:val="Heading2Numbered"/>
      </w:pPr>
      <w:bookmarkStart w:id="49" w:name="_Toc118792144"/>
      <w:bookmarkStart w:id="50" w:name="_Toc122618358"/>
      <w:r w:rsidRPr="00870349">
        <w:t>Summary</w:t>
      </w:r>
      <w:bookmarkEnd w:id="49"/>
      <w:bookmarkEnd w:id="50"/>
    </w:p>
    <w:p w14:paraId="7B5D7501" w14:textId="0179EC9A" w:rsidR="00687E2E" w:rsidRPr="00877EDE" w:rsidRDefault="00687E2E" w:rsidP="00F5784C">
      <w:r w:rsidRPr="00877EDE">
        <w:t>Australia’s population grew by 0.1 per cent in 2020</w:t>
      </w:r>
      <w:r w:rsidR="00233516">
        <w:t>–</w:t>
      </w:r>
      <w:r w:rsidRPr="00877EDE">
        <w:t xml:space="preserve">21 to reach 25.7 million on 30 June 2021. As overseas migration </w:t>
      </w:r>
      <w:r w:rsidR="00B97F3F">
        <w:t>returns</w:t>
      </w:r>
      <w:r w:rsidRPr="00877EDE">
        <w:t>, Australia’s population is expected to have grown by 1.1 per cent in 2021</w:t>
      </w:r>
      <w:r w:rsidR="0033101B">
        <w:t>–</w:t>
      </w:r>
      <w:r w:rsidRPr="00877EDE">
        <w:t>22 to be 26</w:t>
      </w:r>
      <w:r w:rsidR="00C36C1F">
        <w:t>.0</w:t>
      </w:r>
      <w:r w:rsidRPr="00877EDE">
        <w:t> million on 30 June 2022</w:t>
      </w:r>
      <w:r w:rsidR="000B1AEE">
        <w:t xml:space="preserve"> (</w:t>
      </w:r>
      <w:r w:rsidR="002C2CC1">
        <w:t>Table 1</w:t>
      </w:r>
      <w:r w:rsidR="000B1AEE">
        <w:t>)</w:t>
      </w:r>
      <w:r w:rsidRPr="00877EDE">
        <w:t>. This</w:t>
      </w:r>
      <w:r w:rsidR="00233516">
        <w:t xml:space="preserve"> growth</w:t>
      </w:r>
      <w:r w:rsidRPr="00877EDE">
        <w:t xml:space="preserve"> is still significantly lower than before </w:t>
      </w:r>
      <w:r w:rsidR="003144B7">
        <w:t>the pandemic</w:t>
      </w:r>
      <w:r w:rsidRPr="00877EDE">
        <w:t>. Between 2008</w:t>
      </w:r>
      <w:r w:rsidR="00233516">
        <w:t>–</w:t>
      </w:r>
      <w:r w:rsidRPr="00877EDE">
        <w:t>09 and 2018</w:t>
      </w:r>
      <w:r w:rsidR="00233516">
        <w:t>–</w:t>
      </w:r>
      <w:r w:rsidRPr="00877EDE">
        <w:t xml:space="preserve">19, Australia experienced average population growth of 1.6 per cent per year. </w:t>
      </w:r>
    </w:p>
    <w:p w14:paraId="06B46E07" w14:textId="4EF9858F" w:rsidR="00055125" w:rsidRPr="00877EDE" w:rsidRDefault="00055125" w:rsidP="00F5784C">
      <w:r w:rsidRPr="00B344C9">
        <w:t xml:space="preserve">Australia’s annual population growth is expected to reach 1.4 per cent in 2022–23, </w:t>
      </w:r>
      <w:r w:rsidRPr="00B344C9" w:rsidDel="005611C5">
        <w:t xml:space="preserve">before gradually slowing </w:t>
      </w:r>
      <w:r w:rsidRPr="00B344C9" w:rsidDel="00B867E9">
        <w:t>to</w:t>
      </w:r>
      <w:r w:rsidRPr="00B344C9">
        <w:t xml:space="preserve"> 1.2 per cent by 2032–33. Australia’s population is expected to reach 29.9 million by 2032–33 (</w:t>
      </w:r>
      <w:r w:rsidR="002C2CC1">
        <w:t>Table 1</w:t>
      </w:r>
      <w:r w:rsidRPr="00B344C9">
        <w:t>). The gradual decline in population growth results from assumptions that annual net overseas migration remains steady at 235,000 people over the medium term (so slowly declines as a proportion of the population) and the total fertility rate declines from 1.66 babies per woman in 2021–22 to 1.62 by 2030–31</w:t>
      </w:r>
      <w:r w:rsidR="00B16980">
        <w:t>.</w:t>
      </w:r>
      <w:r w:rsidRPr="00B344C9">
        <w:t xml:space="preserve"> </w:t>
      </w:r>
      <w:r w:rsidR="00355CB0" w:rsidRPr="0068647B">
        <w:t>In the longer-term, the population is projected to grow to 39.2 million by 2060–61.</w:t>
      </w:r>
    </w:p>
    <w:p w14:paraId="0926F93D" w14:textId="20E69C57" w:rsidR="00687E2E" w:rsidRPr="00877EDE" w:rsidRDefault="00687E2E" w:rsidP="00F5784C">
      <w:bookmarkStart w:id="51" w:name="_Hlk121742484"/>
      <w:r w:rsidRPr="00877EDE">
        <w:t xml:space="preserve">The size of the population is expected to be 1.2 million people (4 per cent) smaller </w:t>
      </w:r>
      <w:r w:rsidR="00A04CDD">
        <w:t>in</w:t>
      </w:r>
      <w:r w:rsidR="00A04CDD" w:rsidRPr="00877EDE">
        <w:t xml:space="preserve"> </w:t>
      </w:r>
      <w:r w:rsidRPr="00877EDE">
        <w:t>2030</w:t>
      </w:r>
      <w:r w:rsidR="0033101B">
        <w:t>–</w:t>
      </w:r>
      <w:r w:rsidRPr="00877EDE">
        <w:t xml:space="preserve">31 compared with what was projected in the </w:t>
      </w:r>
      <w:r w:rsidR="00374769" w:rsidRPr="00877EDE">
        <w:t>2019</w:t>
      </w:r>
      <w:r w:rsidR="00374769">
        <w:t>–</w:t>
      </w:r>
      <w:r w:rsidR="00374769" w:rsidRPr="00877EDE">
        <w:t>20</w:t>
      </w:r>
      <w:r w:rsidR="00374769">
        <w:t xml:space="preserve"> </w:t>
      </w:r>
      <w:r w:rsidR="00DC2C9A">
        <w:t>MYEFO</w:t>
      </w:r>
      <w:r w:rsidRPr="00877EDE">
        <w:t>, prior to the onset of the pandemic. Around 30 per cent of this difference is attributable to lower overseas migration</w:t>
      </w:r>
      <w:r w:rsidR="00D32A32">
        <w:t>.</w:t>
      </w:r>
      <w:r w:rsidRPr="00877EDE">
        <w:t xml:space="preserve"> </w:t>
      </w:r>
      <w:r w:rsidR="00D32A32">
        <w:t>T</w:t>
      </w:r>
      <w:r w:rsidRPr="00877EDE">
        <w:t>he remainder is the result of a lower fertility assumption</w:t>
      </w:r>
      <w:r w:rsidR="0047732A">
        <w:t>,</w:t>
      </w:r>
      <w:r w:rsidR="00B5600C">
        <w:t xml:space="preserve"> which</w:t>
      </w:r>
      <w:r w:rsidR="0047732A">
        <w:t xml:space="preserve"> </w:t>
      </w:r>
      <w:r w:rsidR="0047732A" w:rsidRPr="007F66C2">
        <w:t xml:space="preserve">was updated in early 2020 </w:t>
      </w:r>
      <w:r w:rsidR="0089785F" w:rsidRPr="007F66C2">
        <w:t>following research commissioned by the Centre for Population</w:t>
      </w:r>
      <w:r w:rsidR="00031CDB">
        <w:rPr>
          <w:rStyle w:val="FootnoteReference"/>
        </w:rPr>
        <w:footnoteReference w:id="2"/>
      </w:r>
      <w:r w:rsidR="0089785F" w:rsidRPr="007F66C2">
        <w:t xml:space="preserve"> </w:t>
      </w:r>
      <w:r w:rsidR="0047732A" w:rsidRPr="007F66C2">
        <w:t>and</w:t>
      </w:r>
      <w:r w:rsidR="0047732A" w:rsidRPr="00800E85">
        <w:t xml:space="preserve"> </w:t>
      </w:r>
      <w:r w:rsidR="00B5600C">
        <w:t>better reflects long</w:t>
      </w:r>
      <w:r w:rsidR="00800E85">
        <w:noBreakHyphen/>
      </w:r>
      <w:r w:rsidR="00B5600C">
        <w:t>running trends</w:t>
      </w:r>
      <w:r w:rsidRPr="00877EDE">
        <w:t xml:space="preserve"> and fewer births attributable to migrants.</w:t>
      </w:r>
      <w:bookmarkEnd w:id="51"/>
      <w:r w:rsidRPr="00877EDE">
        <w:t xml:space="preserve"> </w:t>
      </w:r>
    </w:p>
    <w:p w14:paraId="37344020" w14:textId="362B0514" w:rsidR="00687E2E" w:rsidRPr="00877EDE" w:rsidRDefault="00687E2E" w:rsidP="00F5784C">
      <w:r w:rsidRPr="00877EDE">
        <w:t>Australia’s population is expected to continue ageing, reflecting long</w:t>
      </w:r>
      <w:r w:rsidR="007C1F6C">
        <w:t>-</w:t>
      </w:r>
      <w:r w:rsidRPr="00877EDE">
        <w:t>running trends of declining fertility and increasing life expectancies, with the median age increasing by 1.5 years between 2021</w:t>
      </w:r>
      <w:r w:rsidR="0033101B">
        <w:t>–</w:t>
      </w:r>
      <w:r w:rsidRPr="00877EDE">
        <w:t>22 and 2032</w:t>
      </w:r>
      <w:r w:rsidR="0033101B">
        <w:t>–</w:t>
      </w:r>
      <w:r w:rsidRPr="00877EDE">
        <w:t>33 (</w:t>
      </w:r>
      <w:r w:rsidR="002C2CC1">
        <w:t>Table 1</w:t>
      </w:r>
      <w:r w:rsidRPr="00877EDE">
        <w:t>). This ageing trend was accelerated by the pandemic, with the projected median age in 2030</w:t>
      </w:r>
      <w:r w:rsidR="0033101B">
        <w:t>–</w:t>
      </w:r>
      <w:r w:rsidRPr="00877EDE">
        <w:t>31 being 1.4 years older than what was projected pre</w:t>
      </w:r>
      <w:r w:rsidR="007C1F6C">
        <w:t>-</w:t>
      </w:r>
      <w:r w:rsidRPr="00877EDE">
        <w:t>pandemic (39.8 years compared to 38.4 years).</w:t>
      </w:r>
    </w:p>
    <w:p w14:paraId="6A8CD07B" w14:textId="77777777" w:rsidR="00687E2E" w:rsidRPr="00877EDE" w:rsidRDefault="00687E2E" w:rsidP="005540BC">
      <w:pPr>
        <w:pStyle w:val="TableMainHeading"/>
      </w:pPr>
      <w:bookmarkStart w:id="52" w:name="_Ref116888632"/>
      <w:r w:rsidRPr="00877EDE">
        <w:t xml:space="preserve">Population </w:t>
      </w:r>
      <w:r w:rsidRPr="00DF100F">
        <w:t>outcomes</w:t>
      </w:r>
      <w:r w:rsidRPr="00877EDE">
        <w:t xml:space="preserve"> and </w:t>
      </w:r>
      <w:r w:rsidRPr="005540BC">
        <w:t>projections</w:t>
      </w:r>
      <w:r w:rsidRPr="00877EDE">
        <w:t>, Australia</w:t>
      </w:r>
      <w:bookmarkEnd w:id="52"/>
    </w:p>
    <w:tbl>
      <w:tblPr>
        <w:tblStyle w:val="CPOPTable"/>
        <w:tblW w:w="5000" w:type="pct"/>
        <w:tblLayout w:type="fixed"/>
        <w:tblLook w:val="04A0" w:firstRow="1" w:lastRow="0" w:firstColumn="1" w:lastColumn="0" w:noHBand="0" w:noVBand="1"/>
        <w:tblCaption w:val="Table"/>
      </w:tblPr>
      <w:tblGrid>
        <w:gridCol w:w="3466"/>
        <w:gridCol w:w="934"/>
        <w:gridCol w:w="934"/>
        <w:gridCol w:w="934"/>
        <w:gridCol w:w="934"/>
        <w:gridCol w:w="934"/>
        <w:gridCol w:w="934"/>
      </w:tblGrid>
      <w:tr w:rsidR="00687E2E" w:rsidRPr="0000710A" w14:paraId="5C0A04D1" w14:textId="77777777" w:rsidTr="005531D9">
        <w:trPr>
          <w:cnfStyle w:val="100000000000" w:firstRow="1" w:lastRow="0" w:firstColumn="0" w:lastColumn="0" w:oddVBand="0" w:evenVBand="0" w:oddHBand="0" w:evenHBand="0" w:firstRowFirstColumn="0" w:firstRowLastColumn="0" w:lastRowFirstColumn="0" w:lastRowLastColumn="0"/>
        </w:trPr>
        <w:tc>
          <w:tcPr>
            <w:tcW w:w="3468" w:type="dxa"/>
          </w:tcPr>
          <w:p w14:paraId="3726FC1D" w14:textId="77777777" w:rsidR="00687E2E" w:rsidRPr="001E4102" w:rsidRDefault="00687E2E" w:rsidP="00676947">
            <w:pPr>
              <w:pStyle w:val="TableSecondHeading"/>
              <w:rPr>
                <w:rFonts w:cstheme="minorHAnsi"/>
                <w:sz w:val="19"/>
                <w:szCs w:val="19"/>
              </w:rPr>
            </w:pPr>
          </w:p>
        </w:tc>
        <w:tc>
          <w:tcPr>
            <w:tcW w:w="934" w:type="dxa"/>
          </w:tcPr>
          <w:p w14:paraId="6DA2C0EB" w14:textId="2D12B742" w:rsidR="00687E2E" w:rsidRPr="000816D9" w:rsidRDefault="00687E2E" w:rsidP="005531D9">
            <w:pPr>
              <w:pStyle w:val="TableColumnHeadingLeft"/>
              <w:jc w:val="right"/>
            </w:pPr>
            <w:r w:rsidRPr="000816D9">
              <w:t>2020</w:t>
            </w:r>
            <w:r w:rsidR="0033101B" w:rsidRPr="000816D9">
              <w:t>–</w:t>
            </w:r>
            <w:r w:rsidRPr="000816D9">
              <w:t xml:space="preserve">21 </w:t>
            </w:r>
          </w:p>
        </w:tc>
        <w:tc>
          <w:tcPr>
            <w:tcW w:w="934" w:type="dxa"/>
            <w:shd w:val="clear" w:color="auto" w:fill="D2EDFF" w:themeFill="accent1" w:themeFillTint="1A"/>
          </w:tcPr>
          <w:p w14:paraId="17CFF627" w14:textId="420D1A8B" w:rsidR="00687E2E" w:rsidRPr="000816D9" w:rsidRDefault="00687E2E" w:rsidP="005531D9">
            <w:pPr>
              <w:pStyle w:val="TableColumnHeadingLeft"/>
              <w:jc w:val="right"/>
            </w:pPr>
            <w:r w:rsidRPr="000816D9">
              <w:t>2021</w:t>
            </w:r>
            <w:r w:rsidR="0033101B" w:rsidRPr="000816D9">
              <w:t>–</w:t>
            </w:r>
            <w:r w:rsidRPr="000816D9">
              <w:t>22</w:t>
            </w:r>
          </w:p>
        </w:tc>
        <w:tc>
          <w:tcPr>
            <w:tcW w:w="934" w:type="dxa"/>
          </w:tcPr>
          <w:p w14:paraId="2022F689" w14:textId="0BC02FD9" w:rsidR="00687E2E" w:rsidRPr="000816D9" w:rsidRDefault="00687E2E" w:rsidP="005531D9">
            <w:pPr>
              <w:pStyle w:val="TableColumnHeadingLeft"/>
              <w:jc w:val="right"/>
            </w:pPr>
            <w:r w:rsidRPr="000816D9">
              <w:t>2022</w:t>
            </w:r>
            <w:r w:rsidR="0033101B" w:rsidRPr="000816D9">
              <w:t>–</w:t>
            </w:r>
            <w:r w:rsidRPr="000816D9">
              <w:t>23</w:t>
            </w:r>
          </w:p>
        </w:tc>
        <w:tc>
          <w:tcPr>
            <w:tcW w:w="934" w:type="dxa"/>
          </w:tcPr>
          <w:p w14:paraId="78589A5E" w14:textId="66F85A24" w:rsidR="00687E2E" w:rsidRPr="000816D9" w:rsidRDefault="00687E2E" w:rsidP="005531D9">
            <w:pPr>
              <w:pStyle w:val="TableColumnHeadingLeft"/>
              <w:jc w:val="right"/>
            </w:pPr>
            <w:r w:rsidRPr="000816D9">
              <w:t>2023</w:t>
            </w:r>
            <w:r w:rsidR="0033101B" w:rsidRPr="000816D9">
              <w:t>–</w:t>
            </w:r>
            <w:r w:rsidRPr="000816D9">
              <w:t>24</w:t>
            </w:r>
          </w:p>
        </w:tc>
        <w:tc>
          <w:tcPr>
            <w:tcW w:w="934" w:type="dxa"/>
            <w:tcBorders>
              <w:right w:val="single" w:sz="4" w:space="0" w:color="auto"/>
            </w:tcBorders>
          </w:tcPr>
          <w:p w14:paraId="7A26F59E" w14:textId="60A70DC3" w:rsidR="00687E2E" w:rsidRPr="000816D9" w:rsidRDefault="00687E2E" w:rsidP="005531D9">
            <w:pPr>
              <w:pStyle w:val="TableColumnHeadingLeft"/>
              <w:jc w:val="right"/>
            </w:pPr>
            <w:r w:rsidRPr="000816D9">
              <w:t>2024</w:t>
            </w:r>
            <w:r w:rsidR="0033101B" w:rsidRPr="000816D9">
              <w:t>–</w:t>
            </w:r>
            <w:r w:rsidRPr="000816D9">
              <w:t>25</w:t>
            </w:r>
          </w:p>
        </w:tc>
        <w:tc>
          <w:tcPr>
            <w:tcW w:w="934" w:type="dxa"/>
            <w:tcBorders>
              <w:left w:val="single" w:sz="4" w:space="0" w:color="auto"/>
            </w:tcBorders>
          </w:tcPr>
          <w:p w14:paraId="43A996C6" w14:textId="03C7E742" w:rsidR="00687E2E" w:rsidRPr="000816D9" w:rsidRDefault="00687E2E" w:rsidP="005531D9">
            <w:pPr>
              <w:pStyle w:val="TableColumnHeadingLeft"/>
              <w:jc w:val="right"/>
            </w:pPr>
            <w:r w:rsidRPr="000816D9">
              <w:t>2032</w:t>
            </w:r>
            <w:r w:rsidR="0033101B" w:rsidRPr="000816D9">
              <w:t>–</w:t>
            </w:r>
            <w:r w:rsidRPr="000816D9">
              <w:t>33</w:t>
            </w:r>
          </w:p>
        </w:tc>
      </w:tr>
      <w:tr w:rsidR="00687E2E" w:rsidRPr="0000710A" w14:paraId="34AC8687" w14:textId="77777777" w:rsidTr="005531D9">
        <w:trPr>
          <w:trHeight w:val="454"/>
        </w:trPr>
        <w:tc>
          <w:tcPr>
            <w:tcW w:w="3468" w:type="dxa"/>
          </w:tcPr>
          <w:p w14:paraId="0767AC6E" w14:textId="77777777" w:rsidR="00687E2E" w:rsidRPr="00BD5F3C" w:rsidRDefault="00687E2E" w:rsidP="00DF100F">
            <w:pPr>
              <w:pStyle w:val="TableTextLeft"/>
              <w:rPr>
                <w:b/>
                <w:bCs/>
                <w:color w:val="002C47" w:themeColor="accent1"/>
              </w:rPr>
            </w:pPr>
            <w:r w:rsidRPr="00BD5F3C">
              <w:rPr>
                <w:b/>
                <w:bCs/>
                <w:color w:val="002C47" w:themeColor="accent1"/>
              </w:rPr>
              <w:t>Population at 30 June (millions)</w:t>
            </w:r>
          </w:p>
        </w:tc>
        <w:tc>
          <w:tcPr>
            <w:tcW w:w="934" w:type="dxa"/>
          </w:tcPr>
          <w:p w14:paraId="2F4EBE05" w14:textId="77777777" w:rsidR="00687E2E" w:rsidRPr="00D72A4B" w:rsidRDefault="00687E2E" w:rsidP="005531D9">
            <w:pPr>
              <w:pStyle w:val="TableTextLeft"/>
              <w:jc w:val="right"/>
              <w:rPr>
                <w:b/>
                <w:bCs/>
              </w:rPr>
            </w:pPr>
            <w:r w:rsidRPr="00D72A4B">
              <w:rPr>
                <w:b/>
                <w:bCs/>
              </w:rPr>
              <w:t>25.7</w:t>
            </w:r>
          </w:p>
        </w:tc>
        <w:tc>
          <w:tcPr>
            <w:tcW w:w="934" w:type="dxa"/>
            <w:shd w:val="clear" w:color="auto" w:fill="D2EDFF" w:themeFill="accent1" w:themeFillTint="1A"/>
          </w:tcPr>
          <w:p w14:paraId="7ADC9949" w14:textId="77777777" w:rsidR="00687E2E" w:rsidRPr="00D72A4B" w:rsidRDefault="00687E2E" w:rsidP="005531D9">
            <w:pPr>
              <w:pStyle w:val="TableTextLeft"/>
              <w:jc w:val="right"/>
              <w:rPr>
                <w:b/>
                <w:bCs/>
              </w:rPr>
            </w:pPr>
            <w:r w:rsidRPr="00D72A4B">
              <w:rPr>
                <w:b/>
                <w:bCs/>
              </w:rPr>
              <w:t>26.0</w:t>
            </w:r>
          </w:p>
        </w:tc>
        <w:tc>
          <w:tcPr>
            <w:tcW w:w="934" w:type="dxa"/>
          </w:tcPr>
          <w:p w14:paraId="7BF16CB1" w14:textId="77777777" w:rsidR="00687E2E" w:rsidRPr="00D72A4B" w:rsidRDefault="00687E2E" w:rsidP="005531D9">
            <w:pPr>
              <w:pStyle w:val="TableTextLeft"/>
              <w:jc w:val="right"/>
              <w:rPr>
                <w:b/>
                <w:bCs/>
              </w:rPr>
            </w:pPr>
            <w:r w:rsidRPr="00D72A4B">
              <w:rPr>
                <w:b/>
                <w:bCs/>
              </w:rPr>
              <w:t>26.3</w:t>
            </w:r>
          </w:p>
        </w:tc>
        <w:tc>
          <w:tcPr>
            <w:tcW w:w="934" w:type="dxa"/>
          </w:tcPr>
          <w:p w14:paraId="77E3C725" w14:textId="77777777" w:rsidR="00687E2E" w:rsidRPr="00D72A4B" w:rsidRDefault="00687E2E" w:rsidP="005531D9">
            <w:pPr>
              <w:pStyle w:val="TableTextLeft"/>
              <w:jc w:val="right"/>
              <w:rPr>
                <w:b/>
                <w:bCs/>
              </w:rPr>
            </w:pPr>
            <w:r w:rsidRPr="00D72A4B">
              <w:rPr>
                <w:b/>
                <w:bCs/>
              </w:rPr>
              <w:t>26.7</w:t>
            </w:r>
          </w:p>
        </w:tc>
        <w:tc>
          <w:tcPr>
            <w:tcW w:w="934" w:type="dxa"/>
            <w:tcBorders>
              <w:right w:val="single" w:sz="4" w:space="0" w:color="auto"/>
            </w:tcBorders>
          </w:tcPr>
          <w:p w14:paraId="785BD897" w14:textId="77777777" w:rsidR="00687E2E" w:rsidRPr="00D72A4B" w:rsidRDefault="00687E2E" w:rsidP="005531D9">
            <w:pPr>
              <w:pStyle w:val="TableTextLeft"/>
              <w:jc w:val="right"/>
              <w:rPr>
                <w:b/>
                <w:bCs/>
              </w:rPr>
            </w:pPr>
            <w:r w:rsidRPr="00D72A4B">
              <w:rPr>
                <w:b/>
                <w:bCs/>
              </w:rPr>
              <w:t>27.1</w:t>
            </w:r>
          </w:p>
        </w:tc>
        <w:tc>
          <w:tcPr>
            <w:tcW w:w="934" w:type="dxa"/>
            <w:tcBorders>
              <w:left w:val="single" w:sz="4" w:space="0" w:color="auto"/>
            </w:tcBorders>
          </w:tcPr>
          <w:p w14:paraId="76910653" w14:textId="77777777" w:rsidR="00687E2E" w:rsidRPr="00D72A4B" w:rsidRDefault="00687E2E" w:rsidP="005531D9">
            <w:pPr>
              <w:pStyle w:val="TableTextLeft"/>
              <w:jc w:val="right"/>
              <w:rPr>
                <w:b/>
                <w:bCs/>
              </w:rPr>
            </w:pPr>
            <w:r w:rsidRPr="00D72A4B">
              <w:rPr>
                <w:b/>
                <w:bCs/>
              </w:rPr>
              <w:t>29.9</w:t>
            </w:r>
          </w:p>
        </w:tc>
      </w:tr>
      <w:tr w:rsidR="00687E2E" w:rsidRPr="0000710A" w14:paraId="4E845CDE" w14:textId="77777777" w:rsidTr="005531D9">
        <w:trPr>
          <w:trHeight w:val="454"/>
        </w:trPr>
        <w:tc>
          <w:tcPr>
            <w:tcW w:w="3468" w:type="dxa"/>
            <w:tcBorders>
              <w:bottom w:val="nil"/>
            </w:tcBorders>
          </w:tcPr>
          <w:p w14:paraId="59B1C3EE" w14:textId="77777777" w:rsidR="00687E2E" w:rsidRPr="00BD5F3C" w:rsidRDefault="00687E2E" w:rsidP="00DF100F">
            <w:pPr>
              <w:pStyle w:val="TableTextLeft"/>
              <w:rPr>
                <w:color w:val="002C47" w:themeColor="accent1"/>
              </w:rPr>
            </w:pPr>
            <w:r w:rsidRPr="00BD5F3C">
              <w:rPr>
                <w:color w:val="002C47" w:themeColor="accent1"/>
              </w:rPr>
              <w:t>Population growth (per cent)</w:t>
            </w:r>
          </w:p>
        </w:tc>
        <w:tc>
          <w:tcPr>
            <w:tcW w:w="934" w:type="dxa"/>
            <w:tcBorders>
              <w:bottom w:val="nil"/>
            </w:tcBorders>
          </w:tcPr>
          <w:p w14:paraId="13B667F7" w14:textId="77777777" w:rsidR="00687E2E" w:rsidRPr="002C06DC" w:rsidRDefault="00687E2E" w:rsidP="005531D9">
            <w:pPr>
              <w:pStyle w:val="TableTextLeft"/>
              <w:jc w:val="right"/>
            </w:pPr>
            <w:r w:rsidRPr="002C06DC">
              <w:t>0.1</w:t>
            </w:r>
          </w:p>
        </w:tc>
        <w:tc>
          <w:tcPr>
            <w:tcW w:w="934" w:type="dxa"/>
            <w:tcBorders>
              <w:bottom w:val="nil"/>
            </w:tcBorders>
            <w:shd w:val="clear" w:color="auto" w:fill="D2EDFF" w:themeFill="accent1" w:themeFillTint="1A"/>
          </w:tcPr>
          <w:p w14:paraId="57BF34CA" w14:textId="77777777" w:rsidR="00687E2E" w:rsidRPr="002C06DC" w:rsidRDefault="00687E2E" w:rsidP="005531D9">
            <w:pPr>
              <w:pStyle w:val="TableTextLeft"/>
              <w:jc w:val="right"/>
            </w:pPr>
            <w:r w:rsidRPr="002C06DC">
              <w:t>1.1</w:t>
            </w:r>
          </w:p>
        </w:tc>
        <w:tc>
          <w:tcPr>
            <w:tcW w:w="934" w:type="dxa"/>
            <w:tcBorders>
              <w:bottom w:val="nil"/>
            </w:tcBorders>
          </w:tcPr>
          <w:p w14:paraId="5D58FCDA" w14:textId="77777777" w:rsidR="00687E2E" w:rsidRPr="002C06DC" w:rsidRDefault="00687E2E" w:rsidP="005531D9">
            <w:pPr>
              <w:pStyle w:val="TableTextLeft"/>
              <w:jc w:val="right"/>
            </w:pPr>
            <w:r w:rsidRPr="002C06DC">
              <w:t>1.4</w:t>
            </w:r>
          </w:p>
        </w:tc>
        <w:tc>
          <w:tcPr>
            <w:tcW w:w="934" w:type="dxa"/>
            <w:tcBorders>
              <w:bottom w:val="nil"/>
            </w:tcBorders>
          </w:tcPr>
          <w:p w14:paraId="39E91E5F" w14:textId="77777777" w:rsidR="00687E2E" w:rsidRPr="002C06DC" w:rsidRDefault="00687E2E" w:rsidP="005531D9">
            <w:pPr>
              <w:pStyle w:val="TableTextLeft"/>
              <w:jc w:val="right"/>
            </w:pPr>
            <w:r w:rsidRPr="002C06DC">
              <w:t>1.4</w:t>
            </w:r>
          </w:p>
        </w:tc>
        <w:tc>
          <w:tcPr>
            <w:tcW w:w="934" w:type="dxa"/>
            <w:tcBorders>
              <w:bottom w:val="nil"/>
              <w:right w:val="single" w:sz="4" w:space="0" w:color="auto"/>
            </w:tcBorders>
          </w:tcPr>
          <w:p w14:paraId="3F3F00EC" w14:textId="77777777" w:rsidR="00687E2E" w:rsidRPr="002C06DC" w:rsidRDefault="00687E2E" w:rsidP="005531D9">
            <w:pPr>
              <w:pStyle w:val="TableTextLeft"/>
              <w:jc w:val="right"/>
            </w:pPr>
            <w:r w:rsidRPr="002C06DC">
              <w:t>1.4</w:t>
            </w:r>
          </w:p>
        </w:tc>
        <w:tc>
          <w:tcPr>
            <w:tcW w:w="934" w:type="dxa"/>
            <w:tcBorders>
              <w:left w:val="single" w:sz="4" w:space="0" w:color="auto"/>
              <w:bottom w:val="nil"/>
            </w:tcBorders>
          </w:tcPr>
          <w:p w14:paraId="6F13327A" w14:textId="77777777" w:rsidR="00687E2E" w:rsidRPr="002C06DC" w:rsidRDefault="00687E2E" w:rsidP="005531D9">
            <w:pPr>
              <w:pStyle w:val="TableTextLeft"/>
              <w:jc w:val="right"/>
            </w:pPr>
            <w:r w:rsidRPr="002C06DC">
              <w:t>1.2</w:t>
            </w:r>
          </w:p>
        </w:tc>
      </w:tr>
      <w:tr w:rsidR="00687E2E" w:rsidRPr="0000710A" w14:paraId="2FCDD470" w14:textId="77777777" w:rsidTr="005531D9">
        <w:trPr>
          <w:trHeight w:val="454"/>
        </w:trPr>
        <w:tc>
          <w:tcPr>
            <w:tcW w:w="3468" w:type="dxa"/>
            <w:tcBorders>
              <w:bottom w:val="single" w:sz="4" w:space="0" w:color="auto"/>
            </w:tcBorders>
          </w:tcPr>
          <w:p w14:paraId="46EB95E0" w14:textId="77777777" w:rsidR="00687E2E" w:rsidRPr="00BD5F3C" w:rsidRDefault="00687E2E" w:rsidP="00DF100F">
            <w:pPr>
              <w:pStyle w:val="TableTextLeft"/>
              <w:rPr>
                <w:color w:val="002C47" w:themeColor="accent1"/>
              </w:rPr>
            </w:pPr>
            <w:r w:rsidRPr="00BD5F3C">
              <w:rPr>
                <w:color w:val="002C47" w:themeColor="accent1"/>
              </w:rPr>
              <w:t>Population growth (thousands)</w:t>
            </w:r>
          </w:p>
        </w:tc>
        <w:tc>
          <w:tcPr>
            <w:tcW w:w="934" w:type="dxa"/>
            <w:tcBorders>
              <w:bottom w:val="single" w:sz="4" w:space="0" w:color="auto"/>
            </w:tcBorders>
          </w:tcPr>
          <w:p w14:paraId="56E19B6C" w14:textId="77777777" w:rsidR="00687E2E" w:rsidRPr="002C06DC" w:rsidRDefault="00687E2E" w:rsidP="005531D9">
            <w:pPr>
              <w:pStyle w:val="TableTextLeft"/>
              <w:jc w:val="right"/>
            </w:pPr>
            <w:r w:rsidRPr="002C06DC">
              <w:t>33</w:t>
            </w:r>
          </w:p>
        </w:tc>
        <w:tc>
          <w:tcPr>
            <w:tcW w:w="934" w:type="dxa"/>
            <w:tcBorders>
              <w:bottom w:val="single" w:sz="4" w:space="0" w:color="auto"/>
            </w:tcBorders>
            <w:shd w:val="clear" w:color="auto" w:fill="D2EDFF" w:themeFill="accent1" w:themeFillTint="1A"/>
          </w:tcPr>
          <w:p w14:paraId="28147167" w14:textId="77777777" w:rsidR="00687E2E" w:rsidRPr="002C06DC" w:rsidRDefault="00687E2E" w:rsidP="005531D9">
            <w:pPr>
              <w:pStyle w:val="TableTextLeft"/>
              <w:jc w:val="right"/>
            </w:pPr>
            <w:r w:rsidRPr="002C06DC">
              <w:t>273</w:t>
            </w:r>
          </w:p>
        </w:tc>
        <w:tc>
          <w:tcPr>
            <w:tcW w:w="934" w:type="dxa"/>
            <w:tcBorders>
              <w:bottom w:val="single" w:sz="4" w:space="0" w:color="auto"/>
            </w:tcBorders>
          </w:tcPr>
          <w:p w14:paraId="334F36DD" w14:textId="77777777" w:rsidR="00687E2E" w:rsidRPr="002C06DC" w:rsidRDefault="00687E2E" w:rsidP="005531D9">
            <w:pPr>
              <w:pStyle w:val="TableTextLeft"/>
              <w:jc w:val="right"/>
            </w:pPr>
            <w:r w:rsidRPr="002C06DC">
              <w:t>357</w:t>
            </w:r>
          </w:p>
        </w:tc>
        <w:tc>
          <w:tcPr>
            <w:tcW w:w="934" w:type="dxa"/>
            <w:tcBorders>
              <w:bottom w:val="single" w:sz="4" w:space="0" w:color="auto"/>
            </w:tcBorders>
          </w:tcPr>
          <w:p w14:paraId="00F889D7" w14:textId="77777777" w:rsidR="00687E2E" w:rsidRPr="002C06DC" w:rsidRDefault="00687E2E" w:rsidP="005531D9">
            <w:pPr>
              <w:pStyle w:val="TableTextLeft"/>
              <w:jc w:val="right"/>
            </w:pPr>
            <w:r w:rsidRPr="002C06DC">
              <w:t>369</w:t>
            </w:r>
          </w:p>
        </w:tc>
        <w:tc>
          <w:tcPr>
            <w:tcW w:w="934" w:type="dxa"/>
            <w:tcBorders>
              <w:bottom w:val="single" w:sz="4" w:space="0" w:color="auto"/>
              <w:right w:val="single" w:sz="4" w:space="0" w:color="auto"/>
            </w:tcBorders>
          </w:tcPr>
          <w:p w14:paraId="59CCB081" w14:textId="77777777" w:rsidR="00687E2E" w:rsidRPr="002C06DC" w:rsidRDefault="00687E2E" w:rsidP="005531D9">
            <w:pPr>
              <w:pStyle w:val="TableTextLeft"/>
              <w:jc w:val="right"/>
            </w:pPr>
            <w:r w:rsidRPr="002C06DC">
              <w:t>368</w:t>
            </w:r>
          </w:p>
        </w:tc>
        <w:tc>
          <w:tcPr>
            <w:tcW w:w="934" w:type="dxa"/>
            <w:tcBorders>
              <w:left w:val="single" w:sz="4" w:space="0" w:color="auto"/>
              <w:bottom w:val="single" w:sz="4" w:space="0" w:color="auto"/>
            </w:tcBorders>
          </w:tcPr>
          <w:p w14:paraId="1C9C35EF" w14:textId="77777777" w:rsidR="00687E2E" w:rsidRPr="002C06DC" w:rsidRDefault="00687E2E" w:rsidP="005531D9">
            <w:pPr>
              <w:pStyle w:val="TableTextLeft"/>
              <w:jc w:val="right"/>
            </w:pPr>
            <w:r w:rsidRPr="002C06DC">
              <w:t>352</w:t>
            </w:r>
          </w:p>
        </w:tc>
      </w:tr>
      <w:tr w:rsidR="00687E2E" w:rsidRPr="0000710A" w14:paraId="35835343" w14:textId="77777777" w:rsidTr="005531D9">
        <w:trPr>
          <w:trHeight w:val="454"/>
        </w:trPr>
        <w:tc>
          <w:tcPr>
            <w:tcW w:w="3468" w:type="dxa"/>
            <w:tcBorders>
              <w:top w:val="single" w:sz="4" w:space="0" w:color="auto"/>
            </w:tcBorders>
          </w:tcPr>
          <w:p w14:paraId="065B9286" w14:textId="77777777" w:rsidR="00687E2E" w:rsidRPr="00BD5F3C" w:rsidRDefault="00687E2E" w:rsidP="00DF100F">
            <w:pPr>
              <w:pStyle w:val="TableTextLeft"/>
              <w:rPr>
                <w:i/>
                <w:iCs/>
                <w:color w:val="002C47" w:themeColor="accent1"/>
              </w:rPr>
            </w:pPr>
            <w:r w:rsidRPr="00BD5F3C">
              <w:rPr>
                <w:color w:val="002C47" w:themeColor="accent1"/>
              </w:rPr>
              <w:t>Natural increase (thousands)</w:t>
            </w:r>
          </w:p>
        </w:tc>
        <w:tc>
          <w:tcPr>
            <w:tcW w:w="934" w:type="dxa"/>
            <w:tcBorders>
              <w:top w:val="single" w:sz="4" w:space="0" w:color="auto"/>
            </w:tcBorders>
          </w:tcPr>
          <w:p w14:paraId="0210DD40" w14:textId="03FDD597" w:rsidR="00687E2E" w:rsidRPr="002C06DC" w:rsidRDefault="00410E4F" w:rsidP="005531D9">
            <w:pPr>
              <w:pStyle w:val="TableTextLeft"/>
              <w:jc w:val="right"/>
              <w:rPr>
                <w:i/>
                <w:iCs/>
              </w:rPr>
            </w:pPr>
            <w:r w:rsidRPr="002C06DC">
              <w:t>140</w:t>
            </w:r>
          </w:p>
        </w:tc>
        <w:tc>
          <w:tcPr>
            <w:tcW w:w="934" w:type="dxa"/>
            <w:tcBorders>
              <w:top w:val="single" w:sz="4" w:space="0" w:color="auto"/>
            </w:tcBorders>
            <w:shd w:val="clear" w:color="auto" w:fill="D2EDFF" w:themeFill="accent1" w:themeFillTint="1A"/>
          </w:tcPr>
          <w:p w14:paraId="5C048710" w14:textId="77777777" w:rsidR="00687E2E" w:rsidRPr="002C06DC" w:rsidRDefault="00687E2E" w:rsidP="005531D9">
            <w:pPr>
              <w:pStyle w:val="TableTextLeft"/>
              <w:jc w:val="right"/>
              <w:rPr>
                <w:i/>
                <w:iCs/>
              </w:rPr>
            </w:pPr>
            <w:r w:rsidRPr="002C06DC">
              <w:t>123</w:t>
            </w:r>
          </w:p>
        </w:tc>
        <w:tc>
          <w:tcPr>
            <w:tcW w:w="934" w:type="dxa"/>
            <w:tcBorders>
              <w:top w:val="single" w:sz="4" w:space="0" w:color="auto"/>
            </w:tcBorders>
          </w:tcPr>
          <w:p w14:paraId="34BE4E1A" w14:textId="77777777" w:rsidR="00687E2E" w:rsidRPr="002C06DC" w:rsidRDefault="00687E2E" w:rsidP="005531D9">
            <w:pPr>
              <w:pStyle w:val="TableTextLeft"/>
              <w:jc w:val="right"/>
              <w:rPr>
                <w:i/>
                <w:iCs/>
              </w:rPr>
            </w:pPr>
            <w:r w:rsidRPr="002C06DC">
              <w:t>122</w:t>
            </w:r>
          </w:p>
        </w:tc>
        <w:tc>
          <w:tcPr>
            <w:tcW w:w="934" w:type="dxa"/>
            <w:tcBorders>
              <w:top w:val="single" w:sz="4" w:space="0" w:color="auto"/>
            </w:tcBorders>
          </w:tcPr>
          <w:p w14:paraId="03C70B66" w14:textId="77777777" w:rsidR="00687E2E" w:rsidRPr="002C06DC" w:rsidRDefault="00687E2E" w:rsidP="005531D9">
            <w:pPr>
              <w:pStyle w:val="TableTextLeft"/>
              <w:jc w:val="right"/>
              <w:rPr>
                <w:i/>
                <w:iCs/>
              </w:rPr>
            </w:pPr>
            <w:r w:rsidRPr="002C06DC">
              <w:t>134</w:t>
            </w:r>
          </w:p>
        </w:tc>
        <w:tc>
          <w:tcPr>
            <w:tcW w:w="934" w:type="dxa"/>
            <w:tcBorders>
              <w:top w:val="single" w:sz="4" w:space="0" w:color="auto"/>
              <w:right w:val="single" w:sz="4" w:space="0" w:color="auto"/>
            </w:tcBorders>
          </w:tcPr>
          <w:p w14:paraId="060CF444" w14:textId="77777777" w:rsidR="00687E2E" w:rsidRPr="002C06DC" w:rsidRDefault="00687E2E" w:rsidP="005531D9">
            <w:pPr>
              <w:pStyle w:val="TableTextLeft"/>
              <w:jc w:val="right"/>
              <w:rPr>
                <w:i/>
                <w:iCs/>
              </w:rPr>
            </w:pPr>
            <w:r w:rsidRPr="002C06DC">
              <w:t>133</w:t>
            </w:r>
          </w:p>
        </w:tc>
        <w:tc>
          <w:tcPr>
            <w:tcW w:w="934" w:type="dxa"/>
            <w:tcBorders>
              <w:top w:val="single" w:sz="4" w:space="0" w:color="auto"/>
              <w:left w:val="single" w:sz="4" w:space="0" w:color="auto"/>
            </w:tcBorders>
          </w:tcPr>
          <w:p w14:paraId="3A038EA0" w14:textId="77777777" w:rsidR="00687E2E" w:rsidRPr="002C06DC" w:rsidRDefault="00687E2E" w:rsidP="005531D9">
            <w:pPr>
              <w:pStyle w:val="TableTextLeft"/>
              <w:jc w:val="right"/>
              <w:rPr>
                <w:i/>
                <w:iCs/>
              </w:rPr>
            </w:pPr>
            <w:r w:rsidRPr="002C06DC">
              <w:t>117</w:t>
            </w:r>
          </w:p>
        </w:tc>
      </w:tr>
      <w:tr w:rsidR="00687E2E" w:rsidRPr="0000710A" w14:paraId="610993C3" w14:textId="77777777" w:rsidTr="005531D9">
        <w:trPr>
          <w:trHeight w:val="454"/>
        </w:trPr>
        <w:tc>
          <w:tcPr>
            <w:tcW w:w="3468" w:type="dxa"/>
          </w:tcPr>
          <w:p w14:paraId="0A1E0197" w14:textId="77777777" w:rsidR="00687E2E" w:rsidRPr="00BD5F3C" w:rsidRDefault="00687E2E" w:rsidP="000816D9">
            <w:pPr>
              <w:pStyle w:val="Tabletextleftindent"/>
              <w:rPr>
                <w:color w:val="002C47" w:themeColor="accent1"/>
              </w:rPr>
            </w:pPr>
            <w:r w:rsidRPr="00BD5F3C">
              <w:rPr>
                <w:color w:val="002C47" w:themeColor="accent1"/>
              </w:rPr>
              <w:t>Births</w:t>
            </w:r>
          </w:p>
        </w:tc>
        <w:tc>
          <w:tcPr>
            <w:tcW w:w="934" w:type="dxa"/>
          </w:tcPr>
          <w:p w14:paraId="3C2FC5F0" w14:textId="77777777" w:rsidR="00687E2E" w:rsidRPr="00D72A4B" w:rsidRDefault="00687E2E" w:rsidP="005531D9">
            <w:pPr>
              <w:pStyle w:val="TableTextLeft"/>
              <w:jc w:val="right"/>
              <w:rPr>
                <w:i/>
                <w:iCs/>
              </w:rPr>
            </w:pPr>
            <w:r w:rsidRPr="00D72A4B">
              <w:rPr>
                <w:i/>
                <w:iCs/>
              </w:rPr>
              <w:t>305</w:t>
            </w:r>
          </w:p>
        </w:tc>
        <w:tc>
          <w:tcPr>
            <w:tcW w:w="934" w:type="dxa"/>
            <w:shd w:val="clear" w:color="auto" w:fill="D2EDFF" w:themeFill="accent1" w:themeFillTint="1A"/>
          </w:tcPr>
          <w:p w14:paraId="0FC957FD" w14:textId="77777777" w:rsidR="00687E2E" w:rsidRPr="00D72A4B" w:rsidRDefault="00687E2E" w:rsidP="005531D9">
            <w:pPr>
              <w:pStyle w:val="TableTextLeft"/>
              <w:jc w:val="right"/>
              <w:rPr>
                <w:i/>
                <w:iCs/>
              </w:rPr>
            </w:pPr>
            <w:r w:rsidRPr="00D72A4B">
              <w:rPr>
                <w:i/>
                <w:iCs/>
              </w:rPr>
              <w:t>304</w:t>
            </w:r>
          </w:p>
        </w:tc>
        <w:tc>
          <w:tcPr>
            <w:tcW w:w="934" w:type="dxa"/>
          </w:tcPr>
          <w:p w14:paraId="3A41498C" w14:textId="77777777" w:rsidR="00687E2E" w:rsidRPr="00D72A4B" w:rsidRDefault="00687E2E" w:rsidP="005531D9">
            <w:pPr>
              <w:pStyle w:val="TableTextLeft"/>
              <w:jc w:val="right"/>
              <w:rPr>
                <w:i/>
                <w:iCs/>
              </w:rPr>
            </w:pPr>
            <w:r w:rsidRPr="00D72A4B">
              <w:rPr>
                <w:i/>
                <w:iCs/>
              </w:rPr>
              <w:t>306</w:t>
            </w:r>
          </w:p>
        </w:tc>
        <w:tc>
          <w:tcPr>
            <w:tcW w:w="934" w:type="dxa"/>
          </w:tcPr>
          <w:p w14:paraId="75AF4205" w14:textId="77777777" w:rsidR="00687E2E" w:rsidRPr="00D72A4B" w:rsidRDefault="00687E2E" w:rsidP="005531D9">
            <w:pPr>
              <w:pStyle w:val="TableTextLeft"/>
              <w:jc w:val="right"/>
              <w:rPr>
                <w:i/>
                <w:iCs/>
              </w:rPr>
            </w:pPr>
            <w:r w:rsidRPr="00D72A4B">
              <w:rPr>
                <w:i/>
                <w:iCs/>
              </w:rPr>
              <w:t>309</w:t>
            </w:r>
          </w:p>
        </w:tc>
        <w:tc>
          <w:tcPr>
            <w:tcW w:w="934" w:type="dxa"/>
            <w:tcBorders>
              <w:right w:val="single" w:sz="4" w:space="0" w:color="auto"/>
            </w:tcBorders>
          </w:tcPr>
          <w:p w14:paraId="5F84A291" w14:textId="77777777" w:rsidR="00687E2E" w:rsidRPr="00D72A4B" w:rsidRDefault="00687E2E" w:rsidP="005531D9">
            <w:pPr>
              <w:pStyle w:val="TableTextLeft"/>
              <w:jc w:val="right"/>
              <w:rPr>
                <w:i/>
                <w:iCs/>
              </w:rPr>
            </w:pPr>
            <w:r w:rsidRPr="00D72A4B">
              <w:rPr>
                <w:i/>
                <w:iCs/>
              </w:rPr>
              <w:t>311</w:t>
            </w:r>
          </w:p>
        </w:tc>
        <w:tc>
          <w:tcPr>
            <w:tcW w:w="934" w:type="dxa"/>
            <w:tcBorders>
              <w:left w:val="single" w:sz="4" w:space="0" w:color="auto"/>
            </w:tcBorders>
          </w:tcPr>
          <w:p w14:paraId="7E5D6C1D" w14:textId="77777777" w:rsidR="00687E2E" w:rsidRPr="00D72A4B" w:rsidRDefault="00687E2E" w:rsidP="005531D9">
            <w:pPr>
              <w:pStyle w:val="TableTextLeft"/>
              <w:jc w:val="right"/>
              <w:rPr>
                <w:i/>
                <w:iCs/>
              </w:rPr>
            </w:pPr>
            <w:r w:rsidRPr="00D72A4B">
              <w:rPr>
                <w:i/>
                <w:iCs/>
              </w:rPr>
              <w:t>329</w:t>
            </w:r>
          </w:p>
        </w:tc>
      </w:tr>
      <w:tr w:rsidR="00687E2E" w:rsidRPr="0000710A" w14:paraId="7CAD75C2" w14:textId="77777777" w:rsidTr="005531D9">
        <w:tc>
          <w:tcPr>
            <w:tcW w:w="3468" w:type="dxa"/>
          </w:tcPr>
          <w:p w14:paraId="47768A2A" w14:textId="77777777" w:rsidR="00687E2E" w:rsidRPr="00BD5F3C" w:rsidRDefault="00687E2E" w:rsidP="000816D9">
            <w:pPr>
              <w:pStyle w:val="Tabletextleftindent"/>
              <w:rPr>
                <w:color w:val="002C47" w:themeColor="accent1"/>
              </w:rPr>
            </w:pPr>
            <w:r w:rsidRPr="00BD5F3C">
              <w:rPr>
                <w:color w:val="002C47" w:themeColor="accent1"/>
              </w:rPr>
              <w:t xml:space="preserve">Deaths </w:t>
            </w:r>
          </w:p>
        </w:tc>
        <w:tc>
          <w:tcPr>
            <w:tcW w:w="934" w:type="dxa"/>
          </w:tcPr>
          <w:p w14:paraId="299F3D6F" w14:textId="77777777" w:rsidR="00687E2E" w:rsidRPr="00D72A4B" w:rsidRDefault="00687E2E" w:rsidP="005531D9">
            <w:pPr>
              <w:pStyle w:val="TableTextLeft"/>
              <w:jc w:val="right"/>
              <w:rPr>
                <w:i/>
                <w:iCs/>
              </w:rPr>
            </w:pPr>
            <w:r w:rsidRPr="00D72A4B">
              <w:rPr>
                <w:i/>
                <w:iCs/>
              </w:rPr>
              <w:t>166</w:t>
            </w:r>
          </w:p>
        </w:tc>
        <w:tc>
          <w:tcPr>
            <w:tcW w:w="934" w:type="dxa"/>
            <w:shd w:val="clear" w:color="auto" w:fill="D2EDFF" w:themeFill="accent1" w:themeFillTint="1A"/>
          </w:tcPr>
          <w:p w14:paraId="5D048C6F" w14:textId="77777777" w:rsidR="00687E2E" w:rsidRPr="00D72A4B" w:rsidRDefault="00687E2E" w:rsidP="005531D9">
            <w:pPr>
              <w:pStyle w:val="TableTextLeft"/>
              <w:jc w:val="right"/>
              <w:rPr>
                <w:i/>
                <w:iCs/>
              </w:rPr>
            </w:pPr>
            <w:r w:rsidRPr="00D72A4B">
              <w:rPr>
                <w:i/>
                <w:iCs/>
              </w:rPr>
              <w:t>182</w:t>
            </w:r>
          </w:p>
        </w:tc>
        <w:tc>
          <w:tcPr>
            <w:tcW w:w="934" w:type="dxa"/>
          </w:tcPr>
          <w:p w14:paraId="128C789C" w14:textId="77777777" w:rsidR="00687E2E" w:rsidRPr="00D72A4B" w:rsidRDefault="00687E2E" w:rsidP="005531D9">
            <w:pPr>
              <w:pStyle w:val="TableTextLeft"/>
              <w:jc w:val="right"/>
              <w:rPr>
                <w:i/>
                <w:iCs/>
              </w:rPr>
            </w:pPr>
            <w:r w:rsidRPr="00D72A4B">
              <w:rPr>
                <w:i/>
                <w:iCs/>
              </w:rPr>
              <w:t>184</w:t>
            </w:r>
          </w:p>
        </w:tc>
        <w:tc>
          <w:tcPr>
            <w:tcW w:w="934" w:type="dxa"/>
          </w:tcPr>
          <w:p w14:paraId="31FBBCEF" w14:textId="77777777" w:rsidR="00687E2E" w:rsidRPr="00D72A4B" w:rsidRDefault="00687E2E" w:rsidP="005531D9">
            <w:pPr>
              <w:pStyle w:val="TableTextLeft"/>
              <w:jc w:val="right"/>
              <w:rPr>
                <w:i/>
                <w:iCs/>
              </w:rPr>
            </w:pPr>
            <w:r w:rsidRPr="00D72A4B">
              <w:rPr>
                <w:i/>
                <w:iCs/>
              </w:rPr>
              <w:t>174</w:t>
            </w:r>
          </w:p>
        </w:tc>
        <w:tc>
          <w:tcPr>
            <w:tcW w:w="934" w:type="dxa"/>
            <w:tcBorders>
              <w:right w:val="single" w:sz="4" w:space="0" w:color="auto"/>
            </w:tcBorders>
          </w:tcPr>
          <w:p w14:paraId="218BE282" w14:textId="77777777" w:rsidR="00687E2E" w:rsidRPr="00D72A4B" w:rsidRDefault="00687E2E" w:rsidP="005531D9">
            <w:pPr>
              <w:pStyle w:val="TableTextLeft"/>
              <w:jc w:val="right"/>
              <w:rPr>
                <w:i/>
                <w:iCs/>
              </w:rPr>
            </w:pPr>
            <w:r w:rsidRPr="00D72A4B">
              <w:rPr>
                <w:i/>
                <w:iCs/>
              </w:rPr>
              <w:t>178</w:t>
            </w:r>
          </w:p>
        </w:tc>
        <w:tc>
          <w:tcPr>
            <w:tcW w:w="934" w:type="dxa"/>
            <w:tcBorders>
              <w:left w:val="single" w:sz="4" w:space="0" w:color="auto"/>
            </w:tcBorders>
          </w:tcPr>
          <w:p w14:paraId="0E7D6C39" w14:textId="77777777" w:rsidR="00687E2E" w:rsidRPr="00D72A4B" w:rsidRDefault="00687E2E" w:rsidP="005531D9">
            <w:pPr>
              <w:pStyle w:val="TableTextLeft"/>
              <w:jc w:val="right"/>
              <w:rPr>
                <w:i/>
                <w:iCs/>
              </w:rPr>
            </w:pPr>
            <w:r w:rsidRPr="00D72A4B">
              <w:rPr>
                <w:i/>
                <w:iCs/>
              </w:rPr>
              <w:t>212</w:t>
            </w:r>
          </w:p>
        </w:tc>
      </w:tr>
      <w:tr w:rsidR="00687E2E" w:rsidRPr="0000710A" w14:paraId="4FD2CCBF" w14:textId="77777777" w:rsidTr="005531D9">
        <w:tc>
          <w:tcPr>
            <w:tcW w:w="3468" w:type="dxa"/>
          </w:tcPr>
          <w:p w14:paraId="258B9661" w14:textId="77777777" w:rsidR="00687E2E" w:rsidRPr="00BD5F3C" w:rsidRDefault="00687E2E" w:rsidP="00DF100F">
            <w:pPr>
              <w:pStyle w:val="TableTextLeft"/>
              <w:rPr>
                <w:color w:val="002C47" w:themeColor="accent1"/>
              </w:rPr>
            </w:pPr>
            <w:r w:rsidRPr="00BD5F3C">
              <w:rPr>
                <w:color w:val="002C47" w:themeColor="accent1"/>
              </w:rPr>
              <w:t>Net overseas migration (thousands)</w:t>
            </w:r>
          </w:p>
        </w:tc>
        <w:tc>
          <w:tcPr>
            <w:tcW w:w="934" w:type="dxa"/>
          </w:tcPr>
          <w:p w14:paraId="7714C74D" w14:textId="40C83A06" w:rsidR="00687E2E" w:rsidRPr="002C06DC" w:rsidRDefault="00822F22" w:rsidP="005531D9">
            <w:pPr>
              <w:pStyle w:val="TableTextLeft"/>
              <w:jc w:val="right"/>
            </w:pPr>
            <w:r w:rsidRPr="002C06DC">
              <w:t>-</w:t>
            </w:r>
            <w:r w:rsidR="00687E2E" w:rsidRPr="002C06DC">
              <w:t>85</w:t>
            </w:r>
          </w:p>
        </w:tc>
        <w:tc>
          <w:tcPr>
            <w:tcW w:w="934" w:type="dxa"/>
            <w:shd w:val="clear" w:color="auto" w:fill="D2EDFF" w:themeFill="accent1" w:themeFillTint="1A"/>
          </w:tcPr>
          <w:p w14:paraId="732EBA6C" w14:textId="77777777" w:rsidR="00687E2E" w:rsidRPr="002C06DC" w:rsidRDefault="00687E2E" w:rsidP="005531D9">
            <w:pPr>
              <w:pStyle w:val="TableTextLeft"/>
              <w:jc w:val="right"/>
            </w:pPr>
            <w:r w:rsidRPr="002C06DC">
              <w:t>150</w:t>
            </w:r>
          </w:p>
        </w:tc>
        <w:tc>
          <w:tcPr>
            <w:tcW w:w="934" w:type="dxa"/>
          </w:tcPr>
          <w:p w14:paraId="62B2BF56" w14:textId="77777777" w:rsidR="00687E2E" w:rsidRPr="002C06DC" w:rsidRDefault="00687E2E" w:rsidP="005531D9">
            <w:pPr>
              <w:pStyle w:val="TableTextLeft"/>
              <w:jc w:val="right"/>
            </w:pPr>
            <w:r w:rsidRPr="002C06DC">
              <w:t>235</w:t>
            </w:r>
          </w:p>
        </w:tc>
        <w:tc>
          <w:tcPr>
            <w:tcW w:w="934" w:type="dxa"/>
          </w:tcPr>
          <w:p w14:paraId="7E633B0D" w14:textId="77777777" w:rsidR="00687E2E" w:rsidRPr="002C06DC" w:rsidRDefault="00687E2E" w:rsidP="005531D9">
            <w:pPr>
              <w:pStyle w:val="TableTextLeft"/>
              <w:jc w:val="right"/>
            </w:pPr>
            <w:r w:rsidRPr="002C06DC">
              <w:t>235</w:t>
            </w:r>
          </w:p>
        </w:tc>
        <w:tc>
          <w:tcPr>
            <w:tcW w:w="934" w:type="dxa"/>
            <w:tcBorders>
              <w:right w:val="single" w:sz="4" w:space="0" w:color="auto"/>
            </w:tcBorders>
          </w:tcPr>
          <w:p w14:paraId="3FDD68BE" w14:textId="77777777" w:rsidR="00687E2E" w:rsidRPr="002C06DC" w:rsidRDefault="00687E2E" w:rsidP="005531D9">
            <w:pPr>
              <w:pStyle w:val="TableTextLeft"/>
              <w:jc w:val="right"/>
            </w:pPr>
            <w:r w:rsidRPr="002C06DC">
              <w:t>235</w:t>
            </w:r>
          </w:p>
        </w:tc>
        <w:tc>
          <w:tcPr>
            <w:tcW w:w="934" w:type="dxa"/>
            <w:tcBorders>
              <w:left w:val="single" w:sz="4" w:space="0" w:color="auto"/>
            </w:tcBorders>
          </w:tcPr>
          <w:p w14:paraId="2C082727" w14:textId="77777777" w:rsidR="00687E2E" w:rsidRPr="002C06DC" w:rsidRDefault="00687E2E" w:rsidP="005531D9">
            <w:pPr>
              <w:pStyle w:val="TableTextLeft"/>
              <w:jc w:val="right"/>
            </w:pPr>
            <w:r w:rsidRPr="002C06DC">
              <w:t>235</w:t>
            </w:r>
          </w:p>
        </w:tc>
      </w:tr>
      <w:tr w:rsidR="00687E2E" w:rsidRPr="0000710A" w14:paraId="7914A88D" w14:textId="77777777" w:rsidTr="005531D9">
        <w:tc>
          <w:tcPr>
            <w:tcW w:w="3468" w:type="dxa"/>
          </w:tcPr>
          <w:p w14:paraId="6505A376" w14:textId="77777777" w:rsidR="00687E2E" w:rsidRPr="00BD5F3C" w:rsidRDefault="00687E2E" w:rsidP="00D72A4B">
            <w:pPr>
              <w:pStyle w:val="Tabletextleftindent"/>
              <w:rPr>
                <w:color w:val="002C47" w:themeColor="accent1"/>
              </w:rPr>
            </w:pPr>
            <w:r w:rsidRPr="00BD5F3C">
              <w:rPr>
                <w:color w:val="002C47" w:themeColor="accent1"/>
              </w:rPr>
              <w:t xml:space="preserve">Overseas Arrivals </w:t>
            </w:r>
          </w:p>
        </w:tc>
        <w:tc>
          <w:tcPr>
            <w:tcW w:w="934" w:type="dxa"/>
          </w:tcPr>
          <w:p w14:paraId="245CCB2C" w14:textId="77777777" w:rsidR="00687E2E" w:rsidRPr="00D72A4B" w:rsidRDefault="00687E2E" w:rsidP="005531D9">
            <w:pPr>
              <w:pStyle w:val="TableTextLeft"/>
              <w:jc w:val="right"/>
              <w:rPr>
                <w:i/>
                <w:iCs/>
              </w:rPr>
            </w:pPr>
            <w:r w:rsidRPr="00D72A4B">
              <w:rPr>
                <w:i/>
                <w:iCs/>
              </w:rPr>
              <w:t>146</w:t>
            </w:r>
          </w:p>
        </w:tc>
        <w:tc>
          <w:tcPr>
            <w:tcW w:w="934" w:type="dxa"/>
            <w:shd w:val="clear" w:color="auto" w:fill="D2EDFF" w:themeFill="accent1" w:themeFillTint="1A"/>
          </w:tcPr>
          <w:p w14:paraId="16EB20A4" w14:textId="77777777" w:rsidR="00687E2E" w:rsidRPr="00D72A4B" w:rsidRDefault="00687E2E" w:rsidP="005531D9">
            <w:pPr>
              <w:pStyle w:val="TableTextLeft"/>
              <w:jc w:val="right"/>
              <w:rPr>
                <w:i/>
                <w:iCs/>
              </w:rPr>
            </w:pPr>
            <w:r w:rsidRPr="00D72A4B">
              <w:rPr>
                <w:i/>
                <w:iCs/>
              </w:rPr>
              <w:t>366</w:t>
            </w:r>
          </w:p>
        </w:tc>
        <w:tc>
          <w:tcPr>
            <w:tcW w:w="934" w:type="dxa"/>
          </w:tcPr>
          <w:p w14:paraId="554FFC42" w14:textId="77777777" w:rsidR="00687E2E" w:rsidRPr="00D72A4B" w:rsidRDefault="00687E2E" w:rsidP="005531D9">
            <w:pPr>
              <w:pStyle w:val="TableTextLeft"/>
              <w:jc w:val="right"/>
              <w:rPr>
                <w:i/>
                <w:iCs/>
              </w:rPr>
            </w:pPr>
            <w:r w:rsidRPr="00D72A4B">
              <w:rPr>
                <w:i/>
                <w:iCs/>
              </w:rPr>
              <w:t>481</w:t>
            </w:r>
          </w:p>
        </w:tc>
        <w:tc>
          <w:tcPr>
            <w:tcW w:w="934" w:type="dxa"/>
          </w:tcPr>
          <w:p w14:paraId="788D5128" w14:textId="77777777" w:rsidR="00687E2E" w:rsidRPr="00D72A4B" w:rsidRDefault="00687E2E" w:rsidP="005531D9">
            <w:pPr>
              <w:pStyle w:val="TableTextLeft"/>
              <w:jc w:val="right"/>
              <w:rPr>
                <w:i/>
                <w:iCs/>
              </w:rPr>
            </w:pPr>
            <w:r w:rsidRPr="00D72A4B">
              <w:rPr>
                <w:i/>
                <w:iCs/>
              </w:rPr>
              <w:t>536</w:t>
            </w:r>
          </w:p>
        </w:tc>
        <w:tc>
          <w:tcPr>
            <w:tcW w:w="934" w:type="dxa"/>
            <w:tcBorders>
              <w:right w:val="single" w:sz="4" w:space="0" w:color="auto"/>
            </w:tcBorders>
          </w:tcPr>
          <w:p w14:paraId="606F5BEC" w14:textId="77777777" w:rsidR="00687E2E" w:rsidRPr="00D72A4B" w:rsidRDefault="00687E2E" w:rsidP="005531D9">
            <w:pPr>
              <w:pStyle w:val="TableTextLeft"/>
              <w:jc w:val="right"/>
              <w:rPr>
                <w:i/>
                <w:iCs/>
              </w:rPr>
            </w:pPr>
            <w:r w:rsidRPr="00D72A4B">
              <w:rPr>
                <w:i/>
                <w:iCs/>
              </w:rPr>
              <w:t>550</w:t>
            </w:r>
          </w:p>
        </w:tc>
        <w:tc>
          <w:tcPr>
            <w:tcW w:w="934" w:type="dxa"/>
            <w:tcBorders>
              <w:left w:val="single" w:sz="4" w:space="0" w:color="auto"/>
            </w:tcBorders>
          </w:tcPr>
          <w:p w14:paraId="2B265842" w14:textId="77777777" w:rsidR="00687E2E" w:rsidRPr="00D72A4B" w:rsidRDefault="00687E2E" w:rsidP="005531D9">
            <w:pPr>
              <w:pStyle w:val="TableTextLeft"/>
              <w:jc w:val="right"/>
              <w:rPr>
                <w:i/>
                <w:iCs/>
              </w:rPr>
            </w:pPr>
            <w:r w:rsidRPr="00D72A4B">
              <w:rPr>
                <w:i/>
                <w:iCs/>
              </w:rPr>
              <w:t>584</w:t>
            </w:r>
          </w:p>
        </w:tc>
      </w:tr>
      <w:tr w:rsidR="00687E2E" w:rsidRPr="0000710A" w14:paraId="34FC52CE" w14:textId="77777777" w:rsidTr="005531D9">
        <w:tc>
          <w:tcPr>
            <w:tcW w:w="3468" w:type="dxa"/>
            <w:tcBorders>
              <w:bottom w:val="single" w:sz="4" w:space="0" w:color="auto"/>
            </w:tcBorders>
          </w:tcPr>
          <w:p w14:paraId="28931B7D" w14:textId="77777777" w:rsidR="00687E2E" w:rsidRPr="00BD5F3C" w:rsidRDefault="00687E2E" w:rsidP="00D72A4B">
            <w:pPr>
              <w:pStyle w:val="TableTextLeft"/>
              <w:ind w:left="283"/>
              <w:rPr>
                <w:i/>
                <w:iCs/>
                <w:color w:val="002C47" w:themeColor="accent1"/>
              </w:rPr>
            </w:pPr>
            <w:r w:rsidRPr="00BD5F3C">
              <w:rPr>
                <w:i/>
                <w:iCs/>
                <w:color w:val="002C47" w:themeColor="accent1"/>
              </w:rPr>
              <w:t xml:space="preserve">Overseas Departures </w:t>
            </w:r>
          </w:p>
        </w:tc>
        <w:tc>
          <w:tcPr>
            <w:tcW w:w="934" w:type="dxa"/>
            <w:tcBorders>
              <w:bottom w:val="single" w:sz="4" w:space="0" w:color="auto"/>
            </w:tcBorders>
          </w:tcPr>
          <w:p w14:paraId="2E926467" w14:textId="77777777" w:rsidR="00687E2E" w:rsidRPr="00D72A4B" w:rsidRDefault="00687E2E" w:rsidP="005531D9">
            <w:pPr>
              <w:pStyle w:val="TableTextLeft"/>
              <w:jc w:val="right"/>
              <w:rPr>
                <w:i/>
                <w:iCs/>
              </w:rPr>
            </w:pPr>
            <w:r w:rsidRPr="00D72A4B">
              <w:rPr>
                <w:i/>
                <w:iCs/>
              </w:rPr>
              <w:t>231</w:t>
            </w:r>
          </w:p>
        </w:tc>
        <w:tc>
          <w:tcPr>
            <w:tcW w:w="934" w:type="dxa"/>
            <w:tcBorders>
              <w:bottom w:val="single" w:sz="4" w:space="0" w:color="auto"/>
            </w:tcBorders>
            <w:shd w:val="clear" w:color="auto" w:fill="D2EDFF" w:themeFill="accent1" w:themeFillTint="1A"/>
          </w:tcPr>
          <w:p w14:paraId="41227CAA" w14:textId="77777777" w:rsidR="00687E2E" w:rsidRPr="00D72A4B" w:rsidRDefault="00687E2E" w:rsidP="005531D9">
            <w:pPr>
              <w:pStyle w:val="TableTextLeft"/>
              <w:jc w:val="right"/>
              <w:rPr>
                <w:i/>
                <w:iCs/>
              </w:rPr>
            </w:pPr>
            <w:r w:rsidRPr="00D72A4B">
              <w:rPr>
                <w:i/>
                <w:iCs/>
              </w:rPr>
              <w:t>216</w:t>
            </w:r>
          </w:p>
        </w:tc>
        <w:tc>
          <w:tcPr>
            <w:tcW w:w="934" w:type="dxa"/>
            <w:tcBorders>
              <w:bottom w:val="single" w:sz="4" w:space="0" w:color="auto"/>
            </w:tcBorders>
          </w:tcPr>
          <w:p w14:paraId="631556E7" w14:textId="77777777" w:rsidR="00687E2E" w:rsidRPr="00D72A4B" w:rsidRDefault="00687E2E" w:rsidP="005531D9">
            <w:pPr>
              <w:pStyle w:val="TableTextLeft"/>
              <w:jc w:val="right"/>
              <w:rPr>
                <w:i/>
                <w:iCs/>
              </w:rPr>
            </w:pPr>
            <w:r w:rsidRPr="00D72A4B">
              <w:rPr>
                <w:i/>
                <w:iCs/>
              </w:rPr>
              <w:t>246</w:t>
            </w:r>
          </w:p>
        </w:tc>
        <w:tc>
          <w:tcPr>
            <w:tcW w:w="934" w:type="dxa"/>
            <w:tcBorders>
              <w:bottom w:val="single" w:sz="4" w:space="0" w:color="auto"/>
            </w:tcBorders>
          </w:tcPr>
          <w:p w14:paraId="44B3D141" w14:textId="77777777" w:rsidR="00687E2E" w:rsidRPr="00D72A4B" w:rsidRDefault="00687E2E" w:rsidP="005531D9">
            <w:pPr>
              <w:pStyle w:val="TableTextLeft"/>
              <w:jc w:val="right"/>
              <w:rPr>
                <w:i/>
                <w:iCs/>
              </w:rPr>
            </w:pPr>
            <w:r w:rsidRPr="00D72A4B">
              <w:rPr>
                <w:i/>
                <w:iCs/>
              </w:rPr>
              <w:t>301</w:t>
            </w:r>
          </w:p>
        </w:tc>
        <w:tc>
          <w:tcPr>
            <w:tcW w:w="934" w:type="dxa"/>
            <w:tcBorders>
              <w:bottom w:val="single" w:sz="4" w:space="0" w:color="auto"/>
              <w:right w:val="single" w:sz="4" w:space="0" w:color="auto"/>
            </w:tcBorders>
          </w:tcPr>
          <w:p w14:paraId="416F95B0" w14:textId="77777777" w:rsidR="00687E2E" w:rsidRPr="00D72A4B" w:rsidRDefault="00687E2E" w:rsidP="005531D9">
            <w:pPr>
              <w:pStyle w:val="TableTextLeft"/>
              <w:jc w:val="right"/>
              <w:rPr>
                <w:i/>
                <w:iCs/>
              </w:rPr>
            </w:pPr>
            <w:r w:rsidRPr="00D72A4B">
              <w:rPr>
                <w:i/>
                <w:iCs/>
              </w:rPr>
              <w:t>315</w:t>
            </w:r>
          </w:p>
        </w:tc>
        <w:tc>
          <w:tcPr>
            <w:tcW w:w="934" w:type="dxa"/>
            <w:tcBorders>
              <w:left w:val="single" w:sz="4" w:space="0" w:color="auto"/>
              <w:bottom w:val="single" w:sz="4" w:space="0" w:color="auto"/>
            </w:tcBorders>
          </w:tcPr>
          <w:p w14:paraId="70CE4A11" w14:textId="77777777" w:rsidR="00687E2E" w:rsidRPr="00D72A4B" w:rsidRDefault="00687E2E" w:rsidP="005531D9">
            <w:pPr>
              <w:pStyle w:val="TableTextLeft"/>
              <w:jc w:val="right"/>
              <w:rPr>
                <w:i/>
                <w:iCs/>
              </w:rPr>
            </w:pPr>
            <w:r w:rsidRPr="00D72A4B">
              <w:rPr>
                <w:i/>
                <w:iCs/>
              </w:rPr>
              <w:t>349</w:t>
            </w:r>
          </w:p>
        </w:tc>
      </w:tr>
      <w:tr w:rsidR="00687E2E" w:rsidRPr="0000710A" w14:paraId="222C5ED4" w14:textId="77777777" w:rsidTr="005531D9">
        <w:tc>
          <w:tcPr>
            <w:tcW w:w="3468" w:type="dxa"/>
            <w:tcBorders>
              <w:top w:val="single" w:sz="4" w:space="0" w:color="auto"/>
              <w:bottom w:val="single" w:sz="8" w:space="0" w:color="000000" w:themeColor="text1"/>
            </w:tcBorders>
          </w:tcPr>
          <w:p w14:paraId="4F018094" w14:textId="77777777" w:rsidR="00687E2E" w:rsidRPr="00BD5F3C" w:rsidRDefault="00687E2E" w:rsidP="00DF100F">
            <w:pPr>
              <w:pStyle w:val="TableTextLeft"/>
              <w:rPr>
                <w:color w:val="002C47" w:themeColor="accent1"/>
              </w:rPr>
            </w:pPr>
            <w:r w:rsidRPr="00BD5F3C">
              <w:rPr>
                <w:color w:val="002C47" w:themeColor="accent1"/>
              </w:rPr>
              <w:t>Median age (years)</w:t>
            </w:r>
          </w:p>
        </w:tc>
        <w:tc>
          <w:tcPr>
            <w:tcW w:w="934" w:type="dxa"/>
            <w:tcBorders>
              <w:top w:val="single" w:sz="4" w:space="0" w:color="auto"/>
              <w:bottom w:val="single" w:sz="8" w:space="0" w:color="000000" w:themeColor="text1"/>
            </w:tcBorders>
          </w:tcPr>
          <w:p w14:paraId="07AE7C25" w14:textId="77777777" w:rsidR="00687E2E" w:rsidRPr="002C06DC" w:rsidRDefault="00687E2E" w:rsidP="005531D9">
            <w:pPr>
              <w:pStyle w:val="TableTextLeft"/>
              <w:jc w:val="right"/>
            </w:pPr>
            <w:r w:rsidRPr="002C06DC">
              <w:t>38.4</w:t>
            </w:r>
          </w:p>
        </w:tc>
        <w:tc>
          <w:tcPr>
            <w:tcW w:w="934" w:type="dxa"/>
            <w:tcBorders>
              <w:top w:val="single" w:sz="4" w:space="0" w:color="auto"/>
              <w:bottom w:val="single" w:sz="8" w:space="0" w:color="000000" w:themeColor="text1"/>
            </w:tcBorders>
            <w:shd w:val="clear" w:color="auto" w:fill="D2EDFF" w:themeFill="accent1" w:themeFillTint="1A"/>
          </w:tcPr>
          <w:p w14:paraId="4BDD4AC4" w14:textId="77777777" w:rsidR="00687E2E" w:rsidRPr="002C06DC" w:rsidRDefault="00687E2E" w:rsidP="005531D9">
            <w:pPr>
              <w:pStyle w:val="TableTextLeft"/>
              <w:jc w:val="right"/>
            </w:pPr>
            <w:r w:rsidRPr="002C06DC">
              <w:t>38.6</w:t>
            </w:r>
          </w:p>
        </w:tc>
        <w:tc>
          <w:tcPr>
            <w:tcW w:w="934" w:type="dxa"/>
            <w:tcBorders>
              <w:top w:val="single" w:sz="4" w:space="0" w:color="auto"/>
              <w:bottom w:val="single" w:sz="8" w:space="0" w:color="000000" w:themeColor="text1"/>
            </w:tcBorders>
          </w:tcPr>
          <w:p w14:paraId="038A2B4E" w14:textId="77777777" w:rsidR="00687E2E" w:rsidRPr="002C06DC" w:rsidRDefault="00687E2E" w:rsidP="005531D9">
            <w:pPr>
              <w:pStyle w:val="TableTextLeft"/>
              <w:jc w:val="right"/>
            </w:pPr>
            <w:r w:rsidRPr="002C06DC">
              <w:t>38.7</w:t>
            </w:r>
          </w:p>
        </w:tc>
        <w:tc>
          <w:tcPr>
            <w:tcW w:w="934" w:type="dxa"/>
            <w:tcBorders>
              <w:top w:val="single" w:sz="4" w:space="0" w:color="auto"/>
              <w:bottom w:val="single" w:sz="8" w:space="0" w:color="000000" w:themeColor="text1"/>
            </w:tcBorders>
          </w:tcPr>
          <w:p w14:paraId="66AC0A9A" w14:textId="77777777" w:rsidR="00687E2E" w:rsidRPr="002C06DC" w:rsidRDefault="00687E2E" w:rsidP="005531D9">
            <w:pPr>
              <w:pStyle w:val="TableTextLeft"/>
              <w:jc w:val="right"/>
            </w:pPr>
            <w:r w:rsidRPr="002C06DC">
              <w:t>38.9</w:t>
            </w:r>
          </w:p>
        </w:tc>
        <w:tc>
          <w:tcPr>
            <w:tcW w:w="934" w:type="dxa"/>
            <w:tcBorders>
              <w:top w:val="single" w:sz="4" w:space="0" w:color="auto"/>
              <w:bottom w:val="single" w:sz="8" w:space="0" w:color="000000" w:themeColor="text1"/>
              <w:right w:val="single" w:sz="4" w:space="0" w:color="auto"/>
            </w:tcBorders>
          </w:tcPr>
          <w:p w14:paraId="711FA9C8" w14:textId="77777777" w:rsidR="00687E2E" w:rsidRPr="002C06DC" w:rsidRDefault="00687E2E" w:rsidP="005531D9">
            <w:pPr>
              <w:pStyle w:val="TableTextLeft"/>
              <w:jc w:val="right"/>
            </w:pPr>
            <w:r w:rsidRPr="002C06DC">
              <w:t>39.0</w:t>
            </w:r>
          </w:p>
        </w:tc>
        <w:tc>
          <w:tcPr>
            <w:tcW w:w="934" w:type="dxa"/>
            <w:tcBorders>
              <w:top w:val="single" w:sz="4" w:space="0" w:color="auto"/>
              <w:left w:val="single" w:sz="4" w:space="0" w:color="auto"/>
              <w:bottom w:val="single" w:sz="8" w:space="0" w:color="000000" w:themeColor="text1"/>
            </w:tcBorders>
          </w:tcPr>
          <w:p w14:paraId="66C156D0" w14:textId="77777777" w:rsidR="00687E2E" w:rsidRPr="002C06DC" w:rsidRDefault="00687E2E" w:rsidP="005531D9">
            <w:pPr>
              <w:pStyle w:val="TableTextLeft"/>
              <w:jc w:val="right"/>
            </w:pPr>
            <w:r w:rsidRPr="002C06DC">
              <w:t>40.1</w:t>
            </w:r>
          </w:p>
        </w:tc>
      </w:tr>
    </w:tbl>
    <w:p w14:paraId="2C91B3DD" w14:textId="22FA1730" w:rsidR="00DE09A0" w:rsidRDefault="00687E2E" w:rsidP="00D27BD9">
      <w:pPr>
        <w:pStyle w:val="Source"/>
      </w:pPr>
      <w:r w:rsidRPr="0000710A">
        <w:t>Source:</w:t>
      </w:r>
      <w:r w:rsidR="00D414B0">
        <w:rPr>
          <w:noProof/>
        </w:rPr>
        <w:t xml:space="preserve"> Australian Bureau of Statistics, National, state and territory population, March 2022, 2022</w:t>
      </w:r>
      <w:r w:rsidRPr="0000710A">
        <w:t xml:space="preserve"> and Centre for Population projections.</w:t>
      </w:r>
      <w:bookmarkStart w:id="53" w:name="_Ref117522595"/>
    </w:p>
    <w:p w14:paraId="31368495" w14:textId="547796DB" w:rsidR="00687E2E" w:rsidRDefault="00687E2E" w:rsidP="00385CB5">
      <w:pPr>
        <w:pStyle w:val="Heading9"/>
        <w:spacing w:after="0"/>
      </w:pPr>
      <w:bookmarkStart w:id="54" w:name="_Ref120634928"/>
      <w:r w:rsidRPr="0000710A">
        <w:lastRenderedPageBreak/>
        <w:t xml:space="preserve">Population </w:t>
      </w:r>
      <w:r w:rsidR="005B1AF8">
        <w:t>g</w:t>
      </w:r>
      <w:r w:rsidRPr="0000710A">
        <w:t>rowth and components</w:t>
      </w:r>
      <w:r w:rsidRPr="0000710A" w:rsidDel="00A75752">
        <w:t xml:space="preserve">, </w:t>
      </w:r>
      <w:r w:rsidRPr="0000710A">
        <w:t>Australia</w:t>
      </w:r>
      <w:bookmarkEnd w:id="53"/>
      <w:bookmarkEnd w:id="54"/>
    </w:p>
    <w:p w14:paraId="711139A1" w14:textId="56F379C8" w:rsidR="008F2BC7" w:rsidRPr="0000710A" w:rsidRDefault="008F2BC7" w:rsidP="001A3279">
      <w:pPr>
        <w:jc w:val="center"/>
      </w:pPr>
      <w:r w:rsidRPr="008F2BC7">
        <w:rPr>
          <w:noProof/>
        </w:rPr>
        <w:drawing>
          <wp:inline distT="0" distB="0" distL="0" distR="0" wp14:anchorId="6A5E7096" wp14:editId="775DD9B5">
            <wp:extent cx="5583600" cy="2523600"/>
            <wp:effectExtent l="0" t="0" r="0" b="0"/>
            <wp:docPr id="27" name="Picture 27" descr="A chart showing Australia's total population growth disaggregated into its components: natural increase and net overseas migration. The intercensal difference is also shown. Population growth is projected to recover to a peak of 1.4 per cent in 2023-24 and then slowly decline to 1.2 per cent by 203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 chart showing Australia's total population growth disaggregated into its components: natural increase and net overseas migration. The intercensal difference is also shown. Population growth is projected to recover to a peak of 1.4 per cent in 2023-24 and then slowly decline to 1.2 per cent by 2032-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51F6BF81" w14:textId="79254AA9" w:rsidR="00055125" w:rsidRPr="002C06DC" w:rsidRDefault="00055125" w:rsidP="008B1B2A">
      <w:pPr>
        <w:pStyle w:val="Source"/>
        <w:spacing w:before="0" w:after="0"/>
        <w:rPr>
          <w:szCs w:val="18"/>
        </w:rPr>
      </w:pPr>
      <w:r w:rsidRPr="00770052">
        <w:rPr>
          <w:szCs w:val="18"/>
        </w:rPr>
        <w:t xml:space="preserve">Note: Intercensal difference refers to the difference between the </w:t>
      </w:r>
      <w:r w:rsidRPr="002C06DC">
        <w:rPr>
          <w:szCs w:val="18"/>
        </w:rPr>
        <w:t xml:space="preserve">estimated resident population after incorporating the results of the 2021 Census and </w:t>
      </w:r>
      <w:r w:rsidR="000069CB" w:rsidRPr="002C06DC">
        <w:rPr>
          <w:szCs w:val="18"/>
        </w:rPr>
        <w:t>previously published estimates</w:t>
      </w:r>
      <w:r w:rsidRPr="002C06DC">
        <w:rPr>
          <w:szCs w:val="18"/>
        </w:rPr>
        <w:t>.</w:t>
      </w:r>
    </w:p>
    <w:p w14:paraId="6BD9B0E0" w14:textId="70A08D71" w:rsidR="002853C1" w:rsidRDefault="00687E2E" w:rsidP="008B1B2A">
      <w:pPr>
        <w:pStyle w:val="Source"/>
        <w:spacing w:before="0" w:after="0"/>
        <w:rPr>
          <w:rStyle w:val="Hyperlink"/>
          <w:szCs w:val="18"/>
        </w:rPr>
      </w:pPr>
      <w:r w:rsidRPr="002C06DC">
        <w:rPr>
          <w:szCs w:val="18"/>
        </w:rPr>
        <w:t xml:space="preserve">Source: </w:t>
      </w:r>
      <w:r w:rsidR="00D414B0" w:rsidRPr="002C06DC">
        <w:rPr>
          <w:noProof/>
          <w:szCs w:val="18"/>
        </w:rPr>
        <w:t>Australian Bureau of Statistics, National, state and territory population, March 2022, 2022</w:t>
      </w:r>
      <w:r w:rsidRPr="002C06DC">
        <w:rPr>
          <w:szCs w:val="18"/>
        </w:rPr>
        <w:t xml:space="preserve"> and Centre </w:t>
      </w:r>
      <w:r w:rsidRPr="00F37803">
        <w:rPr>
          <w:szCs w:val="18"/>
        </w:rPr>
        <w:t>for Population projections.</w:t>
      </w:r>
      <w:r w:rsidRPr="0000710A">
        <w:rPr>
          <w:szCs w:val="18"/>
        </w:rPr>
        <w:t xml:space="preserve"> </w:t>
      </w:r>
    </w:p>
    <w:p w14:paraId="7E42291B" w14:textId="77777777" w:rsidR="00204B09" w:rsidRDefault="00204B09" w:rsidP="00D27BD9">
      <w:bookmarkStart w:id="55" w:name="_Toc117238162"/>
      <w:bookmarkStart w:id="56" w:name="_Toc117238163"/>
      <w:bookmarkStart w:id="57" w:name="_Toc117238164"/>
      <w:bookmarkStart w:id="58" w:name="_Toc118792145"/>
      <w:bookmarkEnd w:id="55"/>
      <w:bookmarkEnd w:id="56"/>
      <w:bookmarkEnd w:id="57"/>
    </w:p>
    <w:p w14:paraId="67076D8B" w14:textId="4AF39905" w:rsidR="001A5101" w:rsidRPr="00501FB0" w:rsidRDefault="001A5101" w:rsidP="00FE153A">
      <w:pPr>
        <w:pStyle w:val="Heading2Numbered"/>
      </w:pPr>
      <w:bookmarkStart w:id="59" w:name="_Toc122618359"/>
      <w:r>
        <w:t xml:space="preserve">Net </w:t>
      </w:r>
      <w:r w:rsidRPr="00FE153A">
        <w:t>overseas</w:t>
      </w:r>
      <w:r>
        <w:t xml:space="preserve"> migration</w:t>
      </w:r>
      <w:bookmarkEnd w:id="58"/>
      <w:bookmarkEnd w:id="59"/>
    </w:p>
    <w:p w14:paraId="6AD7E0B9" w14:textId="26AE2FE7" w:rsidR="003B446C" w:rsidRPr="00655C43" w:rsidRDefault="001A5101" w:rsidP="00F5784C">
      <w:bookmarkStart w:id="60" w:name="_Hlk118813127"/>
      <w:r w:rsidRPr="00655C43">
        <w:t>Overseas</w:t>
      </w:r>
      <w:bookmarkEnd w:id="60"/>
      <w:r w:rsidRPr="00655C43">
        <w:t xml:space="preserve"> </w:t>
      </w:r>
      <w:r w:rsidR="003B446C" w:rsidRPr="00655C43">
        <w:t xml:space="preserve">migration </w:t>
      </w:r>
      <w:r w:rsidR="003B446C">
        <w:t>had been</w:t>
      </w:r>
      <w:r w:rsidR="003B446C" w:rsidRPr="00655C43">
        <w:t xml:space="preserve"> the largest contributor to population growth in Australia </w:t>
      </w:r>
      <w:r w:rsidR="003B446C">
        <w:t>since 2005-06</w:t>
      </w:r>
      <w:r w:rsidR="003B446C" w:rsidRPr="00655C43">
        <w:t>. However, the introduction of international travel restrictions and quarantine arrangements in response to COVID</w:t>
      </w:r>
      <w:r w:rsidR="003B446C">
        <w:noBreakHyphen/>
      </w:r>
      <w:r w:rsidR="003B446C" w:rsidRPr="00655C43">
        <w:t>19 led to the first net loss</w:t>
      </w:r>
      <w:r w:rsidR="003B446C">
        <w:t xml:space="preserve"> of migrants</w:t>
      </w:r>
      <w:r w:rsidR="003B446C" w:rsidRPr="00655C43">
        <w:t xml:space="preserve"> from Australia since </w:t>
      </w:r>
      <w:r w:rsidR="004D177D">
        <w:t xml:space="preserve">the end of </w:t>
      </w:r>
      <w:r w:rsidR="003B446C" w:rsidRPr="00655C43">
        <w:t>World War II. Overseas migration reached a record low in 2020</w:t>
      </w:r>
      <w:r w:rsidR="003B446C">
        <w:t>–</w:t>
      </w:r>
      <w:r w:rsidR="003B446C" w:rsidRPr="00655C43">
        <w:t>21</w:t>
      </w:r>
      <w:r w:rsidR="003B446C">
        <w:t>,</w:t>
      </w:r>
      <w:r w:rsidR="003B446C" w:rsidRPr="00655C43">
        <w:t xml:space="preserve"> with a net outflow of 85,000</w:t>
      </w:r>
      <w:r w:rsidR="003B446C">
        <w:t xml:space="preserve"> people</w:t>
      </w:r>
      <w:r w:rsidR="003B446C" w:rsidRPr="00655C43">
        <w:t xml:space="preserve"> as travel restrictions meant very few people could migrate to </w:t>
      </w:r>
      <w:r w:rsidR="003B446C">
        <w:t>Australia</w:t>
      </w:r>
      <w:r w:rsidR="003B446C" w:rsidRPr="00655C43">
        <w:t xml:space="preserve">. </w:t>
      </w:r>
      <w:r w:rsidR="003B446C" w:rsidRPr="000D0D8F">
        <w:t>There was also an</w:t>
      </w:r>
      <w:r w:rsidR="0047640D">
        <w:t xml:space="preserve"> initial</w:t>
      </w:r>
      <w:r w:rsidR="003B446C" w:rsidRPr="000D0D8F">
        <w:t xml:space="preserve"> increase in departures at the </w:t>
      </w:r>
      <w:r w:rsidR="0047640D">
        <w:t>onset</w:t>
      </w:r>
      <w:r w:rsidR="0047640D" w:rsidRPr="000D0D8F">
        <w:t xml:space="preserve"> </w:t>
      </w:r>
      <w:r w:rsidR="003B446C" w:rsidRPr="000D0D8F">
        <w:t>of the pandemic</w:t>
      </w:r>
      <w:r w:rsidR="003B446C">
        <w:t>.</w:t>
      </w:r>
    </w:p>
    <w:p w14:paraId="43C18F13" w14:textId="76D51583" w:rsidR="00CD449E" w:rsidRPr="00655C43" w:rsidRDefault="00CD449E" w:rsidP="00F5784C">
      <w:r w:rsidRPr="00655C43">
        <w:t xml:space="preserve">As </w:t>
      </w:r>
      <w:r w:rsidR="0075680E">
        <w:t>international</w:t>
      </w:r>
      <w:r w:rsidRPr="00655C43">
        <w:t xml:space="preserve"> travel restrictions have eased, net overseas migration has </w:t>
      </w:r>
      <w:r w:rsidR="002462C5">
        <w:t>started recovering</w:t>
      </w:r>
      <w:r w:rsidRPr="00655C43">
        <w:t xml:space="preserve">. In </w:t>
      </w:r>
      <w:r w:rsidR="00632673">
        <w:t>November</w:t>
      </w:r>
      <w:r w:rsidRPr="00655C43">
        <w:t xml:space="preserve"> 2021, </w:t>
      </w:r>
      <w:r w:rsidR="007C1F6C">
        <w:t>international</w:t>
      </w:r>
      <w:r w:rsidRPr="00655C43">
        <w:t xml:space="preserve"> travel restrictions were removed for fully vaccinated Australians, permanent residents, and their families. Shortly after this, </w:t>
      </w:r>
      <w:r w:rsidR="00632673">
        <w:t>international travel restrictions were eased for</w:t>
      </w:r>
      <w:r w:rsidRPr="00655C43">
        <w:t xml:space="preserve"> fully vaccinated international students, skilled migrants, humanitarian migrants, working holiday makers and provisional family visa holders. In February 2022, international border </w:t>
      </w:r>
      <w:r w:rsidR="00632673">
        <w:t>restrictions were eased for</w:t>
      </w:r>
      <w:r w:rsidRPr="00655C43">
        <w:t xml:space="preserve"> all vaccinated travellers. </w:t>
      </w:r>
    </w:p>
    <w:p w14:paraId="739A9627" w14:textId="2AF66E76" w:rsidR="00CD449E" w:rsidRPr="00655C43" w:rsidRDefault="00CD449E" w:rsidP="00F5784C">
      <w:r w:rsidRPr="00655C43">
        <w:t>Preliminary estimates of migration in the December 2021 and March 2022 quarters show a sharp increase in migrant arrivals and little change in departures. As a result, overseas migration is forecast to increase to a net inflow of 150,000 in 2021</w:t>
      </w:r>
      <w:r w:rsidR="0033101B">
        <w:t>–</w:t>
      </w:r>
      <w:r w:rsidRPr="00655C43">
        <w:t>22. It is then forecast to reach the pre</w:t>
      </w:r>
      <w:r w:rsidR="00A32743">
        <w:t>-</w:t>
      </w:r>
      <w:r w:rsidR="00144DDF">
        <w:t>pandemic</w:t>
      </w:r>
      <w:r w:rsidRPr="00655C43">
        <w:t xml:space="preserve"> trend of 235,000 from 2022</w:t>
      </w:r>
      <w:r w:rsidR="0033101B">
        <w:t>–</w:t>
      </w:r>
      <w:r w:rsidRPr="00655C43">
        <w:t>23 and remain at that level</w:t>
      </w:r>
      <w:r w:rsidR="002462C5">
        <w:t xml:space="preserve"> thereafter</w:t>
      </w:r>
      <w:r w:rsidR="000B1AEE">
        <w:t xml:space="preserve"> (</w:t>
      </w:r>
      <w:r w:rsidR="002C2CC1">
        <w:t>Table 1</w:t>
      </w:r>
      <w:r w:rsidR="000B1AEE">
        <w:t>)</w:t>
      </w:r>
      <w:r w:rsidRPr="00655C43">
        <w:t xml:space="preserve">. </w:t>
      </w:r>
    </w:p>
    <w:p w14:paraId="6F597F95" w14:textId="3C301D59" w:rsidR="00054E9E" w:rsidRDefault="00CD449E" w:rsidP="002C06DC">
      <w:pPr>
        <w:pStyle w:val="Heading9"/>
        <w:pBdr>
          <w:top w:val="dashed" w:sz="4" w:space="0" w:color="002C47" w:themeColor="accent1"/>
        </w:pBdr>
      </w:pPr>
      <w:bookmarkStart w:id="61" w:name="_Ref89706013"/>
      <w:r w:rsidRPr="00655C43">
        <w:lastRenderedPageBreak/>
        <w:t>Net overseas migration</w:t>
      </w:r>
      <w:r w:rsidR="004422C2">
        <w:t>,</w:t>
      </w:r>
      <w:r w:rsidRPr="00655C43">
        <w:t xml:space="preserve"> by visa</w:t>
      </w:r>
      <w:bookmarkEnd w:id="61"/>
      <w:r w:rsidRPr="00655C43">
        <w:t xml:space="preserve"> type</w:t>
      </w:r>
    </w:p>
    <w:p w14:paraId="64008D81" w14:textId="231F82CA" w:rsidR="008F2BC7" w:rsidRPr="00C32DBB" w:rsidRDefault="008F2BC7" w:rsidP="001A3279">
      <w:pPr>
        <w:jc w:val="center"/>
      </w:pPr>
      <w:r w:rsidRPr="008F2BC7">
        <w:rPr>
          <w:noProof/>
        </w:rPr>
        <w:drawing>
          <wp:inline distT="0" distB="0" distL="0" distR="0" wp14:anchorId="5FC9FD4A" wp14:editId="4082A8B1">
            <wp:extent cx="5583600" cy="2523600"/>
            <wp:effectExtent l="0" t="0" r="0" b="0"/>
            <wp:docPr id="28" name="Picture 28" descr="A chart showing that net overseas migration has been dominated by temporary migrants in the years immediately preceding the pandemic. An outflow of temporary migrants during the pandemic caused a drop in net overseas migration to record lows. Net overseas migration has recovered since international travel restrictions eased in late 2021 and is forecast to reach 235,000 in 2022-23, remaining at that level over the forecast perio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A chart showing that net overseas migration has been dominated by temporary migrants in the years immediately preceding the pandemic. An outflow of temporary migrants during the pandemic caused a drop in net overseas migration to record lows. Net overseas migration has recovered since international travel restrictions eased in late 2021 and is forecast to reach 235,000 in 2022-23, remaining at that level over the forecast perio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3F4D7DE1" w14:textId="5A5F222F" w:rsidR="00CD449E" w:rsidRPr="00655C43" w:rsidRDefault="00CD449E" w:rsidP="00DF100F">
      <w:pPr>
        <w:pStyle w:val="Source"/>
      </w:pPr>
      <w:r w:rsidRPr="00655C43">
        <w:t>Note: Quarterly data presented on a year</w:t>
      </w:r>
      <w:r w:rsidR="00A32743">
        <w:t>-</w:t>
      </w:r>
      <w:r w:rsidRPr="00655C43">
        <w:t>ending basis. Migrant arrivals and departures are categorised based on the visa type at the time of a traveller’s arrival or departure. Care should be taken attributing net flows to specific groups of migrants as subsequent transfers to other visa types while onshore are not captured.</w:t>
      </w:r>
      <w:r w:rsidRPr="00655C43">
        <w:br/>
      </w:r>
      <w:r w:rsidR="00EB21C7" w:rsidRPr="00B344C9">
        <w:t xml:space="preserve">Source: Australian Bureau of Statistics, </w:t>
      </w:r>
      <w:r w:rsidR="00AB2814">
        <w:t>c</w:t>
      </w:r>
      <w:r w:rsidR="00EB21C7" w:rsidRPr="00B344C9">
        <w:t>ustomised data consultancy and Centre for Population projections.</w:t>
      </w:r>
      <w:r w:rsidRPr="00655C43">
        <w:t xml:space="preserve"> </w:t>
      </w:r>
    </w:p>
    <w:p w14:paraId="1AE2E7D9" w14:textId="77777777" w:rsidR="00CD449E" w:rsidRPr="00655C43" w:rsidRDefault="00CD449E" w:rsidP="00821CA2">
      <w:pPr>
        <w:pStyle w:val="Heading3"/>
      </w:pPr>
      <w:bookmarkStart w:id="62" w:name="_Toc120635100"/>
      <w:bookmarkStart w:id="63" w:name="_Toc122617933"/>
      <w:bookmarkStart w:id="64" w:name="_Toc122618360"/>
      <w:r w:rsidRPr="00655C43">
        <w:t>Migrant arrivals</w:t>
      </w:r>
      <w:bookmarkEnd w:id="62"/>
      <w:bookmarkEnd w:id="63"/>
      <w:bookmarkEnd w:id="64"/>
    </w:p>
    <w:p w14:paraId="0DE531C6" w14:textId="7C0C8D83" w:rsidR="00CD449E" w:rsidRPr="00655C43" w:rsidRDefault="00CD449E" w:rsidP="00CD449E">
      <w:r w:rsidRPr="00655C43">
        <w:t xml:space="preserve">The strong recovery in net overseas migration </w:t>
      </w:r>
      <w:r w:rsidR="000C06A3">
        <w:t>was</w:t>
      </w:r>
      <w:r w:rsidRPr="00655C43">
        <w:t xml:space="preserve"> driven by a rebound in migrant arrivals </w:t>
      </w:r>
      <w:r w:rsidR="005B5A75">
        <w:t>from late 2021</w:t>
      </w:r>
      <w:r w:rsidRPr="00655C43">
        <w:t>, particularly international student</w:t>
      </w:r>
      <w:r w:rsidR="000C06A3">
        <w:t xml:space="preserve"> arrivals</w:t>
      </w:r>
      <w:r w:rsidRPr="00655C43">
        <w:t xml:space="preserve"> (</w:t>
      </w:r>
      <w:r w:rsidR="002C2CC1">
        <w:t>Chart 3</w:t>
      </w:r>
      <w:r w:rsidRPr="00655C43">
        <w:t>).</w:t>
      </w:r>
    </w:p>
    <w:p w14:paraId="6FD56DCC" w14:textId="5A93D767" w:rsidR="00CD449E" w:rsidRPr="001E4102" w:rsidRDefault="00CD449E" w:rsidP="001E4102">
      <w:pPr>
        <w:pStyle w:val="Heading9"/>
      </w:pPr>
      <w:bookmarkStart w:id="65" w:name="_Ref117691147"/>
      <w:r w:rsidRPr="00655C43">
        <w:t>Annual migrant arrivals, by visa type</w:t>
      </w:r>
      <w:bookmarkEnd w:id="65"/>
    </w:p>
    <w:p w14:paraId="714B910D" w14:textId="47200CE7" w:rsidR="00D55D7F" w:rsidRDefault="00924C2A" w:rsidP="001A3279">
      <w:pPr>
        <w:jc w:val="center"/>
        <w:rPr>
          <w:noProof/>
        </w:rPr>
      </w:pPr>
      <w:r w:rsidRPr="00924C2A">
        <w:rPr>
          <w:noProof/>
        </w:rPr>
        <w:drawing>
          <wp:inline distT="0" distB="0" distL="0" distR="0" wp14:anchorId="48C53E50" wp14:editId="53AA573E">
            <wp:extent cx="5583600" cy="2523600"/>
            <wp:effectExtent l="0" t="0" r="0" b="0"/>
            <wp:docPr id="29" name="Picture 29" descr="A chart showing that temporary migrant arrivals were very low throughout the pandemic, especially those of international students. In contrast, arrivals of Australian and New Zealand citizens remained relatively more stable over this period. International students have driven the recovery in migrant arrivals since late 2021. Arrivals for all visa groups are forecast to recover to pre-pandemic trends by 202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A chart showing that temporary migrant arrivals were very low throughout the pandemic, especially those of international students. In contrast, arrivals of Australian and New Zealand citizens remained relatively more stable over this period. International students have driven the recovery in migrant arrivals since late 2021. Arrivals for all visa groups are forecast to recover to pre-pandemic trends by 2023-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69E21B46" w14:textId="1A335832" w:rsidR="00CD449E" w:rsidRPr="00655C43" w:rsidRDefault="00CD449E" w:rsidP="00CD449E">
      <w:pPr>
        <w:pStyle w:val="Source"/>
        <w:spacing w:before="0" w:after="0"/>
      </w:pPr>
      <w:r w:rsidRPr="00655C43">
        <w:t>Note: Quarterly data presented on a year</w:t>
      </w:r>
      <w:r w:rsidR="00A32743">
        <w:t>-</w:t>
      </w:r>
      <w:r w:rsidRPr="00655C43">
        <w:t>ending basis.</w:t>
      </w:r>
      <w:r w:rsidRPr="00655C43" w:rsidDel="00FB1133">
        <w:t xml:space="preserve"> </w:t>
      </w:r>
      <w:r w:rsidRPr="00655C43">
        <w:t>Migrant arrivals and departures are categorised based on the visa type at the time of a traveller’s arrival.</w:t>
      </w:r>
    </w:p>
    <w:p w14:paraId="1A817AB5" w14:textId="0EAF41EA" w:rsidR="004A3F79" w:rsidRPr="00ED0624" w:rsidRDefault="004A3F79" w:rsidP="004A3F79">
      <w:pPr>
        <w:pStyle w:val="Source"/>
      </w:pPr>
      <w:r w:rsidRPr="00B344C9">
        <w:t xml:space="preserve">Source: Australian Bureau of Statistics, </w:t>
      </w:r>
      <w:r w:rsidR="00AB2814">
        <w:t>c</w:t>
      </w:r>
      <w:r w:rsidRPr="00B344C9">
        <w:t xml:space="preserve">ustomised data consultancy and Centre for Population projections. </w:t>
      </w:r>
    </w:p>
    <w:p w14:paraId="2F293D7B" w14:textId="37E71CD4" w:rsidR="003B446C" w:rsidRDefault="003B446C" w:rsidP="00FE153A">
      <w:bookmarkStart w:id="66" w:name="_Ref115253281"/>
      <w:r w:rsidRPr="00655C43">
        <w:t>There was a strong recovery in international student arrivals in the December 2021 and March 2022 quarters</w:t>
      </w:r>
      <w:r>
        <w:t xml:space="preserve"> as s</w:t>
      </w:r>
      <w:r w:rsidRPr="00655C43">
        <w:t>tudents who previously studi</w:t>
      </w:r>
      <w:r>
        <w:t>ed</w:t>
      </w:r>
      <w:r w:rsidRPr="00655C43">
        <w:t xml:space="preserve"> online and offshore </w:t>
      </w:r>
      <w:r>
        <w:t xml:space="preserve">took </w:t>
      </w:r>
      <w:r w:rsidRPr="00655C43">
        <w:t xml:space="preserve">advantage of eased border restrictions. </w:t>
      </w:r>
      <w:r>
        <w:t>In mid</w:t>
      </w:r>
      <w:r>
        <w:noBreakHyphen/>
        <w:t xml:space="preserve">October 2022, there were 122,000 more international students in Australia than in mid-December 2021. In the same period, the number of Chinese students in the country rose by 36,000. </w:t>
      </w:r>
    </w:p>
    <w:p w14:paraId="13F4B109" w14:textId="5443BC85" w:rsidR="00D55D7F" w:rsidRPr="004C0914" w:rsidRDefault="00CD449E" w:rsidP="001E4102">
      <w:pPr>
        <w:pStyle w:val="Heading9"/>
      </w:pPr>
      <w:r w:rsidRPr="00655C43">
        <w:lastRenderedPageBreak/>
        <w:t>Share of total student visa holders who are present in Australia</w:t>
      </w:r>
      <w:bookmarkEnd w:id="66"/>
    </w:p>
    <w:p w14:paraId="37BF4D77" w14:textId="55052E02" w:rsidR="00D55D7F" w:rsidRDefault="00924C2A" w:rsidP="00882B79">
      <w:pPr>
        <w:spacing w:before="0" w:after="0"/>
        <w:jc w:val="center"/>
      </w:pPr>
      <w:r w:rsidRPr="00924C2A">
        <w:rPr>
          <w:noProof/>
        </w:rPr>
        <w:drawing>
          <wp:inline distT="0" distB="0" distL="0" distR="0" wp14:anchorId="121D177E" wp14:editId="2D980F8D">
            <wp:extent cx="5583600" cy="2523600"/>
            <wp:effectExtent l="0" t="0" r="0" b="0"/>
            <wp:docPr id="31" name="Picture 31" descr="A chart showing that the share of student visa holders present in Australia declined during the pandemic, including from the 2 largest education export markets: India and China. The proportion of international students onshore has been increasing since international travel restrictions eased in late 2021.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 chart showing that the share of student visa holders present in Australia declined during the pandemic, including from the 2 largest education export markets: India and China. The proportion of international students onshore has been increasing since international travel restrictions eased in late 2021.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1C3F2240" w14:textId="74806381" w:rsidR="00CD449E" w:rsidRPr="00655C43" w:rsidRDefault="00CD449E" w:rsidP="00CE7098">
      <w:pPr>
        <w:pStyle w:val="Source"/>
      </w:pPr>
      <w:r w:rsidRPr="00655C43">
        <w:t xml:space="preserve">Source: Unpublished data from the Department of Home Affairs. </w:t>
      </w:r>
    </w:p>
    <w:p w14:paraId="5D37C98A" w14:textId="451A8FCC" w:rsidR="00435134" w:rsidRPr="00655C43" w:rsidRDefault="00435134" w:rsidP="00FE153A">
      <w:bookmarkStart w:id="67" w:name="_Ref116889525"/>
      <w:r w:rsidRPr="00655C43">
        <w:t>The outlook for student arrivals in 2022</w:t>
      </w:r>
      <w:r>
        <w:t>–</w:t>
      </w:r>
      <w:r w:rsidRPr="00655C43">
        <w:t xml:space="preserve">23 is </w:t>
      </w:r>
      <w:r>
        <w:t xml:space="preserve">also </w:t>
      </w:r>
      <w:r w:rsidRPr="00655C43">
        <w:t xml:space="preserve">strong. Offshore student visa grants from January to </w:t>
      </w:r>
      <w:r>
        <w:t>October</w:t>
      </w:r>
      <w:r w:rsidR="00E94F8D">
        <w:t> </w:t>
      </w:r>
      <w:r w:rsidRPr="00655C43">
        <w:t xml:space="preserve">2022 were higher than the corresponding period </w:t>
      </w:r>
      <w:r>
        <w:t>since the 2006</w:t>
      </w:r>
      <w:r w:rsidRPr="00655C43">
        <w:t xml:space="preserve"> calendar year</w:t>
      </w:r>
      <w:r w:rsidRPr="00B344C9">
        <w:t xml:space="preserve">. </w:t>
      </w:r>
      <w:r>
        <w:t>Increased access to post-study work options may contribute to stronger future demand for student visas. Un</w:t>
      </w:r>
      <w:r w:rsidR="004D177D">
        <w:t>restricted</w:t>
      </w:r>
      <w:r>
        <w:t xml:space="preserve"> work rights for students were </w:t>
      </w:r>
      <w:r w:rsidR="00294D7C" w:rsidRPr="00294D7C">
        <w:t>extended</w:t>
      </w:r>
      <w:r w:rsidR="00294D7C">
        <w:rPr>
          <w:rFonts w:ascii="Segoe UI" w:hAnsi="Segoe UI" w:cs="Segoe UI"/>
          <w:color w:val="CD5937"/>
          <w:sz w:val="21"/>
          <w:szCs w:val="21"/>
          <w:shd w:val="clear" w:color="auto" w:fill="FFFFFF"/>
        </w:rPr>
        <w:t xml:space="preserve"> </w:t>
      </w:r>
      <w:r>
        <w:t>in September 2022, and are planned to end in June 2023, which may contribute to some increased demand in the short-term.</w:t>
      </w:r>
      <w:r w:rsidRPr="00B344C9">
        <w:t xml:space="preserve"> Offshore grants of working holiday visas and other temporary visas have also </w:t>
      </w:r>
      <w:r>
        <w:t xml:space="preserve">been increasing, and in September 2022 </w:t>
      </w:r>
      <w:r w:rsidRPr="00B344C9">
        <w:t>surpassed 2019 levels</w:t>
      </w:r>
      <w:r>
        <w:t xml:space="preserve"> based on a corresponding month comparison</w:t>
      </w:r>
      <w:r w:rsidRPr="00B344C9">
        <w:t xml:space="preserve"> (</w:t>
      </w:r>
      <w:r w:rsidR="002C2CC1">
        <w:t>Chart 5</w:t>
      </w:r>
      <w:r w:rsidRPr="00B344C9">
        <w:t>).</w:t>
      </w:r>
    </w:p>
    <w:p w14:paraId="08D59D95" w14:textId="3810A1D9" w:rsidR="00CD449E" w:rsidRPr="00655C43" w:rsidRDefault="00CD449E" w:rsidP="001E4102">
      <w:pPr>
        <w:pStyle w:val="Heading9"/>
        <w:spacing w:after="0"/>
        <w:ind w:left="964" w:hanging="964"/>
      </w:pPr>
      <w:bookmarkStart w:id="68" w:name="_Ref120712570"/>
      <w:r w:rsidRPr="00655C43">
        <w:t>Monthly offshore grants of temporary visas, compared to same month in 2019</w:t>
      </w:r>
      <w:bookmarkEnd w:id="67"/>
      <w:bookmarkEnd w:id="68"/>
    </w:p>
    <w:p w14:paraId="626874ED" w14:textId="7F98A814" w:rsidR="00216BE1" w:rsidRDefault="00924C2A" w:rsidP="00F5784C">
      <w:r w:rsidRPr="00924C2A">
        <w:rPr>
          <w:noProof/>
        </w:rPr>
        <w:drawing>
          <wp:inline distT="0" distB="0" distL="0" distR="0" wp14:anchorId="6372F120" wp14:editId="2ACA18CC">
            <wp:extent cx="5583600" cy="2523600"/>
            <wp:effectExtent l="0" t="0" r="0" b="0"/>
            <wp:docPr id="32" name="Picture 32" descr="A chart showing that offshore grants of temporary visas fell to near-zero in the initial stages of the pandemic. Offshore visitor and working holiday maker grants remained close to zero throughout the pandemic while offshore student visa grants were around half of 2019 levels based on a corresponding month comparison. The easing of international travel restrictions saw sharp increases in offshore visa grants, especially for working holiday makers and international students. The recovery in offshore grants of visitor visas is slower, rising to just over 50 per cent of 2019 levels by October 2022. In contrast, offshore grants of the combined remaining visa groups reached or surpassed 2019 levels by October 2022.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chart showing that offshore grants of temporary visas fell to near-zero in the initial stages of the pandemic. Offshore visitor and working holiday maker grants remained close to zero throughout the pandemic while offshore student visa grants were around half of 2019 levels based on a corresponding month comparison. The easing of international travel restrictions saw sharp increases in offshore visa grants, especially for working holiday makers and international students. The recovery in offshore grants of visitor visas is slower, rising to just over 50 per cent of 2019 levels by October 2022. In contrast, offshore grants of the combined remaining visa groups reached or surpassed 2019 levels by October 2022.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060B1601" w14:textId="1B3061B6" w:rsidR="00CD449E" w:rsidRPr="00655C43" w:rsidRDefault="00CD449E" w:rsidP="00CD449E">
      <w:pPr>
        <w:pStyle w:val="Source"/>
        <w:rPr>
          <w:szCs w:val="18"/>
        </w:rPr>
      </w:pPr>
      <w:r w:rsidRPr="00655C43">
        <w:rPr>
          <w:szCs w:val="18"/>
        </w:rPr>
        <w:t xml:space="preserve">Source: </w:t>
      </w:r>
      <w:r w:rsidRPr="00655C43">
        <w:t>Unpublished data from the Department of Home Affairs. Only includes visas granted to individuals located outside Australia</w:t>
      </w:r>
      <w:r w:rsidR="00B82898">
        <w:t xml:space="preserve"> and excludes New Zealand citizens and people on Crew and Transit visas</w:t>
      </w:r>
      <w:r w:rsidRPr="00655C43">
        <w:t>.</w:t>
      </w:r>
      <w:r w:rsidRPr="00655C43">
        <w:rPr>
          <w:szCs w:val="18"/>
        </w:rPr>
        <w:t xml:space="preserve"> </w:t>
      </w:r>
    </w:p>
    <w:p w14:paraId="7257D2AB" w14:textId="61DF66E3" w:rsidR="00CD449E" w:rsidRPr="00655C43" w:rsidRDefault="00CD449E" w:rsidP="00FE153A">
      <w:r w:rsidRPr="00655C43">
        <w:t>Permanent migrant arrivals have bounced back from a</w:t>
      </w:r>
      <w:r w:rsidR="004D177D">
        <w:t xml:space="preserve"> year-ending</w:t>
      </w:r>
      <w:r w:rsidRPr="00655C43">
        <w:t xml:space="preserve"> low in the March 2021 quarter and are forecast to continue rising. Data up to the March 2022 quarter show a continuing strong recovery in family and skilled permanent arrivals. The outlook for permanent arrivals is further strengthened by the Australian Government decision to increase the permanent Migration Program planning level by 35,000 to 195,000 in 2022</w:t>
      </w:r>
      <w:r w:rsidR="0033101B">
        <w:t>–</w:t>
      </w:r>
      <w:r w:rsidRPr="00655C43">
        <w:t xml:space="preserve">23. </w:t>
      </w:r>
      <w:r w:rsidR="008C5FA6">
        <w:t>The humanitarian migration planning level in 2022</w:t>
      </w:r>
      <w:r w:rsidR="004422C2">
        <w:t>–</w:t>
      </w:r>
      <w:r w:rsidR="008C5FA6">
        <w:t>23 is unchanged at 13,750 places.</w:t>
      </w:r>
    </w:p>
    <w:p w14:paraId="2E39CDB4" w14:textId="77777777" w:rsidR="00CD449E" w:rsidRPr="00655C43" w:rsidRDefault="00CD449E" w:rsidP="00821CA2">
      <w:pPr>
        <w:pStyle w:val="Heading3"/>
      </w:pPr>
      <w:bookmarkStart w:id="69" w:name="_Toc120635101"/>
      <w:bookmarkStart w:id="70" w:name="_Toc122617934"/>
      <w:bookmarkStart w:id="71" w:name="_Toc122618361"/>
      <w:r w:rsidRPr="00655C43">
        <w:lastRenderedPageBreak/>
        <w:t>Migrant departures</w:t>
      </w:r>
      <w:bookmarkEnd w:id="69"/>
      <w:bookmarkEnd w:id="70"/>
      <w:bookmarkEnd w:id="71"/>
    </w:p>
    <w:p w14:paraId="38560512" w14:textId="3478E71C" w:rsidR="00435134" w:rsidRPr="00655C43" w:rsidRDefault="00435134" w:rsidP="00FE153A">
      <w:bookmarkStart w:id="72" w:name="_Ref116889659"/>
      <w:r w:rsidRPr="00655C43">
        <w:t xml:space="preserve">Travel restrictions have disrupted the usual patterns in migrant departures since late 2019. Migrant departures </w:t>
      </w:r>
      <w:r>
        <w:t>rose</w:t>
      </w:r>
      <w:r w:rsidRPr="00655C43">
        <w:t xml:space="preserve"> at the beginning of the pandemic, </w:t>
      </w:r>
      <w:r>
        <w:t>in part because</w:t>
      </w:r>
      <w:r w:rsidRPr="00655C43">
        <w:t xml:space="preserve"> migrants that left Australia were unable to re</w:t>
      </w:r>
      <w:r>
        <w:t>-</w:t>
      </w:r>
      <w:r w:rsidRPr="00655C43">
        <w:t>enter the country when border restrictions were in place (</w:t>
      </w:r>
      <w:r w:rsidR="002C2CC1">
        <w:t>Chart 6</w:t>
      </w:r>
      <w:r w:rsidRPr="00655C43">
        <w:t xml:space="preserve">). This particularly affected temporary migrant cohorts such as international students, many of whom were unable to return for Semester </w:t>
      </w:r>
      <w:r>
        <w:t>1,</w:t>
      </w:r>
      <w:r w:rsidRPr="00655C43">
        <w:t xml:space="preserve"> 2020 and continued their studies online and offshore. Migrant departures fell in</w:t>
      </w:r>
      <w:r w:rsidR="00145B7C">
        <w:t xml:space="preserve"> the second half of</w:t>
      </w:r>
      <w:r w:rsidRPr="00655C43">
        <w:t xml:space="preserve"> 2020 and have </w:t>
      </w:r>
      <w:r w:rsidR="00145B7C">
        <w:t xml:space="preserve">generally </w:t>
      </w:r>
      <w:r w:rsidRPr="00655C43">
        <w:t xml:space="preserve">remained </w:t>
      </w:r>
      <w:r w:rsidR="00145B7C">
        <w:t>subdued</w:t>
      </w:r>
      <w:r w:rsidR="00145B7C" w:rsidRPr="00655C43">
        <w:t xml:space="preserve"> </w:t>
      </w:r>
      <w:r w:rsidRPr="00655C43">
        <w:t>after border restrictions began easing in late 2021, especially for</w:t>
      </w:r>
      <w:r>
        <w:t xml:space="preserve"> international</w:t>
      </w:r>
      <w:r w:rsidRPr="00655C43">
        <w:t xml:space="preserve"> students, working holiday makers and temporary skilled migrants.</w:t>
      </w:r>
    </w:p>
    <w:p w14:paraId="052F63A9" w14:textId="5C6065E3" w:rsidR="00CD449E" w:rsidRPr="00655C43" w:rsidRDefault="00CD449E" w:rsidP="001E4102">
      <w:pPr>
        <w:pStyle w:val="Heading9"/>
        <w:rPr>
          <w:noProof/>
        </w:rPr>
      </w:pPr>
      <w:bookmarkStart w:id="73" w:name="_Ref120712620"/>
      <w:r w:rsidRPr="00655C43">
        <w:t>Annual migrant departures, by visa type</w:t>
      </w:r>
      <w:bookmarkEnd w:id="72"/>
      <w:bookmarkEnd w:id="73"/>
    </w:p>
    <w:p w14:paraId="62B2BF6D" w14:textId="7A15412A" w:rsidR="009A0118" w:rsidRDefault="00683657" w:rsidP="00E7067E">
      <w:pPr>
        <w:spacing w:before="0" w:after="0"/>
        <w:jc w:val="center"/>
        <w:rPr>
          <w:noProof/>
        </w:rPr>
      </w:pPr>
      <w:r w:rsidRPr="00683657">
        <w:rPr>
          <w:noProof/>
        </w:rPr>
        <w:drawing>
          <wp:inline distT="0" distB="0" distL="0" distR="0" wp14:anchorId="07E8629D" wp14:editId="48590553">
            <wp:extent cx="5581650" cy="2524760"/>
            <wp:effectExtent l="0" t="0" r="0" b="0"/>
            <wp:docPr id="4" name="Picture 4" descr="A chart showing a sharp increase in temporary migrant departures in 2019-20, especially international students. While student departures subsequently fell until June 2022, the decline in all other temporary migrant departures stabilised in mid-2021. Departures of permanent residents and New Zealand citizens remained relatively more stable throughout the pandemic while departures of Australian citizens rose steadily in 2021 after a low point in March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showing a sharp increase in temporary migrant departures in 2019-20, especially international students. While student departures subsequently fell until June 2022, the decline in all other temporary migrant departures stabilised in mid-2021. Departures of permanent residents and New Zealand citizens remained relatively more stable throughout the pandemic while departures of Australian citizens rose steadily in 2021 after a low point in March 20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2524760"/>
                    </a:xfrm>
                    <a:prstGeom prst="rect">
                      <a:avLst/>
                    </a:prstGeom>
                    <a:noFill/>
                    <a:ln>
                      <a:noFill/>
                    </a:ln>
                  </pic:spPr>
                </pic:pic>
              </a:graphicData>
            </a:graphic>
          </wp:inline>
        </w:drawing>
      </w:r>
    </w:p>
    <w:p w14:paraId="060EF2B6" w14:textId="6E4F7DFB" w:rsidR="00CD449E" w:rsidRPr="00655C43" w:rsidRDefault="00CD449E" w:rsidP="00CD449E">
      <w:pPr>
        <w:pStyle w:val="Source"/>
        <w:spacing w:before="0" w:after="0"/>
      </w:pPr>
      <w:r w:rsidRPr="00655C43">
        <w:t>Note: Quarterly data presented on a year</w:t>
      </w:r>
      <w:r w:rsidR="00686DE5">
        <w:t>-</w:t>
      </w:r>
      <w:r w:rsidRPr="00655C43">
        <w:t>ending basis.</w:t>
      </w:r>
      <w:r w:rsidRPr="00655C43" w:rsidDel="00FB1133">
        <w:t xml:space="preserve"> </w:t>
      </w:r>
      <w:r w:rsidRPr="00655C43">
        <w:t>Migrant arrivals and departures are categorised based on the visa type at the time of a traveller’s departure.</w:t>
      </w:r>
    </w:p>
    <w:p w14:paraId="0681D8F5" w14:textId="2A2154A4" w:rsidR="00CD449E" w:rsidRPr="00655C43" w:rsidRDefault="00CD449E" w:rsidP="00CD449E">
      <w:pPr>
        <w:pStyle w:val="Source"/>
        <w:spacing w:before="0" w:after="0"/>
        <w:rPr>
          <w:noProof/>
          <w:color w:val="0563C1"/>
        </w:rPr>
      </w:pPr>
      <w:r w:rsidRPr="00655C43">
        <w:t xml:space="preserve">Source: Australian Bureau of Statistics, </w:t>
      </w:r>
      <w:r w:rsidR="00AB2814">
        <w:t>c</w:t>
      </w:r>
      <w:r w:rsidRPr="00655C43">
        <w:t xml:space="preserve">ustomised data consultancy and Centre for Population projections. </w:t>
      </w:r>
    </w:p>
    <w:p w14:paraId="3E6CE241" w14:textId="7E2C1984" w:rsidR="00CD449E" w:rsidRPr="00655C43" w:rsidRDefault="00CD449E" w:rsidP="00FE153A">
      <w:r w:rsidRPr="00655C43">
        <w:t>Very few migrant arrivals over 2020 and 2021 significantly lowered the number of new migrants in the country, particularly international students and working holiday makers. This left a smaller pool of temporary migrants who are likely to depart. As a result, the outlook for migrant departures is lower until 2023</w:t>
      </w:r>
      <w:r w:rsidR="0033101B">
        <w:t>–</w:t>
      </w:r>
      <w:r w:rsidRPr="00655C43">
        <w:t>24, with a slower return to pre</w:t>
      </w:r>
      <w:r w:rsidR="00686DE5">
        <w:t>-</w:t>
      </w:r>
      <w:r w:rsidRPr="00655C43">
        <w:t xml:space="preserve">pandemic trends than arrivals. </w:t>
      </w:r>
    </w:p>
    <w:p w14:paraId="1EE3F8A0" w14:textId="76F45DE7" w:rsidR="004A3F79" w:rsidRPr="00655C43" w:rsidRDefault="004A3F79" w:rsidP="00FE153A">
      <w:r w:rsidRPr="00655C43">
        <w:t>There are significant uncertainties around international travel and migration patterns in the coming years</w:t>
      </w:r>
      <w:r>
        <w:t>. R</w:t>
      </w:r>
      <w:r w:rsidRPr="00655C43">
        <w:t>ecently observed migrant behaviour continues to be less predictable than prior to the pandemic</w:t>
      </w:r>
      <w:r w:rsidR="00686DE5">
        <w:t>.</w:t>
      </w:r>
      <w:r w:rsidRPr="00515ACC">
        <w:t xml:space="preserve"> </w:t>
      </w:r>
      <w:r w:rsidRPr="00655C43">
        <w:t>An upside risk to net overseas migration in the short</w:t>
      </w:r>
      <w:r w:rsidR="00686DE5">
        <w:t>-</w:t>
      </w:r>
      <w:r w:rsidRPr="00655C43">
        <w:t xml:space="preserve">term is that migrant departures may be lower </w:t>
      </w:r>
      <w:r w:rsidRPr="00B344C9">
        <w:t xml:space="preserve">than forecast, particularly if those temporary migrants who remained in Australia during the pandemic were those </w:t>
      </w:r>
      <w:r w:rsidR="00EE51D8">
        <w:t>planning</w:t>
      </w:r>
      <w:r w:rsidR="00EE51D8" w:rsidRPr="00B344C9">
        <w:t xml:space="preserve"> </w:t>
      </w:r>
      <w:r w:rsidRPr="00B344C9">
        <w:t xml:space="preserve">to stay in Australia even longer. </w:t>
      </w:r>
      <w:r w:rsidR="00435134" w:rsidRPr="00B344C9">
        <w:t xml:space="preserve">Student arrivals pose both upside and downside risks and </w:t>
      </w:r>
      <w:r w:rsidR="00435134">
        <w:t>are</w:t>
      </w:r>
      <w:r w:rsidR="00435134" w:rsidRPr="00B344C9">
        <w:t xml:space="preserve"> dependent on movement restrictions in student source countries and the continuation of online study options. In the past, student arrivals have contributed significantly to Australia’s growing </w:t>
      </w:r>
      <w:r w:rsidR="00435134">
        <w:t>migrant intake, and f</w:t>
      </w:r>
      <w:r w:rsidR="00435134" w:rsidRPr="00B344C9">
        <w:t xml:space="preserve">uture net overseas migration will be sensitive to any changes in Australia’s share of the international student market. Australian citizens pose a downside risk to the </w:t>
      </w:r>
      <w:r w:rsidR="00435134">
        <w:t>net overseas migration</w:t>
      </w:r>
      <w:r w:rsidR="00435134" w:rsidRPr="00B344C9">
        <w:t xml:space="preserve"> outlook, as Australians who </w:t>
      </w:r>
      <w:r w:rsidR="00435134">
        <w:t>chose to remain in</w:t>
      </w:r>
      <w:r w:rsidR="00435134" w:rsidRPr="00B344C9">
        <w:t xml:space="preserve"> </w:t>
      </w:r>
      <w:r w:rsidR="00435134">
        <w:t>the country</w:t>
      </w:r>
      <w:r w:rsidR="00435134" w:rsidRPr="00B344C9">
        <w:t xml:space="preserve"> during the pandemic may </w:t>
      </w:r>
      <w:r w:rsidR="00435134">
        <w:t xml:space="preserve">now choose to </w:t>
      </w:r>
      <w:r w:rsidR="003C6CF9">
        <w:t>depart</w:t>
      </w:r>
      <w:r w:rsidR="00435134">
        <w:t>.</w:t>
      </w:r>
    </w:p>
    <w:p w14:paraId="4992292F" w14:textId="77777777" w:rsidR="00FE153A" w:rsidRDefault="00FE153A">
      <w:pPr>
        <w:spacing w:before="0" w:after="160" w:line="259" w:lineRule="auto"/>
        <w:rPr>
          <w:b/>
          <w:smallCaps/>
          <w:color w:val="002C47" w:themeColor="accent1"/>
          <w:spacing w:val="15"/>
        </w:rPr>
      </w:pPr>
      <w:bookmarkStart w:id="74" w:name="_Toc120635102"/>
      <w:r>
        <w:br w:type="page"/>
      </w:r>
    </w:p>
    <w:p w14:paraId="5278F0C6" w14:textId="0DB3E62E" w:rsidR="00CD449E" w:rsidRPr="00655C43" w:rsidRDefault="00CD449E" w:rsidP="00821CA2">
      <w:pPr>
        <w:pStyle w:val="Heading3"/>
      </w:pPr>
      <w:bookmarkStart w:id="75" w:name="_Toc122617935"/>
      <w:bookmarkStart w:id="76" w:name="_Toc122618362"/>
      <w:r w:rsidRPr="00655C43">
        <w:lastRenderedPageBreak/>
        <w:t>Temporary migrant stocks</w:t>
      </w:r>
      <w:bookmarkEnd w:id="74"/>
      <w:bookmarkEnd w:id="75"/>
      <w:bookmarkEnd w:id="76"/>
    </w:p>
    <w:p w14:paraId="350E4E7F" w14:textId="5BB8E308" w:rsidR="004A3F79" w:rsidRPr="00655C43" w:rsidRDefault="004A3F79" w:rsidP="00FE153A">
      <w:r w:rsidRPr="00655C43">
        <w:t xml:space="preserve">From 30 June 2004 to 30 June 2018 the number of temporary visa holders in Australia (excluding visitors) increased by </w:t>
      </w:r>
      <w:r w:rsidR="00145B7C">
        <w:t xml:space="preserve">around </w:t>
      </w:r>
      <w:r w:rsidRPr="00655C43">
        <w:t>9</w:t>
      </w:r>
      <w:r w:rsidR="00145B7C">
        <w:t>0</w:t>
      </w:r>
      <w:r w:rsidRPr="00655C43">
        <w:t xml:space="preserve">0,000 </w:t>
      </w:r>
      <w:r>
        <w:t>(</w:t>
      </w:r>
      <w:r w:rsidRPr="00655C43">
        <w:t xml:space="preserve">or </w:t>
      </w:r>
      <w:r>
        <w:t xml:space="preserve">an average of </w:t>
      </w:r>
      <w:r w:rsidRPr="00655C43">
        <w:t>65,000 per year</w:t>
      </w:r>
      <w:r>
        <w:t>)</w:t>
      </w:r>
      <w:r w:rsidR="006B6D6C">
        <w:rPr>
          <w:rStyle w:val="FootnoteReference"/>
        </w:rPr>
        <w:footnoteReference w:id="3"/>
      </w:r>
      <w:r w:rsidRPr="00655C43">
        <w:t>, driven by international students and New</w:t>
      </w:r>
      <w:r w:rsidR="00E94F8D">
        <w:t> </w:t>
      </w:r>
      <w:r w:rsidRPr="00655C43">
        <w:t>Zealand citizens.</w:t>
      </w:r>
      <w:r w:rsidRPr="00655C43" w:rsidDel="006D30C8">
        <w:t xml:space="preserve"> </w:t>
      </w:r>
      <w:r w:rsidRPr="00655C43">
        <w:t>Measures taken to contain the pandemic limited opportunities for temporary migrants to travel to Australia</w:t>
      </w:r>
      <w:r>
        <w:t>,</w:t>
      </w:r>
      <w:r w:rsidRPr="00655C43">
        <w:t xml:space="preserve"> while temporary visa holders were allowed to depart as usual. </w:t>
      </w:r>
      <w:r w:rsidR="00435134" w:rsidRPr="00655C43">
        <w:t xml:space="preserve">The number of temporary visa holders in Australia fell from a peak of 2.0 million in </w:t>
      </w:r>
      <w:r w:rsidR="00435134">
        <w:t xml:space="preserve">the </w:t>
      </w:r>
      <w:r w:rsidR="00435134" w:rsidRPr="00655C43">
        <w:t>September 2019</w:t>
      </w:r>
      <w:r w:rsidR="00435134">
        <w:t xml:space="preserve"> quarter</w:t>
      </w:r>
      <w:r w:rsidR="00435134" w:rsidRPr="00655C43">
        <w:t xml:space="preserve"> to a trough of 1.6 million in</w:t>
      </w:r>
      <w:r w:rsidR="00435134">
        <w:t xml:space="preserve"> the</w:t>
      </w:r>
      <w:r w:rsidR="00435134" w:rsidRPr="00655C43">
        <w:t xml:space="preserve"> December 2021</w:t>
      </w:r>
      <w:r w:rsidR="00435134">
        <w:t xml:space="preserve"> quarter</w:t>
      </w:r>
      <w:r w:rsidR="00435134" w:rsidRPr="00655C43">
        <w:t xml:space="preserve">. Since border restrictions eased, the number of temporary migrants </w:t>
      </w:r>
      <w:r w:rsidR="00AF346C">
        <w:t>has begun</w:t>
      </w:r>
      <w:r w:rsidR="00435134" w:rsidRPr="00655C43">
        <w:t xml:space="preserve"> to recover </w:t>
      </w:r>
      <w:r w:rsidR="00435134" w:rsidRPr="00B344C9">
        <w:t xml:space="preserve">and was 1.9 million as of </w:t>
      </w:r>
      <w:r w:rsidR="00435134">
        <w:t>October</w:t>
      </w:r>
      <w:r w:rsidR="00435134" w:rsidRPr="00B344C9">
        <w:t xml:space="preserve"> 2022</w:t>
      </w:r>
      <w:r w:rsidR="00435134" w:rsidRPr="00655C43">
        <w:t>.</w:t>
      </w:r>
      <w:r w:rsidR="00E81C49">
        <w:rPr>
          <w:rStyle w:val="FootnoteReference"/>
        </w:rPr>
        <w:footnoteReference w:id="4"/>
      </w:r>
    </w:p>
    <w:p w14:paraId="3D3F1B0D" w14:textId="01ABD554" w:rsidR="008E0218" w:rsidRDefault="00CD449E" w:rsidP="001A3279">
      <w:pPr>
        <w:pStyle w:val="Heading9"/>
        <w:ind w:left="964" w:hanging="964"/>
      </w:pPr>
      <w:r w:rsidRPr="00655C43">
        <w:t xml:space="preserve">Temporary </w:t>
      </w:r>
      <w:r w:rsidR="00F971A6">
        <w:t>visa holder</w:t>
      </w:r>
      <w:r w:rsidR="004A3F79" w:rsidRPr="00B344C9">
        <w:t xml:space="preserve"> stock (</w:t>
      </w:r>
      <w:r w:rsidR="004A6565">
        <w:t>LHS</w:t>
      </w:r>
      <w:r w:rsidR="004A3F79" w:rsidRPr="00B344C9">
        <w:t>) and annual growth (</w:t>
      </w:r>
      <w:r w:rsidR="004A6565">
        <w:t>RHS</w:t>
      </w:r>
      <w:r w:rsidR="004A3F79" w:rsidRPr="00B344C9">
        <w:t>)</w:t>
      </w:r>
      <w:r w:rsidR="00683657">
        <w:t>,</w:t>
      </w:r>
      <w:r w:rsidR="004A3F79" w:rsidRPr="00B344C9">
        <w:t xml:space="preserve"> Australia</w:t>
      </w:r>
    </w:p>
    <w:tbl>
      <w:tblPr>
        <w:tblStyle w:val="TableGrid"/>
        <w:tblW w:w="0" w:type="auto"/>
        <w:tblLook w:val="04A0" w:firstRow="1" w:lastRow="0" w:firstColumn="1" w:lastColumn="0" w:noHBand="0" w:noVBand="1"/>
      </w:tblPr>
      <w:tblGrid>
        <w:gridCol w:w="4424"/>
        <w:gridCol w:w="222"/>
        <w:gridCol w:w="4424"/>
      </w:tblGrid>
      <w:tr w:rsidR="008E0218" w:rsidRPr="003F7E0C" w14:paraId="548A58D2" w14:textId="77777777" w:rsidTr="006648E5">
        <w:tc>
          <w:tcPr>
            <w:tcW w:w="4253" w:type="dxa"/>
            <w:shd w:val="clear" w:color="auto" w:fill="auto"/>
          </w:tcPr>
          <w:p w14:paraId="03053A39" w14:textId="46BFF8A3" w:rsidR="001F7760" w:rsidRPr="00E544EA" w:rsidRDefault="001F7760" w:rsidP="001F7760">
            <w:pPr>
              <w:pStyle w:val="TableSecondHeading"/>
              <w:spacing w:before="0" w:after="0"/>
              <w:jc w:val="center"/>
            </w:pPr>
            <w:r>
              <w:t>Stock</w:t>
            </w:r>
          </w:p>
          <w:p w14:paraId="2FD5C726" w14:textId="6B3EE5C2" w:rsidR="008E0218" w:rsidRPr="003F7E0C" w:rsidRDefault="001F7760" w:rsidP="001F7760">
            <w:pPr>
              <w:pStyle w:val="ChartSecondHeading"/>
              <w:spacing w:before="0"/>
              <w:jc w:val="center"/>
              <w:rPr>
                <w:color w:val="002C47" w:themeColor="accent1"/>
              </w:rPr>
            </w:pPr>
            <w:r w:rsidRPr="001F7760">
              <w:rPr>
                <w:noProof/>
                <w:color w:val="002C47" w:themeColor="accent1"/>
              </w:rPr>
              <w:drawing>
                <wp:inline distT="0" distB="0" distL="0" distR="0" wp14:anchorId="58061B97" wp14:editId="30F9E538">
                  <wp:extent cx="2701537" cy="2948400"/>
                  <wp:effectExtent l="0" t="0" r="0" b="0"/>
                  <wp:docPr id="8" name="Picture 8" descr="A chart showing that the number of temporary visa holders in Australia increased steadily from 2013 to around 2.0 million in 2019, before falling during the pandemic to a low of 1.6 million in December 2021. The number of temporary visa holders in the country has been increasing since travel restrictions began easing in December 2021. The number of temporary visa holders in Australia grew by 300,000 in the year to September 2022, exceeding the previous recent high of 150,000 in the year to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showing that the number of temporary visa holders in Australia increased steadily from 2013 to around 2.0 million in 2019, before falling during the pandemic to a low of 1.6 million in December 2021. The number of temporary visa holders in the country has been increasing since travel restrictions began easing in December 2021. The number of temporary visa holders in Australia grew by 300,000 in the year to September 2022, exceeding the previous recent high of 150,000 in the year to March 20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1537" cy="2948400"/>
                          </a:xfrm>
                          <a:prstGeom prst="rect">
                            <a:avLst/>
                          </a:prstGeom>
                          <a:noFill/>
                          <a:ln>
                            <a:noFill/>
                          </a:ln>
                        </pic:spPr>
                      </pic:pic>
                    </a:graphicData>
                  </a:graphic>
                </wp:inline>
              </w:drawing>
            </w:r>
          </w:p>
        </w:tc>
        <w:tc>
          <w:tcPr>
            <w:tcW w:w="283" w:type="dxa"/>
            <w:shd w:val="clear" w:color="auto" w:fill="auto"/>
          </w:tcPr>
          <w:p w14:paraId="3745C663" w14:textId="77777777" w:rsidR="008E0218" w:rsidRPr="003F7E0C" w:rsidRDefault="008E0218" w:rsidP="001F7760">
            <w:pPr>
              <w:spacing w:before="0"/>
              <w:rPr>
                <w:color w:val="002C47" w:themeColor="accent1"/>
              </w:rPr>
            </w:pPr>
          </w:p>
        </w:tc>
        <w:tc>
          <w:tcPr>
            <w:tcW w:w="3969" w:type="dxa"/>
            <w:shd w:val="clear" w:color="auto" w:fill="auto"/>
          </w:tcPr>
          <w:p w14:paraId="17C40595" w14:textId="0ED4579F" w:rsidR="001F7760" w:rsidRPr="00E544EA" w:rsidRDefault="001F7760" w:rsidP="001F7760">
            <w:pPr>
              <w:pStyle w:val="TableSecondHeading"/>
              <w:spacing w:before="0" w:after="0"/>
              <w:jc w:val="center"/>
            </w:pPr>
            <w:r>
              <w:t>Annual growth</w:t>
            </w:r>
          </w:p>
          <w:p w14:paraId="2F8D2327" w14:textId="6ABFA8B2" w:rsidR="008E0218" w:rsidRPr="003F7E0C" w:rsidRDefault="001F7760" w:rsidP="001F7760">
            <w:pPr>
              <w:pStyle w:val="ChartGraphic"/>
              <w:rPr>
                <w:color w:val="002C47" w:themeColor="accent1"/>
              </w:rPr>
            </w:pPr>
            <w:r w:rsidRPr="001F7760">
              <w:rPr>
                <w:noProof/>
                <w:color w:val="002C47" w:themeColor="accent1"/>
              </w:rPr>
              <w:drawing>
                <wp:inline distT="0" distB="0" distL="0" distR="0" wp14:anchorId="4543317A" wp14:editId="1D242530">
                  <wp:extent cx="2701537" cy="29484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1537" cy="2948400"/>
                          </a:xfrm>
                          <a:prstGeom prst="rect">
                            <a:avLst/>
                          </a:prstGeom>
                          <a:noFill/>
                          <a:ln>
                            <a:noFill/>
                          </a:ln>
                        </pic:spPr>
                      </pic:pic>
                    </a:graphicData>
                  </a:graphic>
                </wp:inline>
              </w:drawing>
            </w:r>
          </w:p>
        </w:tc>
      </w:tr>
    </w:tbl>
    <w:p w14:paraId="1073F537" w14:textId="10A624CD" w:rsidR="004A3F79" w:rsidRPr="00655C43" w:rsidRDefault="004A3F79" w:rsidP="004A3F79">
      <w:pPr>
        <w:pStyle w:val="Source"/>
        <w:spacing w:after="0"/>
      </w:pPr>
      <w:r w:rsidRPr="00655C43">
        <w:t>Note: Excludes people on Visitor visas and Crew and Transit visas</w:t>
      </w:r>
      <w:r w:rsidR="00435134" w:rsidRPr="00655C43">
        <w:t>.</w:t>
      </w:r>
      <w:r w:rsidR="00435134">
        <w:t xml:space="preserve"> Figures are for the last day in each quarter.</w:t>
      </w:r>
    </w:p>
    <w:p w14:paraId="4B93044A" w14:textId="654BADE0" w:rsidR="004A3F79" w:rsidRPr="00655C43" w:rsidRDefault="004A3F79" w:rsidP="004A3F79">
      <w:pPr>
        <w:pStyle w:val="Source"/>
      </w:pPr>
      <w:r w:rsidRPr="00655C43">
        <w:t xml:space="preserve">Source: </w:t>
      </w:r>
      <w:r w:rsidR="00D414B0">
        <w:rPr>
          <w:noProof/>
        </w:rPr>
        <w:t>Department of Home Affairs, 2022</w:t>
      </w:r>
      <w:r w:rsidRPr="00655C43">
        <w:t>.</w:t>
      </w:r>
      <w:r w:rsidR="00E94F8D" w:rsidRPr="00655C43" w:rsidDel="00E94F8D">
        <w:t xml:space="preserve"> </w:t>
      </w:r>
    </w:p>
    <w:p w14:paraId="2F555E77" w14:textId="68A08A36" w:rsidR="00CD449E" w:rsidRPr="00655C43" w:rsidRDefault="00F032F1" w:rsidP="00FE153A">
      <w:r>
        <w:t>The number of temporary visa holders in Australia has partially recovered due to an increase in temporary visa arrivals, particularly international students, since December 2021</w:t>
      </w:r>
      <w:r w:rsidR="00CD449E" w:rsidRPr="00655C43">
        <w:t xml:space="preserve"> (</w:t>
      </w:r>
      <w:r w:rsidR="002C2CC1">
        <w:t>Chart 8</w:t>
      </w:r>
      <w:r w:rsidR="00CD449E" w:rsidRPr="00655C43">
        <w:t xml:space="preserve">). The number of working holiday makers in the country has not </w:t>
      </w:r>
      <w:r w:rsidR="008E61EF">
        <w:t xml:space="preserve">yet </w:t>
      </w:r>
      <w:r w:rsidR="00CD449E" w:rsidRPr="00655C43">
        <w:t xml:space="preserve">recovered as quickly despite a sharp increase in offshore </w:t>
      </w:r>
      <w:r w:rsidR="00E60956">
        <w:t xml:space="preserve">visa </w:t>
      </w:r>
      <w:r w:rsidR="00CD449E" w:rsidRPr="00655C43">
        <w:t xml:space="preserve">grants in late 2021. </w:t>
      </w:r>
      <w:r w:rsidR="00BA77D9">
        <w:t>While t</w:t>
      </w:r>
      <w:r w:rsidR="00BA77D9" w:rsidRPr="00655C43">
        <w:t xml:space="preserve">here </w:t>
      </w:r>
      <w:r w:rsidR="00CD449E" w:rsidRPr="00655C43">
        <w:t>is lag between someone being granted a visa and arriving in Australia</w:t>
      </w:r>
      <w:r w:rsidR="00BA77D9">
        <w:t xml:space="preserve"> (and some people are granted a visa and never arrive)</w:t>
      </w:r>
      <w:r w:rsidR="008E61EF">
        <w:t xml:space="preserve">, arrivals of working holiday makers </w:t>
      </w:r>
      <w:r w:rsidR="00BA77D9">
        <w:t>are</w:t>
      </w:r>
      <w:r w:rsidR="00BB0490">
        <w:t xml:space="preserve"> expected to </w:t>
      </w:r>
      <w:r w:rsidR="008E61EF">
        <w:t>eventually reflect the strength in offshore visa grants</w:t>
      </w:r>
      <w:r>
        <w:t>.</w:t>
      </w:r>
    </w:p>
    <w:p w14:paraId="5F1FA59A" w14:textId="373F9E71" w:rsidR="004A3F79" w:rsidRPr="00B66DCC" w:rsidRDefault="004A3F79" w:rsidP="001E4102">
      <w:pPr>
        <w:pStyle w:val="Heading9"/>
      </w:pPr>
      <w:bookmarkStart w:id="77" w:name="_Ref117692006"/>
      <w:r w:rsidRPr="00B344C9">
        <w:lastRenderedPageBreak/>
        <w:t>Selected temporary visa holders</w:t>
      </w:r>
      <w:r w:rsidR="00B74D23">
        <w:t xml:space="preserve">, </w:t>
      </w:r>
      <w:r w:rsidRPr="00B344C9">
        <w:t>Australia</w:t>
      </w:r>
      <w:bookmarkEnd w:id="77"/>
    </w:p>
    <w:p w14:paraId="66E6E3D8" w14:textId="17FB2342" w:rsidR="005E411D" w:rsidRDefault="00C61366" w:rsidP="00E56191">
      <w:pPr>
        <w:spacing w:before="0" w:after="0"/>
        <w:jc w:val="center"/>
      </w:pPr>
      <w:r w:rsidRPr="00C61366">
        <w:rPr>
          <w:noProof/>
        </w:rPr>
        <w:drawing>
          <wp:inline distT="0" distB="0" distL="0" distR="0" wp14:anchorId="10579894" wp14:editId="05CDDBD3">
            <wp:extent cx="5583600" cy="2523600"/>
            <wp:effectExtent l="0" t="0" r="0" b="0"/>
            <wp:docPr id="43" name="Picture 43" descr="A chart showing the number of New Zealand citizens on 444 visas remained relatively steady during the pandemic and remained the largest group of temporary visa holders throughout. The number of international students and working holiday makers onshore steadily declined during the pandemic before beginning to recover as travel restrictions eased in late 2021. In contrast, the number of bridging visa holders in Australia grew over the pande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A chart showing the number of New Zealand citizens on 444 visas remained relatively steady during the pandemic and remained the largest group of temporary visa holders throughout. The number of international students and working holiday makers onshore steadily declined during the pandemic before beginning to recover as travel restrictions eased in late 2021. In contrast, the number of bridging visa holders in Australia grew over the pandemi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4A002D1C" w14:textId="77777777" w:rsidR="00435134" w:rsidRPr="00655C43" w:rsidRDefault="00435134" w:rsidP="00435134">
      <w:pPr>
        <w:pStyle w:val="Source"/>
        <w:spacing w:before="0" w:after="0"/>
      </w:pPr>
      <w:r w:rsidRPr="00655C43">
        <w:t>Note: Excludes people on Visitor visas and Crew and Transit visas.</w:t>
      </w:r>
      <w:r>
        <w:t xml:space="preserve"> Figures are for the last day in each quarter.</w:t>
      </w:r>
      <w:r w:rsidRPr="00655C43">
        <w:t xml:space="preserve"> Change in stocks of visa type holders may come from people in Australia changing their visa type as well as from people arriving in </w:t>
      </w:r>
      <w:r>
        <w:t xml:space="preserve">or departing from </w:t>
      </w:r>
      <w:r w:rsidRPr="00655C43">
        <w:t>Australia. Bridging visas are typically issued to people already in Australia.</w:t>
      </w:r>
    </w:p>
    <w:p w14:paraId="64D827B7" w14:textId="5DB1ED34" w:rsidR="00CD449E" w:rsidRPr="00127DBB" w:rsidRDefault="00CD449E" w:rsidP="00CD449E">
      <w:pPr>
        <w:pStyle w:val="Source"/>
        <w:spacing w:before="0" w:after="0"/>
        <w:rPr>
          <w:color w:val="0563C1"/>
        </w:rPr>
      </w:pPr>
      <w:r w:rsidRPr="00655C43">
        <w:t xml:space="preserve">Source: </w:t>
      </w:r>
      <w:r w:rsidR="00D414B0">
        <w:rPr>
          <w:noProof/>
        </w:rPr>
        <w:t>Department of Home Affairs, 2022</w:t>
      </w:r>
      <w:r w:rsidRPr="00655C43">
        <w:t>.</w:t>
      </w:r>
      <w:r w:rsidR="00E94F8D" w:rsidRPr="00655C43" w:rsidDel="00E94F8D">
        <w:t xml:space="preserve"> </w:t>
      </w:r>
    </w:p>
    <w:p w14:paraId="6CC1720F" w14:textId="77777777" w:rsidR="003D6A2D" w:rsidRDefault="003D6A2D" w:rsidP="00D27BD9">
      <w:bookmarkStart w:id="78" w:name="_Toc118792149"/>
    </w:p>
    <w:p w14:paraId="5A7F3E00" w14:textId="1D079C47" w:rsidR="00827D70" w:rsidRDefault="00827D70" w:rsidP="00FE153A">
      <w:pPr>
        <w:pStyle w:val="Heading2Numbered"/>
      </w:pPr>
      <w:bookmarkStart w:id="79" w:name="_Toc122618363"/>
      <w:r w:rsidRPr="00FE153A">
        <w:t>Natural</w:t>
      </w:r>
      <w:r>
        <w:t xml:space="preserve"> </w:t>
      </w:r>
      <w:r w:rsidRPr="00FE153A">
        <w:t>increase</w:t>
      </w:r>
      <w:bookmarkEnd w:id="78"/>
      <w:bookmarkEnd w:id="79"/>
    </w:p>
    <w:p w14:paraId="2C016ADF" w14:textId="29BC2B10" w:rsidR="00E75E1C" w:rsidRPr="00B344C9" w:rsidRDefault="00E75E1C" w:rsidP="00FE153A">
      <w:bookmarkStart w:id="80" w:name="_Hlk118122669"/>
      <w:r w:rsidRPr="00B344C9">
        <w:t xml:space="preserve">Historically, </w:t>
      </w:r>
      <w:r w:rsidR="005476A5">
        <w:t xml:space="preserve">the level of </w:t>
      </w:r>
      <w:r w:rsidRPr="00B344C9">
        <w:t>natural increase (births minus deaths) has remained relatively stable</w:t>
      </w:r>
      <w:r w:rsidR="0047267B">
        <w:t>.</w:t>
      </w:r>
      <w:r w:rsidRPr="00B344C9">
        <w:t xml:space="preserve"> When overseas migration fell sharply</w:t>
      </w:r>
      <w:r w:rsidRPr="00B344C9" w:rsidDel="00BF2BA7">
        <w:t xml:space="preserve"> </w:t>
      </w:r>
      <w:r w:rsidRPr="00B344C9">
        <w:t xml:space="preserve">in 2020–21, natural increase was the sole driver of population growth. As overseas migration begins to recover in 2021–22, natural increase is </w:t>
      </w:r>
      <w:r w:rsidR="00A74148">
        <w:t>forecast</w:t>
      </w:r>
      <w:r w:rsidRPr="00B344C9">
        <w:t xml:space="preserve"> to contribute 4</w:t>
      </w:r>
      <w:r w:rsidR="00E71027">
        <w:t>4.9</w:t>
      </w:r>
      <w:r w:rsidRPr="00B344C9">
        <w:t xml:space="preserve"> per cent to population growth.</w:t>
      </w:r>
    </w:p>
    <w:p w14:paraId="4D6DB05F" w14:textId="6C69D7AD" w:rsidR="00E75E1C" w:rsidRPr="00B344C9" w:rsidRDefault="00E75E1C" w:rsidP="00FE153A">
      <w:bookmarkStart w:id="81" w:name="_Hlk118122624"/>
      <w:bookmarkEnd w:id="80"/>
      <w:r w:rsidRPr="00B344C9">
        <w:t>Consistent with long</w:t>
      </w:r>
      <w:r w:rsidR="008125F5" w:rsidRPr="00B344C9">
        <w:t>-</w:t>
      </w:r>
      <w:r w:rsidRPr="00B344C9">
        <w:t xml:space="preserve">running trends, natural increase is projected to decline gradually over the next decade, from 139,000 in 2020–21 to 116,000 by 2032–33. This reflects the increase in the number of births being less than the increase in the number of deaths, primarily the result of an ageing population </w:t>
      </w:r>
      <w:bookmarkEnd w:id="81"/>
      <w:r w:rsidRPr="00B344C9">
        <w:t>(</w:t>
      </w:r>
      <w:r w:rsidR="002C2CC1">
        <w:t>Chart 9</w:t>
      </w:r>
      <w:r w:rsidRPr="00B344C9">
        <w:t>). Births are projected to gradually increase from 305,000 in 2020–21 to 328,000 by 2032–33, while deaths are expected to increase from 166,000 in 2020–21 to 212,000 by 2032–33.</w:t>
      </w:r>
    </w:p>
    <w:p w14:paraId="041411AB" w14:textId="1BDB68E9" w:rsidR="00E75E1C" w:rsidRPr="00B344C9" w:rsidRDefault="00E75E1C" w:rsidP="00FE153A">
      <w:r w:rsidRPr="00B344C9">
        <w:t>The pandemic is expected to cause natural increase to fall more than usual over 2021–22 and 2022–23, due to an increase in the estimated total number of deaths from COVID</w:t>
      </w:r>
      <w:r w:rsidR="009B78C6" w:rsidRPr="00B344C9">
        <w:t>-</w:t>
      </w:r>
      <w:r w:rsidRPr="00B344C9">
        <w:t>19 and other causes not directly attributable to COVID-19 (8,800 higher in each of these years than in the 2022–23 March Budget). Natural increase is projected to return to pre</w:t>
      </w:r>
      <w:r w:rsidR="009B78C6" w:rsidRPr="00B344C9">
        <w:t>-</w:t>
      </w:r>
      <w:r w:rsidRPr="00B344C9">
        <w:t>pandemic levels in 2023–24.</w:t>
      </w:r>
    </w:p>
    <w:p w14:paraId="10F688D8" w14:textId="77777777" w:rsidR="00E75E1C" w:rsidRPr="00B344C9" w:rsidRDefault="00E75E1C" w:rsidP="00AA74B9">
      <w:pPr>
        <w:pStyle w:val="Heading9"/>
      </w:pPr>
      <w:bookmarkStart w:id="82" w:name="_Ref114671503"/>
      <w:r w:rsidRPr="00B344C9">
        <w:lastRenderedPageBreak/>
        <w:t>Natural increase and components, Australia</w:t>
      </w:r>
      <w:bookmarkEnd w:id="82"/>
    </w:p>
    <w:p w14:paraId="5CEC7107" w14:textId="423BA6BB" w:rsidR="00E75E1C" w:rsidRPr="00B344C9" w:rsidRDefault="00A25B62" w:rsidP="00A25B62">
      <w:pPr>
        <w:spacing w:before="0" w:after="0"/>
        <w:jc w:val="center"/>
      </w:pPr>
      <w:r w:rsidRPr="00A25B62">
        <w:rPr>
          <w:noProof/>
        </w:rPr>
        <w:drawing>
          <wp:inline distT="0" distB="0" distL="0" distR="0" wp14:anchorId="6761BD1A" wp14:editId="09EA249C">
            <wp:extent cx="5581650" cy="2520315"/>
            <wp:effectExtent l="0" t="0" r="0" b="0"/>
            <wp:docPr id="22" name="Picture 22" descr="A chart showing natural increase disaggregated into its component parts for Australia. The number of births has increased slightly over time as the population has grown, as has the number of deaths. As a result, the level of natural increase has decreased slightly over time and is projected to continue decreasing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hart showing natural increase disaggregated into its component parts for Australia. The number of births has increased slightly over time as the population has grown, as has the number of deaths. As a result, the level of natural increase has decreased slightly over time and is projected to continue decreasing until 2032-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75B8F9F9" w14:textId="0DE5DB08" w:rsidR="00E75E1C" w:rsidRPr="00B344C9" w:rsidRDefault="00E75E1C" w:rsidP="00AA74B9">
      <w:pPr>
        <w:pStyle w:val="Source"/>
      </w:pPr>
      <w:r w:rsidRPr="00B344C9">
        <w:t xml:space="preserve">Source: </w:t>
      </w:r>
      <w:r w:rsidR="00D414B0" w:rsidRPr="00B344C9">
        <w:t xml:space="preserve">Australian Bureau of Statistics, National, state and territory population, March 2022, </w:t>
      </w:r>
      <w:proofErr w:type="gramStart"/>
      <w:r w:rsidR="00D414B0" w:rsidRPr="00B344C9">
        <w:t>2022</w:t>
      </w:r>
      <w:proofErr w:type="gramEnd"/>
      <w:r w:rsidRPr="00B344C9">
        <w:t xml:space="preserve"> and Centre for Population projections. </w:t>
      </w:r>
    </w:p>
    <w:p w14:paraId="545ABCE4" w14:textId="77777777" w:rsidR="00E75E1C" w:rsidRPr="00821CA2" w:rsidRDefault="00E75E1C" w:rsidP="00821CA2">
      <w:pPr>
        <w:pStyle w:val="Heading3"/>
      </w:pPr>
      <w:bookmarkStart w:id="83" w:name="_Toc120635104"/>
      <w:bookmarkStart w:id="84" w:name="_Toc122617937"/>
      <w:bookmarkStart w:id="85" w:name="_Toc122618364"/>
      <w:r w:rsidRPr="00821CA2">
        <w:t>Fertility</w:t>
      </w:r>
      <w:bookmarkEnd w:id="83"/>
      <w:bookmarkEnd w:id="84"/>
      <w:bookmarkEnd w:id="85"/>
    </w:p>
    <w:p w14:paraId="380D6559" w14:textId="6F45674D" w:rsidR="00E75E1C" w:rsidRPr="00B344C9" w:rsidRDefault="00E75E1C" w:rsidP="00FE153A">
      <w:pPr>
        <w:rPr>
          <w:rFonts w:eastAsiaTheme="minorHAnsi"/>
        </w:rPr>
      </w:pPr>
      <w:r w:rsidRPr="00B344C9">
        <w:rPr>
          <w:rFonts w:eastAsiaTheme="minorHAnsi"/>
        </w:rPr>
        <w:t xml:space="preserve">Australia’s total fertility rate is expected </w:t>
      </w:r>
      <w:r w:rsidRPr="00B344C9">
        <w:t>to decline slightly from 1.66 babies per woman in 2021–22 to 1.65 by 2024–25, and then fall to 1.62 babies per woman by 2030–31. This reflects</w:t>
      </w:r>
      <w:r w:rsidRPr="00B344C9">
        <w:rPr>
          <w:rFonts w:eastAsiaTheme="minorHAnsi"/>
        </w:rPr>
        <w:t xml:space="preserve"> a </w:t>
      </w:r>
      <w:r w:rsidRPr="00B344C9">
        <w:t>long</w:t>
      </w:r>
      <w:r w:rsidR="008125F5" w:rsidRPr="00B344C9">
        <w:t>-</w:t>
      </w:r>
      <w:r w:rsidRPr="00B344C9">
        <w:t xml:space="preserve">running trend of Australian women having children later in life and having fewer children when they do. </w:t>
      </w:r>
    </w:p>
    <w:p w14:paraId="74F5DE19" w14:textId="77777777" w:rsidR="00E75E1C" w:rsidRPr="00B344C9" w:rsidRDefault="00E75E1C" w:rsidP="00AA74B9">
      <w:pPr>
        <w:pStyle w:val="Heading9"/>
      </w:pPr>
      <w:bookmarkStart w:id="86" w:name="_Ref119937316"/>
      <w:r w:rsidRPr="00B344C9">
        <w:t>Total fertility rate, Australia</w:t>
      </w:r>
      <w:bookmarkEnd w:id="86"/>
    </w:p>
    <w:p w14:paraId="17564BF6" w14:textId="26303B4B" w:rsidR="00E75E1C" w:rsidRPr="00B344C9" w:rsidRDefault="00117180" w:rsidP="00117180">
      <w:pPr>
        <w:spacing w:before="0" w:after="0"/>
        <w:jc w:val="center"/>
      </w:pPr>
      <w:r w:rsidRPr="00117180">
        <w:rPr>
          <w:noProof/>
        </w:rPr>
        <w:drawing>
          <wp:inline distT="0" distB="0" distL="0" distR="0" wp14:anchorId="7E48AF6B" wp14:editId="6C42071C">
            <wp:extent cx="5581650" cy="2520315"/>
            <wp:effectExtent l="0" t="0" r="0" b="0"/>
            <wp:docPr id="23" name="Picture 23" descr="A chart showing total fertility rates expressed as babies per woman from 1982-83 to 2032-33.  Australia’s total fertility rate is expected to decline slightly from 1.66 babies per woman in 2021–22 to 1.65 by 2024–25, and then fall to 1.62 babies per woman by 2030–31. This reflects a long-running trend of Australian women having children later in life and having fewer children when they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hart showing total fertility rates expressed as babies per woman from 1982-83 to 2032-33.  Australia’s total fertility rate is expected to decline slightly from 1.66 babies per woman in 2021–22 to 1.65 by 2024–25, and then fall to 1.62 babies per woman by 2030–31. This reflects a long-running trend of Australian women having children later in life and having fewer children when they d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64ACDEFA" w14:textId="7F5A4EF2" w:rsidR="00E75E1C" w:rsidRPr="00B344C9" w:rsidRDefault="00E75E1C" w:rsidP="00AA74B9">
      <w:pPr>
        <w:pStyle w:val="Source"/>
      </w:pPr>
      <w:r w:rsidRPr="00B344C9">
        <w:t xml:space="preserve">Source: </w:t>
      </w:r>
      <w:r w:rsidR="00601536" w:rsidRPr="00B344C9">
        <w:t xml:space="preserve">Australian Bureau of Statistics, National, state and territory population, March 2022, </w:t>
      </w:r>
      <w:proofErr w:type="gramStart"/>
      <w:r w:rsidR="00601536" w:rsidRPr="00B344C9">
        <w:t>2022</w:t>
      </w:r>
      <w:proofErr w:type="gramEnd"/>
      <w:r w:rsidRPr="00B344C9">
        <w:t xml:space="preserve"> and Centre for Population projections.</w:t>
      </w:r>
      <w:r w:rsidR="00E94F8D" w:rsidRPr="00B344C9" w:rsidDel="00E94F8D">
        <w:t xml:space="preserve"> </w:t>
      </w:r>
    </w:p>
    <w:p w14:paraId="56F30904" w14:textId="2AFB3670" w:rsidR="00E75E1C" w:rsidRPr="00B344C9" w:rsidRDefault="00E75E1C" w:rsidP="00FE153A">
      <w:r w:rsidRPr="00B344C9">
        <w:t>The impact of the pandemic on Australia’s fertility appears to have been relatively short</w:t>
      </w:r>
      <w:r w:rsidR="008125F5" w:rsidRPr="00B344C9">
        <w:t>-</w:t>
      </w:r>
      <w:r w:rsidRPr="00B344C9">
        <w:t>lived, with a small drop and subsequent rebound in births in 2021. This suggests that people adapted to the uncertainty of the pandemic and quickly caught</w:t>
      </w:r>
      <w:r w:rsidR="008125F5" w:rsidRPr="00B344C9">
        <w:t>-</w:t>
      </w:r>
      <w:r w:rsidRPr="00B344C9">
        <w:t>up on delayed childbearing plans.</w:t>
      </w:r>
      <w:r w:rsidRPr="00B344C9">
        <w:rPr>
          <w:rStyle w:val="FootnoteReference"/>
          <w:rFonts w:eastAsiaTheme="minorHAnsi"/>
        </w:rPr>
        <w:footnoteReference w:id="5"/>
      </w:r>
      <w:r w:rsidRPr="00B344C9">
        <w:t xml:space="preserve"> </w:t>
      </w:r>
    </w:p>
    <w:p w14:paraId="44ADC362" w14:textId="7440456D" w:rsidR="00E75E1C" w:rsidRPr="00B344C9" w:rsidRDefault="00E75E1C" w:rsidP="00FE153A">
      <w:r w:rsidRPr="00B344C9">
        <w:lastRenderedPageBreak/>
        <w:t>The temporary decline in births was most evident in the December 2020 quarter, when births fell by 3,000 to reach 71,000, the lowest quarterly result in the past 1</w:t>
      </w:r>
      <w:r w:rsidR="00EA2FCC">
        <w:t>4</w:t>
      </w:r>
      <w:r w:rsidRPr="00B344C9">
        <w:t xml:space="preserve"> years. Births in this quarter would have been conceived during the early stages of the pandemic, a period of high uncertainty which likely influenced families’ childbearing plans.</w:t>
      </w:r>
      <w:r w:rsidRPr="00B344C9">
        <w:rPr>
          <w:rStyle w:val="FootnoteReference"/>
        </w:rPr>
        <w:footnoteReference w:id="6"/>
      </w:r>
      <w:r w:rsidRPr="00B344C9">
        <w:t xml:space="preserve"> Births then rebounded in the first half of 2021, reaching a peak of 80,000 in the March 2021 quarter, which was the highest quarterly result in over 40</w:t>
      </w:r>
      <w:r w:rsidR="00C1601E">
        <w:t xml:space="preserve"> </w:t>
      </w:r>
      <w:r w:rsidRPr="00B344C9">
        <w:t>year</w:t>
      </w:r>
      <w:r w:rsidR="00A00561">
        <w:t>s</w:t>
      </w:r>
      <w:r w:rsidRPr="00B344C9">
        <w:t>.</w:t>
      </w:r>
      <w:r w:rsidRPr="00B344C9">
        <w:rPr>
          <w:rStyle w:val="FootnoteReference"/>
        </w:rPr>
        <w:footnoteReference w:id="7"/>
      </w:r>
      <w:r w:rsidRPr="00B344C9">
        <w:t xml:space="preserve"> </w:t>
      </w:r>
    </w:p>
    <w:p w14:paraId="592D53C7" w14:textId="7D5D91E1" w:rsidR="00E75E1C" w:rsidRPr="00B344C9" w:rsidRDefault="00E75E1C" w:rsidP="00FE153A">
      <w:r w:rsidRPr="00B344C9">
        <w:t>In 2020–21, the total fertility rate was 1.66 babies per woman,</w:t>
      </w:r>
      <w:r w:rsidRPr="00B344C9">
        <w:rPr>
          <w:rStyle w:val="FootnoteReference"/>
        </w:rPr>
        <w:footnoteReference w:id="8"/>
      </w:r>
      <w:r w:rsidRPr="00B344C9">
        <w:t xml:space="preserve"> </w:t>
      </w:r>
      <w:r w:rsidRPr="00B344C9" w:rsidDel="000553F7">
        <w:t xml:space="preserve">similar to </w:t>
      </w:r>
      <w:r w:rsidRPr="00B344C9">
        <w:t xml:space="preserve">the rate recorded in </w:t>
      </w:r>
      <w:r w:rsidRPr="00B344C9" w:rsidDel="000553F7">
        <w:t>2018</w:t>
      </w:r>
      <w:r w:rsidRPr="00B344C9">
        <w:t>–</w:t>
      </w:r>
      <w:r w:rsidRPr="00B344C9" w:rsidDel="000553F7">
        <w:t>19</w:t>
      </w:r>
      <w:r w:rsidRPr="00B344C9">
        <w:t xml:space="preserve">. Early data suggest that births in 2021–22 are likely to continue to occur at levels observed prior to the pandemic, leading to a forecast total fertility rate of </w:t>
      </w:r>
      <w:r w:rsidRPr="00B344C9" w:rsidDel="000553F7">
        <w:t>1.66 babies per woman</w:t>
      </w:r>
      <w:r w:rsidRPr="00B344C9">
        <w:t>.</w:t>
      </w:r>
    </w:p>
    <w:p w14:paraId="3AF3D694" w14:textId="6347D1BA" w:rsidR="00E75E1C" w:rsidRPr="00B344C9" w:rsidRDefault="00E75E1C" w:rsidP="00FE153A">
      <w:r w:rsidRPr="00B344C9">
        <w:t>Australia’s experience during the pandemic is broadly in line with other high</w:t>
      </w:r>
      <w:r w:rsidR="00BE2995" w:rsidRPr="00B344C9">
        <w:t>-</w:t>
      </w:r>
      <w:r w:rsidRPr="00B344C9">
        <w:t>income countries, which also experienced short</w:t>
      </w:r>
      <w:r w:rsidR="00BE2995" w:rsidRPr="00B344C9">
        <w:t>-</w:t>
      </w:r>
      <w:r w:rsidRPr="00B344C9">
        <w:t>term fluctuations in the number of births</w:t>
      </w:r>
      <w:r w:rsidR="001475BD">
        <w:t xml:space="preserve"> and are </w:t>
      </w:r>
      <w:r w:rsidR="00A246B8">
        <w:t>expected to return to long-term trends after that</w:t>
      </w:r>
      <w:r w:rsidRPr="00B344C9">
        <w:t xml:space="preserve"> (</w:t>
      </w:r>
      <w:r w:rsidR="002C2CC1">
        <w:t>Chart 11</w:t>
      </w:r>
      <w:r w:rsidRPr="00B344C9">
        <w:t xml:space="preserve">). </w:t>
      </w:r>
    </w:p>
    <w:p w14:paraId="377BCB13" w14:textId="1343CDB2" w:rsidR="00E75E1C" w:rsidRPr="00B344C9" w:rsidRDefault="00E75E1C" w:rsidP="00AA74B9">
      <w:pPr>
        <w:pStyle w:val="Heading9"/>
      </w:pPr>
      <w:bookmarkStart w:id="87" w:name="_Ref117610482"/>
      <w:bookmarkStart w:id="88" w:name="_Ref117693231"/>
      <w:r w:rsidRPr="00B344C9">
        <w:t>Total fertility rates,</w:t>
      </w:r>
      <w:bookmarkEnd w:id="87"/>
      <w:r w:rsidRPr="00B344C9">
        <w:t xml:space="preserve"> selected countries</w:t>
      </w:r>
      <w:bookmarkEnd w:id="88"/>
    </w:p>
    <w:p w14:paraId="232A738B" w14:textId="026807F8" w:rsidR="00E75E1C" w:rsidRPr="00B344C9" w:rsidRDefault="004416C3" w:rsidP="004416C3">
      <w:pPr>
        <w:spacing w:before="0" w:after="0"/>
        <w:jc w:val="center"/>
      </w:pPr>
      <w:r w:rsidRPr="004416C3">
        <w:rPr>
          <w:noProof/>
        </w:rPr>
        <w:drawing>
          <wp:inline distT="0" distB="0" distL="0" distR="0" wp14:anchorId="597D7BA7" wp14:editId="7CA780A8">
            <wp:extent cx="5581650" cy="2520315"/>
            <wp:effectExtent l="0" t="0" r="0" b="0"/>
            <wp:docPr id="30" name="Picture 30" descr="A chart showing total fertility rates expressed as babies per woman for New Zealand, Canada, the United Kingdom, and the United States of America. Fertility rates have declined across these countries between 2011 and 2022. The total fertility rate in the United Kingdom, the United States and New Zealand decreased between 2019 and 2020, but then increased in 2021 (except for New Zea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hart showing total fertility rates expressed as babies per woman for New Zealand, Canada, the United Kingdom, and the United States of America. Fertility rates have declined across these countries between 2011 and 2022. The total fertility rate in the United Kingdom, the United States and New Zealand decreased between 2019 and 2020, but then increased in 2021 (except for New Zealand).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1650" cy="2520315"/>
                    </a:xfrm>
                    <a:prstGeom prst="rect">
                      <a:avLst/>
                    </a:prstGeom>
                    <a:noFill/>
                    <a:ln>
                      <a:noFill/>
                    </a:ln>
                  </pic:spPr>
                </pic:pic>
              </a:graphicData>
            </a:graphic>
          </wp:inline>
        </w:drawing>
      </w:r>
    </w:p>
    <w:p w14:paraId="2E9F5498" w14:textId="77777777" w:rsidR="00E75E1C" w:rsidRPr="00B344C9" w:rsidRDefault="00E75E1C" w:rsidP="00AA74B9">
      <w:pPr>
        <w:pStyle w:val="Source"/>
        <w:spacing w:before="0" w:after="0"/>
      </w:pPr>
      <w:r w:rsidRPr="00B344C9">
        <w:t>Note: Total fertility rates in this chart are presented on a calendar year basis.</w:t>
      </w:r>
    </w:p>
    <w:p w14:paraId="317D0E6E" w14:textId="24C362B8" w:rsidR="00E75E1C" w:rsidRPr="00B344C9" w:rsidRDefault="00E75E1C" w:rsidP="00E75E1C">
      <w:pPr>
        <w:pStyle w:val="Source"/>
        <w:spacing w:before="0" w:after="0"/>
      </w:pPr>
      <w:r w:rsidRPr="00B344C9">
        <w:t xml:space="preserve">Source: </w:t>
      </w:r>
      <w:r w:rsidR="008C7F0A" w:rsidRPr="00B344C9">
        <w:t>United Nations Department of Economic and Social Affairs, Population Division, 2022</w:t>
      </w:r>
      <w:r w:rsidRPr="00B344C9">
        <w:t>.</w:t>
      </w:r>
      <w:r w:rsidR="00C90DBA" w:rsidRPr="00B344C9" w:rsidDel="00C90DBA">
        <w:t xml:space="preserve"> </w:t>
      </w:r>
    </w:p>
    <w:tbl>
      <w:tblPr>
        <w:tblStyle w:val="TableGrid"/>
        <w:tblW w:w="0" w:type="auto"/>
        <w:tblLook w:val="04A0" w:firstRow="1" w:lastRow="0" w:firstColumn="1" w:lastColumn="0" w:noHBand="0" w:noVBand="1"/>
      </w:tblPr>
      <w:tblGrid>
        <w:gridCol w:w="9070"/>
      </w:tblGrid>
      <w:tr w:rsidR="00E75E1C" w:rsidRPr="003B6850" w14:paraId="51CB8526" w14:textId="77777777" w:rsidTr="00AA74B9">
        <w:tc>
          <w:tcPr>
            <w:tcW w:w="9072" w:type="dxa"/>
          </w:tcPr>
          <w:p w14:paraId="44362866" w14:textId="46A8A7A0" w:rsidR="00E75E1C" w:rsidRPr="00B344C9" w:rsidRDefault="00E75E1C" w:rsidP="00FE153A">
            <w:pPr>
              <w:pStyle w:val="BoxHeading"/>
            </w:pPr>
            <w:bookmarkStart w:id="89" w:name="_Hlk115335024"/>
            <w:bookmarkStart w:id="90" w:name="_Ref115259820"/>
            <w:r w:rsidRPr="00B344C9">
              <w:lastRenderedPageBreak/>
              <w:t xml:space="preserve">FERTILITY </w:t>
            </w:r>
            <w:r w:rsidRPr="00FE153A">
              <w:t>SCENARIOS</w:t>
            </w:r>
          </w:p>
          <w:bookmarkEnd w:id="89"/>
          <w:p w14:paraId="6CB8B515" w14:textId="26DCD9CC" w:rsidR="00E75E1C" w:rsidRPr="00B344C9" w:rsidRDefault="00E75E1C" w:rsidP="00EF6AED">
            <w:pPr>
              <w:pStyle w:val="BoxText"/>
              <w:jc w:val="left"/>
              <w:rPr>
                <w:rFonts w:ascii="Calibri" w:eastAsia="Times New Roman" w:hAnsi="Calibri" w:cs="Times New Roman"/>
                <w:lang w:val="en-GB" w:eastAsia="en-US"/>
              </w:rPr>
            </w:pPr>
            <w:r w:rsidRPr="00B344C9">
              <w:rPr>
                <w:rFonts w:ascii="Calibri" w:eastAsia="Times New Roman" w:hAnsi="Calibri" w:cs="Times New Roman"/>
                <w:lang w:eastAsia="en-US"/>
              </w:rPr>
              <w:t>T</w:t>
            </w:r>
            <w:r w:rsidRPr="00B344C9">
              <w:rPr>
                <w:rFonts w:ascii="Calibri" w:eastAsia="Times New Roman" w:hAnsi="Calibri" w:cs="Times New Roman"/>
                <w:lang w:val="en-GB" w:eastAsia="en-US"/>
              </w:rPr>
              <w:t xml:space="preserve">he following scenarios illustrate how different total fertility rates impact </w:t>
            </w:r>
            <w:r w:rsidRPr="00B344C9">
              <w:rPr>
                <w:rFonts w:ascii="Calibri" w:eastAsia="Times New Roman" w:hAnsi="Calibri" w:cs="Times New Roman"/>
                <w:lang w:val="en-US" w:eastAsia="en-US"/>
              </w:rPr>
              <w:t xml:space="preserve">the future size and age structure of the </w:t>
            </w:r>
            <w:r w:rsidRPr="00B344C9">
              <w:rPr>
                <w:rFonts w:ascii="Calibri" w:eastAsia="Times New Roman" w:hAnsi="Calibri" w:cs="Times New Roman"/>
                <w:lang w:val="en-GB" w:eastAsia="en-US"/>
              </w:rPr>
              <w:t xml:space="preserve">Australian </w:t>
            </w:r>
            <w:r w:rsidRPr="00B344C9" w:rsidDel="00CF37D5">
              <w:rPr>
                <w:rFonts w:ascii="Calibri" w:eastAsia="Times New Roman" w:hAnsi="Calibri" w:cs="Times New Roman"/>
                <w:lang w:val="en-GB" w:eastAsia="en-US"/>
              </w:rPr>
              <w:t>population</w:t>
            </w:r>
            <w:r w:rsidRPr="00B344C9">
              <w:rPr>
                <w:rFonts w:ascii="Calibri" w:eastAsia="Times New Roman" w:hAnsi="Calibri" w:cs="Times New Roman"/>
                <w:lang w:val="en-GB" w:eastAsia="en-US"/>
              </w:rPr>
              <w:t xml:space="preserve"> to 2060–61, with </w:t>
            </w:r>
            <w:r w:rsidRPr="00B344C9">
              <w:t>higher fertility rates leading to a larger and younger population</w:t>
            </w:r>
            <w:r w:rsidRPr="00B344C9">
              <w:rPr>
                <w:rFonts w:ascii="Calibri" w:eastAsia="Times New Roman" w:hAnsi="Calibri" w:cs="Times New Roman"/>
                <w:lang w:val="en-GB" w:eastAsia="en-US"/>
              </w:rPr>
              <w:t xml:space="preserve">. The scenarios </w:t>
            </w:r>
            <w:r w:rsidR="00280870">
              <w:rPr>
                <w:rFonts w:ascii="Calibri" w:eastAsia="Times New Roman" w:hAnsi="Calibri" w:cs="Times New Roman"/>
                <w:lang w:val="en-GB" w:eastAsia="en-US"/>
              </w:rPr>
              <w:t>retain the same</w:t>
            </w:r>
            <w:r w:rsidR="00280870" w:rsidRPr="00B344C9">
              <w:rPr>
                <w:rFonts w:ascii="Calibri" w:eastAsia="Times New Roman" w:hAnsi="Calibri" w:cs="Times New Roman"/>
                <w:lang w:val="en-GB" w:eastAsia="en-US"/>
              </w:rPr>
              <w:t xml:space="preserve"> </w:t>
            </w:r>
            <w:r w:rsidRPr="00B344C9">
              <w:rPr>
                <w:rFonts w:ascii="Calibri" w:eastAsia="Times New Roman" w:hAnsi="Calibri" w:cs="Times New Roman"/>
                <w:lang w:val="en-GB" w:eastAsia="en-US"/>
              </w:rPr>
              <w:t>future migration and mortality</w:t>
            </w:r>
            <w:r w:rsidR="00280870">
              <w:rPr>
                <w:rFonts w:ascii="Calibri" w:eastAsia="Times New Roman" w:hAnsi="Calibri" w:cs="Times New Roman"/>
                <w:lang w:val="en-GB" w:eastAsia="en-US"/>
              </w:rPr>
              <w:t xml:space="preserve"> assumptions as in the baseline projections used throughout this Population Statement</w:t>
            </w:r>
            <w:r w:rsidRPr="00B344C9">
              <w:rPr>
                <w:rFonts w:ascii="Calibri" w:eastAsia="Times New Roman" w:hAnsi="Calibri" w:cs="Times New Roman"/>
                <w:lang w:val="en-GB" w:eastAsia="en-US"/>
              </w:rPr>
              <w:t>.</w:t>
            </w:r>
          </w:p>
          <w:p w14:paraId="0507D347" w14:textId="053046AF" w:rsidR="00E75E1C" w:rsidRPr="00B344C9" w:rsidRDefault="00980091" w:rsidP="00AA74B9">
            <w:pPr>
              <w:pStyle w:val="Heading9"/>
              <w:rPr>
                <w:lang w:val="en-US"/>
              </w:rPr>
            </w:pPr>
            <w:bookmarkStart w:id="91" w:name="_Ref116654003"/>
            <w:r>
              <w:rPr>
                <w:lang w:val="en-US"/>
              </w:rPr>
              <w:t>P</w:t>
            </w:r>
            <w:r w:rsidR="00E75E1C" w:rsidRPr="00B344C9">
              <w:rPr>
                <w:lang w:val="en-US"/>
              </w:rPr>
              <w:t xml:space="preserve">opulation, </w:t>
            </w:r>
            <w:r>
              <w:rPr>
                <w:lang w:val="en-US"/>
              </w:rPr>
              <w:t xml:space="preserve">Australia, </w:t>
            </w:r>
            <w:r w:rsidR="00E75E1C" w:rsidRPr="00B344C9">
              <w:rPr>
                <w:lang w:val="en-US"/>
              </w:rPr>
              <w:t>fertility scenarios</w:t>
            </w:r>
            <w:bookmarkEnd w:id="91"/>
          </w:p>
          <w:p w14:paraId="129AD565" w14:textId="1BF34016" w:rsidR="00E75E1C" w:rsidRPr="00B344C9" w:rsidRDefault="00980091" w:rsidP="00980091">
            <w:pPr>
              <w:spacing w:before="0" w:after="0"/>
              <w:jc w:val="center"/>
              <w:rPr>
                <w:lang w:val="en-US"/>
              </w:rPr>
            </w:pPr>
            <w:r w:rsidRPr="00980091">
              <w:rPr>
                <w:noProof/>
                <w:lang w:val="en-US"/>
              </w:rPr>
              <w:drawing>
                <wp:inline distT="0" distB="0" distL="0" distR="0" wp14:anchorId="3582DA72" wp14:editId="7A2E721D">
                  <wp:extent cx="5581650" cy="2524125"/>
                  <wp:effectExtent l="0" t="0" r="0" b="2540"/>
                  <wp:docPr id="37" name="Picture 37" descr="A chart showing Australia's population from 2021-22 to 2060-61 under 3 fertility scenarios: a baseline fertility scenario alongside high and low fertility scenarios. Australia’s population is expected to increase to 43 million in 2060-61 under the high fertility scenario, 39 million under the baseline and 36 million under the low fertility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hart showing Australia's population from 2021-22 to 2060-61 under 3 fertility scenarios: a baseline fertility scenario alongside high and low fertility scenarios. Australia’s population is expected to increase to 43 million in 2060-61 under the high fertility scenario, 39 million under the baseline and 36 million under the low fertility scenari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8F9349E" w14:textId="328965CB" w:rsidR="00E75E1C" w:rsidRPr="00B344C9" w:rsidRDefault="00E75E1C" w:rsidP="00AA74B9">
            <w:pPr>
              <w:pStyle w:val="Source"/>
              <w:rPr>
                <w:lang w:val="en-US"/>
              </w:rPr>
            </w:pPr>
            <w:r w:rsidRPr="00B344C9">
              <w:rPr>
                <w:lang w:val="en-US"/>
              </w:rPr>
              <w:t>Source: Centre for Population projections.</w:t>
            </w:r>
            <w:r w:rsidR="00C90DBA" w:rsidRPr="00B344C9" w:rsidDel="00C90DBA">
              <w:rPr>
                <w:lang w:val="en-US"/>
              </w:rPr>
              <w:t xml:space="preserve"> </w:t>
            </w:r>
          </w:p>
          <w:p w14:paraId="6B6482B0" w14:textId="63D0D868" w:rsidR="00E75E1C" w:rsidRPr="00B344C9" w:rsidRDefault="00E75E1C" w:rsidP="00EF6AED">
            <w:pPr>
              <w:pStyle w:val="BoxText"/>
              <w:jc w:val="left"/>
            </w:pPr>
            <w:r w:rsidRPr="00B344C9">
              <w:t xml:space="preserve">The </w:t>
            </w:r>
            <w:r w:rsidRPr="00B344C9">
              <w:rPr>
                <w:b/>
              </w:rPr>
              <w:t xml:space="preserve">baseline fertility </w:t>
            </w:r>
            <w:r w:rsidR="00B95B10">
              <w:rPr>
                <w:b/>
              </w:rPr>
              <w:t>scenario</w:t>
            </w:r>
            <w:r w:rsidR="00B95B10" w:rsidRPr="00B344C9">
              <w:t xml:space="preserve"> </w:t>
            </w:r>
            <w:r w:rsidRPr="00B344C9">
              <w:t xml:space="preserve">is used throughout this Population Statement and has the </w:t>
            </w:r>
            <w:r w:rsidRPr="00B344C9">
              <w:rPr>
                <w:rFonts w:ascii="Calibri" w:eastAsia="Times New Roman" w:hAnsi="Calibri" w:cs="Times New Roman"/>
                <w:lang w:val="en-GB" w:eastAsia="en-US"/>
              </w:rPr>
              <w:t>total fertility rate</w:t>
            </w:r>
            <w:r w:rsidRPr="00B344C9">
              <w:rPr>
                <w:rFonts w:ascii="Calibri" w:eastAsia="Times New Roman" w:hAnsi="Calibri" w:cs="Times New Roman"/>
                <w:lang w:val="en-US" w:eastAsia="en-US"/>
              </w:rPr>
              <w:t xml:space="preserve"> </w:t>
            </w:r>
            <w:r w:rsidRPr="00B344C9">
              <w:t>falling gradually from 1.66 babies per woman in 2021</w:t>
            </w:r>
            <w:r>
              <w:t>–</w:t>
            </w:r>
            <w:r w:rsidRPr="00B344C9">
              <w:t>22 to 1.62 by 2030</w:t>
            </w:r>
            <w:r>
              <w:t>–</w:t>
            </w:r>
            <w:r w:rsidRPr="00B344C9">
              <w:t>31. Under this scenario, the population would grow to 39.2 million people by 2060</w:t>
            </w:r>
            <w:r>
              <w:t>–</w:t>
            </w:r>
            <w:r w:rsidRPr="00B344C9">
              <w:t>61</w:t>
            </w:r>
            <w:r w:rsidR="00C20270">
              <w:t xml:space="preserve"> (</w:t>
            </w:r>
            <w:r w:rsidR="002C2CC1">
              <w:t>Table 2</w:t>
            </w:r>
            <w:r w:rsidR="00347940">
              <w:t xml:space="preserve"> and </w:t>
            </w:r>
            <w:r w:rsidR="002C2CC1">
              <w:t>Chart 12</w:t>
            </w:r>
            <w:r w:rsidR="00C20270">
              <w:t>)</w:t>
            </w:r>
            <w:r w:rsidRPr="00B344C9">
              <w:t xml:space="preserve">, and natural increase would contribute around a quarter of this growth, with the rest of the growth driven by overseas migration. The median age rises by 4.2 years </w:t>
            </w:r>
            <w:r w:rsidR="00E06A62">
              <w:t xml:space="preserve">from </w:t>
            </w:r>
            <w:r w:rsidR="00E06A62" w:rsidRPr="00B344C9">
              <w:t>2021</w:t>
            </w:r>
            <w:r w:rsidR="00E06A62">
              <w:t>–</w:t>
            </w:r>
            <w:r w:rsidR="00E06A62" w:rsidRPr="00B344C9">
              <w:t xml:space="preserve">22 </w:t>
            </w:r>
            <w:r w:rsidR="00E06A62">
              <w:t>to</w:t>
            </w:r>
            <w:r w:rsidRPr="00B344C9">
              <w:t xml:space="preserve"> </w:t>
            </w:r>
            <w:r w:rsidR="006E2795">
              <w:t xml:space="preserve">be </w:t>
            </w:r>
            <w:r w:rsidRPr="00B344C9">
              <w:t>42.8</w:t>
            </w:r>
            <w:r w:rsidR="00E06A62">
              <w:t xml:space="preserve"> in </w:t>
            </w:r>
            <w:r w:rsidR="00E06A62" w:rsidRPr="00B344C9">
              <w:t>2060</w:t>
            </w:r>
            <w:r w:rsidR="00E06A62">
              <w:t>–</w:t>
            </w:r>
            <w:r w:rsidR="00E06A62" w:rsidRPr="00B344C9">
              <w:t>6</w:t>
            </w:r>
            <w:r w:rsidR="00E06A62">
              <w:t>1</w:t>
            </w:r>
            <w:r w:rsidRPr="00B344C9">
              <w:t xml:space="preserve">. </w:t>
            </w:r>
          </w:p>
          <w:p w14:paraId="09F68C5B" w14:textId="07327481" w:rsidR="00E75E1C" w:rsidRPr="004145F0" w:rsidRDefault="00E75E1C" w:rsidP="00EF6AED">
            <w:pPr>
              <w:pStyle w:val="BoxText"/>
              <w:jc w:val="left"/>
              <w:rPr>
                <w:spacing w:val="-2"/>
              </w:rPr>
            </w:pPr>
            <w:r w:rsidRPr="004145F0">
              <w:rPr>
                <w:spacing w:val="-2"/>
              </w:rPr>
              <w:t xml:space="preserve">Under a </w:t>
            </w:r>
            <w:r w:rsidRPr="004145F0">
              <w:rPr>
                <w:b/>
                <w:spacing w:val="-2"/>
              </w:rPr>
              <w:t>high fertility scenario</w:t>
            </w:r>
            <w:r w:rsidRPr="004145F0">
              <w:rPr>
                <w:spacing w:val="-2"/>
              </w:rPr>
              <w:t xml:space="preserve">, </w:t>
            </w:r>
            <w:r w:rsidRPr="004145F0">
              <w:rPr>
                <w:rFonts w:eastAsia="Times New Roman" w:cs="Times New Roman"/>
                <w:spacing w:val="-2"/>
                <w:lang w:val="en-US" w:eastAsia="en-US"/>
              </w:rPr>
              <w:t xml:space="preserve">the </w:t>
            </w:r>
            <w:r w:rsidRPr="004145F0">
              <w:rPr>
                <w:rFonts w:eastAsia="Times New Roman" w:cs="Times New Roman"/>
                <w:spacing w:val="-2"/>
                <w:lang w:val="en-GB" w:eastAsia="en-US"/>
              </w:rPr>
              <w:t>total fertility rate</w:t>
            </w:r>
            <w:r w:rsidRPr="004145F0" w:rsidDel="0084716F">
              <w:rPr>
                <w:rFonts w:eastAsia="Times New Roman" w:cs="Times New Roman"/>
                <w:spacing w:val="-2"/>
                <w:lang w:val="en-US" w:eastAsia="en-US"/>
              </w:rPr>
              <w:t xml:space="preserve"> </w:t>
            </w:r>
            <w:r w:rsidRPr="004145F0">
              <w:rPr>
                <w:rFonts w:eastAsia="Times New Roman" w:cs="Times New Roman"/>
                <w:spacing w:val="-2"/>
                <w:lang w:val="en-US" w:eastAsia="en-US"/>
              </w:rPr>
              <w:t>gradually increases from 1.66 babies per woman in 2021</w:t>
            </w:r>
            <w:r w:rsidR="00A105CF" w:rsidRPr="004145F0">
              <w:rPr>
                <w:rFonts w:eastAsia="Times New Roman" w:cs="Times New Roman"/>
                <w:spacing w:val="-2"/>
                <w:lang w:val="en-US" w:eastAsia="en-US"/>
              </w:rPr>
              <w:sym w:font="Symbol" w:char="F02D"/>
            </w:r>
            <w:r w:rsidRPr="004145F0">
              <w:rPr>
                <w:rFonts w:eastAsia="Times New Roman" w:cs="Times New Roman"/>
                <w:spacing w:val="-2"/>
                <w:lang w:val="en-US" w:eastAsia="en-US"/>
              </w:rPr>
              <w:t xml:space="preserve">22 to 2.1 by 2036–37, which is the </w:t>
            </w:r>
            <w:r w:rsidR="00C87591" w:rsidRPr="004145F0">
              <w:rPr>
                <w:rFonts w:eastAsia="Times New Roman" w:cs="Times New Roman"/>
                <w:spacing w:val="-2"/>
                <w:lang w:val="en-US" w:eastAsia="en-US"/>
              </w:rPr>
              <w:t xml:space="preserve">replacement rate or the </w:t>
            </w:r>
            <w:r w:rsidRPr="004145F0">
              <w:rPr>
                <w:rFonts w:eastAsia="Times New Roman" w:cs="Times New Roman"/>
                <w:spacing w:val="-2"/>
                <w:lang w:val="en-US" w:eastAsia="en-US"/>
              </w:rPr>
              <w:t>rate required for a generation to replace itself</w:t>
            </w:r>
            <w:r w:rsidRPr="004145F0">
              <w:rPr>
                <w:spacing w:val="-2"/>
              </w:rPr>
              <w:t>.</w:t>
            </w:r>
            <w:r w:rsidRPr="004145F0">
              <w:rPr>
                <w:rStyle w:val="FootnoteReference"/>
                <w:rFonts w:asciiTheme="minorHAnsi" w:eastAsia="Times New Roman" w:hAnsiTheme="minorHAnsi" w:cs="Times New Roman"/>
                <w:spacing w:val="-2"/>
                <w:lang w:val="en-US" w:eastAsia="en-US"/>
              </w:rPr>
              <w:footnoteReference w:id="9"/>
            </w:r>
            <w:r w:rsidRPr="004145F0">
              <w:rPr>
                <w:spacing w:val="-2"/>
              </w:rPr>
              <w:t xml:space="preserve"> Under this</w:t>
            </w:r>
            <w:r w:rsidRPr="004145F0">
              <w:rPr>
                <w:i/>
                <w:spacing w:val="-2"/>
              </w:rPr>
              <w:t xml:space="preserve"> </w:t>
            </w:r>
            <w:r w:rsidRPr="004145F0">
              <w:rPr>
                <w:spacing w:val="-2"/>
              </w:rPr>
              <w:t>scenario, the population would grow from 26.0 million in 202</w:t>
            </w:r>
            <w:r w:rsidR="00154470" w:rsidRPr="004145F0">
              <w:rPr>
                <w:spacing w:val="-2"/>
              </w:rPr>
              <w:t>1</w:t>
            </w:r>
            <w:r w:rsidRPr="004145F0">
              <w:rPr>
                <w:spacing w:val="-2"/>
              </w:rPr>
              <w:t>–2</w:t>
            </w:r>
            <w:r w:rsidR="00154470" w:rsidRPr="004145F0">
              <w:rPr>
                <w:spacing w:val="-2"/>
              </w:rPr>
              <w:t>2</w:t>
            </w:r>
            <w:r w:rsidRPr="004145F0">
              <w:rPr>
                <w:spacing w:val="-2"/>
              </w:rPr>
              <w:t xml:space="preserve"> to 43.1 million in 2060</w:t>
            </w:r>
            <w:r w:rsidR="00646B62" w:rsidRPr="004145F0">
              <w:rPr>
                <w:spacing w:val="-2"/>
              </w:rPr>
              <w:sym w:font="Symbol" w:char="F02D"/>
            </w:r>
            <w:r w:rsidRPr="004145F0">
              <w:rPr>
                <w:spacing w:val="-2"/>
              </w:rPr>
              <w:t xml:space="preserve">61, with more than half of population growth </w:t>
            </w:r>
            <w:r w:rsidR="008D03A7" w:rsidRPr="004145F0">
              <w:rPr>
                <w:spacing w:val="-2"/>
              </w:rPr>
              <w:t>from</w:t>
            </w:r>
            <w:r w:rsidRPr="004145F0">
              <w:rPr>
                <w:spacing w:val="-2"/>
              </w:rPr>
              <w:t xml:space="preserve"> natural increase. Population ageing would effectively cease, with the median age rising by only 0.</w:t>
            </w:r>
            <w:r w:rsidR="00154470" w:rsidRPr="004145F0">
              <w:rPr>
                <w:spacing w:val="-2"/>
              </w:rPr>
              <w:t>5</w:t>
            </w:r>
            <w:r w:rsidRPr="004145F0">
              <w:rPr>
                <w:spacing w:val="-2"/>
              </w:rPr>
              <w:t xml:space="preserve"> years between 202</w:t>
            </w:r>
            <w:r w:rsidR="00154470" w:rsidRPr="004145F0">
              <w:rPr>
                <w:spacing w:val="-2"/>
              </w:rPr>
              <w:t>1</w:t>
            </w:r>
            <w:r w:rsidRPr="004145F0">
              <w:rPr>
                <w:spacing w:val="-2"/>
              </w:rPr>
              <w:t>–2</w:t>
            </w:r>
            <w:r w:rsidR="00154470" w:rsidRPr="004145F0">
              <w:rPr>
                <w:spacing w:val="-2"/>
              </w:rPr>
              <w:t>2</w:t>
            </w:r>
            <w:r w:rsidRPr="004145F0">
              <w:rPr>
                <w:spacing w:val="-2"/>
              </w:rPr>
              <w:t xml:space="preserve"> and 2060–61 (from 38.</w:t>
            </w:r>
            <w:r w:rsidR="00154470" w:rsidRPr="004145F0">
              <w:rPr>
                <w:spacing w:val="-2"/>
              </w:rPr>
              <w:t>6</w:t>
            </w:r>
            <w:r w:rsidRPr="004145F0">
              <w:rPr>
                <w:spacing w:val="-2"/>
              </w:rPr>
              <w:t xml:space="preserve"> to 39.1 years). </w:t>
            </w:r>
          </w:p>
          <w:p w14:paraId="5273409F" w14:textId="2F88F038" w:rsidR="00E75E1C" w:rsidRPr="00B344C9" w:rsidRDefault="00E75E1C" w:rsidP="00EF6AED">
            <w:pPr>
              <w:jc w:val="left"/>
              <w:rPr>
                <w:rFonts w:ascii="Calibri" w:eastAsia="Times New Roman" w:hAnsi="Calibri"/>
                <w:lang w:val="en-US"/>
              </w:rPr>
            </w:pPr>
            <w:r w:rsidRPr="00B344C9">
              <w:rPr>
                <w:rFonts w:ascii="Calibri" w:eastAsia="Times New Roman" w:hAnsi="Calibri"/>
                <w:lang w:val="en-US"/>
              </w:rPr>
              <w:t xml:space="preserve">Under a </w:t>
            </w:r>
            <w:r w:rsidRPr="00B344C9">
              <w:rPr>
                <w:rFonts w:ascii="Calibri" w:eastAsia="Times New Roman" w:hAnsi="Calibri"/>
                <w:b/>
                <w:lang w:val="en-US"/>
              </w:rPr>
              <w:t>low fertility scenario</w:t>
            </w:r>
            <w:r w:rsidRPr="00B344C9">
              <w:rPr>
                <w:rFonts w:ascii="Calibri" w:eastAsia="Times New Roman" w:hAnsi="Calibri"/>
                <w:lang w:val="en-US"/>
              </w:rPr>
              <w:t xml:space="preserve">, the </w:t>
            </w:r>
            <w:r w:rsidRPr="00B344C9">
              <w:rPr>
                <w:rFonts w:ascii="Calibri" w:eastAsia="Times New Roman" w:hAnsi="Calibri"/>
                <w:lang w:val="en-GB"/>
              </w:rPr>
              <w:t>total fertility rate</w:t>
            </w:r>
            <w:r w:rsidRPr="00B344C9" w:rsidDel="0084716F">
              <w:rPr>
                <w:rFonts w:ascii="Calibri" w:eastAsia="Times New Roman" w:hAnsi="Calibri"/>
                <w:lang w:val="en-US"/>
              </w:rPr>
              <w:t xml:space="preserve"> </w:t>
            </w:r>
            <w:r w:rsidRPr="00B344C9">
              <w:rPr>
                <w:rFonts w:ascii="Calibri" w:eastAsia="Times New Roman" w:hAnsi="Calibri"/>
                <w:lang w:val="en-US"/>
              </w:rPr>
              <w:t xml:space="preserve">gradually falls from 1.66 babies per woman in 2021–22 to 1.22 by 2036–37, </w:t>
            </w:r>
            <w:r w:rsidRPr="00B344C9">
              <w:t>in line with the rate</w:t>
            </w:r>
            <w:r w:rsidR="003B7580">
              <w:t>s</w:t>
            </w:r>
            <w:r w:rsidRPr="00B344C9">
              <w:t xml:space="preserve"> already observed in some other advanced economies</w:t>
            </w:r>
            <w:r w:rsidRPr="00B344C9">
              <w:rPr>
                <w:rFonts w:ascii="Calibri" w:eastAsia="Times New Roman" w:hAnsi="Calibri"/>
                <w:lang w:val="en-US"/>
              </w:rPr>
              <w:t xml:space="preserve">. The population would age the fastest under this scenario, with the median age rising by 7.2 years </w:t>
            </w:r>
            <w:r w:rsidRPr="00B344C9">
              <w:t>by 2060–61</w:t>
            </w:r>
            <w:r w:rsidRPr="00B344C9">
              <w:rPr>
                <w:rFonts w:ascii="Calibri" w:eastAsia="Times New Roman" w:hAnsi="Calibri"/>
                <w:lang w:val="en-US"/>
              </w:rPr>
              <w:t>.</w:t>
            </w:r>
            <w:r w:rsidRPr="00B344C9">
              <w:t xml:space="preserve"> </w:t>
            </w:r>
            <w:r w:rsidRPr="00B344C9">
              <w:rPr>
                <w:rFonts w:ascii="Calibri" w:eastAsia="Times New Roman" w:hAnsi="Calibri"/>
                <w:lang w:val="en-US"/>
              </w:rPr>
              <w:t xml:space="preserve">Deaths would </w:t>
            </w:r>
            <w:r w:rsidR="00907854">
              <w:rPr>
                <w:rFonts w:ascii="Calibri" w:eastAsia="Times New Roman" w:hAnsi="Calibri"/>
                <w:lang w:val="en-US"/>
              </w:rPr>
              <w:t>outnumber</w:t>
            </w:r>
            <w:r w:rsidRPr="00B344C9">
              <w:rPr>
                <w:rFonts w:ascii="Calibri" w:eastAsia="Times New Roman" w:hAnsi="Calibri"/>
                <w:lang w:val="en-US"/>
              </w:rPr>
              <w:t xml:space="preserve"> births, culminating in </w:t>
            </w:r>
            <w:r w:rsidR="00907854">
              <w:rPr>
                <w:rFonts w:ascii="Calibri" w:eastAsia="Times New Roman" w:hAnsi="Calibri"/>
                <w:lang w:val="en-US"/>
              </w:rPr>
              <w:t xml:space="preserve">negative </w:t>
            </w:r>
            <w:r w:rsidRPr="00B344C9">
              <w:rPr>
                <w:rFonts w:ascii="Calibri" w:eastAsia="Times New Roman" w:hAnsi="Calibri"/>
                <w:lang w:val="en-US"/>
              </w:rPr>
              <w:t xml:space="preserve">natural </w:t>
            </w:r>
            <w:r w:rsidR="00907854">
              <w:rPr>
                <w:rFonts w:ascii="Calibri" w:eastAsia="Times New Roman" w:hAnsi="Calibri"/>
                <w:lang w:val="en-US"/>
              </w:rPr>
              <w:t>increase</w:t>
            </w:r>
            <w:r w:rsidR="00907854" w:rsidRPr="00B344C9">
              <w:rPr>
                <w:rFonts w:ascii="Calibri" w:eastAsia="Times New Roman" w:hAnsi="Calibri"/>
                <w:lang w:val="en-US"/>
              </w:rPr>
              <w:t xml:space="preserve"> </w:t>
            </w:r>
            <w:r w:rsidRPr="00B344C9">
              <w:rPr>
                <w:rFonts w:ascii="Calibri" w:eastAsia="Times New Roman" w:hAnsi="Calibri"/>
                <w:lang w:val="en-US"/>
              </w:rPr>
              <w:t xml:space="preserve">by 2048–49. This means that population would only continue to increase due to overseas migration. The population would grow to 36.2 million people in 2060–61, which is 8 per cent smaller than the </w:t>
            </w:r>
            <w:r w:rsidRPr="00B344C9">
              <w:rPr>
                <w:rFonts w:ascii="Calibri" w:eastAsia="Times New Roman" w:hAnsi="Calibri"/>
                <w:i/>
                <w:lang w:val="en-US"/>
              </w:rPr>
              <w:t xml:space="preserve">baseline fertility </w:t>
            </w:r>
            <w:r w:rsidR="00A05514">
              <w:rPr>
                <w:rFonts w:ascii="Calibri" w:eastAsia="Times New Roman" w:hAnsi="Calibri"/>
                <w:i/>
                <w:lang w:val="en-US"/>
              </w:rPr>
              <w:t>scenario</w:t>
            </w:r>
            <w:r w:rsidR="00A05514" w:rsidRPr="00B344C9">
              <w:rPr>
                <w:rFonts w:ascii="Calibri" w:eastAsia="Times New Roman" w:hAnsi="Calibri"/>
                <w:lang w:val="en-US"/>
              </w:rPr>
              <w:t xml:space="preserve"> </w:t>
            </w:r>
            <w:r w:rsidRPr="00B344C9">
              <w:rPr>
                <w:rFonts w:ascii="Calibri" w:eastAsia="Times New Roman" w:hAnsi="Calibri"/>
                <w:lang w:val="en-US"/>
              </w:rPr>
              <w:t xml:space="preserve">and 16 per cent smaller than the </w:t>
            </w:r>
            <w:r w:rsidRPr="00B344C9">
              <w:rPr>
                <w:rFonts w:ascii="Calibri" w:eastAsia="Times New Roman" w:hAnsi="Calibri"/>
                <w:i/>
                <w:lang w:val="en-US"/>
              </w:rPr>
              <w:t>high fertility</w:t>
            </w:r>
            <w:r w:rsidRPr="00B344C9">
              <w:rPr>
                <w:rFonts w:ascii="Calibri" w:eastAsia="Times New Roman" w:hAnsi="Calibri"/>
                <w:lang w:val="en-US"/>
              </w:rPr>
              <w:t xml:space="preserve"> </w:t>
            </w:r>
            <w:r w:rsidRPr="00B344C9">
              <w:rPr>
                <w:rFonts w:ascii="Calibri" w:eastAsia="Times New Roman" w:hAnsi="Calibri"/>
                <w:i/>
                <w:lang w:val="en-US"/>
              </w:rPr>
              <w:t>scenario</w:t>
            </w:r>
            <w:r w:rsidRPr="00B344C9">
              <w:rPr>
                <w:rFonts w:ascii="Calibri" w:eastAsia="Times New Roman" w:hAnsi="Calibri"/>
                <w:lang w:val="en-US"/>
              </w:rPr>
              <w:t>.</w:t>
            </w:r>
          </w:p>
          <w:p w14:paraId="35FFA19B" w14:textId="70634897" w:rsidR="001B1DC1" w:rsidRPr="00B344C9" w:rsidRDefault="001B1DC1" w:rsidP="00EF6AED">
            <w:pPr>
              <w:jc w:val="left"/>
              <w:rPr>
                <w:rFonts w:ascii="Calibri" w:eastAsia="SimSun" w:hAnsi="Calibri" w:cs="Calibri"/>
                <w:color w:val="000000"/>
                <w:kern w:val="24"/>
                <w:lang w:val="en-US" w:eastAsia="en-US"/>
              </w:rPr>
            </w:pPr>
            <w:r w:rsidRPr="001B1DC1">
              <w:rPr>
                <w:rFonts w:ascii="Calibri" w:eastAsia="SimSun" w:hAnsi="Calibri" w:cs="Calibri"/>
                <w:color w:val="000000"/>
                <w:kern w:val="24"/>
                <w:lang w:val="en-US"/>
              </w:rPr>
              <w:t xml:space="preserve">The old-age dependency ratio (the </w:t>
            </w:r>
            <w:r w:rsidR="008D7978">
              <w:rPr>
                <w:rFonts w:ascii="Calibri" w:eastAsia="SimSun" w:hAnsi="Calibri" w:cs="Calibri"/>
                <w:color w:val="000000"/>
                <w:kern w:val="24"/>
                <w:lang w:val="en-US"/>
              </w:rPr>
              <w:t>number</w:t>
            </w:r>
            <w:r w:rsidR="008D7978" w:rsidRPr="001B1DC1">
              <w:rPr>
                <w:rFonts w:ascii="Calibri" w:eastAsia="SimSun" w:hAnsi="Calibri" w:cs="Calibri"/>
                <w:color w:val="000000"/>
                <w:kern w:val="24"/>
                <w:lang w:val="en-US"/>
              </w:rPr>
              <w:t xml:space="preserve"> </w:t>
            </w:r>
            <w:r w:rsidRPr="001B1DC1">
              <w:rPr>
                <w:rFonts w:ascii="Calibri" w:eastAsia="SimSun" w:hAnsi="Calibri" w:cs="Calibri"/>
                <w:color w:val="000000"/>
                <w:kern w:val="24"/>
                <w:lang w:val="en-US"/>
              </w:rPr>
              <w:t xml:space="preserve">of people aged 65 and over per 100 people aged 15-64) </w:t>
            </w:r>
            <w:r w:rsidRPr="001B1DC1">
              <w:rPr>
                <w:rFonts w:ascii="Calibri" w:eastAsia="SimSun" w:hAnsi="Calibri" w:cs="Calibri"/>
                <w:color w:val="000000"/>
                <w:kern w:val="24"/>
              </w:rPr>
              <w:t>is projected to initially increase at the same rate under all fertility scenarios, but differences start to emerge from</w:t>
            </w:r>
            <w:r w:rsidRPr="001B1DC1">
              <w:rPr>
                <w:rFonts w:ascii="Calibri" w:eastAsia="SimSun" w:hAnsi="Calibri" w:cs="Calibri"/>
                <w:color w:val="000000"/>
                <w:kern w:val="24"/>
                <w:lang w:val="en-US"/>
              </w:rPr>
              <w:t xml:space="preserve"> the mid</w:t>
            </w:r>
            <w:r w:rsidRPr="001B1DC1">
              <w:rPr>
                <w:rFonts w:ascii="Calibri" w:eastAsia="SimSun" w:hAnsi="Calibri" w:cs="Calibri"/>
                <w:color w:val="000000"/>
                <w:kern w:val="24"/>
                <w:lang w:val="en-US"/>
              </w:rPr>
              <w:noBreakHyphen/>
              <w:t>2030s as those born in or after 2021–22 turn 15</w:t>
            </w:r>
            <w:r w:rsidRPr="001B1DC1">
              <w:rPr>
                <w:rFonts w:ascii="Calibri" w:eastAsia="SimSun" w:hAnsi="Calibri" w:cs="Calibri"/>
                <w:color w:val="000000"/>
                <w:kern w:val="24"/>
              </w:rPr>
              <w:t xml:space="preserve">. </w:t>
            </w:r>
            <w:r w:rsidRPr="001B1DC1">
              <w:rPr>
                <w:rFonts w:ascii="Calibri" w:eastAsia="SimSun" w:hAnsi="Calibri" w:cs="Calibri"/>
                <w:color w:val="000000"/>
                <w:kern w:val="24"/>
                <w:lang w:val="en-US"/>
              </w:rPr>
              <w:t xml:space="preserve">By 2060–61, the old-age dependency ratio is projected to be 37.7 under the </w:t>
            </w:r>
            <w:r w:rsidRPr="001B1DC1">
              <w:rPr>
                <w:rFonts w:ascii="Calibri" w:eastAsia="SimSun" w:hAnsi="Calibri" w:cs="Calibri"/>
                <w:i/>
                <w:color w:val="000000"/>
                <w:kern w:val="24"/>
                <w:lang w:val="en-US"/>
              </w:rPr>
              <w:t xml:space="preserve">baseline </w:t>
            </w:r>
            <w:r w:rsidRPr="001B1DC1">
              <w:rPr>
                <w:rFonts w:ascii="Calibri" w:eastAsia="Times New Roman" w:hAnsi="Calibri"/>
                <w:i/>
                <w:lang w:val="en-US"/>
              </w:rPr>
              <w:t xml:space="preserve">fertility </w:t>
            </w:r>
            <w:r w:rsidR="00A05514">
              <w:rPr>
                <w:rFonts w:ascii="Calibri" w:eastAsia="Times New Roman" w:hAnsi="Calibri"/>
                <w:i/>
                <w:lang w:val="en-US"/>
              </w:rPr>
              <w:t>scenario</w:t>
            </w:r>
            <w:r w:rsidRPr="001B1DC1">
              <w:rPr>
                <w:rFonts w:ascii="Calibri" w:eastAsia="SimSun" w:hAnsi="Calibri" w:cs="Calibri"/>
                <w:color w:val="000000"/>
                <w:kern w:val="24"/>
                <w:lang w:val="en-US"/>
              </w:rPr>
              <w:t xml:space="preserve">, compared to 40.1 under the </w:t>
            </w:r>
            <w:r w:rsidRPr="001B1DC1">
              <w:rPr>
                <w:rFonts w:ascii="Calibri" w:eastAsia="SimSun" w:hAnsi="Calibri" w:cs="Calibri"/>
                <w:i/>
                <w:color w:val="000000"/>
                <w:kern w:val="24"/>
                <w:lang w:val="en-US"/>
              </w:rPr>
              <w:t>low</w:t>
            </w:r>
            <w:r w:rsidRPr="001B1DC1">
              <w:rPr>
                <w:rFonts w:ascii="Calibri" w:eastAsia="SimSun" w:hAnsi="Calibri" w:cs="Calibri"/>
                <w:color w:val="000000"/>
                <w:kern w:val="24"/>
                <w:lang w:val="en-US"/>
              </w:rPr>
              <w:t xml:space="preserve"> </w:t>
            </w:r>
            <w:r w:rsidRPr="001B1DC1">
              <w:rPr>
                <w:rFonts w:ascii="Calibri" w:eastAsia="Times New Roman" w:hAnsi="Calibri"/>
                <w:i/>
                <w:lang w:val="en-US"/>
              </w:rPr>
              <w:t>fertility scenario</w:t>
            </w:r>
            <w:r w:rsidRPr="001B1DC1">
              <w:rPr>
                <w:rFonts w:ascii="Calibri" w:eastAsia="SimSun" w:hAnsi="Calibri" w:cs="Calibri"/>
                <w:color w:val="000000"/>
                <w:kern w:val="24"/>
                <w:lang w:val="en-US"/>
              </w:rPr>
              <w:t xml:space="preserve">, and 35.1 under the </w:t>
            </w:r>
            <w:r w:rsidRPr="001B1DC1">
              <w:rPr>
                <w:rFonts w:ascii="Calibri" w:eastAsia="SimSun" w:hAnsi="Calibri" w:cs="Calibri"/>
                <w:i/>
                <w:color w:val="000000"/>
                <w:kern w:val="24"/>
                <w:lang w:val="en-US"/>
              </w:rPr>
              <w:t>high</w:t>
            </w:r>
            <w:r w:rsidRPr="001B1DC1">
              <w:rPr>
                <w:rFonts w:ascii="Calibri" w:eastAsia="SimSun" w:hAnsi="Calibri" w:cs="Calibri"/>
                <w:color w:val="000000"/>
                <w:kern w:val="24"/>
                <w:lang w:val="en-US"/>
              </w:rPr>
              <w:t xml:space="preserve"> </w:t>
            </w:r>
            <w:r w:rsidRPr="001B1DC1">
              <w:rPr>
                <w:rFonts w:ascii="Calibri" w:eastAsia="Times New Roman" w:hAnsi="Calibri"/>
                <w:i/>
                <w:lang w:val="en-US"/>
              </w:rPr>
              <w:t>fertility scenario</w:t>
            </w:r>
            <w:r w:rsidRPr="001B1DC1">
              <w:rPr>
                <w:rFonts w:ascii="Calibri" w:eastAsia="SimSun" w:hAnsi="Calibri" w:cs="Calibri"/>
                <w:color w:val="000000"/>
                <w:kern w:val="24"/>
                <w:lang w:val="en-US"/>
              </w:rPr>
              <w:t>.</w:t>
            </w:r>
          </w:p>
          <w:p w14:paraId="7B8322E2" w14:textId="77777777" w:rsidR="00E75E1C" w:rsidRPr="00B344C9" w:rsidRDefault="00E75E1C" w:rsidP="005540BC">
            <w:pPr>
              <w:pStyle w:val="TableMainHeading"/>
            </w:pPr>
            <w:bookmarkStart w:id="92" w:name="_Ref116890129"/>
            <w:r w:rsidRPr="00B344C9">
              <w:lastRenderedPageBreak/>
              <w:t>Population outcomes for total fertility rate scenarios, 2060–61</w:t>
            </w:r>
            <w:bookmarkEnd w:id="92"/>
          </w:p>
          <w:tbl>
            <w:tblPr>
              <w:tblW w:w="5000" w:type="pct"/>
              <w:tblCellMar>
                <w:left w:w="0" w:type="dxa"/>
                <w:right w:w="0" w:type="dxa"/>
              </w:tblCellMar>
              <w:tblLook w:val="04A0" w:firstRow="1" w:lastRow="0" w:firstColumn="1" w:lastColumn="0" w:noHBand="0" w:noVBand="1"/>
              <w:tblCaption w:val="Table"/>
            </w:tblPr>
            <w:tblGrid>
              <w:gridCol w:w="2282"/>
              <w:gridCol w:w="14"/>
              <w:gridCol w:w="14"/>
              <w:gridCol w:w="1070"/>
              <w:gridCol w:w="15"/>
              <w:gridCol w:w="1070"/>
              <w:gridCol w:w="15"/>
              <w:gridCol w:w="1070"/>
              <w:gridCol w:w="17"/>
              <w:gridCol w:w="1070"/>
              <w:gridCol w:w="22"/>
              <w:gridCol w:w="1128"/>
              <w:gridCol w:w="1067"/>
            </w:tblGrid>
            <w:tr w:rsidR="00E75E1C" w:rsidRPr="003B6850" w14:paraId="2AC633F4" w14:textId="77777777" w:rsidTr="000816D9">
              <w:trPr>
                <w:trHeight w:val="823"/>
              </w:trPr>
              <w:tc>
                <w:tcPr>
                  <w:tcW w:w="1290" w:type="pct"/>
                  <w:tcBorders>
                    <w:top w:val="single" w:sz="4" w:space="0" w:color="auto"/>
                    <w:bottom w:val="single" w:sz="4" w:space="0" w:color="auto"/>
                  </w:tcBorders>
                  <w:tcMar>
                    <w:top w:w="0" w:type="dxa"/>
                    <w:left w:w="108" w:type="dxa"/>
                    <w:bottom w:w="0" w:type="dxa"/>
                    <w:right w:w="108" w:type="dxa"/>
                  </w:tcMar>
                </w:tcPr>
                <w:p w14:paraId="70DE2665" w14:textId="77777777" w:rsidR="00E75E1C" w:rsidRPr="001E4102" w:rsidRDefault="00E75E1C" w:rsidP="000816D9">
                  <w:pPr>
                    <w:pStyle w:val="TableTextLeft"/>
                  </w:pPr>
                </w:p>
              </w:tc>
              <w:tc>
                <w:tcPr>
                  <w:tcW w:w="9" w:type="pct"/>
                  <w:tcBorders>
                    <w:top w:val="single" w:sz="4" w:space="0" w:color="auto"/>
                    <w:bottom w:val="single" w:sz="4" w:space="0" w:color="auto"/>
                  </w:tcBorders>
                </w:tcPr>
                <w:p w14:paraId="1573D8EB" w14:textId="77777777" w:rsidR="00E75E1C" w:rsidRPr="001E4102" w:rsidRDefault="00E75E1C" w:rsidP="000816D9">
                  <w:pPr>
                    <w:pStyle w:val="TableTextLeft"/>
                    <w:rPr>
                      <w:b/>
                      <w:color w:val="002C47" w:themeColor="accent1"/>
                    </w:rPr>
                  </w:pPr>
                </w:p>
              </w:tc>
              <w:tc>
                <w:tcPr>
                  <w:tcW w:w="614" w:type="pct"/>
                  <w:gridSpan w:val="2"/>
                  <w:tcBorders>
                    <w:top w:val="single" w:sz="4" w:space="0" w:color="auto"/>
                    <w:bottom w:val="single" w:sz="4" w:space="0" w:color="auto"/>
                  </w:tcBorders>
                </w:tcPr>
                <w:p w14:paraId="18557C53" w14:textId="77777777" w:rsidR="00E75E1C" w:rsidRPr="000816D9" w:rsidRDefault="00E75E1C" w:rsidP="000816D9">
                  <w:pPr>
                    <w:pStyle w:val="TableColumnHeadingLeft"/>
                  </w:pPr>
                  <w:r w:rsidRPr="000816D9">
                    <w:t xml:space="preserve">Population size </w:t>
                  </w:r>
                </w:p>
              </w:tc>
              <w:tc>
                <w:tcPr>
                  <w:tcW w:w="614" w:type="pct"/>
                  <w:gridSpan w:val="2"/>
                  <w:tcBorders>
                    <w:top w:val="single" w:sz="4" w:space="0" w:color="auto"/>
                    <w:bottom w:val="single" w:sz="4" w:space="0" w:color="auto"/>
                  </w:tcBorders>
                  <w:tcMar>
                    <w:top w:w="0" w:type="dxa"/>
                    <w:left w:w="108" w:type="dxa"/>
                    <w:bottom w:w="0" w:type="dxa"/>
                    <w:right w:w="108" w:type="dxa"/>
                  </w:tcMar>
                </w:tcPr>
                <w:p w14:paraId="228F4489" w14:textId="77777777" w:rsidR="00E75E1C" w:rsidRPr="000816D9" w:rsidRDefault="00E75E1C" w:rsidP="000816D9">
                  <w:pPr>
                    <w:pStyle w:val="TableColumnHeadingLeft"/>
                  </w:pPr>
                  <w:r w:rsidRPr="000816D9">
                    <w:t xml:space="preserve">Median age </w:t>
                  </w:r>
                </w:p>
              </w:tc>
              <w:tc>
                <w:tcPr>
                  <w:tcW w:w="614" w:type="pct"/>
                  <w:gridSpan w:val="2"/>
                  <w:tcBorders>
                    <w:top w:val="single" w:sz="4" w:space="0" w:color="auto"/>
                    <w:bottom w:val="single" w:sz="4" w:space="0" w:color="auto"/>
                  </w:tcBorders>
                </w:tcPr>
                <w:p w14:paraId="6D450113" w14:textId="4E576F13" w:rsidR="00E75E1C" w:rsidRPr="000816D9" w:rsidRDefault="00E75E1C" w:rsidP="000816D9">
                  <w:pPr>
                    <w:pStyle w:val="TableColumnHeadingLeft"/>
                  </w:pPr>
                  <w:r w:rsidRPr="000816D9">
                    <w:t>Percentage</w:t>
                  </w:r>
                  <w:r w:rsidR="00093A59" w:rsidRPr="000816D9">
                    <w:t xml:space="preserve"> </w:t>
                  </w:r>
                  <w:r w:rsidRPr="000816D9">
                    <w:t>aged 0</w:t>
                  </w:r>
                  <w:r w:rsidR="0056144D" w:rsidRPr="000816D9">
                    <w:t>-</w:t>
                  </w:r>
                  <w:r w:rsidRPr="000816D9">
                    <w:t>14</w:t>
                  </w:r>
                </w:p>
              </w:tc>
              <w:tc>
                <w:tcPr>
                  <w:tcW w:w="615" w:type="pct"/>
                  <w:gridSpan w:val="2"/>
                  <w:tcBorders>
                    <w:top w:val="single" w:sz="4" w:space="0" w:color="auto"/>
                    <w:bottom w:val="single" w:sz="4" w:space="0" w:color="auto"/>
                  </w:tcBorders>
                </w:tcPr>
                <w:p w14:paraId="0B4736C8" w14:textId="5CD66D17" w:rsidR="00E75E1C" w:rsidRPr="000816D9" w:rsidRDefault="00E75E1C" w:rsidP="000816D9">
                  <w:pPr>
                    <w:pStyle w:val="TableColumnHeadingLeft"/>
                  </w:pPr>
                  <w:r w:rsidRPr="000816D9">
                    <w:t>Percentage aged 15</w:t>
                  </w:r>
                  <w:r w:rsidR="0056144D" w:rsidRPr="000816D9">
                    <w:t>-</w:t>
                  </w:r>
                  <w:r w:rsidRPr="000816D9">
                    <w:t>64</w:t>
                  </w:r>
                </w:p>
              </w:tc>
              <w:tc>
                <w:tcPr>
                  <w:tcW w:w="640" w:type="pct"/>
                  <w:gridSpan w:val="2"/>
                  <w:tcBorders>
                    <w:top w:val="single" w:sz="4" w:space="0" w:color="auto"/>
                    <w:bottom w:val="single" w:sz="4" w:space="0" w:color="auto"/>
                  </w:tcBorders>
                  <w:tcMar>
                    <w:top w:w="0" w:type="dxa"/>
                    <w:left w:w="108" w:type="dxa"/>
                    <w:bottom w:w="0" w:type="dxa"/>
                    <w:right w:w="108" w:type="dxa"/>
                  </w:tcMar>
                </w:tcPr>
                <w:p w14:paraId="460D5A51" w14:textId="77777777" w:rsidR="00E75E1C" w:rsidRPr="000816D9" w:rsidRDefault="00E75E1C" w:rsidP="000816D9">
                  <w:pPr>
                    <w:pStyle w:val="TableColumnHeadingLeft"/>
                  </w:pPr>
                  <w:r w:rsidRPr="000816D9">
                    <w:t>Percentage aged 65 and over</w:t>
                  </w:r>
                </w:p>
              </w:tc>
              <w:tc>
                <w:tcPr>
                  <w:tcW w:w="603" w:type="pct"/>
                  <w:tcBorders>
                    <w:top w:val="single" w:sz="4" w:space="0" w:color="auto"/>
                    <w:bottom w:val="single" w:sz="4" w:space="0" w:color="auto"/>
                  </w:tcBorders>
                </w:tcPr>
                <w:p w14:paraId="094EB018" w14:textId="5EADEDC6" w:rsidR="00E75E1C" w:rsidRPr="000816D9" w:rsidRDefault="00E75E1C" w:rsidP="000816D9">
                  <w:pPr>
                    <w:pStyle w:val="TableColumnHeadingLeft"/>
                  </w:pPr>
                  <w:r w:rsidRPr="000816D9">
                    <w:t>Old</w:t>
                  </w:r>
                  <w:r w:rsidR="00600754" w:rsidRPr="000816D9">
                    <w:t>-</w:t>
                  </w:r>
                  <w:r w:rsidRPr="000816D9">
                    <w:t>age dependency ratio</w:t>
                  </w:r>
                  <w:r w:rsidR="00B24A93" w:rsidRPr="000816D9">
                    <w:rPr>
                      <w:rStyle w:val="FootnoteReference"/>
                      <w:b w:val="0"/>
                      <w:bCs/>
                      <w:color w:val="002C47" w:themeColor="accent1"/>
                      <w:szCs w:val="19"/>
                    </w:rPr>
                    <w:footnoteReference w:id="10"/>
                  </w:r>
                </w:p>
              </w:tc>
            </w:tr>
            <w:tr w:rsidR="001B1DC1" w:rsidRPr="003B6850" w14:paraId="39DB8CCC" w14:textId="77777777" w:rsidTr="005531D9">
              <w:trPr>
                <w:trHeight w:val="270"/>
              </w:trPr>
              <w:tc>
                <w:tcPr>
                  <w:tcW w:w="1299" w:type="pct"/>
                  <w:gridSpan w:val="2"/>
                  <w:tcBorders>
                    <w:top w:val="single" w:sz="4" w:space="0" w:color="auto"/>
                  </w:tcBorders>
                  <w:tcMar>
                    <w:top w:w="0" w:type="dxa"/>
                    <w:left w:w="108" w:type="dxa"/>
                    <w:bottom w:w="0" w:type="dxa"/>
                    <w:right w:w="108" w:type="dxa"/>
                  </w:tcMar>
                </w:tcPr>
                <w:p w14:paraId="10C3EA11" w14:textId="77777777" w:rsidR="001B1DC1" w:rsidRPr="00BD5F3C" w:rsidRDefault="001B1DC1" w:rsidP="000816D9">
                  <w:pPr>
                    <w:pStyle w:val="TableTextLeft"/>
                    <w:rPr>
                      <w:color w:val="002C47" w:themeColor="accent1"/>
                    </w:rPr>
                  </w:pPr>
                  <w:r w:rsidRPr="00BD5F3C">
                    <w:rPr>
                      <w:color w:val="002C47" w:themeColor="accent1"/>
                    </w:rPr>
                    <w:t>2020–21 population</w:t>
                  </w:r>
                </w:p>
              </w:tc>
              <w:tc>
                <w:tcPr>
                  <w:tcW w:w="9" w:type="pct"/>
                  <w:tcBorders>
                    <w:top w:val="single" w:sz="4" w:space="0" w:color="auto"/>
                  </w:tcBorders>
                </w:tcPr>
                <w:p w14:paraId="46F73A29" w14:textId="77777777" w:rsidR="001B1DC1" w:rsidRPr="002C06DC" w:rsidRDefault="001B1DC1" w:rsidP="000816D9">
                  <w:pPr>
                    <w:pStyle w:val="TableTextLeft"/>
                  </w:pPr>
                </w:p>
              </w:tc>
              <w:tc>
                <w:tcPr>
                  <w:tcW w:w="614" w:type="pct"/>
                  <w:gridSpan w:val="2"/>
                  <w:tcBorders>
                    <w:top w:val="single" w:sz="4" w:space="0" w:color="auto"/>
                  </w:tcBorders>
                </w:tcPr>
                <w:p w14:paraId="157F0246" w14:textId="6F63B593" w:rsidR="001B1DC1" w:rsidRPr="002C06DC" w:rsidRDefault="001B1DC1" w:rsidP="005531D9">
                  <w:pPr>
                    <w:pStyle w:val="TableTextLeft"/>
                    <w:jc w:val="right"/>
                    <w:rPr>
                      <w:rFonts w:eastAsia="Times New Roman"/>
                    </w:rPr>
                  </w:pPr>
                  <w:r w:rsidRPr="002C06DC">
                    <w:rPr>
                      <w:rFonts w:eastAsia="Times New Roman"/>
                    </w:rPr>
                    <w:t>2</w:t>
                  </w:r>
                  <w:r w:rsidR="00105ED4" w:rsidRPr="002C06DC">
                    <w:rPr>
                      <w:rFonts w:eastAsia="Times New Roman"/>
                    </w:rPr>
                    <w:t>5.7</w:t>
                  </w:r>
                  <w:r w:rsidRPr="002C06DC">
                    <w:rPr>
                      <w:rFonts w:eastAsia="Times New Roman"/>
                    </w:rPr>
                    <w:t xml:space="preserve"> million</w:t>
                  </w:r>
                </w:p>
              </w:tc>
              <w:tc>
                <w:tcPr>
                  <w:tcW w:w="614" w:type="pct"/>
                  <w:gridSpan w:val="2"/>
                  <w:tcBorders>
                    <w:top w:val="single" w:sz="4" w:space="0" w:color="auto"/>
                  </w:tcBorders>
                  <w:tcMar>
                    <w:top w:w="0" w:type="dxa"/>
                    <w:left w:w="108" w:type="dxa"/>
                    <w:bottom w:w="0" w:type="dxa"/>
                    <w:right w:w="108" w:type="dxa"/>
                  </w:tcMar>
                </w:tcPr>
                <w:p w14:paraId="448706EE" w14:textId="7AF87357" w:rsidR="001B1DC1" w:rsidRPr="002C06DC" w:rsidRDefault="001B1DC1" w:rsidP="005531D9">
                  <w:pPr>
                    <w:pStyle w:val="TableTextLeft"/>
                    <w:jc w:val="right"/>
                    <w:rPr>
                      <w:rFonts w:eastAsia="Times New Roman"/>
                    </w:rPr>
                  </w:pPr>
                  <w:r w:rsidRPr="002C06DC">
                    <w:rPr>
                      <w:rFonts w:eastAsia="Times New Roman"/>
                    </w:rPr>
                    <w:t>38.</w:t>
                  </w:r>
                  <w:r w:rsidR="00907854" w:rsidRPr="002C06DC">
                    <w:rPr>
                      <w:rFonts w:eastAsia="Times New Roman"/>
                    </w:rPr>
                    <w:t>4</w:t>
                  </w:r>
                </w:p>
              </w:tc>
              <w:tc>
                <w:tcPr>
                  <w:tcW w:w="615" w:type="pct"/>
                  <w:gridSpan w:val="2"/>
                  <w:tcBorders>
                    <w:top w:val="single" w:sz="4" w:space="0" w:color="auto"/>
                  </w:tcBorders>
                </w:tcPr>
                <w:p w14:paraId="0B21A797" w14:textId="5F39C78E" w:rsidR="001B1DC1" w:rsidRPr="002C06DC" w:rsidRDefault="001B1DC1" w:rsidP="005531D9">
                  <w:pPr>
                    <w:pStyle w:val="TableTextLeft"/>
                    <w:jc w:val="right"/>
                    <w:rPr>
                      <w:rFonts w:eastAsia="Times New Roman"/>
                    </w:rPr>
                  </w:pPr>
                  <w:r w:rsidRPr="002C06DC">
                    <w:rPr>
                      <w:rFonts w:eastAsia="Times New Roman"/>
                    </w:rPr>
                    <w:t>1</w:t>
                  </w:r>
                  <w:r w:rsidR="00907854" w:rsidRPr="002C06DC">
                    <w:rPr>
                      <w:rFonts w:eastAsia="Times New Roman"/>
                    </w:rPr>
                    <w:t>8</w:t>
                  </w:r>
                  <w:r w:rsidRPr="002C06DC">
                    <w:rPr>
                      <w:rFonts w:eastAsia="Times New Roman"/>
                    </w:rPr>
                    <w:t>.</w:t>
                  </w:r>
                  <w:r w:rsidR="00712AE7" w:rsidRPr="002C06DC">
                    <w:rPr>
                      <w:rFonts w:eastAsia="Times New Roman"/>
                    </w:rPr>
                    <w:t>5</w:t>
                  </w:r>
                </w:p>
              </w:tc>
              <w:tc>
                <w:tcPr>
                  <w:tcW w:w="617" w:type="pct"/>
                  <w:gridSpan w:val="2"/>
                  <w:tcBorders>
                    <w:top w:val="single" w:sz="4" w:space="0" w:color="auto"/>
                  </w:tcBorders>
                </w:tcPr>
                <w:p w14:paraId="2526F824" w14:textId="46A975DE" w:rsidR="001B1DC1" w:rsidRPr="002C06DC" w:rsidRDefault="001B1DC1" w:rsidP="005531D9">
                  <w:pPr>
                    <w:pStyle w:val="TableTextLeft"/>
                    <w:jc w:val="right"/>
                    <w:rPr>
                      <w:rFonts w:eastAsia="Times New Roman"/>
                    </w:rPr>
                  </w:pPr>
                  <w:r w:rsidRPr="002C06DC">
                    <w:rPr>
                      <w:rFonts w:eastAsia="Times New Roman"/>
                    </w:rPr>
                    <w:t>6</w:t>
                  </w:r>
                  <w:r w:rsidR="00907854" w:rsidRPr="002C06DC">
                    <w:rPr>
                      <w:rFonts w:eastAsia="Times New Roman"/>
                    </w:rPr>
                    <w:t>4</w:t>
                  </w:r>
                  <w:r w:rsidRPr="002C06DC">
                    <w:rPr>
                      <w:rFonts w:eastAsia="Times New Roman"/>
                    </w:rPr>
                    <w:t>.</w:t>
                  </w:r>
                  <w:r w:rsidR="00712AE7" w:rsidRPr="002C06DC">
                    <w:rPr>
                      <w:rFonts w:eastAsia="Times New Roman"/>
                    </w:rPr>
                    <w:t>7</w:t>
                  </w:r>
                </w:p>
              </w:tc>
              <w:tc>
                <w:tcPr>
                  <w:tcW w:w="629" w:type="pct"/>
                  <w:tcBorders>
                    <w:top w:val="single" w:sz="4" w:space="0" w:color="auto"/>
                  </w:tcBorders>
                  <w:tcMar>
                    <w:top w:w="0" w:type="dxa"/>
                    <w:left w:w="108" w:type="dxa"/>
                    <w:bottom w:w="0" w:type="dxa"/>
                    <w:right w:w="108" w:type="dxa"/>
                  </w:tcMar>
                </w:tcPr>
                <w:p w14:paraId="630A3DF7" w14:textId="3A928F0D" w:rsidR="001B1DC1" w:rsidRPr="002C06DC" w:rsidRDefault="00712AE7" w:rsidP="005531D9">
                  <w:pPr>
                    <w:pStyle w:val="TableTextLeft"/>
                    <w:jc w:val="right"/>
                    <w:rPr>
                      <w:rFonts w:eastAsia="Times New Roman"/>
                    </w:rPr>
                  </w:pPr>
                  <w:r w:rsidRPr="002C06DC">
                    <w:rPr>
                      <w:rFonts w:eastAsia="Times New Roman"/>
                    </w:rPr>
                    <w:t>16.8</w:t>
                  </w:r>
                </w:p>
              </w:tc>
              <w:tc>
                <w:tcPr>
                  <w:tcW w:w="603" w:type="pct"/>
                  <w:tcBorders>
                    <w:top w:val="single" w:sz="4" w:space="0" w:color="auto"/>
                  </w:tcBorders>
                </w:tcPr>
                <w:p w14:paraId="1AF8121C" w14:textId="487409BE" w:rsidR="001B1DC1" w:rsidRPr="002C06DC" w:rsidRDefault="001B1DC1" w:rsidP="005531D9">
                  <w:pPr>
                    <w:pStyle w:val="TableTextLeft"/>
                    <w:jc w:val="right"/>
                    <w:rPr>
                      <w:rFonts w:eastAsia="Times New Roman"/>
                    </w:rPr>
                  </w:pPr>
                  <w:r w:rsidRPr="002C06DC">
                    <w:rPr>
                      <w:rFonts w:eastAsia="Times New Roman"/>
                    </w:rPr>
                    <w:t xml:space="preserve">25.9 </w:t>
                  </w:r>
                </w:p>
              </w:tc>
            </w:tr>
            <w:tr w:rsidR="001B1DC1" w:rsidRPr="003B6850" w14:paraId="3430FD89" w14:textId="77777777" w:rsidTr="005531D9">
              <w:trPr>
                <w:trHeight w:val="270"/>
              </w:trPr>
              <w:tc>
                <w:tcPr>
                  <w:tcW w:w="1290" w:type="pct"/>
                  <w:tcBorders>
                    <w:top w:val="single" w:sz="4" w:space="0" w:color="auto"/>
                  </w:tcBorders>
                  <w:tcMar>
                    <w:top w:w="0" w:type="dxa"/>
                    <w:left w:w="108" w:type="dxa"/>
                    <w:bottom w:w="0" w:type="dxa"/>
                    <w:right w:w="108" w:type="dxa"/>
                  </w:tcMar>
                </w:tcPr>
                <w:p w14:paraId="36B532AB" w14:textId="77777777" w:rsidR="001B1DC1" w:rsidRPr="00BD5F3C" w:rsidRDefault="001B1DC1" w:rsidP="000816D9">
                  <w:pPr>
                    <w:pStyle w:val="TableTextLeft"/>
                    <w:rPr>
                      <w:color w:val="002C47" w:themeColor="accent1"/>
                    </w:rPr>
                  </w:pPr>
                  <w:r w:rsidRPr="00BD5F3C">
                    <w:rPr>
                      <w:color w:val="002C47" w:themeColor="accent1"/>
                    </w:rPr>
                    <w:t xml:space="preserve">Low fertility scenario </w:t>
                  </w:r>
                </w:p>
              </w:tc>
              <w:tc>
                <w:tcPr>
                  <w:tcW w:w="9" w:type="pct"/>
                  <w:tcBorders>
                    <w:top w:val="single" w:sz="4" w:space="0" w:color="auto"/>
                  </w:tcBorders>
                </w:tcPr>
                <w:p w14:paraId="6065ABAD" w14:textId="77777777" w:rsidR="001B1DC1" w:rsidRPr="002C06DC" w:rsidRDefault="001B1DC1" w:rsidP="000816D9">
                  <w:pPr>
                    <w:pStyle w:val="TableTextLeft"/>
                  </w:pPr>
                </w:p>
              </w:tc>
              <w:tc>
                <w:tcPr>
                  <w:tcW w:w="614" w:type="pct"/>
                  <w:gridSpan w:val="2"/>
                  <w:tcBorders>
                    <w:top w:val="single" w:sz="4" w:space="0" w:color="auto"/>
                  </w:tcBorders>
                </w:tcPr>
                <w:p w14:paraId="3777F8B8" w14:textId="77777777" w:rsidR="001B1DC1" w:rsidRPr="002C06DC" w:rsidRDefault="001B1DC1" w:rsidP="005531D9">
                  <w:pPr>
                    <w:pStyle w:val="TableTextLeft"/>
                    <w:jc w:val="right"/>
                    <w:rPr>
                      <w:rFonts w:eastAsia="Times New Roman"/>
                    </w:rPr>
                  </w:pPr>
                  <w:r w:rsidRPr="002C06DC">
                    <w:rPr>
                      <w:rFonts w:eastAsia="Times New Roman"/>
                    </w:rPr>
                    <w:t>36.2 million</w:t>
                  </w:r>
                </w:p>
              </w:tc>
              <w:tc>
                <w:tcPr>
                  <w:tcW w:w="614" w:type="pct"/>
                  <w:gridSpan w:val="2"/>
                  <w:tcBorders>
                    <w:top w:val="single" w:sz="4" w:space="0" w:color="auto"/>
                  </w:tcBorders>
                  <w:tcMar>
                    <w:top w:w="0" w:type="dxa"/>
                    <w:left w:w="108" w:type="dxa"/>
                    <w:bottom w:w="0" w:type="dxa"/>
                    <w:right w:w="108" w:type="dxa"/>
                  </w:tcMar>
                </w:tcPr>
                <w:p w14:paraId="108D81C4" w14:textId="77777777" w:rsidR="001B1DC1" w:rsidRPr="002C06DC" w:rsidRDefault="001B1DC1" w:rsidP="005531D9">
                  <w:pPr>
                    <w:pStyle w:val="TableTextLeft"/>
                    <w:jc w:val="right"/>
                  </w:pPr>
                  <w:r w:rsidRPr="002C06DC">
                    <w:rPr>
                      <w:rFonts w:eastAsia="Times New Roman"/>
                    </w:rPr>
                    <w:t>45.8</w:t>
                  </w:r>
                </w:p>
              </w:tc>
              <w:tc>
                <w:tcPr>
                  <w:tcW w:w="614" w:type="pct"/>
                  <w:gridSpan w:val="2"/>
                  <w:tcBorders>
                    <w:top w:val="single" w:sz="4" w:space="0" w:color="auto"/>
                  </w:tcBorders>
                </w:tcPr>
                <w:p w14:paraId="1FB7E44B" w14:textId="77777777" w:rsidR="001B1DC1" w:rsidRPr="002C06DC" w:rsidRDefault="001B1DC1" w:rsidP="005531D9">
                  <w:pPr>
                    <w:pStyle w:val="TableTextLeft"/>
                    <w:jc w:val="right"/>
                    <w:rPr>
                      <w:rFonts w:eastAsia="Times New Roman"/>
                    </w:rPr>
                  </w:pPr>
                  <w:r w:rsidRPr="002C06DC">
                    <w:rPr>
                      <w:rFonts w:eastAsia="Times New Roman"/>
                    </w:rPr>
                    <w:t>12.6</w:t>
                  </w:r>
                </w:p>
              </w:tc>
              <w:tc>
                <w:tcPr>
                  <w:tcW w:w="615" w:type="pct"/>
                  <w:gridSpan w:val="2"/>
                  <w:tcBorders>
                    <w:top w:val="single" w:sz="4" w:space="0" w:color="auto"/>
                  </w:tcBorders>
                </w:tcPr>
                <w:p w14:paraId="6CBDCB8A" w14:textId="77777777" w:rsidR="001B1DC1" w:rsidRPr="002C06DC" w:rsidRDefault="001B1DC1" w:rsidP="005531D9">
                  <w:pPr>
                    <w:pStyle w:val="TableTextLeft"/>
                    <w:jc w:val="right"/>
                    <w:rPr>
                      <w:rFonts w:eastAsia="Times New Roman"/>
                    </w:rPr>
                  </w:pPr>
                  <w:r w:rsidRPr="002C06DC">
                    <w:rPr>
                      <w:rFonts w:eastAsia="Times New Roman"/>
                    </w:rPr>
                    <w:t>62.4</w:t>
                  </w:r>
                </w:p>
              </w:tc>
              <w:tc>
                <w:tcPr>
                  <w:tcW w:w="640" w:type="pct"/>
                  <w:gridSpan w:val="2"/>
                  <w:tcBorders>
                    <w:top w:val="single" w:sz="4" w:space="0" w:color="auto"/>
                  </w:tcBorders>
                  <w:tcMar>
                    <w:top w:w="0" w:type="dxa"/>
                    <w:left w:w="108" w:type="dxa"/>
                    <w:bottom w:w="0" w:type="dxa"/>
                    <w:right w:w="108" w:type="dxa"/>
                  </w:tcMar>
                </w:tcPr>
                <w:p w14:paraId="4836531C" w14:textId="29F1A050" w:rsidR="001B1DC1" w:rsidRPr="002C06DC" w:rsidRDefault="001B1DC1" w:rsidP="005531D9">
                  <w:pPr>
                    <w:pStyle w:val="TableTextLeft"/>
                    <w:jc w:val="right"/>
                  </w:pPr>
                  <w:r w:rsidRPr="002C06DC">
                    <w:rPr>
                      <w:rFonts w:eastAsia="Times New Roman"/>
                    </w:rPr>
                    <w:t>2</w:t>
                  </w:r>
                  <w:r w:rsidR="008A1DDE" w:rsidRPr="002C06DC">
                    <w:rPr>
                      <w:rFonts w:eastAsia="Times New Roman"/>
                    </w:rPr>
                    <w:t>5</w:t>
                  </w:r>
                  <w:r w:rsidRPr="002C06DC">
                    <w:rPr>
                      <w:rFonts w:eastAsia="Times New Roman"/>
                    </w:rPr>
                    <w:t>.</w:t>
                  </w:r>
                  <w:r w:rsidR="008A1DDE" w:rsidRPr="002C06DC">
                    <w:rPr>
                      <w:rFonts w:eastAsia="Times New Roman"/>
                    </w:rPr>
                    <w:t>0</w:t>
                  </w:r>
                </w:p>
              </w:tc>
              <w:tc>
                <w:tcPr>
                  <w:tcW w:w="603" w:type="pct"/>
                  <w:tcBorders>
                    <w:top w:val="single" w:sz="4" w:space="0" w:color="auto"/>
                  </w:tcBorders>
                </w:tcPr>
                <w:p w14:paraId="671F3B40" w14:textId="60678798" w:rsidR="001B1DC1" w:rsidRPr="002C06DC" w:rsidRDefault="001B1DC1" w:rsidP="005531D9">
                  <w:pPr>
                    <w:pStyle w:val="TableTextLeft"/>
                    <w:jc w:val="right"/>
                  </w:pPr>
                  <w:r w:rsidRPr="002C06DC">
                    <w:rPr>
                      <w:rFonts w:eastAsia="Times New Roman"/>
                    </w:rPr>
                    <w:t xml:space="preserve">40.1 </w:t>
                  </w:r>
                </w:p>
              </w:tc>
            </w:tr>
            <w:tr w:rsidR="001B1DC1" w:rsidRPr="003B6850" w14:paraId="0CB34EBF" w14:textId="77777777" w:rsidTr="005531D9">
              <w:trPr>
                <w:trHeight w:val="286"/>
              </w:trPr>
              <w:tc>
                <w:tcPr>
                  <w:tcW w:w="1290" w:type="pct"/>
                  <w:shd w:val="clear" w:color="auto" w:fill="DEEAF6"/>
                  <w:tcMar>
                    <w:top w:w="0" w:type="dxa"/>
                    <w:left w:w="108" w:type="dxa"/>
                    <w:bottom w:w="0" w:type="dxa"/>
                    <w:right w:w="108" w:type="dxa"/>
                  </w:tcMar>
                </w:tcPr>
                <w:p w14:paraId="567B5134" w14:textId="74D996E6" w:rsidR="001B1DC1" w:rsidRPr="00BD5F3C" w:rsidRDefault="001B1DC1" w:rsidP="000816D9">
                  <w:pPr>
                    <w:pStyle w:val="TableTextLeft"/>
                    <w:rPr>
                      <w:color w:val="002C47" w:themeColor="accent1"/>
                    </w:rPr>
                  </w:pPr>
                  <w:r w:rsidRPr="00BD5F3C">
                    <w:rPr>
                      <w:color w:val="002C47" w:themeColor="accent1"/>
                    </w:rPr>
                    <w:t xml:space="preserve">Baseline fertility </w:t>
                  </w:r>
                  <w:r w:rsidR="0043488A" w:rsidRPr="00BD5F3C">
                    <w:rPr>
                      <w:color w:val="002C47" w:themeColor="accent1"/>
                    </w:rPr>
                    <w:t>scenario</w:t>
                  </w:r>
                </w:p>
              </w:tc>
              <w:tc>
                <w:tcPr>
                  <w:tcW w:w="9" w:type="pct"/>
                  <w:shd w:val="clear" w:color="auto" w:fill="DEEAF6"/>
                </w:tcPr>
                <w:p w14:paraId="53E708F6" w14:textId="77777777" w:rsidR="001B1DC1" w:rsidRPr="002C06DC" w:rsidRDefault="001B1DC1" w:rsidP="000816D9">
                  <w:pPr>
                    <w:pStyle w:val="TableTextLeft"/>
                  </w:pPr>
                </w:p>
              </w:tc>
              <w:tc>
                <w:tcPr>
                  <w:tcW w:w="614" w:type="pct"/>
                  <w:gridSpan w:val="2"/>
                  <w:shd w:val="clear" w:color="auto" w:fill="DEEAF6"/>
                </w:tcPr>
                <w:p w14:paraId="614FB3BC" w14:textId="77777777" w:rsidR="001B1DC1" w:rsidRPr="002C06DC" w:rsidRDefault="001B1DC1" w:rsidP="005531D9">
                  <w:pPr>
                    <w:pStyle w:val="TableTextLeft"/>
                    <w:jc w:val="right"/>
                    <w:rPr>
                      <w:rFonts w:eastAsia="Times New Roman"/>
                    </w:rPr>
                  </w:pPr>
                  <w:r w:rsidRPr="002C06DC">
                    <w:rPr>
                      <w:rFonts w:eastAsia="Times New Roman"/>
                    </w:rPr>
                    <w:t>39.2 million</w:t>
                  </w:r>
                </w:p>
              </w:tc>
              <w:tc>
                <w:tcPr>
                  <w:tcW w:w="614" w:type="pct"/>
                  <w:gridSpan w:val="2"/>
                  <w:shd w:val="clear" w:color="auto" w:fill="DEEAF6"/>
                  <w:tcMar>
                    <w:top w:w="0" w:type="dxa"/>
                    <w:left w:w="108" w:type="dxa"/>
                    <w:bottom w:w="0" w:type="dxa"/>
                    <w:right w:w="108" w:type="dxa"/>
                  </w:tcMar>
                </w:tcPr>
                <w:p w14:paraId="49AF227D" w14:textId="77777777" w:rsidR="001B1DC1" w:rsidRPr="002C06DC" w:rsidRDefault="001B1DC1" w:rsidP="005531D9">
                  <w:pPr>
                    <w:pStyle w:val="TableTextLeft"/>
                    <w:jc w:val="right"/>
                  </w:pPr>
                  <w:r w:rsidRPr="002C06DC">
                    <w:rPr>
                      <w:rFonts w:eastAsia="Times New Roman"/>
                    </w:rPr>
                    <w:t>42.8</w:t>
                  </w:r>
                </w:p>
              </w:tc>
              <w:tc>
                <w:tcPr>
                  <w:tcW w:w="614" w:type="pct"/>
                  <w:gridSpan w:val="2"/>
                  <w:shd w:val="clear" w:color="auto" w:fill="DEEAF6"/>
                </w:tcPr>
                <w:p w14:paraId="5ECB0487" w14:textId="77777777" w:rsidR="001B1DC1" w:rsidRPr="002C06DC" w:rsidRDefault="001B1DC1" w:rsidP="005531D9">
                  <w:pPr>
                    <w:pStyle w:val="TableTextLeft"/>
                    <w:jc w:val="right"/>
                    <w:rPr>
                      <w:rFonts w:eastAsia="Times New Roman"/>
                    </w:rPr>
                  </w:pPr>
                  <w:r w:rsidRPr="002C06DC">
                    <w:rPr>
                      <w:rFonts w:eastAsia="Times New Roman"/>
                    </w:rPr>
                    <w:t>15.6</w:t>
                  </w:r>
                </w:p>
              </w:tc>
              <w:tc>
                <w:tcPr>
                  <w:tcW w:w="615" w:type="pct"/>
                  <w:gridSpan w:val="2"/>
                  <w:shd w:val="clear" w:color="auto" w:fill="DEEAF6"/>
                </w:tcPr>
                <w:p w14:paraId="2D799732" w14:textId="77777777" w:rsidR="001B1DC1" w:rsidRPr="002C06DC" w:rsidRDefault="001B1DC1" w:rsidP="005531D9">
                  <w:pPr>
                    <w:pStyle w:val="TableTextLeft"/>
                    <w:jc w:val="right"/>
                    <w:rPr>
                      <w:rFonts w:eastAsia="Times New Roman"/>
                    </w:rPr>
                  </w:pPr>
                  <w:r w:rsidRPr="002C06DC">
                    <w:rPr>
                      <w:rFonts w:eastAsia="Times New Roman"/>
                    </w:rPr>
                    <w:t>61.3</w:t>
                  </w:r>
                </w:p>
              </w:tc>
              <w:tc>
                <w:tcPr>
                  <w:tcW w:w="640" w:type="pct"/>
                  <w:gridSpan w:val="2"/>
                  <w:shd w:val="clear" w:color="auto" w:fill="DEEAF6"/>
                  <w:tcMar>
                    <w:top w:w="0" w:type="dxa"/>
                    <w:left w:w="108" w:type="dxa"/>
                    <w:bottom w:w="0" w:type="dxa"/>
                    <w:right w:w="108" w:type="dxa"/>
                  </w:tcMar>
                </w:tcPr>
                <w:p w14:paraId="2CAA1F13" w14:textId="5334C015" w:rsidR="001B1DC1" w:rsidRPr="002C06DC" w:rsidRDefault="001B1DC1" w:rsidP="005531D9">
                  <w:pPr>
                    <w:pStyle w:val="TableTextLeft"/>
                    <w:jc w:val="right"/>
                  </w:pPr>
                  <w:r w:rsidRPr="002C06DC">
                    <w:rPr>
                      <w:rFonts w:eastAsia="Times New Roman"/>
                    </w:rPr>
                    <w:t>2</w:t>
                  </w:r>
                  <w:r w:rsidR="008A1DDE" w:rsidRPr="002C06DC">
                    <w:rPr>
                      <w:rFonts w:eastAsia="Times New Roman"/>
                    </w:rPr>
                    <w:t>3</w:t>
                  </w:r>
                  <w:r w:rsidRPr="002C06DC">
                    <w:rPr>
                      <w:rFonts w:eastAsia="Times New Roman"/>
                    </w:rPr>
                    <w:t>.</w:t>
                  </w:r>
                  <w:r w:rsidR="008A1DDE" w:rsidRPr="002C06DC">
                    <w:rPr>
                      <w:rFonts w:eastAsia="Times New Roman"/>
                    </w:rPr>
                    <w:t>1</w:t>
                  </w:r>
                </w:p>
              </w:tc>
              <w:tc>
                <w:tcPr>
                  <w:tcW w:w="603" w:type="pct"/>
                  <w:shd w:val="clear" w:color="auto" w:fill="DEEAF6"/>
                </w:tcPr>
                <w:p w14:paraId="1576E170" w14:textId="1AFA0031" w:rsidR="001B1DC1" w:rsidRPr="002C06DC" w:rsidRDefault="001B1DC1" w:rsidP="005531D9">
                  <w:pPr>
                    <w:pStyle w:val="TableTextLeft"/>
                    <w:jc w:val="right"/>
                  </w:pPr>
                  <w:r w:rsidRPr="002C06DC">
                    <w:rPr>
                      <w:rFonts w:eastAsia="Times New Roman"/>
                    </w:rPr>
                    <w:t xml:space="preserve">37.7 </w:t>
                  </w:r>
                </w:p>
              </w:tc>
            </w:tr>
            <w:tr w:rsidR="001B1DC1" w:rsidRPr="003B6850" w14:paraId="5126372D" w14:textId="77777777" w:rsidTr="005531D9">
              <w:trPr>
                <w:trHeight w:val="131"/>
              </w:trPr>
              <w:tc>
                <w:tcPr>
                  <w:tcW w:w="1290" w:type="pct"/>
                  <w:tcBorders>
                    <w:bottom w:val="single" w:sz="4" w:space="0" w:color="auto"/>
                  </w:tcBorders>
                  <w:tcMar>
                    <w:top w:w="0" w:type="dxa"/>
                    <w:left w:w="108" w:type="dxa"/>
                    <w:bottom w:w="0" w:type="dxa"/>
                    <w:right w:w="108" w:type="dxa"/>
                  </w:tcMar>
                </w:tcPr>
                <w:p w14:paraId="55E0ACAF" w14:textId="77777777" w:rsidR="001B1DC1" w:rsidRPr="00BD5F3C" w:rsidRDefault="001B1DC1" w:rsidP="000816D9">
                  <w:pPr>
                    <w:pStyle w:val="TableTextLeft"/>
                    <w:rPr>
                      <w:color w:val="002C47" w:themeColor="accent1"/>
                    </w:rPr>
                  </w:pPr>
                  <w:r w:rsidRPr="00BD5F3C">
                    <w:rPr>
                      <w:color w:val="002C47" w:themeColor="accent1"/>
                    </w:rPr>
                    <w:t>High fertility scenario</w:t>
                  </w:r>
                </w:p>
              </w:tc>
              <w:tc>
                <w:tcPr>
                  <w:tcW w:w="9" w:type="pct"/>
                  <w:tcBorders>
                    <w:bottom w:val="single" w:sz="4" w:space="0" w:color="auto"/>
                  </w:tcBorders>
                </w:tcPr>
                <w:p w14:paraId="274D915D" w14:textId="77777777" w:rsidR="001B1DC1" w:rsidRPr="002C06DC" w:rsidRDefault="001B1DC1" w:rsidP="000816D9">
                  <w:pPr>
                    <w:pStyle w:val="TableTextLeft"/>
                  </w:pPr>
                </w:p>
              </w:tc>
              <w:tc>
                <w:tcPr>
                  <w:tcW w:w="614" w:type="pct"/>
                  <w:gridSpan w:val="2"/>
                  <w:tcBorders>
                    <w:bottom w:val="single" w:sz="4" w:space="0" w:color="auto"/>
                  </w:tcBorders>
                </w:tcPr>
                <w:p w14:paraId="65CE63D1" w14:textId="77777777" w:rsidR="001B1DC1" w:rsidRPr="002C06DC" w:rsidRDefault="001B1DC1" w:rsidP="005531D9">
                  <w:pPr>
                    <w:pStyle w:val="TableTextLeft"/>
                    <w:jc w:val="right"/>
                    <w:rPr>
                      <w:rFonts w:eastAsia="Times New Roman"/>
                    </w:rPr>
                  </w:pPr>
                  <w:r w:rsidRPr="002C06DC">
                    <w:rPr>
                      <w:rFonts w:eastAsia="Times New Roman"/>
                    </w:rPr>
                    <w:t>43.1 million</w:t>
                  </w:r>
                </w:p>
              </w:tc>
              <w:tc>
                <w:tcPr>
                  <w:tcW w:w="614" w:type="pct"/>
                  <w:gridSpan w:val="2"/>
                  <w:tcBorders>
                    <w:bottom w:val="single" w:sz="4" w:space="0" w:color="auto"/>
                  </w:tcBorders>
                  <w:tcMar>
                    <w:top w:w="0" w:type="dxa"/>
                    <w:left w:w="108" w:type="dxa"/>
                    <w:bottom w:w="0" w:type="dxa"/>
                    <w:right w:w="108" w:type="dxa"/>
                  </w:tcMar>
                </w:tcPr>
                <w:p w14:paraId="39D82A42" w14:textId="77777777" w:rsidR="001B1DC1" w:rsidRPr="002C06DC" w:rsidRDefault="001B1DC1" w:rsidP="005531D9">
                  <w:pPr>
                    <w:pStyle w:val="TableTextLeft"/>
                    <w:jc w:val="right"/>
                  </w:pPr>
                  <w:r w:rsidRPr="002C06DC">
                    <w:rPr>
                      <w:rFonts w:eastAsia="Times New Roman"/>
                    </w:rPr>
                    <w:t>39.1</w:t>
                  </w:r>
                </w:p>
              </w:tc>
              <w:tc>
                <w:tcPr>
                  <w:tcW w:w="614" w:type="pct"/>
                  <w:gridSpan w:val="2"/>
                  <w:tcBorders>
                    <w:bottom w:val="single" w:sz="4" w:space="0" w:color="auto"/>
                  </w:tcBorders>
                </w:tcPr>
                <w:p w14:paraId="34D9FDF2" w14:textId="57F5B91D" w:rsidR="001B1DC1" w:rsidRPr="002C06DC" w:rsidRDefault="001B1DC1" w:rsidP="005531D9">
                  <w:pPr>
                    <w:pStyle w:val="TableTextLeft"/>
                    <w:jc w:val="right"/>
                    <w:rPr>
                      <w:rFonts w:eastAsia="Times New Roman"/>
                    </w:rPr>
                  </w:pPr>
                  <w:r w:rsidRPr="002C06DC">
                    <w:rPr>
                      <w:rFonts w:eastAsia="Times New Roman"/>
                    </w:rPr>
                    <w:t>1</w:t>
                  </w:r>
                  <w:r w:rsidR="008A1DDE" w:rsidRPr="002C06DC">
                    <w:rPr>
                      <w:rFonts w:eastAsia="Times New Roman"/>
                    </w:rPr>
                    <w:t>9</w:t>
                  </w:r>
                  <w:r w:rsidRPr="002C06DC">
                    <w:rPr>
                      <w:rFonts w:eastAsia="Times New Roman"/>
                    </w:rPr>
                    <w:t>.</w:t>
                  </w:r>
                  <w:r w:rsidR="008A1DDE" w:rsidRPr="002C06DC">
                    <w:rPr>
                      <w:rFonts w:eastAsia="Times New Roman"/>
                    </w:rPr>
                    <w:t>0</w:t>
                  </w:r>
                </w:p>
              </w:tc>
              <w:tc>
                <w:tcPr>
                  <w:tcW w:w="615" w:type="pct"/>
                  <w:gridSpan w:val="2"/>
                  <w:tcBorders>
                    <w:bottom w:val="single" w:sz="4" w:space="0" w:color="auto"/>
                  </w:tcBorders>
                </w:tcPr>
                <w:p w14:paraId="29EFE9D5" w14:textId="77777777" w:rsidR="001B1DC1" w:rsidRPr="002C06DC" w:rsidRDefault="001B1DC1" w:rsidP="005531D9">
                  <w:pPr>
                    <w:pStyle w:val="TableTextLeft"/>
                    <w:jc w:val="right"/>
                    <w:rPr>
                      <w:rFonts w:eastAsia="Times New Roman"/>
                    </w:rPr>
                  </w:pPr>
                  <w:r w:rsidRPr="002C06DC">
                    <w:rPr>
                      <w:rFonts w:eastAsia="Times New Roman"/>
                    </w:rPr>
                    <w:t>59.9</w:t>
                  </w:r>
                </w:p>
              </w:tc>
              <w:tc>
                <w:tcPr>
                  <w:tcW w:w="640" w:type="pct"/>
                  <w:gridSpan w:val="2"/>
                  <w:tcBorders>
                    <w:bottom w:val="single" w:sz="4" w:space="0" w:color="auto"/>
                  </w:tcBorders>
                  <w:tcMar>
                    <w:top w:w="0" w:type="dxa"/>
                    <w:left w:w="108" w:type="dxa"/>
                    <w:bottom w:w="0" w:type="dxa"/>
                    <w:right w:w="108" w:type="dxa"/>
                  </w:tcMar>
                </w:tcPr>
                <w:p w14:paraId="73EA5DB4" w14:textId="02A7CD3E" w:rsidR="001B1DC1" w:rsidRPr="002C06DC" w:rsidRDefault="001B1DC1" w:rsidP="005531D9">
                  <w:pPr>
                    <w:pStyle w:val="TableTextLeft"/>
                    <w:jc w:val="right"/>
                  </w:pPr>
                  <w:r w:rsidRPr="002C06DC">
                    <w:rPr>
                      <w:rFonts w:eastAsia="Times New Roman"/>
                    </w:rPr>
                    <w:t>2</w:t>
                  </w:r>
                  <w:r w:rsidR="008A1DDE" w:rsidRPr="002C06DC">
                    <w:rPr>
                      <w:rFonts w:eastAsia="Times New Roman"/>
                    </w:rPr>
                    <w:t>1</w:t>
                  </w:r>
                  <w:r w:rsidRPr="002C06DC">
                    <w:rPr>
                      <w:rFonts w:eastAsia="Times New Roman"/>
                    </w:rPr>
                    <w:t>.</w:t>
                  </w:r>
                  <w:r w:rsidR="008A1DDE" w:rsidRPr="002C06DC">
                    <w:rPr>
                      <w:rFonts w:eastAsia="Times New Roman"/>
                    </w:rPr>
                    <w:t>1</w:t>
                  </w:r>
                </w:p>
              </w:tc>
              <w:tc>
                <w:tcPr>
                  <w:tcW w:w="603" w:type="pct"/>
                  <w:tcBorders>
                    <w:bottom w:val="single" w:sz="4" w:space="0" w:color="auto"/>
                  </w:tcBorders>
                </w:tcPr>
                <w:p w14:paraId="0119AD9E" w14:textId="2CBB63EA" w:rsidR="001B1DC1" w:rsidRPr="002C06DC" w:rsidRDefault="001B1DC1" w:rsidP="005531D9">
                  <w:pPr>
                    <w:pStyle w:val="TableTextLeft"/>
                    <w:jc w:val="right"/>
                  </w:pPr>
                  <w:r w:rsidRPr="002C06DC">
                    <w:rPr>
                      <w:rFonts w:eastAsia="Times New Roman"/>
                    </w:rPr>
                    <w:t xml:space="preserve">35.1 </w:t>
                  </w:r>
                </w:p>
              </w:tc>
            </w:tr>
          </w:tbl>
          <w:p w14:paraId="421F9CB4" w14:textId="77777777" w:rsidR="00E75E1C" w:rsidRPr="00B344C9" w:rsidRDefault="00E75E1C" w:rsidP="00AA74B9">
            <w:pPr>
              <w:pStyle w:val="Source"/>
            </w:pPr>
            <w:r w:rsidRPr="00B344C9">
              <w:t>Source: Centre for Population projections.</w:t>
            </w:r>
          </w:p>
        </w:tc>
      </w:tr>
    </w:tbl>
    <w:p w14:paraId="7BFF31C0" w14:textId="77777777" w:rsidR="00764A10" w:rsidRDefault="00764A10" w:rsidP="00D27BD9">
      <w:bookmarkStart w:id="93" w:name="_Toc120635105"/>
    </w:p>
    <w:p w14:paraId="07BFE1E4" w14:textId="28CDD8B4" w:rsidR="00E75E1C" w:rsidRPr="00B344C9" w:rsidRDefault="00E75E1C" w:rsidP="000E5195">
      <w:pPr>
        <w:pStyle w:val="Heading3"/>
      </w:pPr>
      <w:bookmarkStart w:id="94" w:name="_Toc122617938"/>
      <w:bookmarkStart w:id="95" w:name="_Toc122618365"/>
      <w:r w:rsidRPr="004145F0">
        <w:t>Mortality</w:t>
      </w:r>
      <w:bookmarkEnd w:id="93"/>
      <w:bookmarkEnd w:id="94"/>
      <w:bookmarkEnd w:id="95"/>
    </w:p>
    <w:p w14:paraId="6749AE8F" w14:textId="7C1D0FCA" w:rsidR="00E75E1C" w:rsidRPr="00B344C9" w:rsidRDefault="00E75E1C" w:rsidP="004145F0">
      <w:bookmarkStart w:id="96" w:name="_Hlk117064693"/>
      <w:bookmarkStart w:id="97" w:name="_Hlk117067832"/>
      <w:r w:rsidRPr="00B344C9">
        <w:t>The pandemic is projected to have a temporary effect on mortality rates in Australia. The mortality rates for those aged 60 and above are projected to have increased slightly in 2021–22 and 2022–23</w:t>
      </w:r>
      <w:r w:rsidR="000265CC">
        <w:t>. This reflects</w:t>
      </w:r>
      <w:r w:rsidRPr="00B344C9">
        <w:t xml:space="preserve"> the increase in </w:t>
      </w:r>
      <w:r w:rsidR="00521F2D">
        <w:t xml:space="preserve">the </w:t>
      </w:r>
      <w:r w:rsidRPr="00B344C9">
        <w:t xml:space="preserve">number of deaths in this age group in the </w:t>
      </w:r>
      <w:r w:rsidR="000265CC" w:rsidRPr="000265CC">
        <w:t>second half of 2021</w:t>
      </w:r>
      <w:r w:rsidR="000265CC">
        <w:t>–</w:t>
      </w:r>
      <w:r w:rsidR="000265CC" w:rsidRPr="000265CC">
        <w:t>22</w:t>
      </w:r>
      <w:r w:rsidR="00EE7838">
        <w:t xml:space="preserve"> which </w:t>
      </w:r>
      <w:r w:rsidR="000265CC" w:rsidRPr="000265CC">
        <w:t xml:space="preserve">is expected to continue </w:t>
      </w:r>
      <w:r w:rsidR="000265CC">
        <w:t>into</w:t>
      </w:r>
      <w:r w:rsidR="000265CC" w:rsidRPr="000265CC">
        <w:t xml:space="preserve"> the first half of 2022</w:t>
      </w:r>
      <w:r w:rsidR="000265CC">
        <w:t>–</w:t>
      </w:r>
      <w:r w:rsidR="000265CC" w:rsidRPr="000265CC">
        <w:t>23</w:t>
      </w:r>
      <w:r w:rsidRPr="00B344C9">
        <w:t>. Compared to the 2022–23 March Budget,</w:t>
      </w:r>
      <w:r w:rsidRPr="00B344C9" w:rsidDel="00360B84">
        <w:t xml:space="preserve"> </w:t>
      </w:r>
      <w:r w:rsidRPr="00B344C9">
        <w:t xml:space="preserve">the forecast number of deaths has been increased by 8,800 in 2021–22 and 2022–23. </w:t>
      </w:r>
      <w:bookmarkEnd w:id="96"/>
      <w:r w:rsidRPr="00B344C9">
        <w:t>From 2023–24 onwards, mortality rates for all age groups are assumed to return to pre</w:t>
      </w:r>
      <w:r w:rsidR="009B78C6" w:rsidRPr="00B344C9">
        <w:t>-</w:t>
      </w:r>
      <w:r w:rsidRPr="00B344C9">
        <w:t xml:space="preserve">pandemic trends and continue declining at the annualised rate observed over the past </w:t>
      </w:r>
      <w:r w:rsidR="00521F2D">
        <w:t>3</w:t>
      </w:r>
      <w:r w:rsidR="00521F2D" w:rsidRPr="00B344C9">
        <w:t xml:space="preserve"> </w:t>
      </w:r>
      <w:r w:rsidRPr="00B344C9">
        <w:t>decades.</w:t>
      </w:r>
    </w:p>
    <w:p w14:paraId="10BA8FC6" w14:textId="28F85F53" w:rsidR="00E75E1C" w:rsidRPr="00B344C9" w:rsidRDefault="00E75E1C" w:rsidP="004145F0">
      <w:bookmarkStart w:id="98" w:name="_Hlk117065825"/>
      <w:bookmarkEnd w:id="97"/>
      <w:r w:rsidRPr="00B344C9">
        <w:t>Compared to many other advanced economies, Australia experienced relatively low mortality during the pandemic. Australia’s mortality rate in 2020 was a historical low of 491.6 deaths per 100,000 people. Mortality remained low during 2021 at 507.2 deaths per 100,000 people, with the leading causes of death being ischaemic heart, cerebrovascular and chronic lower respiratory diseases, dementia and lung cancer. COVID</w:t>
      </w:r>
      <w:r w:rsidR="009B78C6" w:rsidRPr="00B344C9">
        <w:t>-</w:t>
      </w:r>
      <w:r w:rsidRPr="00B344C9">
        <w:t>19 was the 34</w:t>
      </w:r>
      <w:r w:rsidRPr="00B344C9">
        <w:rPr>
          <w:vertAlign w:val="superscript"/>
        </w:rPr>
        <w:t>th</w:t>
      </w:r>
      <w:r w:rsidRPr="00B344C9">
        <w:t xml:space="preserve"> leading cause of death in 2021.</w:t>
      </w:r>
      <w:r w:rsidR="00661747">
        <w:rPr>
          <w:rStyle w:val="FootnoteReference"/>
        </w:rPr>
        <w:footnoteReference w:id="11"/>
      </w:r>
      <w:r w:rsidRPr="00B344C9">
        <w:t xml:space="preserve"> </w:t>
      </w:r>
    </w:p>
    <w:bookmarkEnd w:id="98"/>
    <w:p w14:paraId="602A6104" w14:textId="506042E5" w:rsidR="00E75E1C" w:rsidRPr="00B344C9" w:rsidRDefault="00E75E1C" w:rsidP="004145F0">
      <w:r w:rsidRPr="00B344C9">
        <w:t>Lockdowns and restrictions limited the spread of COVID</w:t>
      </w:r>
      <w:r w:rsidR="009B78C6" w:rsidRPr="00B344C9">
        <w:t>-</w:t>
      </w:r>
      <w:r w:rsidRPr="00B344C9">
        <w:t>19 in 2020 and 2021. However, as COVID</w:t>
      </w:r>
      <w:r w:rsidR="009B78C6" w:rsidRPr="00B344C9">
        <w:t>-</w:t>
      </w:r>
      <w:r w:rsidRPr="00B344C9">
        <w:t>19 infection rates increased significantly from the beginning of 2022, deaths from both COVID</w:t>
      </w:r>
      <w:r w:rsidR="009B78C6" w:rsidRPr="00B344C9">
        <w:t>-</w:t>
      </w:r>
      <w:r w:rsidRPr="00B344C9">
        <w:t>19 and causes not directly attributable to COVID</w:t>
      </w:r>
      <w:r w:rsidR="009B78C6" w:rsidRPr="00B344C9">
        <w:t>-</w:t>
      </w:r>
      <w:r w:rsidRPr="00B344C9">
        <w:t>19 increased</w:t>
      </w:r>
      <w:r w:rsidR="009E0BDF">
        <w:t xml:space="preserve"> </w:t>
      </w:r>
      <w:r w:rsidR="009E0BDF" w:rsidRPr="00B344C9">
        <w:t>(</w:t>
      </w:r>
      <w:r w:rsidR="002C2CC1">
        <w:t>Chart 13</w:t>
      </w:r>
      <w:r w:rsidR="009E0BDF" w:rsidRPr="00B344C9">
        <w:t>)</w:t>
      </w:r>
      <w:r w:rsidRPr="00B344C9">
        <w:t xml:space="preserve">. </w:t>
      </w:r>
      <w:r w:rsidR="006D0813">
        <w:t xml:space="preserve">As at </w:t>
      </w:r>
      <w:r w:rsidR="00E96BAB">
        <w:t>August</w:t>
      </w:r>
      <w:r w:rsidR="006D0813">
        <w:t xml:space="preserve"> 2022, m</w:t>
      </w:r>
      <w:r w:rsidRPr="00B344C9">
        <w:t>ore than 7</w:t>
      </w:r>
      <w:r w:rsidR="00A246B8">
        <w:t>8</w:t>
      </w:r>
      <w:r w:rsidR="00E458CE">
        <w:t>.8</w:t>
      </w:r>
      <w:r w:rsidRPr="00B344C9">
        <w:t xml:space="preserve"> per cent of deaths from COVID</w:t>
      </w:r>
      <w:r w:rsidR="0018718D">
        <w:noBreakHyphen/>
      </w:r>
      <w:r w:rsidRPr="00B344C9">
        <w:t>19 had occurred in 2022. The median age of those who died from COVID</w:t>
      </w:r>
      <w:r w:rsidR="009B78C6" w:rsidRPr="00B344C9">
        <w:t>-</w:t>
      </w:r>
      <w:r w:rsidRPr="00B344C9">
        <w:t xml:space="preserve">19 remained high in </w:t>
      </w:r>
      <w:r w:rsidRPr="00E458CE">
        <w:t xml:space="preserve">2022, at </w:t>
      </w:r>
      <w:r w:rsidR="00E458CE" w:rsidRPr="002C06DC">
        <w:t>83.7</w:t>
      </w:r>
      <w:r w:rsidR="00E458CE" w:rsidRPr="00E458CE">
        <w:t xml:space="preserve"> years for males and </w:t>
      </w:r>
      <w:r w:rsidR="00E458CE" w:rsidRPr="002C06DC">
        <w:t>87.5</w:t>
      </w:r>
      <w:r w:rsidR="00E458CE" w:rsidRPr="00E458CE">
        <w:t xml:space="preserve"> years for females.</w:t>
      </w:r>
      <w:r w:rsidR="00E458CE" w:rsidRPr="00E458CE">
        <w:rPr>
          <w:rStyle w:val="FootnoteReference"/>
        </w:rPr>
        <w:footnoteReference w:id="12"/>
      </w:r>
    </w:p>
    <w:p w14:paraId="40CBE2B9" w14:textId="494841DD" w:rsidR="00E75E1C" w:rsidRPr="00B344C9" w:rsidRDefault="00262B9A" w:rsidP="003B703A">
      <w:pPr>
        <w:pStyle w:val="Heading9"/>
        <w:spacing w:before="100" w:after="100"/>
      </w:pPr>
      <w:bookmarkStart w:id="99" w:name="_Ref118100769"/>
      <w:bookmarkEnd w:id="90"/>
      <w:r>
        <w:lastRenderedPageBreak/>
        <w:t>D</w:t>
      </w:r>
      <w:r w:rsidR="00E75E1C" w:rsidRPr="00B344C9">
        <w:t xml:space="preserve">eaths by age and sex, year to </w:t>
      </w:r>
      <w:r>
        <w:t>August</w:t>
      </w:r>
      <w:r w:rsidRPr="00B344C9">
        <w:t xml:space="preserve"> </w:t>
      </w:r>
      <w:r w:rsidR="00E75E1C" w:rsidRPr="00B344C9">
        <w:t>(2022, 2021, historical average)</w:t>
      </w:r>
      <w:bookmarkEnd w:id="99"/>
    </w:p>
    <w:p w14:paraId="68C5A447" w14:textId="44F8B84D" w:rsidR="00E75E1C" w:rsidRPr="00B344C9" w:rsidRDefault="007E4169" w:rsidP="003B703A">
      <w:pPr>
        <w:spacing w:after="100"/>
        <w:jc w:val="center"/>
      </w:pPr>
      <w:r w:rsidRPr="007E4169">
        <w:rPr>
          <w:noProof/>
        </w:rPr>
        <w:drawing>
          <wp:inline distT="0" distB="0" distL="0" distR="0" wp14:anchorId="1C297952" wp14:editId="7F7A545E">
            <wp:extent cx="5581650" cy="2524125"/>
            <wp:effectExtent l="0" t="0" r="0" b="9525"/>
            <wp:docPr id="5" name="Picture 5" descr="A chart showing that while deaths in 2022 for people aged under 65 were similar to those in 2021 and the historical average, deaths for people aged 65 years and over were higher in 2022 compared to 2021 and the historic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art showing that while deaths in 2022 for people aged under 65 were similar to those in 2021 and the historical average, deaths for people aged 65 years and over were higher in 2022 compared to 2021 and the historical aver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D991842" w14:textId="51F19DFF" w:rsidR="007E077B" w:rsidRDefault="007E077B" w:rsidP="003B703A">
      <w:pPr>
        <w:pStyle w:val="Source"/>
        <w:spacing w:before="0" w:after="0"/>
      </w:pPr>
      <w:r>
        <w:t>Note: Historical average is calculated as the average number of deaths over the same period during 2017–2019 and 2021.</w:t>
      </w:r>
      <w:r w:rsidR="00070121" w:rsidRPr="0067582B">
        <w:rPr>
          <w:szCs w:val="18"/>
        </w:rPr>
        <w:t xml:space="preserve"> </w:t>
      </w:r>
    </w:p>
    <w:p w14:paraId="013C262B" w14:textId="13BA8DA1" w:rsidR="00E75E1C" w:rsidRPr="00B344C9" w:rsidRDefault="00E75E1C" w:rsidP="003B703A">
      <w:pPr>
        <w:pStyle w:val="Source"/>
        <w:spacing w:before="0" w:after="0"/>
      </w:pPr>
      <w:r w:rsidRPr="00B344C9">
        <w:t xml:space="preserve">Source: </w:t>
      </w:r>
      <w:r w:rsidR="00203955" w:rsidRPr="00B344C9">
        <w:t>Australian Bureau of Statistics, Provisional Mortality Statistics, Jan</w:t>
      </w:r>
      <w:r w:rsidR="003A2053">
        <w:t>uary</w:t>
      </w:r>
      <w:r w:rsidR="00203955" w:rsidRPr="00B344C9">
        <w:t xml:space="preserve"> - </w:t>
      </w:r>
      <w:r w:rsidR="00E458CE">
        <w:t>Aug</w:t>
      </w:r>
      <w:r w:rsidR="003A2053">
        <w:t>ust</w:t>
      </w:r>
      <w:r w:rsidR="00E458CE" w:rsidRPr="00B344C9">
        <w:t xml:space="preserve"> </w:t>
      </w:r>
      <w:r w:rsidR="00203955" w:rsidRPr="00B344C9">
        <w:t>2022, 2022</w:t>
      </w:r>
      <w:r w:rsidR="0052082B">
        <w:t>.</w:t>
      </w:r>
      <w:r w:rsidR="005F37CC" w:rsidDel="005F37CC">
        <w:t xml:space="preserve"> </w:t>
      </w:r>
    </w:p>
    <w:p w14:paraId="6BEE67C9" w14:textId="129E3D44" w:rsidR="005A1E02" w:rsidRPr="00B344C9" w:rsidRDefault="00E75E1C" w:rsidP="004145F0">
      <w:r w:rsidRPr="00B344C9">
        <w:t xml:space="preserve">Deaths were elevated in 2022, driven by deaths due to the Omicron variant wave. </w:t>
      </w:r>
      <w:r w:rsidR="00E458CE" w:rsidRPr="00B344C9">
        <w:t xml:space="preserve">In the first </w:t>
      </w:r>
      <w:r w:rsidR="00E458CE">
        <w:t>8</w:t>
      </w:r>
      <w:r w:rsidR="00E458CE" w:rsidRPr="00B344C9">
        <w:t xml:space="preserve"> months of 2022 there w</w:t>
      </w:r>
      <w:r w:rsidR="00E458CE" w:rsidRPr="00E458CE">
        <w:t xml:space="preserve">ere </w:t>
      </w:r>
      <w:r w:rsidR="00E458CE" w:rsidRPr="002C06DC">
        <w:t>129,000</w:t>
      </w:r>
      <w:r w:rsidR="00E458CE" w:rsidRPr="00E458CE">
        <w:t xml:space="preserve"> deaths in Australia. This was </w:t>
      </w:r>
      <w:r w:rsidR="00E458CE" w:rsidRPr="002C06DC">
        <w:t>13.2</w:t>
      </w:r>
      <w:r w:rsidR="00E458CE" w:rsidRPr="00E458CE">
        <w:t xml:space="preserve"> per cent higher than in the same period in 2021, and </w:t>
      </w:r>
      <w:r w:rsidR="00E458CE" w:rsidRPr="002C06DC">
        <w:t>17.0</w:t>
      </w:r>
      <w:r w:rsidR="00EE098B">
        <w:t> </w:t>
      </w:r>
      <w:r w:rsidR="00E458CE" w:rsidRPr="00E458CE">
        <w:t>per cent above the historical average</w:t>
      </w:r>
      <w:r w:rsidR="00511898">
        <w:t xml:space="preserve"> (</w:t>
      </w:r>
      <w:r w:rsidR="002C2CC1">
        <w:t>Chart 14</w:t>
      </w:r>
      <w:r w:rsidR="00511898">
        <w:t>)</w:t>
      </w:r>
      <w:r w:rsidR="00E458CE" w:rsidRPr="00E458CE">
        <w:t xml:space="preserve">. COVID-19 accounted for </w:t>
      </w:r>
      <w:r w:rsidR="00E458CE" w:rsidRPr="002C06DC">
        <w:t>7,700</w:t>
      </w:r>
      <w:r w:rsidR="00E458CE" w:rsidRPr="00E458CE">
        <w:t xml:space="preserve"> doctor-certified deaths from January to August 2022, which was </w:t>
      </w:r>
      <w:r w:rsidR="00E458CE" w:rsidRPr="002C06DC">
        <w:t>6</w:t>
      </w:r>
      <w:r w:rsidR="00E458CE" w:rsidRPr="00E458CE">
        <w:t xml:space="preserve"> times higher than during the entirety of 2021. During this period, the number of weekly deaths from all causes in Australia peaked </w:t>
      </w:r>
      <w:r w:rsidR="00E458CE" w:rsidRPr="002C06DC">
        <w:t>at 4,200 deaths in the week ending 7 August (20.2 per cent above the historical average) and at 4,100 deaths in the weeks ending 31 July and 24 July (15.5 and 16.2 per cent above the historical average).</w:t>
      </w:r>
      <w:r w:rsidR="00E458CE" w:rsidRPr="00E458CE">
        <w:rPr>
          <w:rStyle w:val="FootnoteReference"/>
        </w:rPr>
        <w:footnoteReference w:id="13"/>
      </w:r>
    </w:p>
    <w:p w14:paraId="003E551E" w14:textId="4B0D2CDF" w:rsidR="00E75E1C" w:rsidRPr="00B344C9" w:rsidRDefault="00924A7C" w:rsidP="003B703A">
      <w:pPr>
        <w:pStyle w:val="Heading9"/>
        <w:spacing w:before="100" w:after="100"/>
      </w:pPr>
      <w:bookmarkStart w:id="100" w:name="_Ref118135212"/>
      <w:r>
        <w:t>Weekly d</w:t>
      </w:r>
      <w:r w:rsidR="00E75E1C" w:rsidRPr="00B344C9">
        <w:t>eaths and COVID</w:t>
      </w:r>
      <w:r w:rsidR="009B78C6" w:rsidRPr="00B344C9">
        <w:t>-</w:t>
      </w:r>
      <w:r w:rsidR="00E75E1C" w:rsidRPr="00B344C9">
        <w:t>19 deaths, 2021 and 2022</w:t>
      </w:r>
      <w:bookmarkEnd w:id="100"/>
    </w:p>
    <w:p w14:paraId="725406EF" w14:textId="26CB6622" w:rsidR="00E75E1C" w:rsidRPr="00B344C9" w:rsidRDefault="00E24B8B" w:rsidP="003B703A">
      <w:pPr>
        <w:spacing w:after="100"/>
        <w:jc w:val="center"/>
      </w:pPr>
      <w:r w:rsidRPr="00E24B8B">
        <w:rPr>
          <w:noProof/>
        </w:rPr>
        <w:drawing>
          <wp:inline distT="0" distB="0" distL="0" distR="0" wp14:anchorId="786B7AD7" wp14:editId="5C1183BF">
            <wp:extent cx="5581650" cy="2524125"/>
            <wp:effectExtent l="0" t="0" r="0" b="9525"/>
            <wp:docPr id="7" name="Picture 7" descr="A chart showing that COVID-19 deaths peaked between January and February 2022 and increased again in July and August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art showing that COVID-19 deaths peaked between January and February 2022 and increased again in July and August 2022.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CB2543C" w14:textId="6A29DC20" w:rsidR="00BC7F04" w:rsidRDefault="00BC7F04" w:rsidP="008B1B2A">
      <w:pPr>
        <w:pStyle w:val="Source"/>
        <w:spacing w:before="0" w:after="0"/>
      </w:pPr>
      <w:r>
        <w:t xml:space="preserve">Note: </w:t>
      </w:r>
      <w:r w:rsidR="0091434F">
        <w:t>H</w:t>
      </w:r>
      <w:r>
        <w:t xml:space="preserve">istorical average used </w:t>
      </w:r>
      <w:r w:rsidR="006C59BB">
        <w:t>for</w:t>
      </w:r>
      <w:r>
        <w:t xml:space="preserve"> 2022</w:t>
      </w:r>
      <w:r w:rsidR="006C59BB">
        <w:t xml:space="preserve"> is calculated as the average number of deaths over the 2017–2019 period and 2021. </w:t>
      </w:r>
      <w:r w:rsidR="00511898" w:rsidRPr="0067582B">
        <w:rPr>
          <w:szCs w:val="18"/>
        </w:rPr>
        <w:t>2020 is not included as there were periods when deaths were significantly lower than expected during that year.</w:t>
      </w:r>
      <w:r w:rsidR="00511898">
        <w:rPr>
          <w:szCs w:val="18"/>
        </w:rPr>
        <w:t xml:space="preserve"> H</w:t>
      </w:r>
      <w:r w:rsidR="00E05EB6">
        <w:t>istorical average used for 2021 is calculated as the average number of deaths over 2015</w:t>
      </w:r>
      <w:r w:rsidR="00E05EB6">
        <w:softHyphen/>
        <w:t>–2019.</w:t>
      </w:r>
    </w:p>
    <w:p w14:paraId="1C9AF105" w14:textId="5D2506FB" w:rsidR="00E75E1C" w:rsidRPr="00B344C9" w:rsidRDefault="00E75E1C" w:rsidP="008B1B2A">
      <w:pPr>
        <w:pStyle w:val="Source"/>
        <w:spacing w:before="0" w:after="0"/>
      </w:pPr>
      <w:r w:rsidRPr="00B344C9">
        <w:t xml:space="preserve">Source: </w:t>
      </w:r>
      <w:r w:rsidR="00590452" w:rsidRPr="00B344C9">
        <w:t>Australian Bureau of Statistics, Provisional Mortality Statistics, Jan</w:t>
      </w:r>
      <w:r w:rsidR="003A2053">
        <w:t>uary</w:t>
      </w:r>
      <w:r w:rsidR="00590452" w:rsidRPr="00B344C9">
        <w:t xml:space="preserve"> - </w:t>
      </w:r>
      <w:r w:rsidR="00856332">
        <w:t>Aug</w:t>
      </w:r>
      <w:r w:rsidR="003A2053">
        <w:t>ust</w:t>
      </w:r>
      <w:r w:rsidR="00856332" w:rsidRPr="00B344C9">
        <w:t xml:space="preserve"> </w:t>
      </w:r>
      <w:r w:rsidR="00590452" w:rsidRPr="00B344C9">
        <w:t>2022, 2022</w:t>
      </w:r>
      <w:r w:rsidRPr="00B344C9">
        <w:t>.</w:t>
      </w:r>
      <w:r w:rsidR="005F37CC" w:rsidRPr="00B344C9" w:rsidDel="005F37CC">
        <w:t xml:space="preserve"> </w:t>
      </w:r>
    </w:p>
    <w:p w14:paraId="7F1D07C8" w14:textId="44CD71D1" w:rsidR="00E75E1C" w:rsidRPr="00B344C9" w:rsidRDefault="00E75E1C" w:rsidP="00D31909">
      <w:r w:rsidRPr="00B344C9">
        <w:lastRenderedPageBreak/>
        <w:t>The peaks in COVID</w:t>
      </w:r>
      <w:r w:rsidR="009B78C6" w:rsidRPr="00B344C9">
        <w:t>-</w:t>
      </w:r>
      <w:r w:rsidRPr="00B344C9">
        <w:t>19 deaths observed in Australia in January (3.3 COVID</w:t>
      </w:r>
      <w:r w:rsidR="009B78C6" w:rsidRPr="00B344C9">
        <w:t>-</w:t>
      </w:r>
      <w:r w:rsidRPr="00B344C9">
        <w:t>19 deaths per million) and July 2022 (3.7 COVID</w:t>
      </w:r>
      <w:r w:rsidR="009B78C6" w:rsidRPr="00B344C9">
        <w:t>-</w:t>
      </w:r>
      <w:r w:rsidRPr="00B344C9">
        <w:t>19 deaths per million) were well below the peaks observed in other countries</w:t>
      </w:r>
      <w:r w:rsidR="00DF3E17">
        <w:t xml:space="preserve"> in the first two years of the pandemic</w:t>
      </w:r>
      <w:r w:rsidRPr="00B344C9">
        <w:t>.</w:t>
      </w:r>
      <w:r w:rsidR="00F23B4F" w:rsidRPr="005A5F46">
        <w:rPr>
          <w:rStyle w:val="FootnoteReference"/>
        </w:rPr>
        <w:footnoteReference w:id="14"/>
      </w:r>
      <w:r w:rsidRPr="005A5F46">
        <w:t xml:space="preserve"> </w:t>
      </w:r>
      <w:r w:rsidRPr="00B344C9">
        <w:t>The January 2021 peaks in COVID</w:t>
      </w:r>
      <w:r w:rsidR="009B78C6" w:rsidRPr="00B344C9">
        <w:t>-</w:t>
      </w:r>
      <w:r w:rsidRPr="00B344C9">
        <w:t>19 deaths in the United Kingdom were 20.</w:t>
      </w:r>
      <w:r w:rsidR="00DF3E17">
        <w:t>6</w:t>
      </w:r>
      <w:r w:rsidRPr="00B344C9">
        <w:t xml:space="preserve"> COVID</w:t>
      </w:r>
      <w:r w:rsidR="009B78C6" w:rsidRPr="00B344C9">
        <w:t>-</w:t>
      </w:r>
      <w:r w:rsidRPr="00B344C9">
        <w:t>19 deaths per million and in the United States 10.0 COVID</w:t>
      </w:r>
      <w:r w:rsidR="009B78C6" w:rsidRPr="00B344C9">
        <w:t>-</w:t>
      </w:r>
      <w:r w:rsidRPr="00B344C9">
        <w:t>19 deaths per million.</w:t>
      </w:r>
      <w:r w:rsidRPr="00B344C9">
        <w:rPr>
          <w:rStyle w:val="FootnoteReference"/>
        </w:rPr>
        <w:footnoteReference w:id="15"/>
      </w:r>
    </w:p>
    <w:p w14:paraId="17C081FD" w14:textId="130A6044" w:rsidR="00E75E1C" w:rsidRPr="00B344C9" w:rsidRDefault="00E75E1C" w:rsidP="00D31909">
      <w:pPr>
        <w:rPr>
          <w:rFonts w:eastAsia="Times New Roman"/>
          <w:color w:val="000000"/>
        </w:rPr>
      </w:pPr>
      <w:r w:rsidRPr="00B344C9">
        <w:t>Deaths from other causes, such as cancer, ischaemic heart disease and respiratory diseases also contributed to the increase in deaths in 2022 during the period of increased infections (</w:t>
      </w:r>
      <w:r w:rsidR="002C2CC1">
        <w:t>Chart 15</w:t>
      </w:r>
      <w:r w:rsidRPr="00B344C9">
        <w:t xml:space="preserve">). Early </w:t>
      </w:r>
      <w:r w:rsidR="00DF3E17">
        <w:t>data</w:t>
      </w:r>
      <w:r w:rsidR="00DF3E17" w:rsidRPr="00B344C9">
        <w:t xml:space="preserve"> </w:t>
      </w:r>
      <w:r w:rsidRPr="00B344C9">
        <w:t>suggest COVID</w:t>
      </w:r>
      <w:r w:rsidR="009B78C6" w:rsidRPr="00B344C9">
        <w:t>-</w:t>
      </w:r>
      <w:r w:rsidRPr="00B344C9">
        <w:t>19 may increase the risk of dying from other causes, while pre</w:t>
      </w:r>
      <w:r w:rsidR="006B6982" w:rsidRPr="00B344C9">
        <w:t>-</w:t>
      </w:r>
      <w:r w:rsidRPr="00B344C9">
        <w:t>existing conditions may also increase the risk of dying from COVID</w:t>
      </w:r>
      <w:r w:rsidR="009B78C6" w:rsidRPr="00B344C9">
        <w:t>-</w:t>
      </w:r>
      <w:r w:rsidRPr="00B344C9">
        <w:t>19.</w:t>
      </w:r>
      <w:r w:rsidRPr="00B344C9">
        <w:rPr>
          <w:rStyle w:val="FootnoteReference"/>
        </w:rPr>
        <w:footnoteReference w:id="16"/>
      </w:r>
      <w:r w:rsidRPr="00B344C9">
        <w:t xml:space="preserve"> Deaths due to dementia and diabetes increased substantially relative to the historical average (</w:t>
      </w:r>
      <w:r w:rsidR="00856332" w:rsidRPr="002C06DC">
        <w:t>18.9 per cent and 20.8</w:t>
      </w:r>
      <w:r w:rsidR="00856332" w:rsidRPr="00856332">
        <w:t xml:space="preserve"> per cent</w:t>
      </w:r>
      <w:r w:rsidRPr="00B344C9">
        <w:t>).</w:t>
      </w:r>
      <w:r w:rsidRPr="00B344C9">
        <w:rPr>
          <w:rFonts w:eastAsia="Times New Roman"/>
          <w:color w:val="000000"/>
        </w:rPr>
        <w:t xml:space="preserve"> Dementia</w:t>
      </w:r>
      <w:r w:rsidR="00521F2D">
        <w:rPr>
          <w:rFonts w:eastAsia="Times New Roman"/>
          <w:color w:val="000000"/>
        </w:rPr>
        <w:t xml:space="preserve"> </w:t>
      </w:r>
      <w:r w:rsidR="00225810">
        <w:rPr>
          <w:rFonts w:eastAsia="Times New Roman"/>
          <w:color w:val="000000"/>
        </w:rPr>
        <w:t>(</w:t>
      </w:r>
      <w:r w:rsidRPr="00B344C9">
        <w:rPr>
          <w:rFonts w:eastAsia="Times New Roman"/>
          <w:color w:val="000000"/>
        </w:rPr>
        <w:t>including Alzheimer’s disease</w:t>
      </w:r>
      <w:r w:rsidR="00521F2D">
        <w:rPr>
          <w:rFonts w:eastAsia="Times New Roman"/>
          <w:color w:val="000000"/>
        </w:rPr>
        <w:t>)</w:t>
      </w:r>
      <w:r w:rsidR="00521F2D" w:rsidRPr="00B344C9">
        <w:rPr>
          <w:rFonts w:eastAsia="Times New Roman"/>
          <w:color w:val="000000"/>
        </w:rPr>
        <w:t xml:space="preserve"> </w:t>
      </w:r>
      <w:r w:rsidRPr="00B344C9">
        <w:rPr>
          <w:rFonts w:eastAsia="Times New Roman"/>
          <w:color w:val="000000"/>
        </w:rPr>
        <w:t>and diabetes are among the most reported pre</w:t>
      </w:r>
      <w:r w:rsidR="006B6982" w:rsidRPr="00B344C9">
        <w:rPr>
          <w:rFonts w:eastAsia="Times New Roman"/>
          <w:color w:val="000000"/>
        </w:rPr>
        <w:t>-</w:t>
      </w:r>
      <w:r w:rsidRPr="00B344C9">
        <w:rPr>
          <w:rFonts w:eastAsia="Times New Roman"/>
          <w:color w:val="000000"/>
        </w:rPr>
        <w:t>existing chronic conditions that increase the risk of developing severe illness and dying due to COVID</w:t>
      </w:r>
      <w:r w:rsidR="009B78C6" w:rsidRPr="00B344C9">
        <w:rPr>
          <w:rFonts w:eastAsia="Times New Roman"/>
          <w:color w:val="000000"/>
        </w:rPr>
        <w:t>-</w:t>
      </w:r>
      <w:r w:rsidRPr="00B344C9">
        <w:rPr>
          <w:rFonts w:eastAsia="Times New Roman"/>
          <w:color w:val="000000"/>
        </w:rPr>
        <w:t>19 in Australia.</w:t>
      </w:r>
      <w:r w:rsidRPr="00B344C9">
        <w:rPr>
          <w:rStyle w:val="FootnoteReference"/>
          <w:rFonts w:eastAsia="Times New Roman"/>
          <w:color w:val="000000"/>
        </w:rPr>
        <w:footnoteReference w:id="17"/>
      </w:r>
    </w:p>
    <w:p w14:paraId="4F4783FA" w14:textId="65FC44B7" w:rsidR="00E75E1C" w:rsidRPr="00B344C9" w:rsidRDefault="00262B9A" w:rsidP="00B144F9">
      <w:pPr>
        <w:pStyle w:val="Heading9"/>
        <w:spacing w:after="80"/>
        <w:ind w:left="964" w:hanging="964"/>
      </w:pPr>
      <w:bookmarkStart w:id="101" w:name="_Ref118100507"/>
      <w:r>
        <w:t>D</w:t>
      </w:r>
      <w:r w:rsidR="00E75E1C" w:rsidRPr="00B344C9">
        <w:t xml:space="preserve">octor-certified deaths by specified cause of death, year to </w:t>
      </w:r>
      <w:r>
        <w:t>August</w:t>
      </w:r>
      <w:r w:rsidRPr="00B344C9">
        <w:t xml:space="preserve"> </w:t>
      </w:r>
      <w:r w:rsidR="00E75E1C" w:rsidRPr="00B344C9">
        <w:t>(2022, 2021, historical average)</w:t>
      </w:r>
      <w:bookmarkEnd w:id="101"/>
    </w:p>
    <w:p w14:paraId="059EE916" w14:textId="1CF75686" w:rsidR="00E75E1C" w:rsidRPr="00B344C9" w:rsidRDefault="0030248B" w:rsidP="000E5195">
      <w:r w:rsidRPr="0030248B">
        <w:rPr>
          <w:noProof/>
        </w:rPr>
        <w:drawing>
          <wp:inline distT="0" distB="0" distL="0" distR="0" wp14:anchorId="6CBF1CCB" wp14:editId="479D9CFE">
            <wp:extent cx="5581650" cy="2533650"/>
            <wp:effectExtent l="0" t="0" r="0" b="0"/>
            <wp:docPr id="6" name="Picture 6" descr="A chart showing that deaths from other causes, such as cancer, ischaemic heart disease and respiratory disease also contributed to the increase in deaths in 2022 during the period of increased infections. Deaths from COVID-19 in 2022 (until August 2022) are much higher than the same period in 2021. Deaths due to other causes were slightly above the historical averag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showing that deaths from other causes, such as cancer, ischaemic heart disease and respiratory disease also contributed to the increase in deaths in 2022 during the period of increased infections. Deaths from COVID-19 in 2022 (until August 2022) are much higher than the same period in 2021. Deaths due to other causes were slightly above the historical average in 20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2533650"/>
                    </a:xfrm>
                    <a:prstGeom prst="rect">
                      <a:avLst/>
                    </a:prstGeom>
                    <a:noFill/>
                    <a:ln>
                      <a:noFill/>
                    </a:ln>
                  </pic:spPr>
                </pic:pic>
              </a:graphicData>
            </a:graphic>
          </wp:inline>
        </w:drawing>
      </w:r>
    </w:p>
    <w:p w14:paraId="78E3F228" w14:textId="24ABEB5A" w:rsidR="004D3ABD" w:rsidRDefault="004D3ABD" w:rsidP="004D3ABD">
      <w:pPr>
        <w:pStyle w:val="Source"/>
        <w:spacing w:before="0" w:after="0"/>
      </w:pPr>
      <w:r>
        <w:t xml:space="preserve">Note: Historical average is calculated as the average number of deaths over the same period during 2017–2019 and 2021. </w:t>
      </w:r>
    </w:p>
    <w:p w14:paraId="3C60AD9C" w14:textId="7089C218" w:rsidR="00E75E1C" w:rsidRPr="00B344C9" w:rsidRDefault="00E75E1C" w:rsidP="004D3ABD">
      <w:pPr>
        <w:pStyle w:val="Source"/>
        <w:spacing w:before="0" w:after="0"/>
      </w:pPr>
      <w:r w:rsidRPr="00B344C9">
        <w:t xml:space="preserve">Source: </w:t>
      </w:r>
      <w:r w:rsidR="006F4FB2" w:rsidRPr="00B344C9">
        <w:t>Australian Bureau of Statistics, Provisional Mortality Statistics, Jan</w:t>
      </w:r>
      <w:r w:rsidR="003A2053">
        <w:t>uary</w:t>
      </w:r>
      <w:r w:rsidR="006F4FB2" w:rsidRPr="00B344C9">
        <w:t xml:space="preserve"> - </w:t>
      </w:r>
      <w:r w:rsidR="00810D21">
        <w:t>Aug</w:t>
      </w:r>
      <w:r w:rsidR="003A2053">
        <w:t>ust</w:t>
      </w:r>
      <w:r w:rsidR="00810D21" w:rsidRPr="00B344C9">
        <w:t xml:space="preserve"> </w:t>
      </w:r>
      <w:r w:rsidR="006F4FB2" w:rsidRPr="00B344C9">
        <w:t>2022, 2022</w:t>
      </w:r>
      <w:r w:rsidR="001C4748">
        <w:t>.</w:t>
      </w:r>
      <w:r w:rsidR="004D3ABD">
        <w:t xml:space="preserve"> </w:t>
      </w:r>
    </w:p>
    <w:p w14:paraId="63F1117C" w14:textId="55DE26F3" w:rsidR="00E75E1C" w:rsidRPr="00B344C9" w:rsidRDefault="00E75E1C" w:rsidP="00D31909">
      <w:r w:rsidRPr="00B344C9">
        <w:t>The increase in deaths in 2021–22 and 2022–23 has resulted in a temporary drop in life expectancy in these 2 years.</w:t>
      </w:r>
      <w:r w:rsidRPr="00B344C9">
        <w:rPr>
          <w:rStyle w:val="FootnoteReference"/>
        </w:rPr>
        <w:footnoteReference w:id="18"/>
      </w:r>
      <w:r w:rsidRPr="00B344C9">
        <w:t xml:space="preserve"> Compared to 2020–21, life expectancies are projected to decrease by 0.4 years for both females and males in 2021–22 and 0.2 years for males and 0.3 years for females in 2022–23. From 2023–24, life expectancies are projected to return to their long</w:t>
      </w:r>
      <w:r w:rsidR="006B6982" w:rsidRPr="00B344C9">
        <w:t>-</w:t>
      </w:r>
      <w:r w:rsidRPr="00B344C9">
        <w:t>term trend of gradual increase, reaching 87.0 years for females and 83.5 years for males by 2032–33 (</w:t>
      </w:r>
      <w:r w:rsidR="002C2CC1">
        <w:t>Chart 16</w:t>
      </w:r>
      <w:r w:rsidRPr="00B344C9">
        <w:t>).</w:t>
      </w:r>
    </w:p>
    <w:p w14:paraId="3238BDC1" w14:textId="74C33712" w:rsidR="00E75E1C" w:rsidRPr="00B344C9" w:rsidRDefault="00E75E1C" w:rsidP="00E75E1C">
      <w:pPr>
        <w:pStyle w:val="Heading9"/>
        <w:spacing w:after="0"/>
      </w:pPr>
      <w:bookmarkStart w:id="102" w:name="_Ref115260493"/>
      <w:r w:rsidRPr="00B344C9">
        <w:lastRenderedPageBreak/>
        <w:t>Historical and projected life expectancies</w:t>
      </w:r>
      <w:bookmarkEnd w:id="102"/>
      <w:r w:rsidR="002E5A0D">
        <w:t>, Australia</w:t>
      </w:r>
    </w:p>
    <w:p w14:paraId="45D46AAE" w14:textId="70F9C2C5" w:rsidR="00E75E1C" w:rsidRPr="00B344C9" w:rsidRDefault="001B2ADE" w:rsidP="000E5195">
      <w:r w:rsidRPr="001B2ADE">
        <w:rPr>
          <w:noProof/>
        </w:rPr>
        <w:drawing>
          <wp:inline distT="0" distB="0" distL="0" distR="0" wp14:anchorId="74CC9E4E" wp14:editId="7482C573">
            <wp:extent cx="5581650" cy="2524125"/>
            <wp:effectExtent l="0" t="0" r="0" b="0"/>
            <wp:docPr id="69" name="Picture 69" descr="A chart showing that life expectancy has been increasing since 2016-17 and is projected to continue doing so aside from a small temporary decrease in 2021-22 and 2022-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chart showing that life expectancy has been increasing since 2016-17 and is projected to continue doing so aside from a small temporary decrease in 2021-22 and 2022-23.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10D7FB0" w14:textId="30EF0A50" w:rsidR="00E75E1C" w:rsidRPr="00B344C9" w:rsidRDefault="00E75E1C" w:rsidP="00E75E1C">
      <w:pPr>
        <w:pStyle w:val="Source"/>
      </w:pPr>
      <w:r w:rsidRPr="00B344C9">
        <w:t xml:space="preserve">Source: </w:t>
      </w:r>
      <w:r w:rsidR="001A7438" w:rsidRPr="00B344C9">
        <w:t>Australian Bureau of Statistics, Life tables, 2021</w:t>
      </w:r>
      <w:r w:rsidRPr="00B344C9">
        <w:t>, Australian Government Actuary and Centre for Population projections.</w:t>
      </w:r>
      <w:r w:rsidR="00263E53" w:rsidRPr="00B344C9" w:rsidDel="00263E53">
        <w:t xml:space="preserve"> </w:t>
      </w:r>
    </w:p>
    <w:p w14:paraId="7DE83AAE" w14:textId="369C934C" w:rsidR="00E75E1C" w:rsidRPr="00B344C9" w:rsidRDefault="00E75E1C" w:rsidP="000E5195">
      <w:r w:rsidRPr="00B344C9">
        <w:t>COVID</w:t>
      </w:r>
      <w:r w:rsidR="009B78C6" w:rsidRPr="00B344C9">
        <w:t>-</w:t>
      </w:r>
      <w:r w:rsidRPr="00B344C9">
        <w:t>19 has had a much larger impact on life expectancies in other countries. In the United Kingdom, COVID</w:t>
      </w:r>
      <w:r w:rsidR="00927B0A">
        <w:noBreakHyphen/>
      </w:r>
      <w:r w:rsidRPr="00B344C9">
        <w:t>19 contributed to life expectancies falling by 1.5 years for males and 1.0 years for females in 2020. In the United States, COVID</w:t>
      </w:r>
      <w:r w:rsidR="009B78C6" w:rsidRPr="00B344C9">
        <w:t>-</w:t>
      </w:r>
      <w:r w:rsidRPr="00B344C9">
        <w:t>19 was the primary driver of life expectancies falling by 2.0 years for males and 1.4</w:t>
      </w:r>
      <w:r w:rsidR="00EE098B">
        <w:t> </w:t>
      </w:r>
      <w:r w:rsidRPr="00B344C9">
        <w:t>years for females in 2020.</w:t>
      </w:r>
      <w:r w:rsidRPr="00B344C9">
        <w:rPr>
          <w:rStyle w:val="FootnoteReference"/>
        </w:rPr>
        <w:footnoteReference w:id="19"/>
      </w:r>
    </w:p>
    <w:p w14:paraId="6409EC0A" w14:textId="4C8C0251" w:rsidR="000E6EBD" w:rsidRPr="005A1E02" w:rsidRDefault="00E75E1C" w:rsidP="000E5195">
      <w:r w:rsidRPr="00B344C9">
        <w:t>Considerable uncertainty remains over the medium and long</w:t>
      </w:r>
      <w:r w:rsidR="007D0B4F" w:rsidRPr="00B344C9">
        <w:t>-</w:t>
      </w:r>
      <w:r w:rsidRPr="00B344C9">
        <w:t>term effect of COVID</w:t>
      </w:r>
      <w:r w:rsidR="009B78C6" w:rsidRPr="00B344C9">
        <w:t>-</w:t>
      </w:r>
      <w:r w:rsidRPr="00B344C9">
        <w:t>19 on mortality. The risk of future COVID</w:t>
      </w:r>
      <w:r w:rsidR="009B78C6" w:rsidRPr="00B344C9">
        <w:t>-</w:t>
      </w:r>
      <w:r w:rsidRPr="00B344C9">
        <w:t xml:space="preserve">19 waves and variants is unclear, as </w:t>
      </w:r>
      <w:r w:rsidR="00521F2D">
        <w:t>is</w:t>
      </w:r>
      <w:r w:rsidRPr="00B344C9">
        <w:t xml:space="preserve"> the longer</w:t>
      </w:r>
      <w:r w:rsidR="007D0B4F" w:rsidRPr="00B344C9">
        <w:t>-</w:t>
      </w:r>
      <w:r w:rsidRPr="00B344C9">
        <w:t>term impacts of the burden of disease.</w:t>
      </w:r>
    </w:p>
    <w:tbl>
      <w:tblPr>
        <w:tblStyle w:val="TableGrid"/>
        <w:tblW w:w="0" w:type="auto"/>
        <w:tblLook w:val="04A0" w:firstRow="1" w:lastRow="0" w:firstColumn="1" w:lastColumn="0" w:noHBand="0" w:noVBand="1"/>
      </w:tblPr>
      <w:tblGrid>
        <w:gridCol w:w="9070"/>
      </w:tblGrid>
      <w:tr w:rsidR="000E6EBD" w:rsidRPr="007C39BD" w14:paraId="22000EE8" w14:textId="77777777" w:rsidTr="007B104B">
        <w:tc>
          <w:tcPr>
            <w:tcW w:w="9072" w:type="dxa"/>
          </w:tcPr>
          <w:p w14:paraId="2E60A7BB" w14:textId="675A10E2" w:rsidR="000E6EBD" w:rsidRPr="007C39BD" w:rsidRDefault="000E6EBD" w:rsidP="00676947">
            <w:pPr>
              <w:pStyle w:val="BoxHeading"/>
            </w:pPr>
            <w:r w:rsidRPr="007C39BD">
              <w:lastRenderedPageBreak/>
              <w:t xml:space="preserve">DEATHS OF DESPAIR </w:t>
            </w:r>
          </w:p>
          <w:p w14:paraId="4983024A" w14:textId="2FCB9A7C" w:rsidR="00134FBF" w:rsidRPr="00D31909" w:rsidRDefault="00134FBF" w:rsidP="00433113">
            <w:pPr>
              <w:pStyle w:val="BoxText"/>
              <w:jc w:val="left"/>
            </w:pPr>
            <w:r w:rsidRPr="00D31909">
              <w:t xml:space="preserve">This box discusses suicide and presents material that some people may find distressing. </w:t>
            </w:r>
            <w:r w:rsidR="00EE098B" w:rsidRPr="00D31909">
              <w:t>T</w:t>
            </w:r>
            <w:r w:rsidRPr="00D31909">
              <w:t>hese support services are available 24 hours</w:t>
            </w:r>
            <w:r w:rsidR="000E7DD0" w:rsidRPr="00D31909">
              <w:t xml:space="preserve"> a day</w:t>
            </w:r>
            <w:r w:rsidRPr="00D31909">
              <w:t>, 7 days a week:</w:t>
            </w:r>
          </w:p>
          <w:p w14:paraId="0F94B613" w14:textId="77777777" w:rsidR="00134FBF" w:rsidRPr="00D31909" w:rsidRDefault="00134FBF" w:rsidP="000E5195">
            <w:pPr>
              <w:pStyle w:val="BoxBullet"/>
            </w:pPr>
            <w:r w:rsidRPr="000E5195">
              <w:rPr>
                <w:b/>
                <w:bCs/>
              </w:rPr>
              <w:t>Lifeline:</w:t>
            </w:r>
            <w:r w:rsidRPr="00D31909">
              <w:t xml:space="preserve"> 13 11 14 (</w:t>
            </w:r>
            <w:hyperlink r:id="rId43" w:history="1">
              <w:r w:rsidRPr="00D31909">
                <w:rPr>
                  <w:rStyle w:val="Hyperlink"/>
                  <w:color w:val="auto"/>
                </w:rPr>
                <w:t>lifeline.org.au</w:t>
              </w:r>
            </w:hyperlink>
            <w:r w:rsidRPr="00D31909">
              <w:t xml:space="preserve">) </w:t>
            </w:r>
          </w:p>
          <w:p w14:paraId="57199F5D" w14:textId="77777777" w:rsidR="00134FBF" w:rsidRPr="00D31909" w:rsidRDefault="00134FBF" w:rsidP="000E5195">
            <w:pPr>
              <w:pStyle w:val="BoxBullet"/>
            </w:pPr>
            <w:r w:rsidRPr="000E5195">
              <w:rPr>
                <w:b/>
                <w:bCs/>
              </w:rPr>
              <w:t>Suicide Call Back Service:</w:t>
            </w:r>
            <w:r w:rsidRPr="00D31909">
              <w:t xml:space="preserve"> 1300 659 467 (</w:t>
            </w:r>
            <w:hyperlink r:id="rId44" w:history="1">
              <w:r w:rsidRPr="00D31909">
                <w:rPr>
                  <w:rStyle w:val="Hyperlink"/>
                  <w:color w:val="auto"/>
                </w:rPr>
                <w:t>suicidecallbackservice.org.au</w:t>
              </w:r>
            </w:hyperlink>
            <w:r w:rsidRPr="00D31909">
              <w:t xml:space="preserve">) </w:t>
            </w:r>
          </w:p>
          <w:p w14:paraId="0D038FED" w14:textId="77777777" w:rsidR="00134FBF" w:rsidRPr="00D31909" w:rsidRDefault="00134FBF" w:rsidP="000E5195">
            <w:pPr>
              <w:pStyle w:val="BoxBullet"/>
            </w:pPr>
            <w:r w:rsidRPr="000E5195">
              <w:rPr>
                <w:b/>
                <w:bCs/>
              </w:rPr>
              <w:t>Beyond Blue:</w:t>
            </w:r>
            <w:r w:rsidRPr="00D31909">
              <w:t xml:space="preserve"> 1300 224 636 (</w:t>
            </w:r>
            <w:hyperlink r:id="rId45" w:history="1">
              <w:r w:rsidRPr="00D31909">
                <w:rPr>
                  <w:rStyle w:val="Hyperlink"/>
                  <w:color w:val="auto"/>
                </w:rPr>
                <w:t>beyondblue.org.au/forums</w:t>
              </w:r>
            </w:hyperlink>
            <w:r w:rsidRPr="00D31909">
              <w:t xml:space="preserve">) </w:t>
            </w:r>
          </w:p>
          <w:p w14:paraId="2671DFBE" w14:textId="35C44F29" w:rsidR="00B46D26" w:rsidRPr="00D31909" w:rsidRDefault="00B46D26" w:rsidP="000E5195">
            <w:pPr>
              <w:pStyle w:val="BoxBullet"/>
            </w:pPr>
            <w:r w:rsidRPr="000E5195">
              <w:rPr>
                <w:b/>
                <w:bCs/>
              </w:rPr>
              <w:t>13YARN:</w:t>
            </w:r>
            <w:r w:rsidRPr="00D31909">
              <w:t xml:space="preserve"> 13 92 76 (</w:t>
            </w:r>
            <w:hyperlink r:id="rId46" w:history="1">
              <w:r w:rsidRPr="00D31909">
                <w:rPr>
                  <w:rStyle w:val="Hyperlink"/>
                  <w:color w:val="auto"/>
                </w:rPr>
                <w:t>13yarn.org.au</w:t>
              </w:r>
            </w:hyperlink>
            <w:r w:rsidRPr="00D31909">
              <w:t>)</w:t>
            </w:r>
          </w:p>
          <w:p w14:paraId="4D0F8C45" w14:textId="2BE49253" w:rsidR="000E6EBD" w:rsidRPr="00D31909" w:rsidRDefault="000E6EBD" w:rsidP="00433113">
            <w:pPr>
              <w:pStyle w:val="BoxText"/>
              <w:jc w:val="left"/>
            </w:pPr>
            <w:r w:rsidRPr="00D31909">
              <w:t>There has been growing attention to the rise of so</w:t>
            </w:r>
            <w:r w:rsidR="00795ABC" w:rsidRPr="00D31909">
              <w:t>-</w:t>
            </w:r>
            <w:r w:rsidRPr="00D31909">
              <w:t xml:space="preserve">called </w:t>
            </w:r>
            <w:r w:rsidR="0034221F" w:rsidRPr="00D31909">
              <w:t>‘</w:t>
            </w:r>
            <w:r w:rsidRPr="00D31909">
              <w:t>deaths of despair</w:t>
            </w:r>
            <w:r w:rsidR="0034221F" w:rsidRPr="00D31909">
              <w:t>’</w:t>
            </w:r>
            <w:r w:rsidRPr="00D31909">
              <w:t xml:space="preserve"> – deaths by suicide and/or induced by drug or alcohol consumption, whether accidental or intentional. This has been prominent in the United</w:t>
            </w:r>
            <w:r w:rsidR="00C62F8C" w:rsidRPr="00D31909">
              <w:t> </w:t>
            </w:r>
            <w:r w:rsidRPr="00D31909">
              <w:t>States where deaths of despair have been increasing since the late 1990s and have accelerated in the 2010s in the context of the opioid crisis.</w:t>
            </w:r>
            <w:r w:rsidRPr="000E5195">
              <w:rPr>
                <w:rStyle w:val="FootnoteReference"/>
                <w:rFonts w:asciiTheme="minorHAnsi" w:hAnsiTheme="minorHAnsi"/>
              </w:rPr>
              <w:footnoteReference w:id="20"/>
            </w:r>
            <w:r w:rsidRPr="00D31909">
              <w:t xml:space="preserve"> In Australia, deaths of despair have been roughly stable over the same period, although mortality rates for these causes of death have not improved as </w:t>
            </w:r>
            <w:r w:rsidR="005C0121" w:rsidRPr="00D31909">
              <w:t xml:space="preserve">they </w:t>
            </w:r>
            <w:r w:rsidR="00241E82" w:rsidRPr="00D31909">
              <w:t>have</w:t>
            </w:r>
            <w:r w:rsidRPr="00D31909">
              <w:t xml:space="preserve"> </w:t>
            </w:r>
            <w:r w:rsidR="005C0121" w:rsidRPr="00D31909">
              <w:t xml:space="preserve">for </w:t>
            </w:r>
            <w:r w:rsidRPr="00D31909">
              <w:t>other causes</w:t>
            </w:r>
            <w:r w:rsidR="00521F2D" w:rsidRPr="00D31909">
              <w:t>,</w:t>
            </w:r>
            <w:r w:rsidRPr="00D31909">
              <w:t xml:space="preserve"> like heart disease.</w:t>
            </w:r>
            <w:r w:rsidR="00A4417D" w:rsidRPr="00D31909">
              <w:t xml:space="preserve"> </w:t>
            </w:r>
            <w:r w:rsidR="0058163F" w:rsidRPr="00D31909">
              <w:t>While there has been a rise in the use of mental health services and an increase in psychological distress during the pandemic,</w:t>
            </w:r>
            <w:r w:rsidR="00E00F8F" w:rsidRPr="000E5195">
              <w:rPr>
                <w:rStyle w:val="FootnoteReference"/>
                <w:rFonts w:asciiTheme="minorHAnsi" w:hAnsiTheme="minorHAnsi"/>
              </w:rPr>
              <w:footnoteReference w:id="21"/>
            </w:r>
            <w:r w:rsidR="0058163F" w:rsidRPr="00D31909">
              <w:t xml:space="preserve"> there is no evidence of increased deaths of despair </w:t>
            </w:r>
            <w:r w:rsidR="00057197" w:rsidRPr="00D31909">
              <w:t>thus</w:t>
            </w:r>
            <w:r w:rsidR="0058163F" w:rsidRPr="00D31909">
              <w:t xml:space="preserve"> far, with small declines in suicide and drug-induced death rates and a small increase in alcohol-induced death rates in 2020 and 2021 </w:t>
            </w:r>
            <w:r w:rsidR="00D1616C" w:rsidRPr="00D31909">
              <w:t>(</w:t>
            </w:r>
            <w:r w:rsidR="002C2CC1">
              <w:t>Chart 17</w:t>
            </w:r>
            <w:r w:rsidRPr="00D31909">
              <w:t xml:space="preserve">). </w:t>
            </w:r>
            <w:r w:rsidR="003C4EDD" w:rsidRPr="00D31909">
              <w:t>Every</w:t>
            </w:r>
            <w:r w:rsidR="003774A3" w:rsidRPr="00D31909">
              <w:t xml:space="preserve"> life lost </w:t>
            </w:r>
            <w:r w:rsidR="003C4EDD" w:rsidRPr="00D31909">
              <w:t>is significant</w:t>
            </w:r>
            <w:r w:rsidR="003774A3" w:rsidRPr="00D31909">
              <w:t xml:space="preserve"> and the loss is felt deeply by family, friends, carers, first responders and communities.</w:t>
            </w:r>
          </w:p>
          <w:p w14:paraId="63FE434E" w14:textId="26C27C91" w:rsidR="00AA2342" w:rsidRPr="00D31909" w:rsidRDefault="000E6EBD" w:rsidP="009D5E0B">
            <w:pPr>
              <w:pStyle w:val="BoxBullet"/>
              <w:jc w:val="left"/>
            </w:pPr>
            <w:r w:rsidRPr="00D31909">
              <w:t>Age</w:t>
            </w:r>
            <w:r w:rsidR="00795ABC" w:rsidRPr="00D31909">
              <w:t>-</w:t>
            </w:r>
            <w:r w:rsidRPr="00D31909">
              <w:t>standardised</w:t>
            </w:r>
            <w:r w:rsidRPr="000E5195">
              <w:rPr>
                <w:rStyle w:val="FootnoteReference"/>
                <w:rFonts w:asciiTheme="minorHAnsi" w:hAnsiTheme="minorHAnsi"/>
              </w:rPr>
              <w:footnoteReference w:id="22"/>
            </w:r>
            <w:r w:rsidRPr="00D31909">
              <w:t xml:space="preserve"> suicide rates fell from 1</w:t>
            </w:r>
            <w:r w:rsidR="008A1DDE" w:rsidRPr="00D31909">
              <w:t>3</w:t>
            </w:r>
            <w:r w:rsidRPr="00D31909">
              <w:t>.</w:t>
            </w:r>
            <w:r w:rsidR="008A1DDE" w:rsidRPr="00D31909">
              <w:t>1</w:t>
            </w:r>
            <w:r w:rsidRPr="00D31909">
              <w:t xml:space="preserve"> deaths per 100,000 in 2019 to 12.1 </w:t>
            </w:r>
            <w:r w:rsidR="005C0121" w:rsidRPr="00D31909">
              <w:t>per 100,000</w:t>
            </w:r>
            <w:r w:rsidRPr="00D31909">
              <w:t xml:space="preserve"> in 2020 and 12.0 per 100,000 in 2021, largely driven by </w:t>
            </w:r>
            <w:r w:rsidR="0076332B" w:rsidRPr="00D31909">
              <w:t xml:space="preserve">falls </w:t>
            </w:r>
            <w:r w:rsidRPr="00D31909">
              <w:t>in the male suicide rate. Despite th</w:t>
            </w:r>
            <w:r w:rsidR="0076332B" w:rsidRPr="00D31909">
              <w:t>ese</w:t>
            </w:r>
            <w:r w:rsidRPr="00D31909">
              <w:t xml:space="preserve"> fall</w:t>
            </w:r>
            <w:r w:rsidR="0076332B" w:rsidRPr="00D31909">
              <w:t>s</w:t>
            </w:r>
            <w:r w:rsidRPr="00D31909">
              <w:t>, suicide was still the leading cause of death for Australians aged 15</w:t>
            </w:r>
            <w:r w:rsidR="00AC47E5" w:rsidRPr="00D31909">
              <w:t>-</w:t>
            </w:r>
            <w:r w:rsidRPr="00D31909">
              <w:t>44 in 2021.</w:t>
            </w:r>
            <w:r w:rsidR="00B53B66" w:rsidRPr="00D31909">
              <w:t xml:space="preserve"> Suicide is also the fifth leading cause of death for First Nations Australians and has been increasing over time, with First Nations age</w:t>
            </w:r>
            <w:r w:rsidR="00E00F8F" w:rsidRPr="00D31909">
              <w:t>-</w:t>
            </w:r>
            <w:r w:rsidR="00B53B66" w:rsidRPr="00D31909">
              <w:t>standardised suicide rates more than double the rate for non-</w:t>
            </w:r>
            <w:r w:rsidR="00AD2086" w:rsidRPr="00D31909">
              <w:t>First Nations</w:t>
            </w:r>
            <w:r w:rsidR="00B53B66" w:rsidRPr="00D31909">
              <w:t xml:space="preserve"> Australians.</w:t>
            </w:r>
            <w:r w:rsidR="00E00F8F" w:rsidRPr="000E5195">
              <w:rPr>
                <w:rStyle w:val="FootnoteReference"/>
                <w:rFonts w:asciiTheme="minorHAnsi" w:hAnsiTheme="minorHAnsi"/>
              </w:rPr>
              <w:footnoteReference w:id="23"/>
            </w:r>
            <w:r w:rsidR="00B53B66" w:rsidRPr="00D31909">
              <w:t xml:space="preserve"> </w:t>
            </w:r>
            <w:r w:rsidRPr="00D31909">
              <w:t>Historically, suicide rates have been 3 to 4 times higher for men than women</w:t>
            </w:r>
            <w:r w:rsidR="00A556AB" w:rsidRPr="00D31909">
              <w:t>,</w:t>
            </w:r>
            <w:r w:rsidR="00E00F8F" w:rsidRPr="000E5195">
              <w:rPr>
                <w:rStyle w:val="FootnoteReference"/>
                <w:rFonts w:asciiTheme="minorHAnsi" w:hAnsiTheme="minorHAnsi"/>
              </w:rPr>
              <w:footnoteReference w:id="24"/>
            </w:r>
            <w:r w:rsidR="00C62F8C" w:rsidRPr="00D31909">
              <w:t xml:space="preserve"> </w:t>
            </w:r>
            <w:r w:rsidR="00E00F8F" w:rsidRPr="00D31909">
              <w:t xml:space="preserve">while </w:t>
            </w:r>
            <w:r w:rsidR="00A556AB" w:rsidRPr="00D31909">
              <w:t>two thirds of all hospitalisations for intentional self-harm injuries in 2020</w:t>
            </w:r>
            <w:r w:rsidR="00FF243D" w:rsidRPr="00D31909">
              <w:t>–</w:t>
            </w:r>
            <w:r w:rsidR="00A556AB" w:rsidRPr="00D31909">
              <w:t>21 were women.</w:t>
            </w:r>
            <w:r w:rsidR="00A556AB" w:rsidRPr="000E5195">
              <w:rPr>
                <w:rStyle w:val="FootnoteReference"/>
                <w:rFonts w:asciiTheme="minorHAnsi" w:hAnsiTheme="minorHAnsi"/>
              </w:rPr>
              <w:footnoteReference w:id="25"/>
            </w:r>
            <w:r w:rsidR="00A556AB" w:rsidRPr="00D31909">
              <w:t xml:space="preserve"> </w:t>
            </w:r>
          </w:p>
          <w:p w14:paraId="55B6F626" w14:textId="5257D5F4" w:rsidR="000E6EBD" w:rsidRPr="00D31909" w:rsidRDefault="000E6EBD" w:rsidP="009D5E0B">
            <w:pPr>
              <w:pStyle w:val="BoxBullet"/>
              <w:jc w:val="left"/>
            </w:pPr>
            <w:r w:rsidRPr="00D31909">
              <w:t>Age</w:t>
            </w:r>
            <w:r w:rsidR="00795ABC" w:rsidRPr="00D31909">
              <w:t>-</w:t>
            </w:r>
            <w:r w:rsidRPr="00D31909">
              <w:t>standardised drug</w:t>
            </w:r>
            <w:r w:rsidR="00795ABC" w:rsidRPr="00D31909">
              <w:t>-</w:t>
            </w:r>
            <w:r w:rsidRPr="00D31909">
              <w:t>induced deaths fell</w:t>
            </w:r>
            <w:r w:rsidRPr="00D31909" w:rsidDel="00DB0230">
              <w:t xml:space="preserve"> </w:t>
            </w:r>
            <w:r w:rsidRPr="00D31909">
              <w:t>from 7.</w:t>
            </w:r>
            <w:r w:rsidR="008A1DDE" w:rsidRPr="00D31909">
              <w:t>8</w:t>
            </w:r>
            <w:r w:rsidRPr="00D31909">
              <w:t xml:space="preserve"> deaths per 100,000 in 2019 to 7.2 per 100,000 in 2020 and 6.6 per 100,000 in 2021. Historically, drug</w:t>
            </w:r>
            <w:r w:rsidR="00795ABC" w:rsidRPr="00D31909">
              <w:t>-</w:t>
            </w:r>
            <w:r w:rsidRPr="00D31909">
              <w:t>induced death rates have been 1.5 to 1.8 times higher for men than women. The difference between men and women is higher for younger age groups (15</w:t>
            </w:r>
            <w:r w:rsidR="00AC47E5" w:rsidRPr="00D31909">
              <w:t>-</w:t>
            </w:r>
            <w:r w:rsidRPr="00D31909">
              <w:t xml:space="preserve">44) and close to equal for older age groups (65 and over). </w:t>
            </w:r>
            <w:r w:rsidR="00ED163F" w:rsidRPr="00D31909">
              <w:t>O</w:t>
            </w:r>
            <w:r w:rsidRPr="00D31909">
              <w:t>pioids were the most common drug class identified in toxicology for drug</w:t>
            </w:r>
            <w:r w:rsidR="00062DDD" w:rsidRPr="00D31909">
              <w:noBreakHyphen/>
            </w:r>
            <w:r w:rsidRPr="00D31909">
              <w:t>induced deaths in 2021.</w:t>
            </w:r>
          </w:p>
          <w:p w14:paraId="377F8C36" w14:textId="7679EFCE" w:rsidR="007D55C1" w:rsidRDefault="000E6EBD" w:rsidP="009D5E0B">
            <w:pPr>
              <w:pStyle w:val="BoxBullet"/>
              <w:jc w:val="left"/>
            </w:pPr>
            <w:r w:rsidRPr="00D31909">
              <w:t>Age</w:t>
            </w:r>
            <w:r w:rsidR="00795ABC" w:rsidRPr="00D31909">
              <w:t>-</w:t>
            </w:r>
            <w:r w:rsidRPr="00D31909">
              <w:t>standardised alcohol</w:t>
            </w:r>
            <w:r w:rsidR="00795ABC" w:rsidRPr="00D31909">
              <w:t>-</w:t>
            </w:r>
            <w:r w:rsidRPr="00D31909">
              <w:t xml:space="preserve">induced death rates increased from </w:t>
            </w:r>
            <w:r w:rsidRPr="00D31909" w:rsidDel="00DA035D">
              <w:t>4.</w:t>
            </w:r>
            <w:r w:rsidRPr="00D31909">
              <w:t>9 per 100,000 in 2019 to</w:t>
            </w:r>
            <w:r w:rsidRPr="00D31909" w:rsidDel="00215F5D">
              <w:t xml:space="preserve"> </w:t>
            </w:r>
            <w:r w:rsidRPr="00D31909">
              <w:t>5.1</w:t>
            </w:r>
            <w:r w:rsidR="00D607D6" w:rsidRPr="00D31909">
              <w:t> </w:t>
            </w:r>
            <w:r w:rsidRPr="00D31909">
              <w:t>per 100,000</w:t>
            </w:r>
            <w:r w:rsidRPr="00D31909" w:rsidDel="00006D27">
              <w:t xml:space="preserve"> </w:t>
            </w:r>
            <w:r w:rsidRPr="00D31909">
              <w:t>in 2020 and 5.4 per 100,000 in 2021. Alcohol</w:t>
            </w:r>
            <w:r w:rsidR="00795ABC" w:rsidRPr="00D31909">
              <w:t>-</w:t>
            </w:r>
            <w:r w:rsidRPr="00D31909">
              <w:t xml:space="preserve">induced deaths in 2021 were the highest in 10 years, </w:t>
            </w:r>
            <w:r w:rsidR="00785EF0" w:rsidRPr="00D31909">
              <w:t xml:space="preserve">with </w:t>
            </w:r>
            <w:r w:rsidRPr="00D31909">
              <w:t xml:space="preserve">an 8.1 per cent increase in male deaths since 2020, while female deaths remained relatively steady. The rate </w:t>
            </w:r>
            <w:r w:rsidR="0076332B" w:rsidRPr="00D31909">
              <w:t xml:space="preserve">has </w:t>
            </w:r>
            <w:r w:rsidRPr="00D31909">
              <w:t>increase</w:t>
            </w:r>
            <w:r w:rsidR="0076332B" w:rsidRPr="00D31909">
              <w:t>d</w:t>
            </w:r>
            <w:r w:rsidRPr="00D31909">
              <w:t xml:space="preserve"> over the last </w:t>
            </w:r>
            <w:r w:rsidR="00E85A92" w:rsidRPr="00D31909">
              <w:t xml:space="preserve">decade </w:t>
            </w:r>
            <w:r w:rsidR="00785EF0" w:rsidRPr="00D31909">
              <w:t xml:space="preserve">largely </w:t>
            </w:r>
            <w:r w:rsidRPr="00D31909">
              <w:t>due to conditions associated with long</w:t>
            </w:r>
            <w:r w:rsidR="00777FE0" w:rsidRPr="00D31909">
              <w:t>-</w:t>
            </w:r>
            <w:r w:rsidRPr="00D31909">
              <w:t>term alcohol use, including liver cirrhosis. Historically, alcohol</w:t>
            </w:r>
            <w:r w:rsidR="00795ABC" w:rsidRPr="00D31909">
              <w:t>-</w:t>
            </w:r>
            <w:r w:rsidRPr="00D31909">
              <w:t>induced deaths have been around 3 times higher for men than women and are highest for those in middle age.</w:t>
            </w:r>
          </w:p>
          <w:p w14:paraId="70D85912" w14:textId="77777777" w:rsidR="000E5195" w:rsidRPr="005A1E02" w:rsidRDefault="000E5195" w:rsidP="009D5E0B">
            <w:pPr>
              <w:pStyle w:val="BoxText"/>
              <w:spacing w:after="2040"/>
              <w:jc w:val="left"/>
            </w:pPr>
          </w:p>
          <w:p w14:paraId="1B2B17BB" w14:textId="4E0E7578" w:rsidR="000E6EBD" w:rsidRPr="007C39BD" w:rsidRDefault="000E6EBD" w:rsidP="005540BC">
            <w:pPr>
              <w:pStyle w:val="Heading9"/>
              <w:ind w:left="964" w:hanging="964"/>
              <w:jc w:val="left"/>
            </w:pPr>
            <w:bookmarkStart w:id="104" w:name="_Ref115098828"/>
            <w:bookmarkStart w:id="105" w:name="_Ref116890428"/>
            <w:bookmarkStart w:id="106" w:name="_Ref118390831"/>
            <w:r w:rsidRPr="007C39BD">
              <w:lastRenderedPageBreak/>
              <w:t>Age</w:t>
            </w:r>
            <w:r w:rsidR="00795ABC">
              <w:t>-</w:t>
            </w:r>
            <w:r w:rsidRPr="007C39BD">
              <w:t>standardised suicide, drug</w:t>
            </w:r>
            <w:r w:rsidR="00795ABC">
              <w:t>-</w:t>
            </w:r>
            <w:r w:rsidRPr="007C39BD">
              <w:t>induced and alcohol</w:t>
            </w:r>
            <w:r w:rsidR="00795ABC">
              <w:t>-</w:t>
            </w:r>
            <w:r w:rsidRPr="007C39BD">
              <w:t xml:space="preserve">induced death rates, Australia, 2012 to </w:t>
            </w:r>
            <w:bookmarkEnd w:id="104"/>
            <w:bookmarkEnd w:id="105"/>
            <w:r w:rsidRPr="007C39BD">
              <w:t>2021</w:t>
            </w:r>
            <w:bookmarkEnd w:id="106"/>
          </w:p>
          <w:p w14:paraId="5F3A1070" w14:textId="1A0B0254" w:rsidR="000E6EBD" w:rsidRPr="007C39BD" w:rsidRDefault="00265914" w:rsidP="00E8654A">
            <w:pPr>
              <w:spacing w:before="0" w:after="0"/>
              <w:jc w:val="center"/>
            </w:pPr>
            <w:r w:rsidRPr="00265914">
              <w:rPr>
                <w:noProof/>
              </w:rPr>
              <w:drawing>
                <wp:inline distT="0" distB="0" distL="0" distR="0" wp14:anchorId="1476C003" wp14:editId="6ECFC644">
                  <wp:extent cx="5581650" cy="2524125"/>
                  <wp:effectExtent l="0" t="0" r="0" b="0"/>
                  <wp:docPr id="71" name="Picture 71" descr="A chart showing deaths per 100,000 people have remained relatively steady between 2012 and 2021. There was a slight decrease in deaths by suicide and drug induced deaths in 2020 and 2021 but an increase in alcohol induced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chart showing deaths per 100,000 people have remained relatively steady between 2012 and 2021. There was a slight decrease in deaths by suicide and drug induced deaths in 2020 and 2021 but an increase in alcohol induced death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A764C1F" w14:textId="77777777" w:rsidR="001B2ADE" w:rsidRDefault="001B2ADE" w:rsidP="00E8654A">
            <w:pPr>
              <w:pStyle w:val="Source"/>
              <w:spacing w:before="0" w:after="0"/>
              <w:jc w:val="left"/>
            </w:pPr>
            <w:r>
              <w:t>Note:</w:t>
            </w:r>
            <w:r w:rsidRPr="009D52E4">
              <w:t xml:space="preserve"> Age-standardised death rates in this chart are presented on a calendar year basis.</w:t>
            </w:r>
            <w:r w:rsidRPr="007C39BD">
              <w:t xml:space="preserve"> </w:t>
            </w:r>
          </w:p>
          <w:p w14:paraId="519578AB" w14:textId="7E2F916A" w:rsidR="000E6EBD" w:rsidRPr="007C39BD" w:rsidRDefault="000E6EBD" w:rsidP="00E8654A">
            <w:pPr>
              <w:pStyle w:val="Source"/>
              <w:spacing w:before="0" w:after="0"/>
              <w:jc w:val="left"/>
            </w:pPr>
            <w:r w:rsidRPr="007C39BD">
              <w:t>Source:</w:t>
            </w:r>
            <w:r w:rsidR="004B170B" w:rsidRPr="006A424F">
              <w:rPr>
                <w:szCs w:val="18"/>
              </w:rPr>
              <w:t xml:space="preserve"> Australian Bureau of Statistics, Causes of Death</w:t>
            </w:r>
            <w:r w:rsidR="004B170B">
              <w:rPr>
                <w:szCs w:val="18"/>
              </w:rPr>
              <w:t>,</w:t>
            </w:r>
            <w:r w:rsidR="004B170B" w:rsidRPr="006A424F">
              <w:rPr>
                <w:szCs w:val="18"/>
              </w:rPr>
              <w:t xml:space="preserve"> 2021</w:t>
            </w:r>
            <w:r w:rsidRPr="007C39BD">
              <w:t>.</w:t>
            </w:r>
            <w:r w:rsidR="00263E53" w:rsidDel="00263E53">
              <w:t xml:space="preserve"> </w:t>
            </w:r>
          </w:p>
          <w:p w14:paraId="6E432C1C" w14:textId="06822639" w:rsidR="000E6EBD" w:rsidRPr="007C39BD" w:rsidRDefault="001B1DC1" w:rsidP="00433113">
            <w:pPr>
              <w:pStyle w:val="BoxText"/>
              <w:jc w:val="left"/>
            </w:pPr>
            <w:r w:rsidRPr="007C39BD">
              <w:t>The trends for these types of deaths in Australia are very different from those in the United States and England</w:t>
            </w:r>
            <w:r w:rsidRPr="001B1DC1">
              <w:t>.</w:t>
            </w:r>
            <w:r w:rsidRPr="001B1DC1">
              <w:rPr>
                <w:rStyle w:val="FootnoteReference"/>
              </w:rPr>
              <w:footnoteReference w:id="26"/>
            </w:r>
            <w:r w:rsidRPr="001B1DC1">
              <w:rPr>
                <w:vertAlign w:val="superscript"/>
              </w:rPr>
              <w:t>,</w:t>
            </w:r>
            <w:r w:rsidRPr="001B1DC1">
              <w:rPr>
                <w:rStyle w:val="FootnoteReference"/>
              </w:rPr>
              <w:footnoteReference w:id="27"/>
            </w:r>
            <w:r w:rsidRPr="001B1DC1">
              <w:t xml:space="preserve"> In the United States, there has been a dramatic rise in rates of suicide</w:t>
            </w:r>
            <w:r w:rsidR="000E6EBD" w:rsidRPr="001B1DC1">
              <w:t>, drug</w:t>
            </w:r>
            <w:r w:rsidR="00795ABC" w:rsidRPr="001B1DC1">
              <w:t>-</w:t>
            </w:r>
            <w:r w:rsidR="000E6EBD" w:rsidRPr="001B1DC1">
              <w:t>induced (driven by synthetic opioid use) and alcohol</w:t>
            </w:r>
            <w:r w:rsidR="00795ABC" w:rsidRPr="001B1DC1">
              <w:t>-</w:t>
            </w:r>
            <w:r w:rsidR="000E6EBD" w:rsidRPr="001B1DC1">
              <w:t>induced</w:t>
            </w:r>
            <w:r w:rsidR="000E6EBD" w:rsidRPr="007C39BD">
              <w:t xml:space="preserve"> deaths since the late 1990s. In England, suicide rates have fallen over the past 40</w:t>
            </w:r>
            <w:r w:rsidR="00A36304">
              <w:t> </w:t>
            </w:r>
            <w:r w:rsidR="000E6EBD" w:rsidRPr="007C39BD">
              <w:t>years and drug</w:t>
            </w:r>
            <w:r w:rsidR="00795ABC">
              <w:t>-</w:t>
            </w:r>
            <w:r w:rsidR="000E6EBD" w:rsidRPr="007C39BD">
              <w:t xml:space="preserve">related deaths remain lower than in the United </w:t>
            </w:r>
            <w:r w:rsidR="000E6EBD" w:rsidRPr="00433113">
              <w:t>States</w:t>
            </w:r>
            <w:r w:rsidR="000E6EBD" w:rsidRPr="007C39BD">
              <w:t>, but death rates for alcohol</w:t>
            </w:r>
            <w:r w:rsidR="00795ABC">
              <w:t>-</w:t>
            </w:r>
            <w:r w:rsidR="000E6EBD" w:rsidRPr="007C39BD">
              <w:t>induced deaths remain high. During the pandemic</w:t>
            </w:r>
            <w:r w:rsidR="00666581">
              <w:t xml:space="preserve"> so far</w:t>
            </w:r>
            <w:r w:rsidR="000E6EBD" w:rsidRPr="007C39BD">
              <w:t>, suicide rates in the United States, England and Australia all experienced a drop compared to pre</w:t>
            </w:r>
            <w:r w:rsidR="00795ABC">
              <w:t>-</w:t>
            </w:r>
            <w:r w:rsidR="000E6EBD" w:rsidRPr="007C39BD">
              <w:t>pandemic trends, while drug and alcohol</w:t>
            </w:r>
            <w:r w:rsidR="004B7FF6">
              <w:t>-</w:t>
            </w:r>
            <w:r w:rsidR="000E6EBD" w:rsidRPr="007C39BD">
              <w:t>induced deaths increased in the United States and England. Australia’s deaths</w:t>
            </w:r>
            <w:r w:rsidR="00CB7A63">
              <w:t xml:space="preserve"> related to suicide</w:t>
            </w:r>
            <w:r w:rsidR="000E6EBD" w:rsidRPr="007C39BD">
              <w:t xml:space="preserve"> </w:t>
            </w:r>
            <w:r w:rsidR="00CB7A63">
              <w:t>and/or drugs and alcohol</w:t>
            </w:r>
            <w:r w:rsidR="009133C3">
              <w:t xml:space="preserve"> </w:t>
            </w:r>
            <w:r w:rsidR="000E6EBD" w:rsidRPr="007C39BD" w:rsidDel="009C2F18">
              <w:t xml:space="preserve">have </w:t>
            </w:r>
            <w:r w:rsidR="000E6EBD" w:rsidRPr="007C39BD">
              <w:t>been comparatively low, with no evidence of a similar increase in opioid</w:t>
            </w:r>
            <w:r w:rsidR="00795ABC">
              <w:t>-</w:t>
            </w:r>
            <w:r w:rsidR="000E6EBD" w:rsidRPr="007C39BD">
              <w:t>related deaths and relatively low rates of alcohol</w:t>
            </w:r>
            <w:r w:rsidR="00795ABC">
              <w:t>-</w:t>
            </w:r>
            <w:r w:rsidR="000E6EBD" w:rsidRPr="007C39BD">
              <w:t>induced death</w:t>
            </w:r>
            <w:r w:rsidR="008E11BB">
              <w:t>s</w:t>
            </w:r>
            <w:r w:rsidR="000E6EBD" w:rsidRPr="007C39BD">
              <w:t>.</w:t>
            </w:r>
          </w:p>
        </w:tc>
      </w:tr>
    </w:tbl>
    <w:p w14:paraId="38A48BD7" w14:textId="77777777" w:rsidR="006A270D" w:rsidRDefault="006A270D">
      <w:pPr>
        <w:spacing w:before="0" w:after="160" w:line="259" w:lineRule="auto"/>
        <w:rPr>
          <w:b/>
          <w:i/>
          <w:smallCaps/>
          <w:color w:val="FFFFFF" w:themeColor="background1"/>
          <w:spacing w:val="15"/>
        </w:rPr>
      </w:pPr>
      <w:bookmarkStart w:id="107" w:name="_Toc115336115"/>
      <w:bookmarkEnd w:id="107"/>
      <w:r>
        <w:lastRenderedPageBreak/>
        <w:br w:type="page"/>
      </w:r>
    </w:p>
    <w:p w14:paraId="54351B9F" w14:textId="588D7F40" w:rsidR="00D11B1D" w:rsidRPr="007C39BD" w:rsidRDefault="004142AF" w:rsidP="00433113">
      <w:pPr>
        <w:pStyle w:val="Heading2Numbered"/>
      </w:pPr>
      <w:bookmarkStart w:id="108" w:name="_Toc122618366"/>
      <w:r w:rsidRPr="007C39BD">
        <w:lastRenderedPageBreak/>
        <w:t>Population age structure</w:t>
      </w:r>
      <w:bookmarkEnd w:id="108"/>
    </w:p>
    <w:p w14:paraId="11EB5060" w14:textId="0F550ACB" w:rsidR="000E6EBD" w:rsidRPr="007C39BD" w:rsidRDefault="000E6EBD" w:rsidP="00D31909">
      <w:r w:rsidRPr="007C39BD">
        <w:t>Australia’s greatest long</w:t>
      </w:r>
      <w:r w:rsidR="00E43662">
        <w:t>-</w:t>
      </w:r>
      <w:r w:rsidRPr="007C39BD">
        <w:t>term demographic challenge is the ageing population, with the share of people aged 65 and over doubling in the past 70 years. Australia’s population will continue ageing over the coming decades, with the share of people aged 65 and over projected to increase from 16.8 per cent in 2020</w:t>
      </w:r>
      <w:r w:rsidR="0033101B">
        <w:t>–</w:t>
      </w:r>
      <w:r w:rsidRPr="007C39BD">
        <w:t>21 to 19.9 per cent in 2032</w:t>
      </w:r>
      <w:r w:rsidR="0033101B">
        <w:t>–</w:t>
      </w:r>
      <w:r w:rsidRPr="007C39BD">
        <w:t xml:space="preserve">33, and </w:t>
      </w:r>
      <w:r w:rsidR="00463694">
        <w:t>23.1</w:t>
      </w:r>
      <w:r w:rsidRPr="007C39BD">
        <w:t xml:space="preserve"> per cent in 2060</w:t>
      </w:r>
      <w:r w:rsidR="0033101B">
        <w:t>–</w:t>
      </w:r>
      <w:r w:rsidRPr="007C39BD" w:rsidDel="00425174">
        <w:t>61</w:t>
      </w:r>
      <w:r w:rsidRPr="007C39BD">
        <w:t>. There will be corresponding decreases in the share of young Australians (</w:t>
      </w:r>
      <w:r w:rsidR="002C2CC1">
        <w:t>Chart 18</w:t>
      </w:r>
      <w:r w:rsidRPr="001B1DC1">
        <w:t xml:space="preserve">), </w:t>
      </w:r>
      <w:r w:rsidR="001B1DC1" w:rsidRPr="001B1DC1">
        <w:t>as well as continued increases in the median age and old-age dependency ratio (</w:t>
      </w:r>
      <w:r w:rsidR="002C2CC1">
        <w:t>Table 3</w:t>
      </w:r>
      <w:r w:rsidR="001B1DC1" w:rsidRPr="001B1DC1">
        <w:t>). As the population ages, there will be a larger percentage of older Australians relative to the people of working age. This presents long-term economic and fiscal challenges similar to those faced in most comparable countries.</w:t>
      </w:r>
      <w:r w:rsidR="001B1DC1" w:rsidRPr="001B1DC1">
        <w:rPr>
          <w:rStyle w:val="FootnoteReference"/>
        </w:rPr>
        <w:footnoteReference w:id="28"/>
      </w:r>
    </w:p>
    <w:p w14:paraId="2C3593C4" w14:textId="674E380D" w:rsidR="004637DB" w:rsidRPr="007C39BD" w:rsidRDefault="004637DB" w:rsidP="00D31909">
      <w:r w:rsidRPr="007C39BD">
        <w:t xml:space="preserve">Australia’s population ageing is driven by increasing life expectancies and falling fertility rates, which have been below the </w:t>
      </w:r>
      <w:r w:rsidRPr="0080495D">
        <w:t>replacement level since the mid</w:t>
      </w:r>
      <w:r w:rsidR="00E43662">
        <w:t>-</w:t>
      </w:r>
      <w:r w:rsidRPr="0080495D">
        <w:t>1970s.</w:t>
      </w:r>
      <w:r w:rsidRPr="0080495D">
        <w:rPr>
          <w:rStyle w:val="FootnoteReference"/>
        </w:rPr>
        <w:footnoteReference w:id="29"/>
      </w:r>
      <w:r w:rsidRPr="0080495D">
        <w:t xml:space="preserve"> </w:t>
      </w:r>
      <w:r w:rsidRPr="007C39BD">
        <w:t xml:space="preserve">Australia </w:t>
      </w:r>
      <w:r>
        <w:t>is in the middle of</w:t>
      </w:r>
      <w:r w:rsidRPr="007C39BD">
        <w:t xml:space="preserve"> a large wave</w:t>
      </w:r>
      <w:r>
        <w:t xml:space="preserve"> </w:t>
      </w:r>
      <w:r w:rsidRPr="007C39BD">
        <w:t>of people entering retirement age</w:t>
      </w:r>
      <w:r w:rsidR="00521F2D">
        <w:t xml:space="preserve"> from 2010 to 2030</w:t>
      </w:r>
      <w:r>
        <w:t>. This wave was created</w:t>
      </w:r>
      <w:r w:rsidRPr="007C39BD" w:rsidDel="00DD1970">
        <w:t xml:space="preserve"> </w:t>
      </w:r>
      <w:r w:rsidRPr="007C39BD">
        <w:t xml:space="preserve">by the </w:t>
      </w:r>
      <w:r w:rsidRPr="00E43662" w:rsidDel="00DD1970">
        <w:t>large</w:t>
      </w:r>
      <w:r w:rsidRPr="007C39BD" w:rsidDel="00DD1970">
        <w:t xml:space="preserve"> </w:t>
      </w:r>
      <w:r w:rsidRPr="007C39BD">
        <w:t xml:space="preserve">baby boomer generation (people born </w:t>
      </w:r>
      <w:r>
        <w:t xml:space="preserve">in Australia </w:t>
      </w:r>
      <w:r w:rsidRPr="007C39BD">
        <w:t>between 1946 and 1966) and the large cohort of migrants who arrived in Australia after World</w:t>
      </w:r>
      <w:r>
        <w:t> </w:t>
      </w:r>
      <w:r w:rsidRPr="007C39BD">
        <w:t>War</w:t>
      </w:r>
      <w:r>
        <w:t> </w:t>
      </w:r>
      <w:r w:rsidRPr="007C39BD">
        <w:t>II.</w:t>
      </w:r>
      <w:r w:rsidRPr="007C39BD">
        <w:rPr>
          <w:rStyle w:val="FootnoteReference"/>
        </w:rPr>
        <w:footnoteReference w:id="30"/>
      </w:r>
      <w:r w:rsidRPr="007C39BD">
        <w:t xml:space="preserve"> </w:t>
      </w:r>
    </w:p>
    <w:p w14:paraId="60F838CB" w14:textId="115D78D0" w:rsidR="000E6EBD" w:rsidRPr="007C39BD" w:rsidRDefault="001B1DC1" w:rsidP="00D31909">
      <w:r w:rsidRPr="007C39BD">
        <w:t xml:space="preserve">Population ageing is not </w:t>
      </w:r>
      <w:r>
        <w:t>unique</w:t>
      </w:r>
      <w:r w:rsidRPr="007C39BD">
        <w:t xml:space="preserve"> to Australia</w:t>
      </w:r>
      <w:r>
        <w:t>; t</w:t>
      </w:r>
      <w:r w:rsidRPr="007C39BD">
        <w:t>his trend appl</w:t>
      </w:r>
      <w:r>
        <w:t>ies to</w:t>
      </w:r>
      <w:r w:rsidRPr="007C39BD">
        <w:t xml:space="preserve"> many developed economies. The United</w:t>
      </w:r>
      <w:r>
        <w:t> </w:t>
      </w:r>
      <w:r w:rsidRPr="007C39BD">
        <w:t>States project</w:t>
      </w:r>
      <w:r>
        <w:t>s</w:t>
      </w:r>
      <w:r w:rsidRPr="007C39BD">
        <w:t xml:space="preserve"> that the share of people aged 65 and over will increase from 15 per cent in 2016 to 23</w:t>
      </w:r>
      <w:r>
        <w:t> </w:t>
      </w:r>
      <w:r w:rsidRPr="007C39BD">
        <w:t>per cent in 2060</w:t>
      </w:r>
      <w:r w:rsidR="000E6EBD" w:rsidRPr="007C39BD">
        <w:t xml:space="preserve"> – the same magnitude of ageing as expected in Australia.</w:t>
      </w:r>
      <w:r w:rsidR="000E6EBD" w:rsidRPr="007C39BD">
        <w:rPr>
          <w:rStyle w:val="FootnoteReference"/>
        </w:rPr>
        <w:footnoteReference w:id="31"/>
      </w:r>
      <w:r w:rsidR="000E6EBD" w:rsidRPr="007C39BD">
        <w:t xml:space="preserve"> Many other developed economies have been facing population ageing ahead of Australia, including Italy, Japan and South Korea, which offers the opportunity to draw lessons from the experiences of these countries.</w:t>
      </w:r>
    </w:p>
    <w:p w14:paraId="2DA7BCFB" w14:textId="77777777" w:rsidR="000E6EBD" w:rsidRPr="007C39BD" w:rsidRDefault="000E6EBD" w:rsidP="005540BC">
      <w:pPr>
        <w:pStyle w:val="TableMainHeading"/>
      </w:pPr>
      <w:bookmarkStart w:id="109" w:name="_Ref117695591"/>
      <w:r w:rsidRPr="007C39BD">
        <w:t>Key figures on the population age structure in Australia</w:t>
      </w:r>
      <w:bookmarkEnd w:id="109"/>
    </w:p>
    <w:tbl>
      <w:tblPr>
        <w:tblStyle w:val="CPOPTable"/>
        <w:tblW w:w="8931" w:type="dxa"/>
        <w:tblLook w:val="04A0" w:firstRow="1" w:lastRow="0" w:firstColumn="1" w:lastColumn="0" w:noHBand="0" w:noVBand="1"/>
        <w:tblCaption w:val="Table"/>
      </w:tblPr>
      <w:tblGrid>
        <w:gridCol w:w="1277"/>
        <w:gridCol w:w="1289"/>
        <w:gridCol w:w="1636"/>
        <w:gridCol w:w="1649"/>
        <w:gridCol w:w="1846"/>
        <w:gridCol w:w="1234"/>
      </w:tblGrid>
      <w:tr w:rsidR="001B1DC1" w:rsidRPr="007C39BD" w14:paraId="6F8C2595" w14:textId="77777777" w:rsidTr="001B1DC1">
        <w:trPr>
          <w:cnfStyle w:val="100000000000" w:firstRow="1" w:lastRow="0" w:firstColumn="0" w:lastColumn="0" w:oddVBand="0" w:evenVBand="0" w:oddHBand="0" w:evenHBand="0" w:firstRowFirstColumn="0" w:firstRowLastColumn="0" w:lastRowFirstColumn="0" w:lastRowLastColumn="0"/>
          <w:trHeight w:val="821"/>
        </w:trPr>
        <w:tc>
          <w:tcPr>
            <w:tcW w:w="1288" w:type="dxa"/>
          </w:tcPr>
          <w:p w14:paraId="1709BEFB" w14:textId="77777777" w:rsidR="001B1DC1" w:rsidRPr="00863FDE" w:rsidRDefault="001B1DC1" w:rsidP="00863FDE">
            <w:pPr>
              <w:pStyle w:val="TableTextLeft"/>
              <w:rPr>
                <w:b/>
                <w:bCs/>
              </w:rPr>
            </w:pPr>
          </w:p>
        </w:tc>
        <w:tc>
          <w:tcPr>
            <w:tcW w:w="1297" w:type="dxa"/>
          </w:tcPr>
          <w:p w14:paraId="6BF055D5" w14:textId="4A01176C" w:rsidR="001B1DC1" w:rsidRPr="00863FDE" w:rsidRDefault="001B1DC1" w:rsidP="000816D9">
            <w:pPr>
              <w:pStyle w:val="TableColumnHeadingLeft"/>
            </w:pPr>
            <w:r w:rsidRPr="00863FDE">
              <w:t xml:space="preserve">Median age </w:t>
            </w:r>
          </w:p>
        </w:tc>
        <w:tc>
          <w:tcPr>
            <w:tcW w:w="1645" w:type="dxa"/>
          </w:tcPr>
          <w:p w14:paraId="7E19C47C" w14:textId="5EB45B6B" w:rsidR="001B1DC1" w:rsidRPr="00863FDE" w:rsidRDefault="00930FE4" w:rsidP="000816D9">
            <w:pPr>
              <w:pStyle w:val="TableColumnHeadingLeft"/>
            </w:pPr>
            <w:r w:rsidRPr="00863FDE">
              <w:t>Percentage</w:t>
            </w:r>
            <w:r w:rsidR="001B1DC1" w:rsidRPr="00863FDE">
              <w:t xml:space="preserve"> aged 0-14</w:t>
            </w:r>
          </w:p>
        </w:tc>
        <w:tc>
          <w:tcPr>
            <w:tcW w:w="1659" w:type="dxa"/>
          </w:tcPr>
          <w:p w14:paraId="3D93CFD8" w14:textId="0E317CB4" w:rsidR="001B1DC1" w:rsidRPr="00863FDE" w:rsidRDefault="00930FE4" w:rsidP="000816D9">
            <w:pPr>
              <w:pStyle w:val="TableColumnHeadingLeft"/>
            </w:pPr>
            <w:r w:rsidRPr="00863FDE">
              <w:t xml:space="preserve">Percentage </w:t>
            </w:r>
            <w:r w:rsidR="001B1DC1" w:rsidRPr="00863FDE">
              <w:t>aged 15-64</w:t>
            </w:r>
          </w:p>
        </w:tc>
        <w:tc>
          <w:tcPr>
            <w:tcW w:w="1859" w:type="dxa"/>
          </w:tcPr>
          <w:p w14:paraId="6A99629D" w14:textId="53B73F3B" w:rsidR="001B1DC1" w:rsidRPr="00863FDE" w:rsidRDefault="00930FE4" w:rsidP="000816D9">
            <w:pPr>
              <w:pStyle w:val="TableColumnHeadingLeft"/>
            </w:pPr>
            <w:r w:rsidRPr="00863FDE">
              <w:t>Percentage</w:t>
            </w:r>
            <w:r w:rsidR="001B1DC1" w:rsidRPr="00863FDE">
              <w:t xml:space="preserve"> aged 65</w:t>
            </w:r>
            <w:r w:rsidR="00575E08">
              <w:t> </w:t>
            </w:r>
            <w:r w:rsidR="001B1DC1" w:rsidRPr="00863FDE">
              <w:t>and over</w:t>
            </w:r>
          </w:p>
        </w:tc>
        <w:tc>
          <w:tcPr>
            <w:tcW w:w="1183" w:type="dxa"/>
          </w:tcPr>
          <w:p w14:paraId="7EFC1D18" w14:textId="127647D2" w:rsidR="001B1DC1" w:rsidRPr="00863FDE" w:rsidRDefault="001B1DC1" w:rsidP="000816D9">
            <w:pPr>
              <w:pStyle w:val="TableColumnHeadingLeft"/>
            </w:pPr>
            <w:r w:rsidRPr="00863FDE">
              <w:t>Old-age dependency ratio</w:t>
            </w:r>
          </w:p>
        </w:tc>
      </w:tr>
      <w:tr w:rsidR="00410E4F" w:rsidRPr="007C39BD" w14:paraId="486BD279" w14:textId="77777777" w:rsidTr="001B1DC1">
        <w:trPr>
          <w:trHeight w:val="182"/>
        </w:trPr>
        <w:tc>
          <w:tcPr>
            <w:tcW w:w="1288" w:type="dxa"/>
          </w:tcPr>
          <w:p w14:paraId="6E8AB49F" w14:textId="4C7C9AE1" w:rsidR="00410E4F" w:rsidRPr="00BD5F3C" w:rsidRDefault="00410E4F" w:rsidP="00863FDE">
            <w:pPr>
              <w:pStyle w:val="TableTextLeft"/>
              <w:rPr>
                <w:color w:val="002C47" w:themeColor="accent1"/>
              </w:rPr>
            </w:pPr>
            <w:r w:rsidRPr="00BD5F3C">
              <w:rPr>
                <w:color w:val="002C47" w:themeColor="accent1"/>
              </w:rPr>
              <w:t>2008–09</w:t>
            </w:r>
          </w:p>
        </w:tc>
        <w:tc>
          <w:tcPr>
            <w:tcW w:w="1297" w:type="dxa"/>
          </w:tcPr>
          <w:p w14:paraId="5A401C64" w14:textId="5534A0C8" w:rsidR="00410E4F" w:rsidRPr="002C06DC" w:rsidRDefault="00410E4F" w:rsidP="005531D9">
            <w:pPr>
              <w:pStyle w:val="TableTextLeft"/>
              <w:jc w:val="right"/>
            </w:pPr>
            <w:r w:rsidRPr="002C06DC">
              <w:t>36.9</w:t>
            </w:r>
          </w:p>
        </w:tc>
        <w:tc>
          <w:tcPr>
            <w:tcW w:w="1645" w:type="dxa"/>
          </w:tcPr>
          <w:p w14:paraId="688E0011" w14:textId="77777777" w:rsidR="00410E4F" w:rsidRPr="002C06DC" w:rsidRDefault="00410E4F" w:rsidP="005531D9">
            <w:pPr>
              <w:pStyle w:val="TableTextLeft"/>
              <w:jc w:val="right"/>
            </w:pPr>
            <w:r w:rsidRPr="002C06DC">
              <w:t>19.2</w:t>
            </w:r>
          </w:p>
        </w:tc>
        <w:tc>
          <w:tcPr>
            <w:tcW w:w="1659" w:type="dxa"/>
          </w:tcPr>
          <w:p w14:paraId="2AA580EA" w14:textId="77777777" w:rsidR="00410E4F" w:rsidRPr="002C06DC" w:rsidRDefault="00410E4F" w:rsidP="005531D9">
            <w:pPr>
              <w:pStyle w:val="TableTextLeft"/>
              <w:jc w:val="right"/>
            </w:pPr>
            <w:r w:rsidRPr="002C06DC">
              <w:t>67.5</w:t>
            </w:r>
          </w:p>
        </w:tc>
        <w:tc>
          <w:tcPr>
            <w:tcW w:w="1859" w:type="dxa"/>
          </w:tcPr>
          <w:p w14:paraId="2A4F6AB3" w14:textId="77777777" w:rsidR="00410E4F" w:rsidRPr="002C06DC" w:rsidRDefault="00410E4F" w:rsidP="005531D9">
            <w:pPr>
              <w:pStyle w:val="TableTextLeft"/>
              <w:jc w:val="right"/>
            </w:pPr>
            <w:r w:rsidRPr="002C06DC">
              <w:t>13.3</w:t>
            </w:r>
          </w:p>
        </w:tc>
        <w:tc>
          <w:tcPr>
            <w:tcW w:w="1183" w:type="dxa"/>
          </w:tcPr>
          <w:p w14:paraId="5C9C69A7" w14:textId="6AEA881A" w:rsidR="00410E4F" w:rsidRPr="002C06DC" w:rsidRDefault="00410E4F" w:rsidP="005531D9">
            <w:pPr>
              <w:pStyle w:val="TableTextLeft"/>
              <w:jc w:val="right"/>
            </w:pPr>
            <w:r w:rsidRPr="002C06DC">
              <w:t xml:space="preserve">19.7 </w:t>
            </w:r>
          </w:p>
        </w:tc>
      </w:tr>
      <w:tr w:rsidR="00410E4F" w:rsidRPr="007C39BD" w14:paraId="4BC50F59" w14:textId="77777777" w:rsidTr="001B1DC1">
        <w:trPr>
          <w:trHeight w:val="196"/>
        </w:trPr>
        <w:tc>
          <w:tcPr>
            <w:tcW w:w="1288" w:type="dxa"/>
          </w:tcPr>
          <w:p w14:paraId="6B76396E" w14:textId="78A45D44" w:rsidR="00410E4F" w:rsidRPr="00BD5F3C" w:rsidRDefault="00410E4F" w:rsidP="00863FDE">
            <w:pPr>
              <w:pStyle w:val="TableTextLeft"/>
              <w:rPr>
                <w:color w:val="002C47" w:themeColor="accent1"/>
              </w:rPr>
            </w:pPr>
            <w:r w:rsidRPr="00BD5F3C">
              <w:rPr>
                <w:color w:val="002C47" w:themeColor="accent1"/>
              </w:rPr>
              <w:t>2020–21</w:t>
            </w:r>
          </w:p>
        </w:tc>
        <w:tc>
          <w:tcPr>
            <w:tcW w:w="1297" w:type="dxa"/>
          </w:tcPr>
          <w:p w14:paraId="31862A1F" w14:textId="584F8C94" w:rsidR="00410E4F" w:rsidRPr="002C06DC" w:rsidRDefault="00410E4F" w:rsidP="005531D9">
            <w:pPr>
              <w:pStyle w:val="TableTextLeft"/>
              <w:jc w:val="right"/>
            </w:pPr>
            <w:r w:rsidRPr="002C06DC">
              <w:t>38.4</w:t>
            </w:r>
          </w:p>
        </w:tc>
        <w:tc>
          <w:tcPr>
            <w:tcW w:w="1645" w:type="dxa"/>
          </w:tcPr>
          <w:p w14:paraId="030AB62A" w14:textId="77777777" w:rsidR="00410E4F" w:rsidRPr="002C06DC" w:rsidRDefault="00410E4F" w:rsidP="005531D9">
            <w:pPr>
              <w:pStyle w:val="TableTextLeft"/>
              <w:jc w:val="right"/>
            </w:pPr>
            <w:r w:rsidRPr="002C06DC">
              <w:t>18.5</w:t>
            </w:r>
          </w:p>
        </w:tc>
        <w:tc>
          <w:tcPr>
            <w:tcW w:w="1659" w:type="dxa"/>
          </w:tcPr>
          <w:p w14:paraId="4CFB2700" w14:textId="77777777" w:rsidR="00410E4F" w:rsidRPr="002C06DC" w:rsidRDefault="00410E4F" w:rsidP="005531D9">
            <w:pPr>
              <w:pStyle w:val="TableTextLeft"/>
              <w:jc w:val="right"/>
            </w:pPr>
            <w:r w:rsidRPr="002C06DC">
              <w:t>64.7</w:t>
            </w:r>
          </w:p>
        </w:tc>
        <w:tc>
          <w:tcPr>
            <w:tcW w:w="1859" w:type="dxa"/>
          </w:tcPr>
          <w:p w14:paraId="5A13F841" w14:textId="77777777" w:rsidR="00410E4F" w:rsidRPr="002C06DC" w:rsidRDefault="00410E4F" w:rsidP="005531D9">
            <w:pPr>
              <w:pStyle w:val="TableTextLeft"/>
              <w:jc w:val="right"/>
            </w:pPr>
            <w:r w:rsidRPr="002C06DC">
              <w:t>16.8</w:t>
            </w:r>
          </w:p>
        </w:tc>
        <w:tc>
          <w:tcPr>
            <w:tcW w:w="1183" w:type="dxa"/>
          </w:tcPr>
          <w:p w14:paraId="21759B5F" w14:textId="42743572" w:rsidR="00410E4F" w:rsidRPr="002C06DC" w:rsidRDefault="00410E4F" w:rsidP="005531D9">
            <w:pPr>
              <w:pStyle w:val="TableTextLeft"/>
              <w:jc w:val="right"/>
            </w:pPr>
            <w:r w:rsidRPr="002C06DC">
              <w:t xml:space="preserve">25.9 </w:t>
            </w:r>
          </w:p>
        </w:tc>
      </w:tr>
      <w:tr w:rsidR="001B1DC1" w:rsidRPr="007C39BD" w14:paraId="2FDBBA28" w14:textId="77777777" w:rsidTr="001B1DC1">
        <w:trPr>
          <w:trHeight w:val="80"/>
        </w:trPr>
        <w:tc>
          <w:tcPr>
            <w:tcW w:w="1288" w:type="dxa"/>
          </w:tcPr>
          <w:p w14:paraId="61EAA62B" w14:textId="3C3D8D62" w:rsidR="001B1DC1" w:rsidRPr="00BD5F3C" w:rsidRDefault="001B1DC1" w:rsidP="00863FDE">
            <w:pPr>
              <w:pStyle w:val="TableTextLeft"/>
              <w:rPr>
                <w:color w:val="002C47" w:themeColor="accent1"/>
              </w:rPr>
            </w:pPr>
            <w:r w:rsidRPr="00BD5F3C">
              <w:rPr>
                <w:color w:val="002C47" w:themeColor="accent1"/>
              </w:rPr>
              <w:t>2032–33</w:t>
            </w:r>
          </w:p>
        </w:tc>
        <w:tc>
          <w:tcPr>
            <w:tcW w:w="1297" w:type="dxa"/>
          </w:tcPr>
          <w:p w14:paraId="01F59B7D" w14:textId="196C10BE" w:rsidR="001B1DC1" w:rsidRPr="002C06DC" w:rsidRDefault="001B1DC1" w:rsidP="005531D9">
            <w:pPr>
              <w:pStyle w:val="TableTextLeft"/>
              <w:jc w:val="right"/>
            </w:pPr>
            <w:r w:rsidRPr="002C06DC">
              <w:t>40.1</w:t>
            </w:r>
          </w:p>
        </w:tc>
        <w:tc>
          <w:tcPr>
            <w:tcW w:w="1645" w:type="dxa"/>
          </w:tcPr>
          <w:p w14:paraId="465AB20C" w14:textId="61CAFE98" w:rsidR="001B1DC1" w:rsidRPr="002C06DC" w:rsidRDefault="001B1DC1" w:rsidP="005531D9">
            <w:pPr>
              <w:pStyle w:val="TableTextLeft"/>
              <w:jc w:val="right"/>
            </w:pPr>
            <w:r w:rsidRPr="002C06DC">
              <w:t>16.6</w:t>
            </w:r>
          </w:p>
        </w:tc>
        <w:tc>
          <w:tcPr>
            <w:tcW w:w="1659" w:type="dxa"/>
          </w:tcPr>
          <w:p w14:paraId="206D5393" w14:textId="77777777" w:rsidR="001B1DC1" w:rsidRPr="002C06DC" w:rsidRDefault="001B1DC1" w:rsidP="005531D9">
            <w:pPr>
              <w:pStyle w:val="TableTextLeft"/>
              <w:jc w:val="right"/>
            </w:pPr>
            <w:r w:rsidRPr="002C06DC">
              <w:t>63.6</w:t>
            </w:r>
          </w:p>
        </w:tc>
        <w:tc>
          <w:tcPr>
            <w:tcW w:w="1859" w:type="dxa"/>
          </w:tcPr>
          <w:p w14:paraId="1D2BF763" w14:textId="77777777" w:rsidR="001B1DC1" w:rsidRPr="002C06DC" w:rsidRDefault="001B1DC1" w:rsidP="005531D9">
            <w:pPr>
              <w:pStyle w:val="TableTextLeft"/>
              <w:jc w:val="right"/>
            </w:pPr>
            <w:r w:rsidRPr="002C06DC">
              <w:t>19.9</w:t>
            </w:r>
          </w:p>
        </w:tc>
        <w:tc>
          <w:tcPr>
            <w:tcW w:w="1183" w:type="dxa"/>
          </w:tcPr>
          <w:p w14:paraId="33016D26" w14:textId="7F3334BF" w:rsidR="001B1DC1" w:rsidRPr="002C06DC" w:rsidRDefault="001B1DC1" w:rsidP="005531D9">
            <w:pPr>
              <w:pStyle w:val="TableTextLeft"/>
              <w:jc w:val="right"/>
            </w:pPr>
            <w:r w:rsidRPr="002C06DC">
              <w:t xml:space="preserve">31.2 </w:t>
            </w:r>
          </w:p>
        </w:tc>
      </w:tr>
    </w:tbl>
    <w:p w14:paraId="2A4BD4ED" w14:textId="3E9E2DF6" w:rsidR="006A424F" w:rsidRDefault="000E6EBD" w:rsidP="001E4102">
      <w:pPr>
        <w:pStyle w:val="Source"/>
      </w:pPr>
      <w:r w:rsidRPr="007C39BD">
        <w:t>Source:</w:t>
      </w:r>
      <w:r w:rsidR="00647C14">
        <w:rPr>
          <w:noProof/>
        </w:rPr>
        <w:t xml:space="preserve"> Australian Bureau of Statistics, National, state and territory population, March 2022, 2022</w:t>
      </w:r>
      <w:r w:rsidRPr="007C39BD">
        <w:t xml:space="preserve"> and Centre for Population forecasts.</w:t>
      </w:r>
    </w:p>
    <w:p w14:paraId="05B0B492" w14:textId="6EB862FB" w:rsidR="006A424F" w:rsidRDefault="006A424F" w:rsidP="006A424F">
      <w:pPr>
        <w:pStyle w:val="Normalbullet"/>
        <w:numPr>
          <w:ilvl w:val="0"/>
          <w:numId w:val="0"/>
        </w:numPr>
        <w:ind w:left="283" w:hanging="283"/>
      </w:pPr>
    </w:p>
    <w:p w14:paraId="59A53684" w14:textId="22D0662A" w:rsidR="000E6EBD" w:rsidRPr="007C39BD" w:rsidRDefault="000E6EBD" w:rsidP="000E6EBD">
      <w:pPr>
        <w:pStyle w:val="Heading9"/>
        <w:spacing w:after="0"/>
      </w:pPr>
      <w:bookmarkStart w:id="110" w:name="_Ref113540338"/>
      <w:bookmarkStart w:id="111" w:name="_Ref118390870"/>
      <w:r w:rsidRPr="007C39BD">
        <w:lastRenderedPageBreak/>
        <w:t>Age structure</w:t>
      </w:r>
      <w:r w:rsidR="00064670">
        <w:t>,</w:t>
      </w:r>
      <w:r w:rsidRPr="007C39BD">
        <w:t xml:space="preserve"> Australia, 2020</w:t>
      </w:r>
      <w:r w:rsidR="0033101B">
        <w:t>–</w:t>
      </w:r>
      <w:r w:rsidRPr="007C39BD">
        <w:t>21 and 2032</w:t>
      </w:r>
      <w:r w:rsidR="0033101B">
        <w:t>–</w:t>
      </w:r>
      <w:r w:rsidRPr="007C39BD">
        <w:t>33</w:t>
      </w:r>
      <w:bookmarkEnd w:id="110"/>
      <w:bookmarkEnd w:id="111"/>
    </w:p>
    <w:p w14:paraId="32293DD8" w14:textId="13CFEEDF" w:rsidR="006B2BCB" w:rsidRPr="007C39BD" w:rsidRDefault="00CD57DF" w:rsidP="00265914">
      <w:pPr>
        <w:spacing w:before="0" w:after="0"/>
        <w:jc w:val="center"/>
      </w:pPr>
      <w:r w:rsidRPr="00CD57DF">
        <w:rPr>
          <w:noProof/>
        </w:rPr>
        <w:drawing>
          <wp:inline distT="0" distB="0" distL="0" distR="0" wp14:anchorId="370CEBD9" wp14:editId="3D5FA7C3">
            <wp:extent cx="4714875" cy="3781425"/>
            <wp:effectExtent l="0" t="0" r="0" b="0"/>
            <wp:docPr id="74" name="Picture 74" descr="A population pyramid showing the projected changes to the population age structure between 2020-21 and 2032-33. In 2032-33, it is expected that there will be a smaller share of people aged between 0 and 14 than in 2020-21, and a higher concentration of people aged between 40 and 49. It is also expected that the number of people aged 70 and over will in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opulation pyramid showing the projected changes to the population age structure between 2020-21 and 2032-33. In 2032-33, it is expected that there will be a smaller share of people aged between 0 and 14 than in 2020-21, and a higher concentration of people aged between 40 and 49. It is also expected that the number of people aged 70 and over will increase.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3781425"/>
                    </a:xfrm>
                    <a:prstGeom prst="rect">
                      <a:avLst/>
                    </a:prstGeom>
                    <a:noFill/>
                    <a:ln>
                      <a:noFill/>
                    </a:ln>
                  </pic:spPr>
                </pic:pic>
              </a:graphicData>
            </a:graphic>
          </wp:inline>
        </w:drawing>
      </w:r>
    </w:p>
    <w:p w14:paraId="695100CB" w14:textId="6359E41D" w:rsidR="000E6EBD" w:rsidRPr="007C39BD" w:rsidRDefault="000E6EBD" w:rsidP="000E6EBD">
      <w:pPr>
        <w:pStyle w:val="Source"/>
        <w:spacing w:after="0"/>
      </w:pPr>
      <w:r w:rsidRPr="007C39BD">
        <w:t xml:space="preserve">Source: </w:t>
      </w:r>
      <w:r w:rsidR="00647C14">
        <w:rPr>
          <w:noProof/>
        </w:rPr>
        <w:t>Australian Bureau of Statistics, National, state and territory population, March 2022, 2022</w:t>
      </w:r>
      <w:r w:rsidRPr="007C39BD">
        <w:t xml:space="preserve"> and Centre for Population projections.</w:t>
      </w:r>
      <w:r w:rsidR="00263E53" w:rsidRPr="007C39BD" w:rsidDel="00263E53">
        <w:t xml:space="preserve"> </w:t>
      </w:r>
    </w:p>
    <w:p w14:paraId="647E73FB" w14:textId="7C16368E" w:rsidR="000E6EBD" w:rsidRPr="007C39BD" w:rsidRDefault="000E6EBD" w:rsidP="009D5E0B">
      <w:pPr>
        <w:pStyle w:val="Heading3"/>
      </w:pPr>
      <w:bookmarkStart w:id="112" w:name="_Toc120635107"/>
      <w:bookmarkStart w:id="113" w:name="_Toc122617940"/>
      <w:bookmarkStart w:id="114" w:name="_Toc122618367"/>
      <w:r w:rsidRPr="007C39BD">
        <w:t>The effects of COVID</w:t>
      </w:r>
      <w:r w:rsidR="00E43662">
        <w:t>-</w:t>
      </w:r>
      <w:r w:rsidRPr="007C39BD">
        <w:t>19 and overseas migration on Australia’s age structure</w:t>
      </w:r>
      <w:bookmarkEnd w:id="112"/>
      <w:bookmarkEnd w:id="113"/>
      <w:bookmarkEnd w:id="114"/>
    </w:p>
    <w:p w14:paraId="62344BE2" w14:textId="722DFD2D" w:rsidR="000E6EBD" w:rsidRPr="007C39BD" w:rsidRDefault="000E6EBD" w:rsidP="00620D4B">
      <w:r w:rsidRPr="007C39BD">
        <w:t>Disruptions to overseas migration between March 2020 and December 2021 had a significant impact on the age structure of the Australian population, which accelerated population ageing. The median age is expected to be 1.4 years older by 203</w:t>
      </w:r>
      <w:r w:rsidR="00870B2A">
        <w:t>0</w:t>
      </w:r>
      <w:r w:rsidR="0033101B">
        <w:t>–</w:t>
      </w:r>
      <w:r w:rsidRPr="007C39BD">
        <w:t>3</w:t>
      </w:r>
      <w:r w:rsidR="00870B2A">
        <w:t>1</w:t>
      </w:r>
      <w:r w:rsidRPr="007C39BD">
        <w:t xml:space="preserve"> compared to pre</w:t>
      </w:r>
      <w:r w:rsidR="003C751F">
        <w:t>-</w:t>
      </w:r>
      <w:r w:rsidR="00E43662">
        <w:t>pandemic</w:t>
      </w:r>
      <w:r w:rsidRPr="007C39BD">
        <w:t xml:space="preserve"> projections.</w:t>
      </w:r>
      <w:r w:rsidRPr="007C39BD">
        <w:rPr>
          <w:rStyle w:val="FootnoteReference"/>
        </w:rPr>
        <w:footnoteReference w:id="32"/>
      </w:r>
      <w:r w:rsidRPr="007C39BD">
        <w:t xml:space="preserve"> This is largely because migrants arriving in Australia are, on average, younger than the existing population. </w:t>
      </w:r>
    </w:p>
    <w:p w14:paraId="4AC758CB" w14:textId="15939224" w:rsidR="004637DB" w:rsidRPr="007C39BD" w:rsidRDefault="004637DB" w:rsidP="00620D4B">
      <w:r w:rsidRPr="007C39BD">
        <w:t>Most migrants arrive in Australia between the age</w:t>
      </w:r>
      <w:r>
        <w:t>s</w:t>
      </w:r>
      <w:r w:rsidRPr="007C39BD">
        <w:t xml:space="preserve"> of 15 </w:t>
      </w:r>
      <w:r>
        <w:t>and</w:t>
      </w:r>
      <w:r w:rsidRPr="007C39BD">
        <w:t xml:space="preserve"> 34.</w:t>
      </w:r>
      <w:r w:rsidRPr="007C39BD" w:rsidDel="00AA2840">
        <w:t xml:space="preserve"> </w:t>
      </w:r>
      <w:r>
        <w:t>N</w:t>
      </w:r>
      <w:r w:rsidRPr="007C39BD">
        <w:t xml:space="preserve">et migration of people aged 15 to 34 </w:t>
      </w:r>
      <w:r>
        <w:t>decreased by 5</w:t>
      </w:r>
      <w:r w:rsidR="008A152E">
        <w:t>8.7</w:t>
      </w:r>
      <w:r>
        <w:t xml:space="preserve"> per </w:t>
      </w:r>
      <w:r w:rsidRPr="00B344C9">
        <w:t>cent between</w:t>
      </w:r>
      <w:r w:rsidRPr="007C39BD">
        <w:t xml:space="preserve"> 2018</w:t>
      </w:r>
      <w:r>
        <w:t>–</w:t>
      </w:r>
      <w:r w:rsidRPr="007C39BD">
        <w:t>19 and 2019</w:t>
      </w:r>
      <w:r>
        <w:t>–</w:t>
      </w:r>
      <w:r w:rsidRPr="007C39BD">
        <w:t>20. This</w:t>
      </w:r>
      <w:r>
        <w:t xml:space="preserve"> was</w:t>
      </w:r>
      <w:r w:rsidRPr="007C39BD">
        <w:t xml:space="preserve"> mostly due to temporary migrants, particularly international students</w:t>
      </w:r>
      <w:r w:rsidR="00E2279E">
        <w:t xml:space="preserve">, </w:t>
      </w:r>
      <w:r w:rsidR="00184841">
        <w:t>who are generally</w:t>
      </w:r>
      <w:r w:rsidRPr="007C39BD">
        <w:t xml:space="preserve"> aged 20 to 24, departing Australia at the start of the pandemic. This continued in 2020</w:t>
      </w:r>
      <w:r>
        <w:t>–</w:t>
      </w:r>
      <w:r w:rsidRPr="007C39BD">
        <w:t>21, which saw net outflows of migrants aged 15 to 34 of 79,</w:t>
      </w:r>
      <w:r w:rsidR="00EE3545">
        <w:t>0</w:t>
      </w:r>
      <w:r w:rsidRPr="007C39BD">
        <w:t>00, including particularly large outflows of migrants</w:t>
      </w:r>
      <w:r>
        <w:t xml:space="preserve"> </w:t>
      </w:r>
      <w:r w:rsidRPr="007C39BD">
        <w:t>in their 20s.</w:t>
      </w:r>
    </w:p>
    <w:p w14:paraId="1800335C" w14:textId="2E62EF21" w:rsidR="000E6EBD" w:rsidRPr="007C39BD" w:rsidRDefault="000E6EBD" w:rsidP="00620D4B">
      <w:r w:rsidRPr="007C39BD">
        <w:t xml:space="preserve">The early stages of the pandemic also had an impact on the older end of the age distribution. Historically, there was </w:t>
      </w:r>
      <w:r w:rsidR="00242EB9">
        <w:t xml:space="preserve">only </w:t>
      </w:r>
      <w:r w:rsidRPr="007C39BD">
        <w:t>a small net inflow of people migrating to Australia aged 65 and over. However, there was an increase of 2</w:t>
      </w:r>
      <w:r w:rsidR="00EE3545">
        <w:t>3,0</w:t>
      </w:r>
      <w:r w:rsidRPr="007C39BD">
        <w:t>00 people in this cohort between 2018</w:t>
      </w:r>
      <w:r w:rsidR="0033101B">
        <w:t>–</w:t>
      </w:r>
      <w:r w:rsidRPr="007C39BD">
        <w:t>19 and 2019</w:t>
      </w:r>
      <w:r w:rsidR="0033101B">
        <w:t>–</w:t>
      </w:r>
      <w:r w:rsidRPr="007C39BD">
        <w:t>20, with older Australian citizens and permanent migrants returning to Australia during the early stages of the pandemic. As a result, the net migrant cohort aged 65 and over went from being the smallest cohort to the largest in 2019</w:t>
      </w:r>
      <w:r w:rsidR="0033101B">
        <w:t>–</w:t>
      </w:r>
      <w:r w:rsidRPr="007C39BD">
        <w:t xml:space="preserve">20. </w:t>
      </w:r>
      <w:r w:rsidR="009165DE">
        <w:t>I</w:t>
      </w:r>
      <w:r w:rsidRPr="007C39BD">
        <w:t>n 2020</w:t>
      </w:r>
      <w:r w:rsidR="0033101B">
        <w:t>–</w:t>
      </w:r>
      <w:r w:rsidRPr="007C39BD">
        <w:t>21</w:t>
      </w:r>
      <w:r w:rsidR="00031188">
        <w:t>,</w:t>
      </w:r>
      <w:r w:rsidR="00785503">
        <w:t xml:space="preserve"> this partially reversed and</w:t>
      </w:r>
      <w:r w:rsidRPr="007C39BD">
        <w:t xml:space="preserve"> there was a net outflow of 7,200 migrants aged 65 and over</w:t>
      </w:r>
      <w:r w:rsidR="00C20270">
        <w:t xml:space="preserve"> (</w:t>
      </w:r>
      <w:r w:rsidR="002C2CC1">
        <w:t>Chart 19</w:t>
      </w:r>
      <w:r w:rsidR="00C20270">
        <w:t>)</w:t>
      </w:r>
      <w:r w:rsidRPr="007C39BD">
        <w:t xml:space="preserve">. </w:t>
      </w:r>
    </w:p>
    <w:p w14:paraId="5ABF173A" w14:textId="4BC85FDE" w:rsidR="000E6EBD" w:rsidRPr="007C39BD" w:rsidRDefault="000E6EBD" w:rsidP="000E6EBD">
      <w:pPr>
        <w:pStyle w:val="Heading9"/>
        <w:spacing w:after="0"/>
      </w:pPr>
      <w:bookmarkStart w:id="115" w:name="_Ref113540409"/>
      <w:r w:rsidRPr="007C39BD">
        <w:lastRenderedPageBreak/>
        <w:t>Net overseas migration by selected age groups, 2016</w:t>
      </w:r>
      <w:r w:rsidR="0033101B">
        <w:t>–</w:t>
      </w:r>
      <w:r w:rsidRPr="007C39BD">
        <w:t>17 to 2020</w:t>
      </w:r>
      <w:r w:rsidR="0033101B">
        <w:t>–</w:t>
      </w:r>
      <w:r w:rsidRPr="007C39BD">
        <w:t>21</w:t>
      </w:r>
      <w:bookmarkEnd w:id="115"/>
    </w:p>
    <w:p w14:paraId="6FEAFEDC" w14:textId="73A8FAE9" w:rsidR="000E6EBD" w:rsidRPr="007C39BD" w:rsidRDefault="00B13B37" w:rsidP="00B13B37">
      <w:pPr>
        <w:spacing w:before="0" w:after="0"/>
        <w:jc w:val="center"/>
      </w:pPr>
      <w:r w:rsidRPr="00B13B37">
        <w:rPr>
          <w:noProof/>
        </w:rPr>
        <w:drawing>
          <wp:inline distT="0" distB="0" distL="0" distR="0" wp14:anchorId="6CFB7B29" wp14:editId="453A1A15">
            <wp:extent cx="5583600" cy="2523600"/>
            <wp:effectExtent l="0" t="0" r="0" b="0"/>
            <wp:docPr id="77" name="Picture 77" descr="A chart showing that migrants were most concentrated in the 20-24-year age group prior to the pandemic, followed by the 15-19 and 25-29-year age groups. Migrants aged 65 and over were the smallest cohort in recent history but became the largest cohort in 2019-20 due large drops in the number of younger migrants. There were net outflows of migrants in all age groups in 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chart showing that migrants were most concentrated in the 20-24-year age group prior to the pandemic, followed by the 15-19 and 25-29-year age groups. Migrants aged 65 and over were the smallest cohort in recent history but became the largest cohort in 2019-20 due large drops in the number of younger migrants. There were net outflows of migrants in all age groups in 2020-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25402241" w14:textId="7E264390" w:rsidR="000E6EBD" w:rsidRPr="007C39BD" w:rsidRDefault="000E6EBD" w:rsidP="000E6EBD">
      <w:pPr>
        <w:pStyle w:val="Source"/>
        <w:rPr>
          <w:noProof/>
        </w:rPr>
      </w:pPr>
      <w:r w:rsidRPr="007C39BD">
        <w:t xml:space="preserve">Source: </w:t>
      </w:r>
      <w:r w:rsidR="000F4C5B">
        <w:rPr>
          <w:noProof/>
        </w:rPr>
        <w:t>Australian Bureau of Statistics, Overseas migration, 2020</w:t>
      </w:r>
      <w:r w:rsidR="0046336F">
        <w:rPr>
          <w:noProof/>
        </w:rPr>
        <w:t>–</w:t>
      </w:r>
      <w:r w:rsidR="000F4C5B">
        <w:rPr>
          <w:noProof/>
        </w:rPr>
        <w:t>21, 2021</w:t>
      </w:r>
      <w:r w:rsidRPr="007C39BD">
        <w:t>.</w:t>
      </w:r>
      <w:r w:rsidR="00060AF3" w:rsidRPr="007C39BD" w:rsidDel="00060AF3">
        <w:t xml:space="preserve"> </w:t>
      </w:r>
    </w:p>
    <w:p w14:paraId="2BD36B24" w14:textId="67755186" w:rsidR="00514D36" w:rsidRDefault="00514D36">
      <w:bookmarkStart w:id="116" w:name="_Ref113540389"/>
    </w:p>
    <w:tbl>
      <w:tblPr>
        <w:tblStyle w:val="TableGrid"/>
        <w:tblW w:w="0" w:type="auto"/>
        <w:tblLook w:val="04A0" w:firstRow="1" w:lastRow="0" w:firstColumn="1" w:lastColumn="0" w:noHBand="0" w:noVBand="1"/>
      </w:tblPr>
      <w:tblGrid>
        <w:gridCol w:w="9070"/>
      </w:tblGrid>
      <w:tr w:rsidR="00AB767C" w:rsidRPr="0080495D" w14:paraId="56595567" w14:textId="77777777" w:rsidTr="00676947">
        <w:tc>
          <w:tcPr>
            <w:tcW w:w="9072" w:type="dxa"/>
          </w:tcPr>
          <w:p w14:paraId="41644ABB" w14:textId="591F963C" w:rsidR="00AB767C" w:rsidRPr="0080495D" w:rsidRDefault="00AB767C" w:rsidP="00676947">
            <w:pPr>
              <w:pStyle w:val="BoxHeading"/>
              <w:shd w:val="clear" w:color="auto" w:fill="E6E6E6"/>
            </w:pPr>
            <w:r w:rsidRPr="0080495D">
              <w:lastRenderedPageBreak/>
              <w:t>Migration and ageing scenarios</w:t>
            </w:r>
            <w:bookmarkEnd w:id="116"/>
          </w:p>
          <w:p w14:paraId="34DE2A8A" w14:textId="265D9EE9" w:rsidR="00F8575F" w:rsidRPr="007D55C1" w:rsidRDefault="00F8575F" w:rsidP="007D55C1">
            <w:pPr>
              <w:pStyle w:val="BoxText"/>
              <w:jc w:val="left"/>
            </w:pPr>
            <w:r w:rsidRPr="007D55C1">
              <w:t xml:space="preserve">Because migrants arriving in Australia are relatively young, overseas migration has helped slow Australia’s population ageing amid declining fertility rates and increasing life expectancies. The following scenarios illustrate how different long-run levels of net overseas migration </w:t>
            </w:r>
            <w:r w:rsidR="00512DF2" w:rsidRPr="007D55C1">
              <w:t>c</w:t>
            </w:r>
            <w:r w:rsidRPr="007D55C1">
              <w:t>ould impact the projected age structure of Australia’s population between 2021–22 and 2060–61. These scenarios illustrate</w:t>
            </w:r>
            <w:r w:rsidR="00EC28BE" w:rsidRPr="007D55C1">
              <w:t xml:space="preserve"> that</w:t>
            </w:r>
            <w:r w:rsidRPr="007D55C1">
              <w:t xml:space="preserve"> population ageing is slowed by higher levels of overseas migration if migrants continue to be younger than the average population (</w:t>
            </w:r>
            <w:r w:rsidR="002C2CC1">
              <w:t>Table 4</w:t>
            </w:r>
            <w:r w:rsidRPr="007D55C1">
              <w:t xml:space="preserve">). </w:t>
            </w:r>
          </w:p>
          <w:p w14:paraId="4A12C45A" w14:textId="55688B91" w:rsidR="00F8575F" w:rsidRPr="007D55C1" w:rsidRDefault="00F8575F" w:rsidP="007D55C1">
            <w:pPr>
              <w:pStyle w:val="BoxText"/>
              <w:jc w:val="left"/>
            </w:pPr>
            <w:r w:rsidRPr="007D55C1">
              <w:t xml:space="preserve">In the </w:t>
            </w:r>
            <w:r w:rsidRPr="00DF0706">
              <w:rPr>
                <w:b/>
                <w:bCs/>
                <w:i/>
                <w:iCs/>
              </w:rPr>
              <w:t>baseline migration scenario</w:t>
            </w:r>
            <w:r w:rsidRPr="007D55C1">
              <w:t xml:space="preserve"> (net overseas migration at 235,000 people per year), Australia’s median age would be 42.8 years in 2060–61, up from 38.6 years in 2021–22. This is 3.8 years younger than it would be under the </w:t>
            </w:r>
            <w:r w:rsidRPr="00DF0706">
              <w:rPr>
                <w:b/>
                <w:bCs/>
                <w:i/>
                <w:iCs/>
              </w:rPr>
              <w:t>no migration scenario</w:t>
            </w:r>
            <w:r w:rsidRPr="007D55C1">
              <w:t xml:space="preserve">, in which the median age of Australians would increase by 8 years to </w:t>
            </w:r>
            <w:r w:rsidR="007C4942" w:rsidRPr="007D55C1">
              <w:t>be</w:t>
            </w:r>
            <w:r w:rsidRPr="007D55C1">
              <w:t xml:space="preserve"> 46.6 years in 2060–61. In the </w:t>
            </w:r>
            <w:r w:rsidRPr="00DF0706">
              <w:rPr>
                <w:b/>
                <w:bCs/>
                <w:i/>
                <w:iCs/>
              </w:rPr>
              <w:t>high migration scenario</w:t>
            </w:r>
            <w:r w:rsidRPr="007D55C1">
              <w:t xml:space="preserve"> (net overseas migration at 470,000 people a year), Australia’s median age would </w:t>
            </w:r>
            <w:r w:rsidR="002964B2" w:rsidRPr="007D55C1">
              <w:t xml:space="preserve">only </w:t>
            </w:r>
            <w:r w:rsidRPr="007D55C1">
              <w:t xml:space="preserve">increase to </w:t>
            </w:r>
            <w:r w:rsidR="00447D5C" w:rsidRPr="007D55C1">
              <w:t xml:space="preserve">be </w:t>
            </w:r>
            <w:r w:rsidRPr="007D55C1">
              <w:t xml:space="preserve">41.0 years in 2060–61, </w:t>
            </w:r>
            <w:r w:rsidR="00C420FB" w:rsidRPr="007D55C1">
              <w:t>1.8</w:t>
            </w:r>
            <w:r w:rsidRPr="007D55C1">
              <w:t xml:space="preserve"> years younger than in the baseline migration scenario.</w:t>
            </w:r>
          </w:p>
          <w:p w14:paraId="4D0390D4" w14:textId="73C778CD" w:rsidR="00F8575F" w:rsidRPr="007D55C1" w:rsidRDefault="00F8575F" w:rsidP="007D55C1">
            <w:pPr>
              <w:pStyle w:val="BoxText"/>
              <w:jc w:val="left"/>
            </w:pPr>
            <w:r w:rsidRPr="007D55C1">
              <w:t>These scenarios hold the levels of net migration constant (at zero, 235,000 or 470,000) over the long-term. This means that, in these scenarios, each additional migrant is a smaller proportion of the population over the long-term. This leads to the diminishing marginal effects on the age structure of the population by increasing the level of net overseas migration observed in</w:t>
            </w:r>
            <w:r w:rsidR="009349BC" w:rsidRPr="007D55C1">
              <w:t xml:space="preserve"> </w:t>
            </w:r>
            <w:r w:rsidR="002C2CC1">
              <w:t>Chart 20</w:t>
            </w:r>
            <w:r w:rsidRPr="007D55C1">
              <w:t xml:space="preserve">. However, different dynamics would likely result if migration was a constant </w:t>
            </w:r>
            <w:r w:rsidR="00EE1BCA" w:rsidRPr="007D55C1">
              <w:t>share of the population</w:t>
            </w:r>
            <w:r w:rsidRPr="007D55C1">
              <w:t>, instead of the constant levels assumed in these scenarios.</w:t>
            </w:r>
          </w:p>
          <w:p w14:paraId="24807E38" w14:textId="2F62BC25" w:rsidR="00AB767C" w:rsidRPr="0080495D" w:rsidRDefault="00AB767C" w:rsidP="005540BC">
            <w:pPr>
              <w:pStyle w:val="TableMainHeading"/>
            </w:pPr>
            <w:bookmarkStart w:id="117" w:name="_Ref113540506"/>
            <w:r w:rsidRPr="0080495D">
              <w:t xml:space="preserve">Ageing outcomes </w:t>
            </w:r>
            <w:r w:rsidR="00FE4AC1">
              <w:t>in</w:t>
            </w:r>
            <w:r w:rsidRPr="0080495D">
              <w:t xml:space="preserve"> the net overseas migration scenarios, 2060</w:t>
            </w:r>
            <w:r w:rsidR="0033101B">
              <w:t>–</w:t>
            </w:r>
            <w:r w:rsidRPr="0080495D">
              <w:t>61</w:t>
            </w:r>
            <w:bookmarkEnd w:id="117"/>
          </w:p>
          <w:tbl>
            <w:tblPr>
              <w:tblW w:w="8856" w:type="dxa"/>
              <w:tblCellMar>
                <w:left w:w="0" w:type="dxa"/>
                <w:right w:w="0" w:type="dxa"/>
              </w:tblCellMar>
              <w:tblLook w:val="04A0" w:firstRow="1" w:lastRow="0" w:firstColumn="1" w:lastColumn="0" w:noHBand="0" w:noVBand="1"/>
            </w:tblPr>
            <w:tblGrid>
              <w:gridCol w:w="2153"/>
              <w:gridCol w:w="1341"/>
              <w:gridCol w:w="1341"/>
              <w:gridCol w:w="1341"/>
              <w:gridCol w:w="1341"/>
              <w:gridCol w:w="1339"/>
            </w:tblGrid>
            <w:tr w:rsidR="00647711" w:rsidRPr="0080495D" w14:paraId="4B5CD60C" w14:textId="77777777" w:rsidTr="007F14AC">
              <w:tc>
                <w:tcPr>
                  <w:tcW w:w="1216" w:type="pct"/>
                  <w:tcBorders>
                    <w:top w:val="single" w:sz="4" w:space="0" w:color="auto"/>
                    <w:bottom w:val="single" w:sz="4" w:space="0" w:color="auto"/>
                  </w:tcBorders>
                  <w:tcMar>
                    <w:top w:w="0" w:type="dxa"/>
                    <w:left w:w="108" w:type="dxa"/>
                    <w:bottom w:w="0" w:type="dxa"/>
                    <w:right w:w="108" w:type="dxa"/>
                  </w:tcMar>
                </w:tcPr>
                <w:p w14:paraId="70770348" w14:textId="77777777" w:rsidR="00647711" w:rsidRPr="001E4102" w:rsidRDefault="00647711" w:rsidP="00676947">
                  <w:pPr>
                    <w:spacing w:before="0" w:after="0" w:line="252" w:lineRule="auto"/>
                    <w:rPr>
                      <w:rFonts w:ascii="Calibri" w:eastAsia="Calibri" w:hAnsi="Calibri" w:cs="Calibri"/>
                      <w:sz w:val="19"/>
                      <w:szCs w:val="19"/>
                    </w:rPr>
                  </w:pPr>
                </w:p>
              </w:tc>
              <w:tc>
                <w:tcPr>
                  <w:tcW w:w="757" w:type="pct"/>
                  <w:tcBorders>
                    <w:top w:val="single" w:sz="4" w:space="0" w:color="auto"/>
                    <w:bottom w:val="single" w:sz="4" w:space="0" w:color="auto"/>
                  </w:tcBorders>
                </w:tcPr>
                <w:p w14:paraId="3FF2901C" w14:textId="4A0873A5" w:rsidR="00647711" w:rsidRPr="007F14AC" w:rsidRDefault="00647711" w:rsidP="007F14AC">
                  <w:pPr>
                    <w:pStyle w:val="TableColumnHeadingLeft"/>
                  </w:pPr>
                  <w:r w:rsidRPr="007F14AC">
                    <w:t>Population size</w:t>
                  </w:r>
                </w:p>
              </w:tc>
              <w:tc>
                <w:tcPr>
                  <w:tcW w:w="757" w:type="pct"/>
                  <w:tcBorders>
                    <w:top w:val="single" w:sz="4" w:space="0" w:color="auto"/>
                    <w:bottom w:val="single" w:sz="4" w:space="0" w:color="auto"/>
                  </w:tcBorders>
                  <w:tcMar>
                    <w:top w:w="0" w:type="dxa"/>
                    <w:left w:w="108" w:type="dxa"/>
                    <w:bottom w:w="0" w:type="dxa"/>
                    <w:right w:w="108" w:type="dxa"/>
                  </w:tcMar>
                </w:tcPr>
                <w:p w14:paraId="20C5D24D" w14:textId="1246C4A4" w:rsidR="00647711" w:rsidRPr="007F14AC" w:rsidRDefault="00647711" w:rsidP="007F14AC">
                  <w:pPr>
                    <w:pStyle w:val="TableColumnHeadingLeft"/>
                  </w:pPr>
                  <w:r w:rsidRPr="007F14AC">
                    <w:t xml:space="preserve">Median age </w:t>
                  </w:r>
                </w:p>
              </w:tc>
              <w:tc>
                <w:tcPr>
                  <w:tcW w:w="757" w:type="pct"/>
                  <w:tcBorders>
                    <w:top w:val="single" w:sz="4" w:space="0" w:color="auto"/>
                    <w:bottom w:val="single" w:sz="4" w:space="0" w:color="auto"/>
                  </w:tcBorders>
                  <w:tcMar>
                    <w:top w:w="0" w:type="dxa"/>
                    <w:left w:w="108" w:type="dxa"/>
                    <w:bottom w:w="0" w:type="dxa"/>
                    <w:right w:w="108" w:type="dxa"/>
                  </w:tcMar>
                </w:tcPr>
                <w:p w14:paraId="6021923D" w14:textId="0B5AECCC" w:rsidR="00647711" w:rsidRPr="007F14AC" w:rsidRDefault="00647711" w:rsidP="007F14AC">
                  <w:pPr>
                    <w:pStyle w:val="TableColumnHeadingLeft"/>
                  </w:pPr>
                  <w:r w:rsidRPr="007F14AC">
                    <w:t xml:space="preserve">Percentage aged 65 </w:t>
                  </w:r>
                  <w:r w:rsidR="007F14AC">
                    <w:br/>
                  </w:r>
                  <w:r w:rsidRPr="007F14AC">
                    <w:t>and over</w:t>
                  </w:r>
                </w:p>
              </w:tc>
              <w:tc>
                <w:tcPr>
                  <w:tcW w:w="757" w:type="pct"/>
                  <w:tcBorders>
                    <w:top w:val="single" w:sz="4" w:space="0" w:color="auto"/>
                    <w:bottom w:val="single" w:sz="4" w:space="0" w:color="auto"/>
                  </w:tcBorders>
                  <w:shd w:val="clear" w:color="auto" w:fill="auto"/>
                  <w:tcMar>
                    <w:top w:w="0" w:type="dxa"/>
                    <w:left w:w="108" w:type="dxa"/>
                    <w:bottom w:w="0" w:type="dxa"/>
                    <w:right w:w="108" w:type="dxa"/>
                  </w:tcMar>
                  <w:vAlign w:val="center"/>
                </w:tcPr>
                <w:p w14:paraId="02F405D5" w14:textId="3A3B06D5" w:rsidR="00647711" w:rsidRPr="007F14AC" w:rsidRDefault="00647711" w:rsidP="007F14AC">
                  <w:pPr>
                    <w:pStyle w:val="TableColumnHeadingLeft"/>
                  </w:pPr>
                  <w:r w:rsidRPr="007F14AC">
                    <w:t xml:space="preserve">Percentage aged 85 </w:t>
                  </w:r>
                  <w:r w:rsidR="007F14AC">
                    <w:br/>
                  </w:r>
                  <w:r w:rsidRPr="007F14AC">
                    <w:t>and over</w:t>
                  </w:r>
                </w:p>
              </w:tc>
              <w:tc>
                <w:tcPr>
                  <w:tcW w:w="757" w:type="pct"/>
                  <w:tcBorders>
                    <w:top w:val="single" w:sz="4" w:space="0" w:color="auto"/>
                    <w:bottom w:val="single" w:sz="4" w:space="0" w:color="auto"/>
                  </w:tcBorders>
                </w:tcPr>
                <w:p w14:paraId="66905D6C" w14:textId="2387EE85" w:rsidR="00647711" w:rsidRPr="007F14AC" w:rsidRDefault="00647711" w:rsidP="007F14AC">
                  <w:pPr>
                    <w:pStyle w:val="TableColumnHeadingLeft"/>
                  </w:pPr>
                  <w:r w:rsidRPr="007F14AC">
                    <w:t>Old-age dependency ratio</w:t>
                  </w:r>
                </w:p>
              </w:tc>
            </w:tr>
            <w:tr w:rsidR="00647711" w:rsidRPr="0080495D" w14:paraId="67F74FCD" w14:textId="77777777" w:rsidTr="007F14AC">
              <w:tc>
                <w:tcPr>
                  <w:tcW w:w="1216" w:type="pct"/>
                  <w:tcBorders>
                    <w:top w:val="single" w:sz="4" w:space="0" w:color="auto"/>
                    <w:bottom w:val="single" w:sz="4" w:space="0" w:color="auto"/>
                  </w:tcBorders>
                  <w:tcMar>
                    <w:top w:w="0" w:type="dxa"/>
                    <w:left w:w="108" w:type="dxa"/>
                    <w:bottom w:w="0" w:type="dxa"/>
                    <w:right w:w="108" w:type="dxa"/>
                  </w:tcMar>
                </w:tcPr>
                <w:p w14:paraId="24239361" w14:textId="12A62D48" w:rsidR="00647711" w:rsidRPr="00BD5F3C" w:rsidRDefault="00647711" w:rsidP="007F14AC">
                  <w:pPr>
                    <w:pStyle w:val="TableTextLeft"/>
                    <w:rPr>
                      <w:color w:val="002C47" w:themeColor="accent1"/>
                    </w:rPr>
                  </w:pPr>
                  <w:r w:rsidRPr="00BD5F3C">
                    <w:rPr>
                      <w:color w:val="002C47" w:themeColor="accent1"/>
                    </w:rPr>
                    <w:t>2020–21 population</w:t>
                  </w:r>
                </w:p>
              </w:tc>
              <w:tc>
                <w:tcPr>
                  <w:tcW w:w="757" w:type="pct"/>
                  <w:tcBorders>
                    <w:top w:val="single" w:sz="4" w:space="0" w:color="auto"/>
                    <w:bottom w:val="single" w:sz="4" w:space="0" w:color="auto"/>
                  </w:tcBorders>
                </w:tcPr>
                <w:p w14:paraId="30CCBC25" w14:textId="14762421" w:rsidR="00647711" w:rsidRPr="0094080F" w:rsidRDefault="00752259" w:rsidP="000649FA">
                  <w:pPr>
                    <w:pStyle w:val="TableTextLeft"/>
                    <w:jc w:val="right"/>
                  </w:pPr>
                  <w:r w:rsidRPr="0094080F">
                    <w:t>25.7</w:t>
                  </w:r>
                  <w:r w:rsidR="00B60BE2">
                    <w:t xml:space="preserve"> million</w:t>
                  </w:r>
                </w:p>
              </w:tc>
              <w:tc>
                <w:tcPr>
                  <w:tcW w:w="757" w:type="pct"/>
                  <w:tcBorders>
                    <w:top w:val="single" w:sz="4" w:space="0" w:color="auto"/>
                    <w:bottom w:val="single" w:sz="4" w:space="0" w:color="auto"/>
                  </w:tcBorders>
                  <w:tcMar>
                    <w:top w:w="0" w:type="dxa"/>
                    <w:left w:w="108" w:type="dxa"/>
                    <w:bottom w:w="0" w:type="dxa"/>
                    <w:right w:w="108" w:type="dxa"/>
                  </w:tcMar>
                </w:tcPr>
                <w:p w14:paraId="03D9B3E7" w14:textId="578F556B" w:rsidR="00647711" w:rsidRPr="00770052" w:rsidRDefault="00647711" w:rsidP="000649FA">
                  <w:pPr>
                    <w:pStyle w:val="TableTextLeft"/>
                    <w:jc w:val="right"/>
                  </w:pPr>
                  <w:r w:rsidRPr="00770052">
                    <w:t>38.4</w:t>
                  </w:r>
                </w:p>
              </w:tc>
              <w:tc>
                <w:tcPr>
                  <w:tcW w:w="757" w:type="pct"/>
                  <w:tcBorders>
                    <w:top w:val="single" w:sz="4" w:space="0" w:color="auto"/>
                    <w:bottom w:val="single" w:sz="4" w:space="0" w:color="auto"/>
                  </w:tcBorders>
                  <w:shd w:val="clear" w:color="auto" w:fill="auto"/>
                  <w:tcMar>
                    <w:top w:w="0" w:type="dxa"/>
                    <w:left w:w="108" w:type="dxa"/>
                    <w:bottom w:w="0" w:type="dxa"/>
                    <w:right w:w="108" w:type="dxa"/>
                  </w:tcMar>
                </w:tcPr>
                <w:p w14:paraId="51D75938" w14:textId="6B35CA9E" w:rsidR="00647711" w:rsidRPr="00770052" w:rsidRDefault="00647711" w:rsidP="000649FA">
                  <w:pPr>
                    <w:pStyle w:val="TableTextLeft"/>
                    <w:jc w:val="right"/>
                  </w:pPr>
                  <w:r w:rsidRPr="002C06DC">
                    <w:t>16.8</w:t>
                  </w:r>
                </w:p>
              </w:tc>
              <w:tc>
                <w:tcPr>
                  <w:tcW w:w="757" w:type="pct"/>
                  <w:tcBorders>
                    <w:top w:val="single" w:sz="4" w:space="0" w:color="auto"/>
                    <w:bottom w:val="single" w:sz="4" w:space="0" w:color="auto"/>
                  </w:tcBorders>
                  <w:tcMar>
                    <w:top w:w="0" w:type="dxa"/>
                    <w:left w:w="108" w:type="dxa"/>
                    <w:bottom w:w="0" w:type="dxa"/>
                    <w:right w:w="108" w:type="dxa"/>
                  </w:tcMar>
                </w:tcPr>
                <w:p w14:paraId="4D868AF1" w14:textId="67391AF4" w:rsidR="00647711" w:rsidRPr="00770052" w:rsidRDefault="00647711" w:rsidP="000649FA">
                  <w:pPr>
                    <w:pStyle w:val="TableTextLeft"/>
                    <w:jc w:val="right"/>
                  </w:pPr>
                  <w:r w:rsidRPr="002C06DC">
                    <w:t>2.1</w:t>
                  </w:r>
                </w:p>
              </w:tc>
              <w:tc>
                <w:tcPr>
                  <w:tcW w:w="757" w:type="pct"/>
                  <w:tcBorders>
                    <w:top w:val="single" w:sz="4" w:space="0" w:color="auto"/>
                    <w:bottom w:val="single" w:sz="4" w:space="0" w:color="auto"/>
                  </w:tcBorders>
                </w:tcPr>
                <w:p w14:paraId="3D8D11F9" w14:textId="163788DA" w:rsidR="00647711" w:rsidRPr="00770052" w:rsidRDefault="00647711" w:rsidP="000649FA">
                  <w:pPr>
                    <w:pStyle w:val="TableTextLeft"/>
                    <w:jc w:val="right"/>
                  </w:pPr>
                  <w:r w:rsidRPr="002C06DC">
                    <w:t>25.9</w:t>
                  </w:r>
                </w:p>
              </w:tc>
            </w:tr>
            <w:tr w:rsidR="00647711" w:rsidRPr="0080495D" w14:paraId="08600091" w14:textId="77777777" w:rsidTr="007F14AC">
              <w:tc>
                <w:tcPr>
                  <w:tcW w:w="1216" w:type="pct"/>
                  <w:tcBorders>
                    <w:top w:val="single" w:sz="4" w:space="0" w:color="auto"/>
                  </w:tcBorders>
                  <w:tcMar>
                    <w:top w:w="0" w:type="dxa"/>
                    <w:left w:w="108" w:type="dxa"/>
                    <w:bottom w:w="0" w:type="dxa"/>
                    <w:right w:w="108" w:type="dxa"/>
                  </w:tcMar>
                </w:tcPr>
                <w:p w14:paraId="438C64B9" w14:textId="4CFF7F45" w:rsidR="00647711" w:rsidRPr="00BD5F3C" w:rsidRDefault="00647711" w:rsidP="007F14AC">
                  <w:pPr>
                    <w:pStyle w:val="TableTextLeft"/>
                    <w:rPr>
                      <w:color w:val="002C47" w:themeColor="accent1"/>
                    </w:rPr>
                  </w:pPr>
                  <w:r w:rsidRPr="00BD5F3C">
                    <w:rPr>
                      <w:color w:val="002C47" w:themeColor="accent1"/>
                    </w:rPr>
                    <w:t>No migration scenario</w:t>
                  </w:r>
                </w:p>
              </w:tc>
              <w:tc>
                <w:tcPr>
                  <w:tcW w:w="757" w:type="pct"/>
                  <w:tcBorders>
                    <w:top w:val="single" w:sz="4" w:space="0" w:color="auto"/>
                  </w:tcBorders>
                </w:tcPr>
                <w:p w14:paraId="6419CDD0" w14:textId="319CF72A" w:rsidR="00647711" w:rsidRPr="0094080F" w:rsidRDefault="00752259" w:rsidP="000649FA">
                  <w:pPr>
                    <w:pStyle w:val="TableTextLeft"/>
                    <w:jc w:val="right"/>
                  </w:pPr>
                  <w:r w:rsidRPr="0094080F">
                    <w:t>29.1</w:t>
                  </w:r>
                  <w:r w:rsidR="00B60BE2">
                    <w:t xml:space="preserve"> million</w:t>
                  </w:r>
                </w:p>
              </w:tc>
              <w:tc>
                <w:tcPr>
                  <w:tcW w:w="757" w:type="pct"/>
                  <w:tcBorders>
                    <w:top w:val="single" w:sz="4" w:space="0" w:color="auto"/>
                  </w:tcBorders>
                  <w:tcMar>
                    <w:top w:w="0" w:type="dxa"/>
                    <w:left w:w="108" w:type="dxa"/>
                    <w:bottom w:w="0" w:type="dxa"/>
                    <w:right w:w="108" w:type="dxa"/>
                  </w:tcMar>
                </w:tcPr>
                <w:p w14:paraId="7C00E94A" w14:textId="395A9BDA" w:rsidR="00647711" w:rsidRPr="002C06DC" w:rsidRDefault="00647711" w:rsidP="000649FA">
                  <w:pPr>
                    <w:pStyle w:val="TableTextLeft"/>
                    <w:jc w:val="right"/>
                  </w:pPr>
                  <w:r w:rsidRPr="009F1E48">
                    <w:t>46.6</w:t>
                  </w:r>
                </w:p>
              </w:tc>
              <w:tc>
                <w:tcPr>
                  <w:tcW w:w="757" w:type="pct"/>
                  <w:tcBorders>
                    <w:top w:val="single" w:sz="4" w:space="0" w:color="auto"/>
                  </w:tcBorders>
                  <w:shd w:val="clear" w:color="auto" w:fill="auto"/>
                  <w:tcMar>
                    <w:top w:w="0" w:type="dxa"/>
                    <w:left w:w="108" w:type="dxa"/>
                    <w:bottom w:w="0" w:type="dxa"/>
                    <w:right w:w="108" w:type="dxa"/>
                  </w:tcMar>
                </w:tcPr>
                <w:p w14:paraId="4A02C527" w14:textId="5EA2F04C" w:rsidR="00647711" w:rsidRPr="002C06DC" w:rsidRDefault="00647711" w:rsidP="000649FA">
                  <w:pPr>
                    <w:pStyle w:val="TableTextLeft"/>
                    <w:jc w:val="right"/>
                  </w:pPr>
                  <w:r w:rsidRPr="009F1E48">
                    <w:t>28.7</w:t>
                  </w:r>
                </w:p>
              </w:tc>
              <w:tc>
                <w:tcPr>
                  <w:tcW w:w="757" w:type="pct"/>
                  <w:tcBorders>
                    <w:top w:val="single" w:sz="4" w:space="0" w:color="auto"/>
                  </w:tcBorders>
                  <w:tcMar>
                    <w:top w:w="0" w:type="dxa"/>
                    <w:left w:w="108" w:type="dxa"/>
                    <w:bottom w:w="0" w:type="dxa"/>
                    <w:right w:w="108" w:type="dxa"/>
                  </w:tcMar>
                </w:tcPr>
                <w:p w14:paraId="67523A03" w14:textId="3515C694" w:rsidR="00647711" w:rsidRPr="002C06DC" w:rsidRDefault="00647711" w:rsidP="000649FA">
                  <w:pPr>
                    <w:pStyle w:val="TableTextLeft"/>
                    <w:jc w:val="right"/>
                  </w:pPr>
                  <w:r w:rsidRPr="009F1E48">
                    <w:t>6.6</w:t>
                  </w:r>
                </w:p>
              </w:tc>
              <w:tc>
                <w:tcPr>
                  <w:tcW w:w="757" w:type="pct"/>
                  <w:tcBorders>
                    <w:top w:val="single" w:sz="4" w:space="0" w:color="auto"/>
                  </w:tcBorders>
                </w:tcPr>
                <w:p w14:paraId="588884EB" w14:textId="592BD931" w:rsidR="00647711" w:rsidRPr="002C06DC" w:rsidRDefault="00647711" w:rsidP="000649FA">
                  <w:pPr>
                    <w:pStyle w:val="TableTextLeft"/>
                    <w:jc w:val="right"/>
                  </w:pPr>
                  <w:r w:rsidRPr="009F1E48">
                    <w:t>50.3</w:t>
                  </w:r>
                </w:p>
              </w:tc>
            </w:tr>
            <w:tr w:rsidR="00647711" w:rsidRPr="0080495D" w14:paraId="6F76E0F1" w14:textId="77777777" w:rsidTr="007F14AC">
              <w:tc>
                <w:tcPr>
                  <w:tcW w:w="1216" w:type="pct"/>
                  <w:shd w:val="clear" w:color="auto" w:fill="DEEAF6"/>
                  <w:tcMar>
                    <w:top w:w="0" w:type="dxa"/>
                    <w:left w:w="108" w:type="dxa"/>
                    <w:bottom w:w="0" w:type="dxa"/>
                    <w:right w:w="108" w:type="dxa"/>
                  </w:tcMar>
                </w:tcPr>
                <w:p w14:paraId="6602824E" w14:textId="24907006" w:rsidR="00647711" w:rsidRPr="00BD5F3C" w:rsidRDefault="00647711" w:rsidP="007F14AC">
                  <w:pPr>
                    <w:pStyle w:val="TableTextLeft"/>
                    <w:rPr>
                      <w:color w:val="002C47" w:themeColor="accent1"/>
                    </w:rPr>
                  </w:pPr>
                  <w:r w:rsidRPr="00BD5F3C">
                    <w:rPr>
                      <w:color w:val="002C47" w:themeColor="accent1"/>
                    </w:rPr>
                    <w:t>Baseline migration scenario</w:t>
                  </w:r>
                  <w:r w:rsidRPr="00BD5F3C" w:rsidDel="003E11D5">
                    <w:rPr>
                      <w:color w:val="002C47" w:themeColor="accent1"/>
                    </w:rPr>
                    <w:t xml:space="preserve"> </w:t>
                  </w:r>
                  <w:r w:rsidRPr="00BD5F3C">
                    <w:rPr>
                      <w:color w:val="002C47" w:themeColor="accent1"/>
                    </w:rPr>
                    <w:t>(235,000)</w:t>
                  </w:r>
                </w:p>
              </w:tc>
              <w:tc>
                <w:tcPr>
                  <w:tcW w:w="757" w:type="pct"/>
                  <w:shd w:val="clear" w:color="auto" w:fill="DEEAF6"/>
                </w:tcPr>
                <w:p w14:paraId="1E895804" w14:textId="203B64EB" w:rsidR="00647711" w:rsidRPr="0094080F" w:rsidRDefault="00752259" w:rsidP="000649FA">
                  <w:pPr>
                    <w:pStyle w:val="TableTextLeft"/>
                    <w:jc w:val="right"/>
                  </w:pPr>
                  <w:r w:rsidRPr="0094080F">
                    <w:t>39.2</w:t>
                  </w:r>
                  <w:r w:rsidR="00B60BE2">
                    <w:t xml:space="preserve"> million</w:t>
                  </w:r>
                </w:p>
              </w:tc>
              <w:tc>
                <w:tcPr>
                  <w:tcW w:w="757" w:type="pct"/>
                  <w:shd w:val="clear" w:color="auto" w:fill="DEEAF6"/>
                  <w:tcMar>
                    <w:top w:w="0" w:type="dxa"/>
                    <w:left w:w="108" w:type="dxa"/>
                    <w:bottom w:w="0" w:type="dxa"/>
                    <w:right w:w="108" w:type="dxa"/>
                  </w:tcMar>
                </w:tcPr>
                <w:p w14:paraId="094DDD0E" w14:textId="4CF999AD" w:rsidR="00647711" w:rsidRPr="002C06DC" w:rsidRDefault="00647711" w:rsidP="000649FA">
                  <w:pPr>
                    <w:pStyle w:val="TableTextLeft"/>
                    <w:jc w:val="right"/>
                  </w:pPr>
                  <w:r w:rsidRPr="009F1E48">
                    <w:t>42.8</w:t>
                  </w:r>
                </w:p>
              </w:tc>
              <w:tc>
                <w:tcPr>
                  <w:tcW w:w="757" w:type="pct"/>
                  <w:shd w:val="clear" w:color="auto" w:fill="DEEAF6"/>
                  <w:tcMar>
                    <w:top w:w="0" w:type="dxa"/>
                    <w:left w:w="108" w:type="dxa"/>
                    <w:bottom w:w="0" w:type="dxa"/>
                    <w:right w:w="108" w:type="dxa"/>
                  </w:tcMar>
                </w:tcPr>
                <w:p w14:paraId="0B261916" w14:textId="564CF7EA" w:rsidR="00647711" w:rsidRPr="002C06DC" w:rsidRDefault="00647711" w:rsidP="000649FA">
                  <w:pPr>
                    <w:pStyle w:val="TableTextLeft"/>
                    <w:jc w:val="right"/>
                  </w:pPr>
                  <w:r w:rsidRPr="009F1E48">
                    <w:t>23.1</w:t>
                  </w:r>
                </w:p>
              </w:tc>
              <w:tc>
                <w:tcPr>
                  <w:tcW w:w="757" w:type="pct"/>
                  <w:shd w:val="clear" w:color="auto" w:fill="DEEAF6"/>
                  <w:tcMar>
                    <w:top w:w="0" w:type="dxa"/>
                    <w:left w:w="108" w:type="dxa"/>
                    <w:bottom w:w="0" w:type="dxa"/>
                    <w:right w:w="108" w:type="dxa"/>
                  </w:tcMar>
                </w:tcPr>
                <w:p w14:paraId="4F9D20E8" w14:textId="796A4159" w:rsidR="00647711" w:rsidRPr="002C06DC" w:rsidRDefault="00647711" w:rsidP="000649FA">
                  <w:pPr>
                    <w:pStyle w:val="TableTextLeft"/>
                    <w:jc w:val="right"/>
                  </w:pPr>
                  <w:r w:rsidRPr="009F1E48">
                    <w:t>5.1</w:t>
                  </w:r>
                </w:p>
              </w:tc>
              <w:tc>
                <w:tcPr>
                  <w:tcW w:w="757" w:type="pct"/>
                  <w:shd w:val="clear" w:color="auto" w:fill="DEEAF6"/>
                </w:tcPr>
                <w:p w14:paraId="5A043BCC" w14:textId="3B01AC23" w:rsidR="00647711" w:rsidRPr="002C06DC" w:rsidRDefault="00647711" w:rsidP="000649FA">
                  <w:pPr>
                    <w:pStyle w:val="TableTextLeft"/>
                    <w:jc w:val="right"/>
                  </w:pPr>
                  <w:r w:rsidRPr="009F1E48">
                    <w:t>37.7</w:t>
                  </w:r>
                </w:p>
              </w:tc>
            </w:tr>
            <w:tr w:rsidR="00647711" w:rsidRPr="0080495D" w14:paraId="08509513" w14:textId="77777777" w:rsidTr="007F14AC">
              <w:tc>
                <w:tcPr>
                  <w:tcW w:w="1216" w:type="pct"/>
                  <w:tcBorders>
                    <w:bottom w:val="single" w:sz="4" w:space="0" w:color="auto"/>
                  </w:tcBorders>
                  <w:tcMar>
                    <w:top w:w="0" w:type="dxa"/>
                    <w:left w:w="108" w:type="dxa"/>
                    <w:bottom w:w="0" w:type="dxa"/>
                    <w:right w:w="108" w:type="dxa"/>
                  </w:tcMar>
                </w:tcPr>
                <w:p w14:paraId="3EA0639B" w14:textId="3BDC3E9D" w:rsidR="00647711" w:rsidRPr="00BD5F3C" w:rsidRDefault="00647711" w:rsidP="007F14AC">
                  <w:pPr>
                    <w:pStyle w:val="TableTextLeft"/>
                    <w:rPr>
                      <w:color w:val="002C47" w:themeColor="accent1"/>
                    </w:rPr>
                  </w:pPr>
                  <w:r w:rsidRPr="00BD5F3C">
                    <w:rPr>
                      <w:color w:val="002C47" w:themeColor="accent1"/>
                    </w:rPr>
                    <w:t xml:space="preserve">High migration </w:t>
                  </w:r>
                  <w:r w:rsidR="007F14AC" w:rsidRPr="00BD5F3C">
                    <w:rPr>
                      <w:color w:val="002C47" w:themeColor="accent1"/>
                    </w:rPr>
                    <w:br/>
                  </w:r>
                  <w:r w:rsidRPr="00BD5F3C">
                    <w:rPr>
                      <w:color w:val="002C47" w:themeColor="accent1"/>
                    </w:rPr>
                    <w:t>scenario</w:t>
                  </w:r>
                  <w:r w:rsidRPr="00BD5F3C" w:rsidDel="003E11D5">
                    <w:rPr>
                      <w:color w:val="002C47" w:themeColor="accent1"/>
                    </w:rPr>
                    <w:t xml:space="preserve"> </w:t>
                  </w:r>
                  <w:r w:rsidRPr="00BD5F3C">
                    <w:rPr>
                      <w:color w:val="002C47" w:themeColor="accent1"/>
                    </w:rPr>
                    <w:t>(470,000)</w:t>
                  </w:r>
                </w:p>
              </w:tc>
              <w:tc>
                <w:tcPr>
                  <w:tcW w:w="757" w:type="pct"/>
                  <w:tcBorders>
                    <w:bottom w:val="single" w:sz="4" w:space="0" w:color="auto"/>
                  </w:tcBorders>
                </w:tcPr>
                <w:p w14:paraId="7534356A" w14:textId="0EA1A9C2" w:rsidR="00647711" w:rsidRPr="0094080F" w:rsidRDefault="00752259" w:rsidP="000649FA">
                  <w:pPr>
                    <w:pStyle w:val="TableTextLeft"/>
                    <w:jc w:val="right"/>
                  </w:pPr>
                  <w:r w:rsidRPr="0094080F">
                    <w:t>49.3</w:t>
                  </w:r>
                  <w:r w:rsidR="00B60BE2">
                    <w:t xml:space="preserve"> million</w:t>
                  </w:r>
                </w:p>
              </w:tc>
              <w:tc>
                <w:tcPr>
                  <w:tcW w:w="757" w:type="pct"/>
                  <w:tcBorders>
                    <w:bottom w:val="single" w:sz="4" w:space="0" w:color="auto"/>
                  </w:tcBorders>
                  <w:tcMar>
                    <w:top w:w="0" w:type="dxa"/>
                    <w:left w:w="108" w:type="dxa"/>
                    <w:bottom w:w="0" w:type="dxa"/>
                    <w:right w:w="108" w:type="dxa"/>
                  </w:tcMar>
                </w:tcPr>
                <w:p w14:paraId="2A19F412" w14:textId="160266F3" w:rsidR="00647711" w:rsidRPr="002C06DC" w:rsidRDefault="00647711" w:rsidP="000649FA">
                  <w:pPr>
                    <w:pStyle w:val="TableTextLeft"/>
                    <w:jc w:val="right"/>
                  </w:pPr>
                  <w:r w:rsidRPr="009F1E48">
                    <w:t>41.0</w:t>
                  </w:r>
                </w:p>
              </w:tc>
              <w:tc>
                <w:tcPr>
                  <w:tcW w:w="757" w:type="pct"/>
                  <w:tcBorders>
                    <w:bottom w:val="single" w:sz="4" w:space="0" w:color="auto"/>
                  </w:tcBorders>
                  <w:tcMar>
                    <w:top w:w="0" w:type="dxa"/>
                    <w:left w:w="108" w:type="dxa"/>
                    <w:bottom w:w="0" w:type="dxa"/>
                    <w:right w:w="108" w:type="dxa"/>
                  </w:tcMar>
                </w:tcPr>
                <w:p w14:paraId="40B52A4F" w14:textId="240353BA" w:rsidR="00647711" w:rsidRPr="002C06DC" w:rsidRDefault="00647711" w:rsidP="000649FA">
                  <w:pPr>
                    <w:pStyle w:val="TableTextLeft"/>
                    <w:jc w:val="right"/>
                  </w:pPr>
                  <w:r w:rsidRPr="009F1E48">
                    <w:t>19.9</w:t>
                  </w:r>
                </w:p>
              </w:tc>
              <w:tc>
                <w:tcPr>
                  <w:tcW w:w="757" w:type="pct"/>
                  <w:tcBorders>
                    <w:bottom w:val="single" w:sz="4" w:space="0" w:color="auto"/>
                  </w:tcBorders>
                  <w:shd w:val="clear" w:color="auto" w:fill="auto"/>
                  <w:tcMar>
                    <w:top w:w="0" w:type="dxa"/>
                    <w:left w:w="108" w:type="dxa"/>
                    <w:bottom w:w="0" w:type="dxa"/>
                    <w:right w:w="108" w:type="dxa"/>
                  </w:tcMar>
                </w:tcPr>
                <w:p w14:paraId="0124F564" w14:textId="29BD0AC9" w:rsidR="00647711" w:rsidRPr="002C06DC" w:rsidRDefault="00647711" w:rsidP="000649FA">
                  <w:pPr>
                    <w:pStyle w:val="TableTextLeft"/>
                    <w:jc w:val="right"/>
                  </w:pPr>
                  <w:r w:rsidRPr="009F1E48">
                    <w:t>4.2</w:t>
                  </w:r>
                </w:p>
              </w:tc>
              <w:tc>
                <w:tcPr>
                  <w:tcW w:w="757" w:type="pct"/>
                  <w:tcBorders>
                    <w:bottom w:val="single" w:sz="4" w:space="0" w:color="auto"/>
                  </w:tcBorders>
                </w:tcPr>
                <w:p w14:paraId="01E6A4E5" w14:textId="0506CEF6" w:rsidR="00647711" w:rsidRPr="002C06DC" w:rsidRDefault="00647711" w:rsidP="000649FA">
                  <w:pPr>
                    <w:pStyle w:val="TableTextLeft"/>
                    <w:jc w:val="right"/>
                  </w:pPr>
                  <w:r w:rsidRPr="009F1E48">
                    <w:t>31.1</w:t>
                  </w:r>
                </w:p>
              </w:tc>
            </w:tr>
          </w:tbl>
          <w:p w14:paraId="3227168E" w14:textId="77777777" w:rsidR="005608D3" w:rsidRDefault="005608D3" w:rsidP="002C06DC">
            <w:pPr>
              <w:pStyle w:val="Source"/>
              <w:spacing w:before="0" w:after="0"/>
              <w:jc w:val="left"/>
            </w:pPr>
            <w:r>
              <w:t xml:space="preserve">Note: The no migration scenario assumes that arrivals are equal to departures. </w:t>
            </w:r>
            <w:r w:rsidRPr="00C420FB">
              <w:t xml:space="preserve">It is assumed that departures remain constant across all scenarios, whereas arrivals are allowed to vary to achieve the desired level of net overseas migration. </w:t>
            </w:r>
            <w:r>
              <w:t>T</w:t>
            </w:r>
            <w:r w:rsidRPr="00C420FB">
              <w:t>he median age of arrivals and departures are held constant at 26.2 years and 28.3 years respectively.</w:t>
            </w:r>
          </w:p>
          <w:p w14:paraId="1673BB81" w14:textId="0DBFFD76" w:rsidR="00AB767C" w:rsidRPr="0080495D" w:rsidRDefault="00AB767C" w:rsidP="002C06DC">
            <w:pPr>
              <w:pStyle w:val="Source"/>
              <w:spacing w:before="0" w:after="0"/>
              <w:jc w:val="left"/>
            </w:pPr>
            <w:r w:rsidRPr="0080495D">
              <w:t>Source: Centre for Population modelling.</w:t>
            </w:r>
          </w:p>
          <w:p w14:paraId="3C08AC9C" w14:textId="77777777" w:rsidR="00514D36" w:rsidRDefault="00514D36" w:rsidP="00514D36">
            <w:pPr>
              <w:pStyle w:val="Tabledot"/>
            </w:pPr>
            <w:bookmarkStart w:id="118" w:name="_Ref113540522"/>
          </w:p>
          <w:p w14:paraId="354BF5CA" w14:textId="0581E01D" w:rsidR="00514D36" w:rsidRDefault="00514D36" w:rsidP="00514D36">
            <w:pPr>
              <w:pStyle w:val="Tabledot"/>
            </w:pPr>
          </w:p>
          <w:p w14:paraId="627F7DFE" w14:textId="501161B9" w:rsidR="007F14AC" w:rsidRDefault="007F14AC" w:rsidP="00514D36">
            <w:pPr>
              <w:pStyle w:val="Tabledot"/>
            </w:pPr>
          </w:p>
          <w:p w14:paraId="45DED7FD" w14:textId="1110E053" w:rsidR="007F14AC" w:rsidRDefault="007F14AC" w:rsidP="00514D36">
            <w:pPr>
              <w:pStyle w:val="Tabledot"/>
            </w:pPr>
          </w:p>
          <w:p w14:paraId="4F7A9AB5" w14:textId="2D8DE154" w:rsidR="007F14AC" w:rsidRDefault="007F14AC" w:rsidP="00514D36">
            <w:pPr>
              <w:pStyle w:val="Tabledot"/>
            </w:pPr>
          </w:p>
          <w:p w14:paraId="370A299C" w14:textId="1BEB1433" w:rsidR="007F14AC" w:rsidRDefault="007F14AC" w:rsidP="00514D36">
            <w:pPr>
              <w:pStyle w:val="Tabledot"/>
            </w:pPr>
          </w:p>
          <w:p w14:paraId="2472A9CB" w14:textId="77777777" w:rsidR="007F14AC" w:rsidRDefault="007F14AC" w:rsidP="00514D36">
            <w:pPr>
              <w:pStyle w:val="Tabledot"/>
            </w:pPr>
          </w:p>
          <w:p w14:paraId="166B2D11" w14:textId="77777777" w:rsidR="00514D36" w:rsidRDefault="00514D36" w:rsidP="00514D36">
            <w:pPr>
              <w:pStyle w:val="Tabledot"/>
            </w:pPr>
          </w:p>
          <w:p w14:paraId="7F85FA8E" w14:textId="77777777" w:rsidR="00514D36" w:rsidRDefault="00514D36" w:rsidP="00514D36">
            <w:pPr>
              <w:pStyle w:val="Tabledot"/>
            </w:pPr>
          </w:p>
          <w:p w14:paraId="18CB91D9" w14:textId="6C3FDBE6" w:rsidR="004637DB" w:rsidRPr="006A424F" w:rsidRDefault="004637DB" w:rsidP="001E4102">
            <w:pPr>
              <w:pStyle w:val="Heading9"/>
              <w:spacing w:after="0"/>
            </w:pPr>
            <w:bookmarkStart w:id="119" w:name="_Ref121135287"/>
            <w:r w:rsidRPr="0080495D" w:rsidDel="00E51D3C">
              <w:lastRenderedPageBreak/>
              <w:t>Median age</w:t>
            </w:r>
            <w:r w:rsidR="00F64376">
              <w:t xml:space="preserve">, </w:t>
            </w:r>
            <w:r w:rsidR="00D5716B">
              <w:t xml:space="preserve">Australia, </w:t>
            </w:r>
            <w:r w:rsidR="00F64376">
              <w:t xml:space="preserve">migration </w:t>
            </w:r>
            <w:r>
              <w:t>scenario</w:t>
            </w:r>
            <w:bookmarkEnd w:id="118"/>
            <w:r w:rsidR="00D5716B">
              <w:t>s</w:t>
            </w:r>
            <w:bookmarkEnd w:id="119"/>
          </w:p>
          <w:p w14:paraId="51C1033C" w14:textId="513F4882" w:rsidR="0091545E" w:rsidRPr="0080495D" w:rsidRDefault="00F934BD" w:rsidP="00F934BD">
            <w:pPr>
              <w:spacing w:before="0" w:after="0"/>
              <w:jc w:val="center"/>
            </w:pPr>
            <w:r w:rsidRPr="00F934BD">
              <w:rPr>
                <w:noProof/>
              </w:rPr>
              <w:drawing>
                <wp:inline distT="0" distB="0" distL="0" distR="0" wp14:anchorId="28A743B6" wp14:editId="3483346C">
                  <wp:extent cx="5581650" cy="2524125"/>
                  <wp:effectExtent l="0" t="0" r="0" b="0"/>
                  <wp:docPr id="79" name="Picture 79" descr="A chart showing the impact on Australia’s median age under 3 migration scenarios. Compared to the baseline migration scenario of 235,000 migrants a year, the median age of Australia’s population would be 3.8 years higher in 2060-61 under the no migration scenario and 1.8 years lower under the high migration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chart showing the impact on Australia’s median age under 3 migration scenarios. Compared to the baseline migration scenario of 235,000 migrants a year, the median age of Australia’s population would be 3.8 years higher in 2060-61 under the no migration scenario and 1.8 years lower under the high migration scenari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C161610" w14:textId="5F49EE39" w:rsidR="00AB767C" w:rsidRPr="0080495D" w:rsidRDefault="004637DB" w:rsidP="002C06DC">
            <w:pPr>
              <w:pStyle w:val="Source"/>
              <w:jc w:val="left"/>
            </w:pPr>
            <w:r w:rsidRPr="0080495D">
              <w:t xml:space="preserve">Source: Centre for </w:t>
            </w:r>
            <w:r w:rsidRPr="0003500A">
              <w:t>Population</w:t>
            </w:r>
            <w:r w:rsidRPr="0080495D">
              <w:t xml:space="preserve"> modelling.</w:t>
            </w:r>
          </w:p>
        </w:tc>
      </w:tr>
    </w:tbl>
    <w:p w14:paraId="282F621B" w14:textId="1FC025E6" w:rsidR="008C63B8" w:rsidRPr="0080495D" w:rsidRDefault="008C63B8" w:rsidP="00152209">
      <w:pPr>
        <w:pStyle w:val="Heading3"/>
      </w:pPr>
      <w:bookmarkStart w:id="120" w:name="_Toc120635108"/>
      <w:bookmarkStart w:id="121" w:name="_Toc122617941"/>
      <w:bookmarkStart w:id="122" w:name="_Toc122618368"/>
      <w:r w:rsidRPr="0080495D">
        <w:lastRenderedPageBreak/>
        <w:t>How the current age structure affects future population</w:t>
      </w:r>
      <w:bookmarkEnd w:id="120"/>
      <w:bookmarkEnd w:id="121"/>
      <w:bookmarkEnd w:id="122"/>
    </w:p>
    <w:p w14:paraId="3CD36127" w14:textId="30CFFF02" w:rsidR="008C63B8" w:rsidRPr="0080495D" w:rsidRDefault="008C63B8" w:rsidP="00620D4B">
      <w:r w:rsidRPr="0080495D">
        <w:t xml:space="preserve">The </w:t>
      </w:r>
      <w:r w:rsidR="00F42A45">
        <w:t>current</w:t>
      </w:r>
      <w:r w:rsidRPr="0080495D">
        <w:t xml:space="preserve"> age structure of Australia’s population reflects past demographic trends and has a large influence on Australia’s future size and composition. This is a dynamic known as ‘population momentum’. </w:t>
      </w:r>
    </w:p>
    <w:p w14:paraId="1442E99D" w14:textId="0147F680" w:rsidR="008C63B8" w:rsidRPr="0080495D" w:rsidRDefault="008C63B8" w:rsidP="00620D4B">
      <w:r w:rsidRPr="0080495D">
        <w:t xml:space="preserve">Australia’s population momentum </w:t>
      </w:r>
      <w:r w:rsidR="008F5261">
        <w:t>is</w:t>
      </w:r>
      <w:r w:rsidRPr="0080495D">
        <w:t xml:space="preserve"> particularly evident </w:t>
      </w:r>
      <w:r w:rsidR="00B2619A">
        <w:t>through the</w:t>
      </w:r>
      <w:r w:rsidRPr="0080495D">
        <w:t xml:space="preserve"> natural increase</w:t>
      </w:r>
      <w:r w:rsidR="00B2619A">
        <w:t xml:space="preserve"> component of population growth</w:t>
      </w:r>
      <w:r w:rsidRPr="0080495D">
        <w:t>, which</w:t>
      </w:r>
      <w:r w:rsidR="008F5261">
        <w:t xml:space="preserve"> is still</w:t>
      </w:r>
      <w:r w:rsidRPr="0080495D">
        <w:t xml:space="preserve"> positive despite fertility rates </w:t>
      </w:r>
      <w:r w:rsidR="008F5261">
        <w:t>remaining</w:t>
      </w:r>
      <w:r w:rsidR="008F5261" w:rsidRPr="0080495D">
        <w:t xml:space="preserve"> </w:t>
      </w:r>
      <w:r w:rsidRPr="0080495D">
        <w:t xml:space="preserve">below </w:t>
      </w:r>
      <w:r w:rsidR="00EC28BE">
        <w:t xml:space="preserve">the </w:t>
      </w:r>
      <w:r w:rsidRPr="0080495D">
        <w:t>replacement level since the mid</w:t>
      </w:r>
      <w:r w:rsidR="00E74AB5">
        <w:t>-</w:t>
      </w:r>
      <w:r w:rsidRPr="0080495D">
        <w:t>1970s. This is because the number of births is the result of both the</w:t>
      </w:r>
      <w:r w:rsidRPr="0080495D">
        <w:rPr>
          <w:lang w:val="en-US"/>
        </w:rPr>
        <w:t xml:space="preserve"> total fertility rate, which captures the </w:t>
      </w:r>
      <w:r w:rsidRPr="0080495D">
        <w:rPr>
          <w:i/>
          <w:iCs/>
          <w:lang w:val="en-US"/>
        </w:rPr>
        <w:t>number of babies born per woman</w:t>
      </w:r>
      <w:r w:rsidRPr="0080495D">
        <w:rPr>
          <w:lang w:val="en-US"/>
        </w:rPr>
        <w:t xml:space="preserve">, and the </w:t>
      </w:r>
      <w:r w:rsidRPr="0080495D">
        <w:rPr>
          <w:i/>
          <w:iCs/>
          <w:lang w:val="en-US"/>
        </w:rPr>
        <w:t>number of women at childbearing age</w:t>
      </w:r>
      <w:r w:rsidRPr="0080495D">
        <w:rPr>
          <w:lang w:val="en-US"/>
        </w:rPr>
        <w:t xml:space="preserve">. The population can continue to grow even after the fertility rate has fallen below the replacement level, provided there are sufficient women in the population moving into their reproductive age. In this regard, </w:t>
      </w:r>
      <w:r w:rsidRPr="0080495D">
        <w:t>Australia has maintained a relatively large cohort of women in their 20s and 30s despite population ageing, supported by overseas migration and baby boomers</w:t>
      </w:r>
      <w:r w:rsidR="008F5261">
        <w:t>’ children</w:t>
      </w:r>
      <w:r w:rsidRPr="0080495D">
        <w:t xml:space="preserve"> mov</w:t>
      </w:r>
      <w:r w:rsidR="008F5261">
        <w:t>ing</w:t>
      </w:r>
      <w:r w:rsidRPr="0080495D">
        <w:t xml:space="preserve"> into adulthood. This age structure has supported faster population growth through positive natural increase, with births continuing to outnumber deaths. </w:t>
      </w:r>
    </w:p>
    <w:p w14:paraId="5A8D261F" w14:textId="265D8CED" w:rsidR="00850815" w:rsidRDefault="008C63B8" w:rsidP="00620D4B">
      <w:pPr>
        <w:rPr>
          <w:color w:val="FFFFFF" w:themeColor="background1"/>
          <w:spacing w:val="15"/>
          <w:sz w:val="22"/>
          <w:szCs w:val="22"/>
        </w:rPr>
      </w:pPr>
      <w:r w:rsidRPr="0053394E">
        <w:t xml:space="preserve">Population momentum fades over time. The momentum of Australia’s current age structure will dissipate as the large cohort of those currently in their 20s and 30s </w:t>
      </w:r>
      <w:r w:rsidR="00EC28BE">
        <w:t>become older</w:t>
      </w:r>
      <w:r w:rsidRPr="0053394E">
        <w:t xml:space="preserve">, and the </w:t>
      </w:r>
      <w:r w:rsidRPr="0053394E" w:rsidDel="008411F6">
        <w:t xml:space="preserve">contribution of </w:t>
      </w:r>
      <w:r w:rsidRPr="0053394E">
        <w:t>natural increase to Australia’s population growth declines.</w:t>
      </w:r>
      <w:r w:rsidRPr="0053394E">
        <w:rPr>
          <w:rStyle w:val="FootnoteReference"/>
        </w:rPr>
        <w:footnoteReference w:id="33"/>
      </w:r>
      <w:r w:rsidRPr="0053394E">
        <w:t xml:space="preserve"> </w:t>
      </w:r>
      <w:r w:rsidR="00F068EF" w:rsidRPr="0053394E">
        <w:t xml:space="preserve">The United Nations </w:t>
      </w:r>
      <w:r w:rsidR="00D52D01" w:rsidRPr="0053394E">
        <w:t>produced a scenario that</w:t>
      </w:r>
      <w:r w:rsidR="00F068EF" w:rsidRPr="0053394E">
        <w:t xml:space="preserve"> </w:t>
      </w:r>
      <w:r w:rsidR="00CA2D97">
        <w:t>estimates</w:t>
      </w:r>
      <w:r w:rsidR="00CA2D97" w:rsidRPr="0053394E">
        <w:t xml:space="preserve"> </w:t>
      </w:r>
      <w:r w:rsidR="002F21E1" w:rsidRPr="0053394E">
        <w:rPr>
          <w:rFonts w:ascii="Calibri" w:eastAsia="DengXian" w:hAnsi="Calibri"/>
        </w:rPr>
        <w:t xml:space="preserve">the population growth of </w:t>
      </w:r>
      <w:r w:rsidRPr="0053394E">
        <w:rPr>
          <w:rFonts w:ascii="Calibri" w:eastAsia="DengXian" w:hAnsi="Calibri"/>
        </w:rPr>
        <w:t>Australia and New Zealand</w:t>
      </w:r>
      <w:r w:rsidR="002F21E1" w:rsidRPr="0053394E">
        <w:rPr>
          <w:rFonts w:ascii="Calibri" w:eastAsia="DengXian" w:hAnsi="Calibri"/>
        </w:rPr>
        <w:t xml:space="preserve"> that</w:t>
      </w:r>
      <w:r w:rsidRPr="0053394E">
        <w:rPr>
          <w:rFonts w:ascii="Calibri" w:eastAsia="DengXian" w:hAnsi="Calibri"/>
        </w:rPr>
        <w:t xml:space="preserve"> is </w:t>
      </w:r>
      <w:r w:rsidR="002F21E1" w:rsidRPr="0053394E">
        <w:rPr>
          <w:rFonts w:ascii="Calibri" w:eastAsia="DengXian" w:hAnsi="Calibri"/>
        </w:rPr>
        <w:t>attributable to</w:t>
      </w:r>
      <w:r w:rsidRPr="0053394E">
        <w:rPr>
          <w:rFonts w:ascii="Calibri" w:eastAsia="DengXian" w:hAnsi="Calibri"/>
        </w:rPr>
        <w:t xml:space="preserve"> population momentum.</w:t>
      </w:r>
      <w:r w:rsidRPr="0053394E">
        <w:rPr>
          <w:rStyle w:val="FootnoteReference"/>
          <w:rFonts w:eastAsia="DengXian"/>
        </w:rPr>
        <w:footnoteReference w:id="34"/>
      </w:r>
      <w:r w:rsidRPr="0053394E">
        <w:rPr>
          <w:rFonts w:ascii="Calibri" w:eastAsia="DengXian" w:hAnsi="Calibri"/>
        </w:rPr>
        <w:t xml:space="preserve"> </w:t>
      </w:r>
      <w:r w:rsidR="004637DB" w:rsidRPr="0053394E">
        <w:rPr>
          <w:rFonts w:ascii="Calibri" w:eastAsia="DengXian" w:hAnsi="Calibri"/>
        </w:rPr>
        <w:t>The United Nations estimate</w:t>
      </w:r>
      <w:r w:rsidR="00356D12" w:rsidRPr="0053394E">
        <w:rPr>
          <w:rFonts w:ascii="Calibri" w:eastAsia="DengXian" w:hAnsi="Calibri"/>
        </w:rPr>
        <w:t>s</w:t>
      </w:r>
      <w:r w:rsidR="004637DB" w:rsidRPr="0053394E">
        <w:rPr>
          <w:rFonts w:ascii="Calibri" w:eastAsia="DengXian" w:hAnsi="Calibri"/>
        </w:rPr>
        <w:t xml:space="preserve"> that the current population age structure accounts for </w:t>
      </w:r>
      <w:r w:rsidR="00942A4D" w:rsidRPr="00B87F68">
        <w:rPr>
          <w:rFonts w:ascii="Calibri" w:eastAsia="DengXian" w:hAnsi="Calibri"/>
        </w:rPr>
        <w:t>0.7 percentage points</w:t>
      </w:r>
      <w:r w:rsidR="00942A4D" w:rsidRPr="0053394E">
        <w:rPr>
          <w:rFonts w:ascii="Calibri" w:eastAsia="DengXian" w:hAnsi="Calibri"/>
        </w:rPr>
        <w:t xml:space="preserve"> o</w:t>
      </w:r>
      <w:r w:rsidR="004637DB" w:rsidRPr="0053394E">
        <w:rPr>
          <w:rFonts w:ascii="Calibri" w:eastAsia="DengXian" w:hAnsi="Calibri"/>
        </w:rPr>
        <w:t xml:space="preserve">f Australia and New Zealand’s </w:t>
      </w:r>
      <w:r w:rsidR="00942A4D" w:rsidRPr="00B87F68">
        <w:rPr>
          <w:rFonts w:ascii="Calibri" w:eastAsia="DengXian" w:hAnsi="Calibri"/>
        </w:rPr>
        <w:t>average annual population growth</w:t>
      </w:r>
      <w:r w:rsidR="00942A4D" w:rsidRPr="0053394E">
        <w:rPr>
          <w:rFonts w:ascii="Calibri" w:eastAsia="DengXian" w:hAnsi="Calibri"/>
        </w:rPr>
        <w:t xml:space="preserve"> </w:t>
      </w:r>
      <w:r w:rsidR="004637DB" w:rsidRPr="0053394E">
        <w:rPr>
          <w:rFonts w:ascii="Calibri" w:eastAsia="DengXian" w:hAnsi="Calibri"/>
        </w:rPr>
        <w:t xml:space="preserve">over the next five years. The effects of population momentum then start to dissipate, </w:t>
      </w:r>
      <w:r w:rsidR="00A150F5" w:rsidRPr="0053394E">
        <w:rPr>
          <w:rFonts w:ascii="Calibri" w:eastAsia="DengXian" w:hAnsi="Calibri"/>
        </w:rPr>
        <w:t>contributing</w:t>
      </w:r>
      <w:r w:rsidR="004637DB" w:rsidRPr="0053394E">
        <w:rPr>
          <w:rFonts w:ascii="Calibri" w:eastAsia="DengXian" w:hAnsi="Calibri"/>
        </w:rPr>
        <w:t xml:space="preserve"> </w:t>
      </w:r>
      <w:r w:rsidR="00D43EF2" w:rsidRPr="00B87F68">
        <w:rPr>
          <w:rFonts w:ascii="Calibri" w:eastAsia="DengXian" w:hAnsi="Calibri"/>
        </w:rPr>
        <w:t>0.4 percentage points</w:t>
      </w:r>
      <w:r w:rsidR="004637DB" w:rsidRPr="0053394E">
        <w:rPr>
          <w:rFonts w:ascii="Calibri" w:eastAsia="DengXian" w:hAnsi="Calibri"/>
        </w:rPr>
        <w:t xml:space="preserve"> of growth by 2032 and </w:t>
      </w:r>
      <w:r w:rsidR="006027C5" w:rsidRPr="00B87F68">
        <w:rPr>
          <w:rFonts w:ascii="Calibri" w:eastAsia="DengXian" w:hAnsi="Calibri"/>
        </w:rPr>
        <w:t>zero</w:t>
      </w:r>
      <w:r w:rsidR="006027C5" w:rsidRPr="0053394E">
        <w:rPr>
          <w:rFonts w:ascii="Calibri" w:eastAsia="DengXian" w:hAnsi="Calibri"/>
        </w:rPr>
        <w:t xml:space="preserve"> </w:t>
      </w:r>
      <w:r w:rsidR="00D43EF2" w:rsidRPr="0053394E">
        <w:rPr>
          <w:rFonts w:ascii="Calibri" w:eastAsia="DengXian" w:hAnsi="Calibri"/>
        </w:rPr>
        <w:t>by</w:t>
      </w:r>
      <w:r w:rsidR="004637DB" w:rsidRPr="0053394E">
        <w:rPr>
          <w:rFonts w:ascii="Calibri" w:eastAsia="DengXian" w:hAnsi="Calibri"/>
        </w:rPr>
        <w:t xml:space="preserve"> 2040.</w:t>
      </w:r>
    </w:p>
    <w:p w14:paraId="3A85E70C" w14:textId="3BBB20CB" w:rsidR="00E47BB8" w:rsidRPr="0080495D" w:rsidRDefault="00E47BB8" w:rsidP="00620D4B">
      <w:pPr>
        <w:pStyle w:val="Heading1Numbered"/>
      </w:pPr>
      <w:bookmarkStart w:id="123" w:name="_Toc122618369"/>
      <w:r w:rsidRPr="0080495D">
        <w:lastRenderedPageBreak/>
        <w:t>S</w:t>
      </w:r>
      <w:r w:rsidR="0092522E" w:rsidRPr="0080495D">
        <w:t>ub</w:t>
      </w:r>
      <w:r w:rsidR="003304C7">
        <w:t>-</w:t>
      </w:r>
      <w:r w:rsidR="0064619F" w:rsidRPr="00620D4B">
        <w:t>N</w:t>
      </w:r>
      <w:r w:rsidR="0092522E" w:rsidRPr="00620D4B">
        <w:t>ational</w:t>
      </w:r>
      <w:r w:rsidR="0092522E" w:rsidRPr="0080495D">
        <w:t xml:space="preserve"> </w:t>
      </w:r>
      <w:r w:rsidR="000B5BE2" w:rsidRPr="0080495D">
        <w:t>p</w:t>
      </w:r>
      <w:r w:rsidR="0092522E" w:rsidRPr="0080495D">
        <w:t>opulations</w:t>
      </w:r>
      <w:bookmarkEnd w:id="123"/>
    </w:p>
    <w:p w14:paraId="3F340F81" w14:textId="36CCF4C3" w:rsidR="00E47BB8" w:rsidRPr="0080495D" w:rsidRDefault="00E47BB8" w:rsidP="00620D4B">
      <w:pPr>
        <w:pStyle w:val="Heading2Numbered"/>
      </w:pPr>
      <w:bookmarkStart w:id="124" w:name="_Toc122618370"/>
      <w:r w:rsidRPr="0080495D">
        <w:t>Summary</w:t>
      </w:r>
      <w:bookmarkEnd w:id="124"/>
    </w:p>
    <w:p w14:paraId="10884AE7" w14:textId="0DE858FC" w:rsidR="00687E2E" w:rsidRPr="0080495D" w:rsidRDefault="00687E2E" w:rsidP="009D5E0B">
      <w:pPr>
        <w:pStyle w:val="Heading3"/>
      </w:pPr>
      <w:bookmarkStart w:id="125" w:name="_Toc120635111"/>
      <w:bookmarkStart w:id="126" w:name="_Toc122617944"/>
      <w:bookmarkStart w:id="127" w:name="_Toc122618371"/>
      <w:r w:rsidRPr="0080495D">
        <w:t>States and territories</w:t>
      </w:r>
      <w:bookmarkEnd w:id="125"/>
      <w:bookmarkEnd w:id="126"/>
      <w:bookmarkEnd w:id="127"/>
    </w:p>
    <w:p w14:paraId="57AE4A3F" w14:textId="7095AE25" w:rsidR="00687E2E" w:rsidRPr="0080495D" w:rsidRDefault="00687E2E" w:rsidP="0039767A">
      <w:r w:rsidRPr="00877EDE">
        <w:t xml:space="preserve">Consistent with national trends, all states and territories except the Northern Territory saw a reduction in </w:t>
      </w:r>
      <w:r w:rsidR="00AF0B8A">
        <w:t xml:space="preserve">population </w:t>
      </w:r>
      <w:r w:rsidRPr="00877EDE">
        <w:t xml:space="preserve">growth </w:t>
      </w:r>
      <w:r w:rsidR="009D5B30">
        <w:t>owing to</w:t>
      </w:r>
      <w:r w:rsidRPr="00877EDE">
        <w:t xml:space="preserve"> international travel restrictions associated with </w:t>
      </w:r>
      <w:r w:rsidR="009D5B30">
        <w:t>the pandemic</w:t>
      </w:r>
      <w:r w:rsidRPr="00877EDE">
        <w:t xml:space="preserve">. Population growth fell to 0.0 per cent in New South Wales and </w:t>
      </w:r>
      <w:r w:rsidR="00E3331C">
        <w:t>-</w:t>
      </w:r>
      <w:r w:rsidRPr="00877EDE">
        <w:t>0.9 per cent in Victoria</w:t>
      </w:r>
      <w:r w:rsidR="00F76243">
        <w:t xml:space="preserve"> in 2020</w:t>
      </w:r>
      <w:r w:rsidR="00135C14">
        <w:t>–</w:t>
      </w:r>
      <w:r w:rsidR="00F76243">
        <w:t>21</w:t>
      </w:r>
      <w:r w:rsidRPr="00877EDE">
        <w:t>, reflecting that these states historically receive a larger share of their population growth from net overseas migration.</w:t>
      </w:r>
      <w:r w:rsidRPr="0080495D">
        <w:t xml:space="preserve"> </w:t>
      </w:r>
      <w:r w:rsidR="00F76243">
        <w:t>T</w:t>
      </w:r>
      <w:r w:rsidR="00F76243" w:rsidRPr="00877EDE">
        <w:t xml:space="preserve">he fastest growing state </w:t>
      </w:r>
      <w:r w:rsidR="00F76243">
        <w:t xml:space="preserve">in 2020–21 </w:t>
      </w:r>
      <w:r w:rsidR="00F76243" w:rsidRPr="00877EDE">
        <w:t xml:space="preserve">was Western Australia </w:t>
      </w:r>
      <w:r w:rsidR="00F76243">
        <w:t xml:space="preserve">at </w:t>
      </w:r>
      <w:r w:rsidR="00F76243" w:rsidRPr="00877EDE">
        <w:t>1.2 per cent.</w:t>
      </w:r>
    </w:p>
    <w:p w14:paraId="71D762D0" w14:textId="4CB674CE" w:rsidR="00927644" w:rsidRPr="0080495D" w:rsidRDefault="00E3331C" w:rsidP="0039767A">
      <w:r>
        <w:t>S</w:t>
      </w:r>
      <w:r w:rsidR="00927644" w:rsidRPr="0080495D">
        <w:t>tate and territory population growth is projected to return to pre</w:t>
      </w:r>
      <w:r w:rsidR="003C751F">
        <w:t>-</w:t>
      </w:r>
      <w:r w:rsidR="00927644" w:rsidRPr="0080495D">
        <w:t>pandemic patterns</w:t>
      </w:r>
      <w:r>
        <w:t xml:space="preserve"> as net overseas migration recovers</w:t>
      </w:r>
      <w:r w:rsidR="00927644" w:rsidRPr="0080495D">
        <w:t xml:space="preserve"> (</w:t>
      </w:r>
      <w:r w:rsidR="002C2CC1">
        <w:t>Chart 21</w:t>
      </w:r>
      <w:r w:rsidR="00927644" w:rsidRPr="0080495D">
        <w:t xml:space="preserve">). </w:t>
      </w:r>
      <w:r>
        <w:t>V</w:t>
      </w:r>
      <w:r w:rsidR="00927644" w:rsidRPr="0080495D">
        <w:t>ictoria and Queensland are expected to be the fastest growing of the</w:t>
      </w:r>
      <w:r w:rsidR="00A448F7">
        <w:t xml:space="preserve"> 3</w:t>
      </w:r>
      <w:r w:rsidR="00927644" w:rsidRPr="0080495D">
        <w:t xml:space="preserve"> largest jurisdictions</w:t>
      </w:r>
      <w:r>
        <w:t xml:space="preserve"> over the next decade</w:t>
      </w:r>
      <w:r w:rsidR="00927644" w:rsidRPr="0080495D">
        <w:t xml:space="preserve">. </w:t>
      </w:r>
      <w:r>
        <w:t>N</w:t>
      </w:r>
      <w:r w:rsidR="00927644" w:rsidRPr="0080495D">
        <w:t>ew South Wales is projected to grow more slowly than the other eastern states</w:t>
      </w:r>
      <w:r>
        <w:t xml:space="preserve"> but </w:t>
      </w:r>
      <w:r w:rsidR="00927644" w:rsidRPr="0080495D">
        <w:t xml:space="preserve">is projected to </w:t>
      </w:r>
      <w:r w:rsidR="00AF0B8A">
        <w:t>remain</w:t>
      </w:r>
      <w:r w:rsidR="00927644" w:rsidRPr="0080495D">
        <w:t xml:space="preserve"> Australia’s largest state with a population of 9.1 million</w:t>
      </w:r>
      <w:r w:rsidR="00E011D8" w:rsidRPr="00E011D8">
        <w:t xml:space="preserve"> </w:t>
      </w:r>
      <w:r w:rsidR="00E011D8" w:rsidRPr="0080495D">
        <w:t>in 2032</w:t>
      </w:r>
      <w:r w:rsidR="00E011D8">
        <w:t>–</w:t>
      </w:r>
      <w:r w:rsidR="00E011D8" w:rsidRPr="0080495D">
        <w:t>33</w:t>
      </w:r>
      <w:r w:rsidR="00927644" w:rsidRPr="0080495D">
        <w:t>.</w:t>
      </w:r>
    </w:p>
    <w:p w14:paraId="076038F6" w14:textId="1369D4B4" w:rsidR="00927644" w:rsidRPr="0080495D" w:rsidRDefault="00927644" w:rsidP="00927644">
      <w:pPr>
        <w:pStyle w:val="Heading9"/>
      </w:pPr>
      <w:bookmarkStart w:id="128" w:name="_Ref116297400"/>
      <w:r w:rsidRPr="0080495D">
        <w:t>Population growth, state</w:t>
      </w:r>
      <w:bookmarkEnd w:id="128"/>
      <w:r w:rsidR="00D24389">
        <w:t>s</w:t>
      </w:r>
      <w:r w:rsidR="00E43C32">
        <w:t xml:space="preserve"> and territor</w:t>
      </w:r>
      <w:r w:rsidR="00D24389">
        <w:t>ies</w:t>
      </w:r>
    </w:p>
    <w:tbl>
      <w:tblPr>
        <w:tblStyle w:val="TableGrid"/>
        <w:tblW w:w="0" w:type="auto"/>
        <w:tblLayout w:type="fixed"/>
        <w:tblLook w:val="04A0" w:firstRow="1" w:lastRow="0" w:firstColumn="1" w:lastColumn="0" w:noHBand="0" w:noVBand="1"/>
      </w:tblPr>
      <w:tblGrid>
        <w:gridCol w:w="4446"/>
        <w:gridCol w:w="236"/>
        <w:gridCol w:w="4404"/>
      </w:tblGrid>
      <w:tr w:rsidR="00927644" w:rsidRPr="0080495D" w14:paraId="731A59CA" w14:textId="77777777" w:rsidTr="00676947">
        <w:tc>
          <w:tcPr>
            <w:tcW w:w="4446" w:type="dxa"/>
            <w:shd w:val="clear" w:color="auto" w:fill="auto"/>
          </w:tcPr>
          <w:p w14:paraId="1175E985" w14:textId="521CC6A1" w:rsidR="00927644" w:rsidRPr="0080495D" w:rsidRDefault="00F64376" w:rsidP="006701C6">
            <w:pPr>
              <w:spacing w:before="0" w:after="0"/>
              <w:jc w:val="center"/>
            </w:pPr>
            <w:r w:rsidRPr="00F64376">
              <w:rPr>
                <w:noProof/>
                <w:bdr w:val="none" w:sz="0" w:space="0" w:color="auto" w:frame="1"/>
              </w:rPr>
              <w:drawing>
                <wp:inline distT="0" distB="0" distL="0" distR="0" wp14:anchorId="6982B51F" wp14:editId="269CDFA3">
                  <wp:extent cx="2700000" cy="2948400"/>
                  <wp:effectExtent l="0" t="0" r="0" b="0"/>
                  <wp:docPr id="49" name="Picture 49" descr="A chart showing that the 4 largest states experienced greater declines in population growth over 2019-20 and 2020-21 than the smaller jurisdictions. States and territories are expected to return to more normal patterns of growth from 2023-24.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A chart showing that the 4 largest states experienced greater declines in population growth over 2019-20 and 2020-21 than the smaller jurisdictions. States and territories are expected to return to more normal patterns of growth from 2023-24.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c>
          <w:tcPr>
            <w:tcW w:w="222" w:type="dxa"/>
            <w:shd w:val="clear" w:color="auto" w:fill="auto"/>
          </w:tcPr>
          <w:p w14:paraId="738C56F9" w14:textId="77777777" w:rsidR="00927644" w:rsidRPr="0080495D" w:rsidRDefault="00927644" w:rsidP="006701C6">
            <w:pPr>
              <w:spacing w:before="0" w:after="0"/>
              <w:rPr>
                <w:color w:val="002C47" w:themeColor="accent1"/>
              </w:rPr>
            </w:pPr>
          </w:p>
        </w:tc>
        <w:tc>
          <w:tcPr>
            <w:tcW w:w="4404" w:type="dxa"/>
            <w:shd w:val="clear" w:color="auto" w:fill="auto"/>
          </w:tcPr>
          <w:p w14:paraId="69F18F7B" w14:textId="42085ECF" w:rsidR="00927644" w:rsidRPr="0080495D" w:rsidRDefault="00F64376" w:rsidP="006701C6">
            <w:pPr>
              <w:spacing w:before="0" w:after="0"/>
              <w:jc w:val="center"/>
            </w:pPr>
            <w:r w:rsidRPr="00F64376">
              <w:rPr>
                <w:noProof/>
              </w:rPr>
              <w:drawing>
                <wp:inline distT="0" distB="0" distL="0" distR="0" wp14:anchorId="446AAB46" wp14:editId="369AB106">
                  <wp:extent cx="2700000" cy="294840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r>
    </w:tbl>
    <w:p w14:paraId="54F3A11A" w14:textId="1616A352" w:rsidR="00927644" w:rsidRPr="0080495D" w:rsidRDefault="00927644" w:rsidP="00927644">
      <w:pPr>
        <w:pStyle w:val="Source"/>
      </w:pPr>
      <w:r w:rsidRPr="0080495D">
        <w:t xml:space="preserve">Source: </w:t>
      </w:r>
      <w:r w:rsidR="003C48C2">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2CF32749" w14:textId="3E87C47D" w:rsidR="00070FE3" w:rsidRDefault="002A4EFC" w:rsidP="0039767A">
      <w:r w:rsidRPr="0080495D">
        <w:t xml:space="preserve">Interstate migration is a large driver of population change at the state and territory level. </w:t>
      </w:r>
      <w:r w:rsidR="00A16D97">
        <w:t>T</w:t>
      </w:r>
      <w:r w:rsidRPr="0080495D">
        <w:t>here were 404,000 interstate moves</w:t>
      </w:r>
      <w:r w:rsidR="00A16D97">
        <w:t xml:space="preserve"> nationally in 2018–19</w:t>
      </w:r>
      <w:r w:rsidRPr="0080495D">
        <w:t>. Pandemic</w:t>
      </w:r>
      <w:r w:rsidR="009E4384">
        <w:t>-</w:t>
      </w:r>
      <w:r w:rsidRPr="0080495D">
        <w:t xml:space="preserve">related restrictions, particularly lockdowns in Melbourne, led </w:t>
      </w:r>
      <w:r w:rsidR="00FF01BD">
        <w:t xml:space="preserve">to a decline in </w:t>
      </w:r>
      <w:r w:rsidRPr="0080495D">
        <w:t>total interstate moves to 369,000 in 2019</w:t>
      </w:r>
      <w:r w:rsidR="0033101B">
        <w:t>–</w:t>
      </w:r>
      <w:r w:rsidRPr="0080495D">
        <w:t>20 and 384,000 in 2020</w:t>
      </w:r>
      <w:r w:rsidR="0033101B">
        <w:t>–</w:t>
      </w:r>
      <w:r w:rsidRPr="0080495D">
        <w:t>21.</w:t>
      </w:r>
    </w:p>
    <w:p w14:paraId="3D58E28B" w14:textId="77777777" w:rsidR="007F14AC" w:rsidRDefault="007F4186" w:rsidP="0039767A">
      <w:r w:rsidRPr="00CF7662">
        <w:t>It is difficult to obtain an accurate picture of interstate moves since mid</w:t>
      </w:r>
      <w:r w:rsidR="00CF7662">
        <w:noBreakHyphen/>
      </w:r>
      <w:r w:rsidRPr="00CF7662">
        <w:t xml:space="preserve">2021. While Australian Bureau of Statistics data indicate that net interstate moves were elevated in the June, September and December quarters of 2021, it is highly likely that a significant number of these reported moves did not occur in these quarters. The Australian Bureau of Statistics uses address changes lodged with Medicare to estimate internal migration. As there </w:t>
      </w:r>
      <w:r w:rsidR="00771103">
        <w:t>are</w:t>
      </w:r>
      <w:r w:rsidRPr="00CF7662">
        <w:t xml:space="preserve"> no data as to when the address change occurred, the Australian Bureau of Statistics assumes the move occurred 3 months prior to the </w:t>
      </w:r>
      <w:r w:rsidR="002D48BE" w:rsidRPr="00CF7662">
        <w:t>Medicare</w:t>
      </w:r>
      <w:r w:rsidRPr="00CF7662">
        <w:t xml:space="preserve"> address change being registered. During the COVID-19 mass vaccination program which began in late February 2021, the number of Medicare address changes spiked</w:t>
      </w:r>
      <w:r w:rsidR="002F14FA">
        <w:t xml:space="preserve">. </w:t>
      </w:r>
    </w:p>
    <w:p w14:paraId="5AE4DE68" w14:textId="77777777" w:rsidR="007F14AC" w:rsidRDefault="007F14AC">
      <w:pPr>
        <w:spacing w:before="0" w:after="160" w:line="259" w:lineRule="auto"/>
      </w:pPr>
      <w:r>
        <w:br w:type="page"/>
      </w:r>
    </w:p>
    <w:p w14:paraId="64EB3A4C" w14:textId="544F625B" w:rsidR="007F4186" w:rsidRPr="0080495D" w:rsidRDefault="002F14FA" w:rsidP="0039767A">
      <w:r>
        <w:lastRenderedPageBreak/>
        <w:t>This</w:t>
      </w:r>
      <w:r w:rsidR="007F4186" w:rsidRPr="00CF7662">
        <w:t xml:space="preserve"> resulted in the </w:t>
      </w:r>
      <w:r w:rsidR="00617F3C" w:rsidRPr="00CF7662">
        <w:t>A</w:t>
      </w:r>
      <w:r w:rsidR="00617F3C">
        <w:t>ustralian Bureau of Statistics</w:t>
      </w:r>
      <w:r w:rsidR="00617F3C" w:rsidRPr="00CF7662">
        <w:t xml:space="preserve"> </w:t>
      </w:r>
      <w:r w:rsidR="007F4186" w:rsidRPr="00CF7662">
        <w:t xml:space="preserve">publishing historically high interstate migration </w:t>
      </w:r>
      <w:r w:rsidR="007F4186" w:rsidRPr="00B729E8">
        <w:t>estimates</w:t>
      </w:r>
      <w:r w:rsidR="00B729E8">
        <w:t>.</w:t>
      </w:r>
      <w:r w:rsidR="003E076F">
        <w:rPr>
          <w:rStyle w:val="FootnoteReference"/>
        </w:rPr>
        <w:footnoteReference w:id="35"/>
      </w:r>
      <w:r w:rsidR="007F4186" w:rsidRPr="00B729E8">
        <w:t xml:space="preserve"> </w:t>
      </w:r>
      <w:bookmarkStart w:id="129" w:name="_Hlk118394623"/>
      <w:r w:rsidR="00E011D8">
        <w:t>The Centre for Population’s f</w:t>
      </w:r>
      <w:r w:rsidR="00E011D8" w:rsidRPr="00B729E8">
        <w:t>orecasts</w:t>
      </w:r>
      <w:r w:rsidR="007F4186" w:rsidRPr="00CF7662">
        <w:t xml:space="preserve"> </w:t>
      </w:r>
      <w:r w:rsidR="003C40E8">
        <w:t>assume</w:t>
      </w:r>
      <w:r w:rsidR="007F4186" w:rsidRPr="00CF7662">
        <w:t xml:space="preserve"> the elevated </w:t>
      </w:r>
      <w:r w:rsidR="003C40E8">
        <w:t>number of moves</w:t>
      </w:r>
      <w:r w:rsidR="007F4186" w:rsidRPr="00CF7662">
        <w:t xml:space="preserve"> </w:t>
      </w:r>
      <w:r w:rsidR="003C40E8">
        <w:t xml:space="preserve">recorded </w:t>
      </w:r>
      <w:r w:rsidR="007F4186" w:rsidRPr="00CF7662">
        <w:t>for the September and December quarters</w:t>
      </w:r>
      <w:r w:rsidR="00EA5F80">
        <w:t xml:space="preserve"> </w:t>
      </w:r>
      <w:r w:rsidR="003C40E8">
        <w:t xml:space="preserve">of 2021 </w:t>
      </w:r>
      <w:r w:rsidR="00EA5F80">
        <w:t>occurred over a longer period and do not reflect actual mobility in those quarters</w:t>
      </w:r>
      <w:r w:rsidR="00B729E8">
        <w:t xml:space="preserve">. </w:t>
      </w:r>
      <w:bookmarkEnd w:id="129"/>
      <w:r w:rsidR="00B729E8">
        <w:t>I</w:t>
      </w:r>
      <w:r w:rsidR="007F4186" w:rsidRPr="00CF7662">
        <w:t xml:space="preserve">nterstate moves </w:t>
      </w:r>
      <w:r w:rsidR="002D6904">
        <w:t xml:space="preserve">are </w:t>
      </w:r>
      <w:r w:rsidR="007F4186" w:rsidRPr="00CF7662">
        <w:t>expected to remain low in 2021–22 due to pandemic</w:t>
      </w:r>
      <w:r w:rsidR="009E4384">
        <w:t>-</w:t>
      </w:r>
      <w:r w:rsidR="007F4186" w:rsidRPr="00CF7662">
        <w:t>related restrictions, including lockdowns in late 2021 (</w:t>
      </w:r>
      <w:r w:rsidR="002C2CC1">
        <w:t>Chart 22</w:t>
      </w:r>
      <w:r w:rsidR="007F4186" w:rsidRPr="00CF7662">
        <w:t xml:space="preserve">). Interstate moves are </w:t>
      </w:r>
      <w:r w:rsidR="002D6904">
        <w:t xml:space="preserve">then </w:t>
      </w:r>
      <w:r w:rsidR="007F4186" w:rsidRPr="00CF7662">
        <w:t>expected to recover to pre</w:t>
      </w:r>
      <w:r w:rsidR="009B78C6" w:rsidRPr="008B1B2A">
        <w:t>-</w:t>
      </w:r>
      <w:r w:rsidR="007F4186" w:rsidRPr="00CF7662">
        <w:t xml:space="preserve">pandemic levels </w:t>
      </w:r>
      <w:r w:rsidR="00771103">
        <w:t>by</w:t>
      </w:r>
      <w:r w:rsidR="00771103" w:rsidRPr="00CF7662">
        <w:t xml:space="preserve"> </w:t>
      </w:r>
      <w:r w:rsidR="007F4186" w:rsidRPr="00CF7662">
        <w:t>2023–24 and are projected to gradually increase in line with population growth.</w:t>
      </w:r>
    </w:p>
    <w:p w14:paraId="08C26702" w14:textId="1AD7706C" w:rsidR="002A4EFC" w:rsidRPr="0080495D" w:rsidRDefault="00E11FF0" w:rsidP="002A4EFC">
      <w:pPr>
        <w:pStyle w:val="Heading9"/>
      </w:pPr>
      <w:bookmarkStart w:id="130" w:name="_Ref118131506"/>
      <w:r>
        <w:t>Annual</w:t>
      </w:r>
      <w:r w:rsidR="002A4EFC" w:rsidRPr="0080495D">
        <w:t xml:space="preserve"> interstate movements, Australia</w:t>
      </w:r>
      <w:bookmarkEnd w:id="130"/>
    </w:p>
    <w:p w14:paraId="24F67F96" w14:textId="1F8EEAB5" w:rsidR="002A4EFC" w:rsidRPr="0080495D" w:rsidRDefault="00E43C32" w:rsidP="00D24389">
      <w:pPr>
        <w:spacing w:before="0" w:after="0"/>
        <w:jc w:val="center"/>
      </w:pPr>
      <w:r w:rsidRPr="00E43C32">
        <w:rPr>
          <w:noProof/>
        </w:rPr>
        <w:drawing>
          <wp:inline distT="0" distB="0" distL="0" distR="0" wp14:anchorId="4DCE366D" wp14:editId="46E27A0A">
            <wp:extent cx="5583600" cy="2523600"/>
            <wp:effectExtent l="0" t="0" r="0" b="0"/>
            <wp:docPr id="52" name="Picture 52" descr="A chart showing that interstate moves are expected to recover to pre-pandemic levels in 2023–24 and thereafter are projected to gradually increase in line with population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Picture 52" descr="A chart showing that interstate moves are expected to recover to pre-pandemic levels in 2023–24 and thereafter are projected to gradually increase in line with population growth."/>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1F895863" w14:textId="539F48D5" w:rsidR="002A4EFC" w:rsidRPr="0080495D" w:rsidRDefault="002A4EFC" w:rsidP="002A4EFC">
      <w:pPr>
        <w:pStyle w:val="Source"/>
      </w:pPr>
      <w:r w:rsidRPr="0080495D">
        <w:t xml:space="preserve">Source: </w:t>
      </w:r>
      <w:r w:rsidR="00446CA8">
        <w:rPr>
          <w:noProof/>
        </w:rPr>
        <w:t>Australian Bureau of Statistics, National, state and territory population, December 2021, 2022</w:t>
      </w:r>
      <w:r w:rsidRPr="0080495D">
        <w:t xml:space="preserve"> and Centre for Population projections.</w:t>
      </w:r>
      <w:r w:rsidR="00060AF3" w:rsidRPr="0080495D" w:rsidDel="00060AF3">
        <w:t xml:space="preserve"> </w:t>
      </w:r>
    </w:p>
    <w:p w14:paraId="73109EF6" w14:textId="13CBEC3B" w:rsidR="002A4EFC" w:rsidRPr="00D502BD" w:rsidRDefault="002A4EFC" w:rsidP="0039767A">
      <w:r w:rsidRPr="0080495D">
        <w:t>Movement restrictions also affected the pattern of interstate moves</w:t>
      </w:r>
      <w:r w:rsidR="00CE6997">
        <w:t xml:space="preserve"> (</w:t>
      </w:r>
      <w:r w:rsidR="002C2CC1">
        <w:t>Chart 23</w:t>
      </w:r>
      <w:r w:rsidR="00CE6997">
        <w:t>)</w:t>
      </w:r>
      <w:r w:rsidRPr="0080495D">
        <w:t>. Victoria experienced a particularly large reduction in i</w:t>
      </w:r>
      <w:r w:rsidR="00D502BD">
        <w:t>nterstate</w:t>
      </w:r>
      <w:r w:rsidRPr="0080495D">
        <w:t xml:space="preserve"> migration</w:t>
      </w:r>
      <w:r w:rsidR="007422B0">
        <w:t>.</w:t>
      </w:r>
      <w:r w:rsidR="00FF01BD">
        <w:t xml:space="preserve"> Historically a recipient of interstate migrants, the state became a net donor in </w:t>
      </w:r>
      <w:r w:rsidR="00FF01BD" w:rsidRPr="0080495D">
        <w:t>2020</w:t>
      </w:r>
      <w:r w:rsidR="00FF01BD">
        <w:t>–</w:t>
      </w:r>
      <w:r w:rsidR="00FF01BD" w:rsidRPr="0080495D">
        <w:t>21</w:t>
      </w:r>
      <w:r w:rsidR="00FF01BD">
        <w:t>.</w:t>
      </w:r>
      <w:r w:rsidRPr="0080495D">
        <w:t xml:space="preserve"> This</w:t>
      </w:r>
      <w:r w:rsidR="00FF01BD">
        <w:t xml:space="preserve"> trend</w:t>
      </w:r>
      <w:r w:rsidRPr="0080495D">
        <w:t xml:space="preserve"> is expected to continue in 2021</w:t>
      </w:r>
      <w:r w:rsidR="0033101B">
        <w:t>–</w:t>
      </w:r>
      <w:r w:rsidRPr="0080495D">
        <w:t>22</w:t>
      </w:r>
      <w:r w:rsidR="007422B0">
        <w:t xml:space="preserve"> </w:t>
      </w:r>
      <w:r w:rsidRPr="0080495D">
        <w:t>before</w:t>
      </w:r>
      <w:r w:rsidR="007A3C89">
        <w:t xml:space="preserve"> positive</w:t>
      </w:r>
      <w:r w:rsidRPr="0080495D">
        <w:t xml:space="preserve"> net interstate movement return</w:t>
      </w:r>
      <w:r w:rsidR="007A3C89">
        <w:t>s</w:t>
      </w:r>
      <w:r w:rsidRPr="0080495D">
        <w:t xml:space="preserve"> in 202</w:t>
      </w:r>
      <w:r w:rsidR="00FA49B1">
        <w:t>3</w:t>
      </w:r>
      <w:r w:rsidR="0033101B">
        <w:t>–</w:t>
      </w:r>
      <w:r w:rsidRPr="0080495D">
        <w:t>2</w:t>
      </w:r>
      <w:r w:rsidR="00FA49B1">
        <w:t>4</w:t>
      </w:r>
      <w:r w:rsidRPr="0080495D">
        <w:t xml:space="preserve">. The reduction in net flows to Victoria saw increases in net </w:t>
      </w:r>
      <w:r w:rsidR="00D502BD">
        <w:t xml:space="preserve">interstate </w:t>
      </w:r>
      <w:r w:rsidRPr="0080495D">
        <w:t xml:space="preserve">migration in states </w:t>
      </w:r>
      <w:r w:rsidRPr="00D502BD">
        <w:t>that previously lost inter</w:t>
      </w:r>
      <w:r w:rsidR="00D502BD" w:rsidRPr="00D502BD">
        <w:t>state</w:t>
      </w:r>
      <w:r w:rsidRPr="00D502BD">
        <w:t xml:space="preserve"> migration to Victoria, notably Western Australia and South</w:t>
      </w:r>
      <w:r w:rsidR="00771103">
        <w:t> </w:t>
      </w:r>
      <w:r w:rsidRPr="00D502BD">
        <w:t xml:space="preserve">Australia. </w:t>
      </w:r>
    </w:p>
    <w:p w14:paraId="0E95A251" w14:textId="1E99626F" w:rsidR="007F4186" w:rsidRPr="0080495D" w:rsidRDefault="007F4186" w:rsidP="0039767A">
      <w:r w:rsidRPr="00D502BD">
        <w:t>Interstate moves to New South Wales are similarly expected to fall in 2021–22 due to movement restrictions beginning in mid-2021. Queensland is expected to receive the majority of the additional interstate migrants, following historical movement patterns. The patterns of interstate migration are expected to return to established pre</w:t>
      </w:r>
      <w:r w:rsidR="009B78C6" w:rsidRPr="008B1B2A">
        <w:t>-</w:t>
      </w:r>
      <w:r w:rsidRPr="00D502BD">
        <w:t>pandemic trends from 202</w:t>
      </w:r>
      <w:r w:rsidR="00412C0B">
        <w:t>3</w:t>
      </w:r>
      <w:r w:rsidRPr="00D502BD">
        <w:t>–2</w:t>
      </w:r>
      <w:r w:rsidR="00412C0B">
        <w:t>4</w:t>
      </w:r>
      <w:r w:rsidRPr="00D502BD">
        <w:t xml:space="preserve"> across the states and territories</w:t>
      </w:r>
      <w:r w:rsidR="00A421FA">
        <w:t>,</w:t>
      </w:r>
      <w:r w:rsidRPr="00D502BD">
        <w:t xml:space="preserve"> reflecting </w:t>
      </w:r>
      <w:r w:rsidR="00E011D8">
        <w:t>an</w:t>
      </w:r>
      <w:r w:rsidRPr="00D502BD">
        <w:t xml:space="preserve"> assumption that there will be no future, large</w:t>
      </w:r>
      <w:r w:rsidR="00D502BD">
        <w:noBreakHyphen/>
      </w:r>
      <w:r w:rsidRPr="00D502BD">
        <w:t>scale internal movement restrictions and lockdowns.</w:t>
      </w:r>
    </w:p>
    <w:p w14:paraId="41521E2B" w14:textId="49020BD0" w:rsidR="002A4EFC" w:rsidRPr="0080495D" w:rsidRDefault="002A4EFC" w:rsidP="002A4EFC">
      <w:pPr>
        <w:pStyle w:val="Heading9"/>
      </w:pPr>
      <w:bookmarkStart w:id="131" w:name="_Ref118882405"/>
      <w:r w:rsidRPr="0080495D">
        <w:lastRenderedPageBreak/>
        <w:t>Net inter</w:t>
      </w:r>
      <w:r w:rsidR="00F167CB">
        <w:t>state</w:t>
      </w:r>
      <w:r w:rsidRPr="0080495D">
        <w:t xml:space="preserve"> migration, states and territories</w:t>
      </w:r>
      <w:bookmarkEnd w:id="131"/>
    </w:p>
    <w:tbl>
      <w:tblPr>
        <w:tblStyle w:val="TableGrid"/>
        <w:tblW w:w="0" w:type="auto"/>
        <w:tblLook w:val="04A0" w:firstRow="1" w:lastRow="0" w:firstColumn="1" w:lastColumn="0" w:noHBand="0" w:noVBand="1"/>
      </w:tblPr>
      <w:tblGrid>
        <w:gridCol w:w="4428"/>
        <w:gridCol w:w="222"/>
        <w:gridCol w:w="4420"/>
      </w:tblGrid>
      <w:tr w:rsidR="002A4EFC" w:rsidRPr="0080495D" w14:paraId="1DD5179C" w14:textId="77777777" w:rsidTr="00676947">
        <w:tc>
          <w:tcPr>
            <w:tcW w:w="4253" w:type="dxa"/>
            <w:shd w:val="clear" w:color="auto" w:fill="auto"/>
          </w:tcPr>
          <w:p w14:paraId="065C3F07" w14:textId="5ACE6444" w:rsidR="002A4EFC" w:rsidRPr="0080495D" w:rsidRDefault="00E43C32" w:rsidP="00D24389">
            <w:pPr>
              <w:spacing w:before="0" w:after="0"/>
              <w:jc w:val="center"/>
            </w:pPr>
            <w:r w:rsidRPr="00E43C32">
              <w:rPr>
                <w:noProof/>
                <w:bdr w:val="none" w:sz="0" w:space="0" w:color="auto" w:frame="1"/>
              </w:rPr>
              <w:drawing>
                <wp:inline distT="0" distB="0" distL="0" distR="0" wp14:anchorId="7B8C6637" wp14:editId="625A8C34">
                  <wp:extent cx="2700000" cy="2948400"/>
                  <wp:effectExtent l="0" t="0" r="5715" b="0"/>
                  <wp:docPr id="53" name="Picture 53" descr="A chart showing that Queensland is projected to have the largest positive net interstate migration levels over the projections period, while New South Wales is expected to have largest negative net interstate mig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Picture 53" descr="A chart showing that Queensland is projected to have the largest positive net interstate migration levels over the projections period, while New South Wales is expected to have largest negative net interstate migr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c>
          <w:tcPr>
            <w:tcW w:w="283" w:type="dxa"/>
            <w:shd w:val="clear" w:color="auto" w:fill="auto"/>
          </w:tcPr>
          <w:p w14:paraId="1BEA9622" w14:textId="77777777" w:rsidR="002A4EFC" w:rsidRPr="0080495D" w:rsidRDefault="002A4EFC" w:rsidP="00D24389">
            <w:pPr>
              <w:spacing w:before="0" w:after="0"/>
              <w:rPr>
                <w:color w:val="002C47" w:themeColor="accent1"/>
              </w:rPr>
            </w:pPr>
          </w:p>
        </w:tc>
        <w:tc>
          <w:tcPr>
            <w:tcW w:w="3969" w:type="dxa"/>
            <w:shd w:val="clear" w:color="auto" w:fill="auto"/>
          </w:tcPr>
          <w:p w14:paraId="118E5EBC" w14:textId="706CAF49" w:rsidR="002A4EFC" w:rsidRPr="0080495D" w:rsidRDefault="00E43C32" w:rsidP="00D24389">
            <w:pPr>
              <w:spacing w:before="0" w:after="0"/>
              <w:jc w:val="center"/>
            </w:pPr>
            <w:r w:rsidRPr="00E43C32">
              <w:rPr>
                <w:noProof/>
              </w:rPr>
              <w:drawing>
                <wp:inline distT="0" distB="0" distL="0" distR="0" wp14:anchorId="420D1B35" wp14:editId="67861017">
                  <wp:extent cx="2700000" cy="29484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000" cy="2948400"/>
                          </a:xfrm>
                          <a:prstGeom prst="rect">
                            <a:avLst/>
                          </a:prstGeom>
                          <a:noFill/>
                          <a:ln>
                            <a:noFill/>
                          </a:ln>
                        </pic:spPr>
                      </pic:pic>
                    </a:graphicData>
                  </a:graphic>
                </wp:inline>
              </w:drawing>
            </w:r>
          </w:p>
        </w:tc>
      </w:tr>
    </w:tbl>
    <w:p w14:paraId="12F76FD3" w14:textId="17FC4CF3" w:rsidR="002A4EFC" w:rsidRPr="0080495D" w:rsidRDefault="002A4EFC" w:rsidP="002A4EFC">
      <w:pPr>
        <w:pStyle w:val="Source"/>
      </w:pPr>
      <w:r w:rsidRPr="0080495D">
        <w:t xml:space="preserve">Source: </w:t>
      </w:r>
      <w:r w:rsidR="00947012">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4D77FC35" w14:textId="2F676FD8" w:rsidR="00907312" w:rsidRPr="00D502BD" w:rsidRDefault="00907312" w:rsidP="0039767A">
      <w:r w:rsidRPr="00D502BD">
        <w:t xml:space="preserve">The Australian Bureau of Statistics has revised Australia’s estimated resident population to reflect new data from the 2021 Census. </w:t>
      </w:r>
      <w:r w:rsidR="007A3C89">
        <w:t xml:space="preserve">While there was only a slight downwards revision to the national population, there were significant revisions at the state and territory level. </w:t>
      </w:r>
      <w:r w:rsidRPr="00D502BD">
        <w:t>The populations of New South Wales and Victoria were revised down by more than 1 per cent</w:t>
      </w:r>
      <w:r w:rsidR="007A3C89">
        <w:t xml:space="preserve"> while that of</w:t>
      </w:r>
      <w:r w:rsidRPr="00D502BD">
        <w:t xml:space="preserve"> Queensland was largely unchanged. Other states and territories saw upwards revisions, particularly the Australian Capital Territory and Tasmania </w:t>
      </w:r>
      <w:r w:rsidR="007A3C89">
        <w:t xml:space="preserve">which were </w:t>
      </w:r>
      <w:r w:rsidRPr="00D502BD">
        <w:t xml:space="preserve">revised up by around 5 per cent. </w:t>
      </w:r>
      <w:r w:rsidR="00D502BD">
        <w:t>For full details s</w:t>
      </w:r>
      <w:r w:rsidRPr="00D502BD">
        <w:t xml:space="preserve">ee </w:t>
      </w:r>
      <w:r w:rsidR="002C2CC1">
        <w:t>0</w:t>
      </w:r>
      <w:r w:rsidR="00D502BD">
        <w:t xml:space="preserve"> in </w:t>
      </w:r>
      <w:r w:rsidRPr="00D502BD">
        <w:t>the Technical Appendix.</w:t>
      </w:r>
    </w:p>
    <w:p w14:paraId="0F08E3F4" w14:textId="716844F0" w:rsidR="008C63B8" w:rsidRPr="0080495D" w:rsidRDefault="008C63B8" w:rsidP="0039767A">
      <w:r w:rsidRPr="00D502BD">
        <w:t>Tasmania and South Australia ha</w:t>
      </w:r>
      <w:r w:rsidR="00AD0A9F">
        <w:t>d</w:t>
      </w:r>
      <w:r w:rsidRPr="00D502BD">
        <w:t xml:space="preserve"> high median ages at over 40 in 2020</w:t>
      </w:r>
      <w:r w:rsidR="0033101B" w:rsidRPr="00D502BD">
        <w:t>–</w:t>
      </w:r>
      <w:r w:rsidRPr="00D502BD">
        <w:t xml:space="preserve">21, compared </w:t>
      </w:r>
      <w:r w:rsidR="0044035C" w:rsidRPr="00D502BD">
        <w:t xml:space="preserve">with </w:t>
      </w:r>
      <w:r w:rsidRPr="00D502BD">
        <w:t xml:space="preserve">around 38 in most other jurisdictions. </w:t>
      </w:r>
      <w:r w:rsidR="007A3C89">
        <w:t xml:space="preserve">The </w:t>
      </w:r>
      <w:r w:rsidRPr="00D502BD">
        <w:t>Tasmania</w:t>
      </w:r>
      <w:r w:rsidR="007A3C89">
        <w:t>n</w:t>
      </w:r>
      <w:r w:rsidRPr="00D502BD">
        <w:t xml:space="preserve"> and South Australia</w:t>
      </w:r>
      <w:r w:rsidR="007A3C89">
        <w:t>n populations</w:t>
      </w:r>
      <w:r w:rsidRPr="00D502BD">
        <w:t xml:space="preserve"> are expected to continue </w:t>
      </w:r>
      <w:r w:rsidR="007A3C89">
        <w:t>to age more</w:t>
      </w:r>
      <w:r w:rsidRPr="00D502BD">
        <w:t xml:space="preserve"> </w:t>
      </w:r>
      <w:r w:rsidR="007A3C89" w:rsidRPr="00D502BD">
        <w:t>rapid</w:t>
      </w:r>
      <w:r w:rsidR="007A3C89">
        <w:t>ly</w:t>
      </w:r>
      <w:r w:rsidRPr="00D502BD">
        <w:t xml:space="preserve"> than other jurisdictions</w:t>
      </w:r>
      <w:r w:rsidR="0044035C" w:rsidRPr="00D502BD">
        <w:t>. This is</w:t>
      </w:r>
      <w:r w:rsidRPr="00D502BD">
        <w:t xml:space="preserve"> largely due to significant shares of their young adult population migrating to other states and territories </w:t>
      </w:r>
      <w:r w:rsidR="0044035C" w:rsidRPr="00D502BD">
        <w:t>for</w:t>
      </w:r>
      <w:r w:rsidRPr="00D502BD">
        <w:t xml:space="preserve"> education and employment opportunities. The Northern Territory is significantly younger than other jurisdictions with a median age under 34, driven by its higher fertility rates and larger </w:t>
      </w:r>
      <w:r w:rsidR="007A3C89">
        <w:t xml:space="preserve">share of </w:t>
      </w:r>
      <w:r w:rsidRPr="00D502BD">
        <w:t xml:space="preserve">First Nations </w:t>
      </w:r>
      <w:r w:rsidR="007A3C89">
        <w:t>people</w:t>
      </w:r>
      <w:r w:rsidRPr="00D502BD">
        <w:t>.</w:t>
      </w:r>
    </w:p>
    <w:p w14:paraId="52466C5A" w14:textId="733267EB" w:rsidR="00687E2E" w:rsidRPr="0080495D" w:rsidRDefault="00687E2E" w:rsidP="009D5E0B">
      <w:pPr>
        <w:pStyle w:val="Heading3"/>
      </w:pPr>
      <w:bookmarkStart w:id="132" w:name="_Toc120635112"/>
      <w:bookmarkStart w:id="133" w:name="_Toc122617945"/>
      <w:bookmarkStart w:id="134" w:name="_Toc122618372"/>
      <w:r w:rsidRPr="0080495D">
        <w:t>Capital cities and rest</w:t>
      </w:r>
      <w:r w:rsidR="009A6DDB">
        <w:t>-</w:t>
      </w:r>
      <w:r w:rsidRPr="0080495D">
        <w:t>of</w:t>
      </w:r>
      <w:r w:rsidR="009A6DDB">
        <w:t>-</w:t>
      </w:r>
      <w:r w:rsidRPr="0080495D">
        <w:t>state areas</w:t>
      </w:r>
      <w:bookmarkEnd w:id="132"/>
      <w:bookmarkEnd w:id="133"/>
      <w:bookmarkEnd w:id="134"/>
    </w:p>
    <w:p w14:paraId="72B7A184" w14:textId="333B7F52" w:rsidR="00687E2E" w:rsidRPr="00877EDE" w:rsidRDefault="00687E2E" w:rsidP="0039767A">
      <w:r w:rsidRPr="00877EDE">
        <w:t>Historically, Australia’s capital cities have grown faster than rest</w:t>
      </w:r>
      <w:r w:rsidR="009F54F3">
        <w:t>-</w:t>
      </w:r>
      <w:r w:rsidRPr="00877EDE">
        <w:t>of</w:t>
      </w:r>
      <w:r w:rsidR="009F54F3">
        <w:t>-</w:t>
      </w:r>
      <w:r w:rsidRPr="00877EDE">
        <w:t xml:space="preserve">state (regional) areas. This pattern changed during the pandemic as Australia’s international border restrictions reduced the growth of capital cities </w:t>
      </w:r>
      <w:r w:rsidR="00A35823">
        <w:t>and there were</w:t>
      </w:r>
      <w:r w:rsidRPr="00877EDE">
        <w:t xml:space="preserve"> larger than normal internal moves from cities to regions.</w:t>
      </w:r>
      <w:r w:rsidR="00AC1248">
        <w:rPr>
          <w:rStyle w:val="FootnoteReference"/>
        </w:rPr>
        <w:footnoteReference w:id="36"/>
      </w:r>
      <w:r w:rsidRPr="00877EDE">
        <w:t xml:space="preserve"> </w:t>
      </w:r>
    </w:p>
    <w:p w14:paraId="0A640E2F" w14:textId="1614BF79" w:rsidR="00F167CB" w:rsidRPr="0080495D" w:rsidRDefault="00F167CB" w:rsidP="0039767A">
      <w:r w:rsidRPr="00F167CB">
        <w:t xml:space="preserve">The combined population of the capital cities declined for the first time on record in 2020–21. Growth fell to </w:t>
      </w:r>
      <w:r w:rsidRPr="00F167CB">
        <w:noBreakHyphen/>
        <w:t xml:space="preserve">0.3 per cent from an average of 1.8 per cent over the decade prior to the pandemic. Growth remained relatively high in regional areas, only falling slightly by 0.2 percentage points to 1 per cent, as increased </w:t>
      </w:r>
      <w:r w:rsidR="006B115A">
        <w:t xml:space="preserve">net </w:t>
      </w:r>
      <w:r w:rsidRPr="00F167CB">
        <w:t>internal migration partially offset lower overseas migration. As a result, in 2020–21 regional areas grew at a faster rate than capital cities for the first time since 1993–94.</w:t>
      </w:r>
      <w:r w:rsidRPr="0080495D">
        <w:t xml:space="preserve"> </w:t>
      </w:r>
    </w:p>
    <w:p w14:paraId="09B7898F" w14:textId="77777777" w:rsidR="000C59FF" w:rsidRDefault="000C59FF">
      <w:pPr>
        <w:spacing w:before="0" w:after="160" w:line="259" w:lineRule="auto"/>
      </w:pPr>
      <w:r>
        <w:br w:type="page"/>
      </w:r>
    </w:p>
    <w:p w14:paraId="7A5196C4" w14:textId="34CF247C" w:rsidR="00055125" w:rsidRPr="00476773" w:rsidRDefault="00055125" w:rsidP="0039767A">
      <w:r w:rsidRPr="00476773">
        <w:lastRenderedPageBreak/>
        <w:t>Increased net internal migration to regions in 2019–20 was largely caused by a sharp drop in the number of people, especially young people, moving from regional areas to capital cities. This likely reflected a combination of travel restrictions reducing relocation options</w:t>
      </w:r>
      <w:r w:rsidR="00EC28BE">
        <w:t>,</w:t>
      </w:r>
      <w:r w:rsidRPr="00476773">
        <w:t xml:space="preserve"> and increased opportunities to work and study in the regions, including work and study from home. A smaller but significant increase in the number of people moving from capital cities to regional areas </w:t>
      </w:r>
      <w:r w:rsidR="006D345F">
        <w:t xml:space="preserve">also </w:t>
      </w:r>
      <w:r w:rsidRPr="00476773">
        <w:t>occurred in 2020</w:t>
      </w:r>
      <w:r w:rsidR="004538AB" w:rsidRPr="00476773">
        <w:t>–</w:t>
      </w:r>
      <w:r w:rsidRPr="00476773">
        <w:t>21, possibly reflecting changed lifestyle preferences and remote working opportunities. As a result, regional areas gained 3</w:t>
      </w:r>
      <w:r w:rsidR="00476773">
        <w:t>1</w:t>
      </w:r>
      <w:r w:rsidRPr="00476773">
        <w:t xml:space="preserve">,000 people from capital cities in 2019–20 and </w:t>
      </w:r>
      <w:r w:rsidR="00476773">
        <w:t>49</w:t>
      </w:r>
      <w:r w:rsidRPr="00476773">
        <w:t>,000 in 2020–21, up from 1</w:t>
      </w:r>
      <w:r w:rsidR="00476773">
        <w:t>6</w:t>
      </w:r>
      <w:r w:rsidRPr="00476773">
        <w:t xml:space="preserve">,000 in 2018–19. </w:t>
      </w:r>
      <w:r w:rsidR="005814C6">
        <w:t>Net</w:t>
      </w:r>
      <w:r w:rsidRPr="00476773">
        <w:t xml:space="preserve"> </w:t>
      </w:r>
      <w:r w:rsidR="005814C6">
        <w:t>i</w:t>
      </w:r>
      <w:r w:rsidRPr="00476773">
        <w:t>nternal migration to regional areas is projected to drop to 23,000 in 2023–24</w:t>
      </w:r>
      <w:r w:rsidR="003C067A">
        <w:t>,</w:t>
      </w:r>
      <w:r w:rsidRPr="00476773">
        <w:t xml:space="preserve"> </w:t>
      </w:r>
      <w:r w:rsidR="005814C6">
        <w:t>driven by</w:t>
      </w:r>
      <w:r w:rsidRPr="00476773">
        <w:t xml:space="preserve"> </w:t>
      </w:r>
      <w:r w:rsidR="005814C6">
        <w:t xml:space="preserve">increased </w:t>
      </w:r>
      <w:r w:rsidRPr="00476773">
        <w:t>mov</w:t>
      </w:r>
      <w:r w:rsidR="005814C6">
        <w:t>es</w:t>
      </w:r>
      <w:r w:rsidRPr="00476773">
        <w:t xml:space="preserve"> from regional areas to capital cities </w:t>
      </w:r>
      <w:r w:rsidR="005814C6">
        <w:t>as pre-pandemic trends of young people moving for education and employment resume</w:t>
      </w:r>
      <w:r w:rsidRPr="00476773">
        <w:t>. It is then projected to slowly increase to 4</w:t>
      </w:r>
      <w:r w:rsidR="00476773">
        <w:t>3</w:t>
      </w:r>
      <w:r w:rsidRPr="00476773">
        <w:t>,000 by 2032–33 as the population increases.</w:t>
      </w:r>
      <w:r w:rsidRPr="00476773" w:rsidDel="00F4778E">
        <w:t xml:space="preserve"> </w:t>
      </w:r>
    </w:p>
    <w:p w14:paraId="26498B78" w14:textId="11CAD004" w:rsidR="00027AC6" w:rsidRPr="00362710" w:rsidRDefault="003F4980" w:rsidP="0039767A">
      <w:r w:rsidRPr="00476773">
        <w:t xml:space="preserve">Capital cities experienced a net outflow of 80,000 overseas migrants in 2020–21 and </w:t>
      </w:r>
      <w:r w:rsidR="00404AC3">
        <w:t>regional</w:t>
      </w:r>
      <w:r w:rsidRPr="00476773">
        <w:t xml:space="preserve"> areas a net outflow of 4,000. </w:t>
      </w:r>
      <w:r w:rsidR="00362710">
        <w:t>N</w:t>
      </w:r>
      <w:r w:rsidRPr="00476773">
        <w:t xml:space="preserve">et overseas migration is projected to return to being the largest driver of population growth in capital cities over the next decade. In </w:t>
      </w:r>
      <w:r w:rsidR="00404AC3">
        <w:t>regional</w:t>
      </w:r>
      <w:r w:rsidRPr="00476773">
        <w:t xml:space="preserve"> areas, net overseas migration is forecast to be the largest driver of population growth from 202</w:t>
      </w:r>
      <w:r w:rsidR="00A77E5C">
        <w:t>2</w:t>
      </w:r>
      <w:r w:rsidR="00526DF6" w:rsidRPr="00476773">
        <w:t>–</w:t>
      </w:r>
      <w:r w:rsidRPr="00476773">
        <w:t>2</w:t>
      </w:r>
      <w:r w:rsidR="00A77E5C">
        <w:t>3</w:t>
      </w:r>
      <w:r w:rsidRPr="00476773">
        <w:t xml:space="preserve"> until 2030–31, after which net internal migration is expected to become a larger contributor to growth. Since international travel restrictions have eased, there are early </w:t>
      </w:r>
      <w:r w:rsidRPr="00362710">
        <w:t xml:space="preserve">indications that overseas migrants continue to prefer settling in capital cities over </w:t>
      </w:r>
      <w:r w:rsidR="00404AC3">
        <w:t>regional</w:t>
      </w:r>
      <w:r w:rsidRPr="00362710">
        <w:t xml:space="preserve"> areas. </w:t>
      </w:r>
    </w:p>
    <w:p w14:paraId="17E4A82A" w14:textId="6F50B8D5" w:rsidR="00027AC6" w:rsidRDefault="00027AC6" w:rsidP="0039767A">
      <w:pPr>
        <w:rPr>
          <w:rFonts w:eastAsiaTheme="minorHAnsi"/>
        </w:rPr>
      </w:pPr>
      <w:r w:rsidRPr="00362710">
        <w:t xml:space="preserve">The contribution of natural increase to population growth is projected to be larger in the capital cities compared to </w:t>
      </w:r>
      <w:r w:rsidR="00404AC3">
        <w:t>regional</w:t>
      </w:r>
      <w:r w:rsidRPr="00362710">
        <w:t xml:space="preserve"> areas, even though fertility rates are lower in capital cities. This is because populations in the </w:t>
      </w:r>
      <w:r w:rsidR="003206C1">
        <w:t>regional</w:t>
      </w:r>
      <w:r w:rsidRPr="00362710">
        <w:t xml:space="preserve"> areas are currently older than, and projected to age faster than, capital cities.</w:t>
      </w:r>
      <w:r w:rsidRPr="00362710">
        <w:rPr>
          <w:rStyle w:val="FootnoteReference"/>
        </w:rPr>
        <w:footnoteReference w:id="37"/>
      </w:r>
      <w:r w:rsidRPr="00362710">
        <w:t xml:space="preserve"> </w:t>
      </w:r>
      <w:r w:rsidR="00386F2F" w:rsidRPr="00386F2F">
        <w:t xml:space="preserve">There are also </w:t>
      </w:r>
      <w:r w:rsidR="00AE4DAE">
        <w:t>fewer</w:t>
      </w:r>
      <w:r w:rsidR="00386F2F" w:rsidRPr="00386F2F">
        <w:t xml:space="preserve"> women of childbearing age due to lower </w:t>
      </w:r>
      <w:r w:rsidR="00AE4DAE">
        <w:t>net overseas migration</w:t>
      </w:r>
      <w:r w:rsidR="00386F2F" w:rsidRPr="00386F2F">
        <w:t xml:space="preserve"> (</w:t>
      </w:r>
      <w:r w:rsidR="009D5B30">
        <w:t>migrants are generally younger than the existing population</w:t>
      </w:r>
      <w:r w:rsidR="00386F2F" w:rsidRPr="00386F2F">
        <w:t xml:space="preserve">) and </w:t>
      </w:r>
      <w:r w:rsidR="00AE4DAE">
        <w:t>net inter</w:t>
      </w:r>
      <w:r w:rsidR="00920DB7">
        <w:t>nal</w:t>
      </w:r>
      <w:r w:rsidR="00AE4DAE">
        <w:t xml:space="preserve"> migration</w:t>
      </w:r>
      <w:r w:rsidR="00386F2F" w:rsidRPr="00386F2F">
        <w:t xml:space="preserve"> outflows of young people.</w:t>
      </w:r>
      <w:r w:rsidR="00386F2F">
        <w:t xml:space="preserve"> </w:t>
      </w:r>
      <w:r w:rsidRPr="00362710">
        <w:t xml:space="preserve">In some </w:t>
      </w:r>
      <w:r w:rsidR="00404AC3">
        <w:t>regional</w:t>
      </w:r>
      <w:r w:rsidRPr="00362710">
        <w:t xml:space="preserve"> areas, deaths are expected to outnumber births and natural increase will contribute negatively to population growth over the next 10 years. </w:t>
      </w:r>
      <w:r w:rsidR="00EA6D6A">
        <w:t>N</w:t>
      </w:r>
      <w:r w:rsidR="00A35173" w:rsidRPr="00362710">
        <w:t xml:space="preserve">egative natural increase is expected to occur in </w:t>
      </w:r>
      <w:r w:rsidR="00A35173">
        <w:t>the r</w:t>
      </w:r>
      <w:r w:rsidR="00A35173" w:rsidRPr="00362710">
        <w:t>est of South Australia</w:t>
      </w:r>
      <w:r w:rsidR="00A35173">
        <w:t xml:space="preserve"> in</w:t>
      </w:r>
      <w:r w:rsidR="00A35173" w:rsidRPr="00362710">
        <w:t xml:space="preserve"> 2021–22, </w:t>
      </w:r>
      <w:r w:rsidR="00A35173">
        <w:t>in the</w:t>
      </w:r>
      <w:r w:rsidR="00A35173" w:rsidRPr="00362710">
        <w:t xml:space="preserve"> </w:t>
      </w:r>
      <w:r w:rsidR="00A35173">
        <w:t>r</w:t>
      </w:r>
      <w:r w:rsidR="00A35173" w:rsidRPr="00362710">
        <w:t>est of Tasmania</w:t>
      </w:r>
      <w:r w:rsidR="00A35173">
        <w:t xml:space="preserve"> in </w:t>
      </w:r>
      <w:r w:rsidR="00A35173" w:rsidRPr="00362710">
        <w:t>2027–28</w:t>
      </w:r>
      <w:r w:rsidR="00A35173">
        <w:t>, in the rest of New South Wales in 2030</w:t>
      </w:r>
      <w:r w:rsidR="00B4359F">
        <w:t>–</w:t>
      </w:r>
      <w:r w:rsidR="00A35173">
        <w:t>31, and in the r</w:t>
      </w:r>
      <w:r w:rsidR="00A35173" w:rsidRPr="00362710">
        <w:t>est of Victoria</w:t>
      </w:r>
      <w:r w:rsidR="00A35173">
        <w:t xml:space="preserve"> in 2031</w:t>
      </w:r>
      <w:r w:rsidR="00B4359F">
        <w:t>–</w:t>
      </w:r>
      <w:r w:rsidR="00A35173">
        <w:t>32</w:t>
      </w:r>
      <w:r w:rsidR="00A35173" w:rsidRPr="00362710">
        <w:t>.</w:t>
      </w:r>
    </w:p>
    <w:p w14:paraId="6D17B56E" w14:textId="6BF82F4F" w:rsidR="00F167CB" w:rsidRDefault="00F167CB" w:rsidP="0039767A">
      <w:bookmarkStart w:id="135" w:name="_Ref115340647"/>
      <w:r w:rsidRPr="00F167CB">
        <w:t>Normalising patterns of overseas and internal migration are expected to result in future population growth returning to pre-pandemic patterns, with growth in capital cities outpacing growth in regional areas. Capital city growth is projected to return to 1.6 per cent in 2023–24, then slowly decline towards 1.3 per cent by 2032</w:t>
      </w:r>
      <w:r w:rsidR="00024489">
        <w:sym w:font="Symbol" w:char="F02D"/>
      </w:r>
      <w:r w:rsidRPr="00F167CB">
        <w:t>33. Population growth in regional areas is projected to remain relatively stable, slowly declining from 1</w:t>
      </w:r>
      <w:r w:rsidR="00EB7B8E">
        <w:t> </w:t>
      </w:r>
      <w:r w:rsidRPr="00F167CB">
        <w:t>per cent in 2022–23 to 0.9 per cent in 2032–33 (</w:t>
      </w:r>
      <w:r w:rsidR="002C2CC1">
        <w:t>Chart 24</w:t>
      </w:r>
      <w:r w:rsidRPr="00F167CB">
        <w:t>).</w:t>
      </w:r>
    </w:p>
    <w:p w14:paraId="70DE4C8F" w14:textId="77777777" w:rsidR="00947012" w:rsidRPr="0080495D" w:rsidRDefault="00947012" w:rsidP="00863FDE"/>
    <w:p w14:paraId="63EC8569" w14:textId="73EB71D4" w:rsidR="0080495D" w:rsidRPr="0080495D" w:rsidRDefault="0080495D" w:rsidP="0080495D">
      <w:pPr>
        <w:pStyle w:val="Heading9"/>
      </w:pPr>
      <w:bookmarkStart w:id="136" w:name="_Ref120712702"/>
      <w:r w:rsidRPr="0080495D">
        <w:lastRenderedPageBreak/>
        <w:t>Population Growth in Capital Cities and Rest</w:t>
      </w:r>
      <w:r w:rsidR="009A6DDB">
        <w:t>-</w:t>
      </w:r>
      <w:r w:rsidRPr="0080495D">
        <w:t>of</w:t>
      </w:r>
      <w:r w:rsidR="009A6DDB">
        <w:t>-</w:t>
      </w:r>
      <w:r w:rsidRPr="0080495D">
        <w:t>State areas</w:t>
      </w:r>
      <w:bookmarkEnd w:id="135"/>
      <w:bookmarkEnd w:id="136"/>
    </w:p>
    <w:p w14:paraId="03C6FC31" w14:textId="2C9AD2BD" w:rsidR="0080495D" w:rsidRPr="0080495D" w:rsidRDefault="00AF0828" w:rsidP="0055665D">
      <w:pPr>
        <w:spacing w:before="0" w:after="0"/>
        <w:jc w:val="center"/>
      </w:pPr>
      <w:r w:rsidRPr="00AF0828">
        <w:rPr>
          <w:noProof/>
        </w:rPr>
        <w:drawing>
          <wp:inline distT="0" distB="0" distL="0" distR="0" wp14:anchorId="42711345" wp14:editId="03A77214">
            <wp:extent cx="5583600" cy="2556000"/>
            <wp:effectExtent l="0" t="0" r="0" b="0"/>
            <wp:docPr id="55" name="Picture 55" descr="A chart showing that population growth in the combined capital cities fell behind growth in the combined rest-of-state areas in 2020-21 but is projected to surpass rest-of-state areas again in 202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chart showing that population growth in the combined capital cities fell behind growth in the combined rest-of-state areas in 2020-21 but is projected to surpass rest-of-state areas again in 2021-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3600" cy="2556000"/>
                    </a:xfrm>
                    <a:prstGeom prst="rect">
                      <a:avLst/>
                    </a:prstGeom>
                    <a:noFill/>
                    <a:ln>
                      <a:noFill/>
                    </a:ln>
                  </pic:spPr>
                </pic:pic>
              </a:graphicData>
            </a:graphic>
          </wp:inline>
        </w:drawing>
      </w:r>
    </w:p>
    <w:p w14:paraId="4EB72AA9" w14:textId="150FA0F1" w:rsidR="0080495D" w:rsidRPr="0080495D" w:rsidRDefault="0080495D" w:rsidP="0080495D">
      <w:pPr>
        <w:pStyle w:val="Source"/>
        <w:pBdr>
          <w:bottom w:val="dashed" w:sz="4" w:space="0" w:color="002C47" w:themeColor="accent1"/>
        </w:pBdr>
      </w:pPr>
      <w:r w:rsidRPr="0080495D">
        <w:t xml:space="preserve">Source: </w:t>
      </w:r>
      <w:r w:rsidR="000E39A2">
        <w:rPr>
          <w:noProof/>
        </w:rPr>
        <w:t>Australian Bureau of Statistics, Regional population, 2022</w:t>
      </w:r>
      <w:r w:rsidRPr="0080495D">
        <w:t xml:space="preserve"> and Centre for Population projections.</w:t>
      </w:r>
      <w:r w:rsidR="00060AF3" w:rsidRPr="0080495D" w:rsidDel="00060AF3">
        <w:t xml:space="preserve"> </w:t>
      </w:r>
    </w:p>
    <w:p w14:paraId="7BA68D0E" w14:textId="39012B13" w:rsidR="008C63B8" w:rsidRDefault="003138D7" w:rsidP="0039767A">
      <w:r w:rsidRPr="0080495D">
        <w:t>T</w:t>
      </w:r>
      <w:r w:rsidR="008C63B8" w:rsidRPr="0080495D">
        <w:t>he population is older in regional areas than in capital cities. The median age for people in capital cities in 2020</w:t>
      </w:r>
      <w:r w:rsidR="0033101B">
        <w:t>–</w:t>
      </w:r>
      <w:r w:rsidR="008C63B8" w:rsidRPr="0080495D">
        <w:t>21 was 37.1</w:t>
      </w:r>
      <w:r w:rsidR="00AA5788">
        <w:t>.</w:t>
      </w:r>
      <w:r w:rsidR="008C63B8" w:rsidRPr="0080495D">
        <w:t xml:space="preserve"> </w:t>
      </w:r>
      <w:r w:rsidR="00AA5788">
        <w:t>This</w:t>
      </w:r>
      <w:r w:rsidR="008C63B8" w:rsidRPr="0080495D">
        <w:t xml:space="preserve"> was more than </w:t>
      </w:r>
      <w:r w:rsidR="009D5B30">
        <w:t>4.5</w:t>
      </w:r>
      <w:r w:rsidR="008C63B8" w:rsidRPr="0080495D">
        <w:t xml:space="preserve"> years younger than the median age</w:t>
      </w:r>
      <w:r w:rsidR="00AA5788">
        <w:t xml:space="preserve"> </w:t>
      </w:r>
      <w:r w:rsidR="00E011D8">
        <w:t xml:space="preserve">of </w:t>
      </w:r>
      <w:r w:rsidR="00EE7125">
        <w:t>41.8</w:t>
      </w:r>
      <w:r w:rsidR="00E011D8">
        <w:t xml:space="preserve"> </w:t>
      </w:r>
      <w:r w:rsidR="008C63B8" w:rsidRPr="0080495D">
        <w:t xml:space="preserve">in </w:t>
      </w:r>
      <w:r w:rsidR="003206C1">
        <w:t>regional areas</w:t>
      </w:r>
      <w:r w:rsidR="008C63B8" w:rsidRPr="0080495D">
        <w:t xml:space="preserve">. </w:t>
      </w:r>
      <w:r w:rsidR="003206C1">
        <w:t>Regional areas</w:t>
      </w:r>
      <w:r w:rsidR="008C63B8" w:rsidRPr="0080495D">
        <w:t xml:space="preserve"> are expected to continue ageing faster than capital cities</w:t>
      </w:r>
      <w:r w:rsidR="00AA5788">
        <w:t>.</w:t>
      </w:r>
      <w:r w:rsidR="008C63B8" w:rsidRPr="0080495D">
        <w:t xml:space="preserve"> </w:t>
      </w:r>
      <w:r w:rsidR="00AA5788">
        <w:t>T</w:t>
      </w:r>
      <w:r w:rsidR="008C63B8" w:rsidRPr="0080495D">
        <w:t>he median</w:t>
      </w:r>
      <w:r w:rsidR="00AA5788">
        <w:t xml:space="preserve"> </w:t>
      </w:r>
      <w:r w:rsidR="003206C1">
        <w:t>regional</w:t>
      </w:r>
      <w:r w:rsidR="008C63B8" w:rsidRPr="0080495D">
        <w:t xml:space="preserve"> age </w:t>
      </w:r>
      <w:r w:rsidR="00AA5788">
        <w:t xml:space="preserve">is </w:t>
      </w:r>
      <w:r w:rsidR="008C63B8" w:rsidRPr="0080495D">
        <w:t xml:space="preserve">expected to increase by almost </w:t>
      </w:r>
      <w:r w:rsidR="00AA5788">
        <w:t xml:space="preserve">3 </w:t>
      </w:r>
      <w:r w:rsidR="008C63B8" w:rsidRPr="0080495D">
        <w:t>years to 44.5 by 2032</w:t>
      </w:r>
      <w:r w:rsidR="0033101B">
        <w:t>–</w:t>
      </w:r>
      <w:r w:rsidR="008C63B8" w:rsidRPr="0080495D">
        <w:t xml:space="preserve">33, while the median age in capital cities is expected to increase by </w:t>
      </w:r>
      <w:r w:rsidR="00576C05">
        <w:t xml:space="preserve">just </w:t>
      </w:r>
      <w:r w:rsidR="008C63B8" w:rsidRPr="0080495D">
        <w:t>over a year to 38.3. Patterns of overseas and internal migration are the largest drivers of these differences</w:t>
      </w:r>
      <w:r w:rsidR="00576C05">
        <w:t>.</w:t>
      </w:r>
      <w:r w:rsidR="008C63B8" w:rsidRPr="0080495D">
        <w:t xml:space="preserve"> </w:t>
      </w:r>
      <w:r w:rsidR="00576C05">
        <w:t>O</w:t>
      </w:r>
      <w:r w:rsidR="008C63B8" w:rsidRPr="0080495D">
        <w:t xml:space="preserve">verseas migrants tend to be younger and </w:t>
      </w:r>
      <w:r w:rsidR="001A6C2E">
        <w:t>more often</w:t>
      </w:r>
      <w:r w:rsidR="008C63B8" w:rsidRPr="0080495D">
        <w:t xml:space="preserve"> settle in capital cities</w:t>
      </w:r>
      <w:r w:rsidR="00463732">
        <w:t>.</w:t>
      </w:r>
      <w:r w:rsidR="008C63B8" w:rsidRPr="0080495D">
        <w:t xml:space="preserve"> </w:t>
      </w:r>
      <w:r w:rsidR="00463732">
        <w:t>Y</w:t>
      </w:r>
      <w:r w:rsidR="008C63B8" w:rsidRPr="0080495D">
        <w:t>ounger Australians</w:t>
      </w:r>
      <w:r w:rsidR="008C63B8" w:rsidRPr="0080495D" w:rsidDel="00DA0506">
        <w:t xml:space="preserve"> </w:t>
      </w:r>
      <w:r w:rsidR="003206C1">
        <w:t xml:space="preserve">also </w:t>
      </w:r>
      <w:r w:rsidR="008C63B8" w:rsidRPr="0080495D">
        <w:t>mov</w:t>
      </w:r>
      <w:r w:rsidR="00576C05">
        <w:t>e</w:t>
      </w:r>
      <w:r w:rsidR="008C63B8" w:rsidRPr="0080495D">
        <w:t xml:space="preserve"> to capital cities to pursue education and employment opportunities and </w:t>
      </w:r>
      <w:r w:rsidR="003206C1">
        <w:t>regional</w:t>
      </w:r>
      <w:r w:rsidR="008C63B8" w:rsidRPr="0080495D">
        <w:t xml:space="preserve"> areas attract a disproportionate share of </w:t>
      </w:r>
      <w:r w:rsidR="00E61082">
        <w:t xml:space="preserve">people of </w:t>
      </w:r>
      <w:r w:rsidR="008C63B8" w:rsidRPr="0080495D">
        <w:t>retirement age.</w:t>
      </w:r>
      <w:r w:rsidR="008C63B8" w:rsidRPr="0080495D">
        <w:rPr>
          <w:rFonts w:ascii="Calibri" w:hAnsi="Calibri"/>
          <w:vertAlign w:val="superscript"/>
        </w:rPr>
        <w:footnoteReference w:id="38"/>
      </w:r>
      <w:r w:rsidR="008C63B8" w:rsidRPr="0080495D">
        <w:t xml:space="preserve"> These factors more than offset higher fertility rates and lower life expectancies in regional areas.</w:t>
      </w:r>
      <w:r w:rsidR="008C63B8" w:rsidRPr="00C82B41">
        <w:t xml:space="preserve"> </w:t>
      </w:r>
    </w:p>
    <w:p w14:paraId="12E1435D" w14:textId="0996FA51" w:rsidR="00BE2045" w:rsidRDefault="00BE2045">
      <w:pPr>
        <w:spacing w:before="0" w:after="160" w:line="259" w:lineRule="auto"/>
      </w:pPr>
      <w:r>
        <w:br w:type="page"/>
      </w:r>
    </w:p>
    <w:p w14:paraId="299C526B" w14:textId="2A9E8DC7" w:rsidR="00E47BB8" w:rsidRDefault="00E47BB8" w:rsidP="0039767A">
      <w:pPr>
        <w:pStyle w:val="Heading2Numbered"/>
      </w:pPr>
      <w:bookmarkStart w:id="137" w:name="_Toc122618373"/>
      <w:r>
        <w:lastRenderedPageBreak/>
        <w:t>New South Wales</w:t>
      </w:r>
      <w:bookmarkEnd w:id="137"/>
    </w:p>
    <w:p w14:paraId="08CDBCA2" w14:textId="1A862575" w:rsidR="00687E2E" w:rsidRPr="0080495D" w:rsidRDefault="00687E2E" w:rsidP="0039767A">
      <w:bookmarkStart w:id="138" w:name="_Hlk113546330"/>
      <w:r w:rsidRPr="00F167CB">
        <w:t xml:space="preserve">New </w:t>
      </w:r>
      <w:r w:rsidR="00F167CB" w:rsidRPr="00F167CB">
        <w:t>South Wales is Australia’s most populous state and is projected to remain so over the next decade, growing from 8.1 million people on 30 June 2021 to 9.1 million by 2032–33. Population growth in New South Wales is heavily reliant on net overseas migration. As such, the state recorded no population growth in 2020</w:t>
      </w:r>
      <w:r w:rsidR="00F167CB" w:rsidRPr="00F167CB">
        <w:sym w:font="Symbol" w:char="F02D"/>
      </w:r>
      <w:r w:rsidR="00F167CB" w:rsidRPr="00F167CB">
        <w:t>21 due to international travel restrictions. Population growth is expected to recover to 1.1 per cent by 2024–25 before declining gradually to 1.0 per cent in 2032–33 (</w:t>
      </w:r>
      <w:r w:rsidR="002C2CC1">
        <w:t>Chart 25</w:t>
      </w:r>
      <w:r w:rsidR="00F167CB" w:rsidRPr="00F167CB">
        <w:t>).</w:t>
      </w:r>
    </w:p>
    <w:p w14:paraId="311BC450" w14:textId="6E2C588F" w:rsidR="00687E2E" w:rsidRPr="0080495D" w:rsidRDefault="00927644" w:rsidP="0039767A">
      <w:r w:rsidRPr="0080495D">
        <w:t>In 2020</w:t>
      </w:r>
      <w:r w:rsidR="0033101B">
        <w:t>–</w:t>
      </w:r>
      <w:r w:rsidRPr="0080495D">
        <w:t>21, New South Wales recorded historically low net overseas migration (</w:t>
      </w:r>
      <w:r w:rsidR="00206101">
        <w:t>-</w:t>
      </w:r>
      <w:r w:rsidRPr="0080495D">
        <w:t>6,500). Overseas migration is forecast to return to net inflows of 75,000 by 2025</w:t>
      </w:r>
      <w:r w:rsidR="0033101B">
        <w:t>–</w:t>
      </w:r>
      <w:r w:rsidRPr="0080495D">
        <w:t xml:space="preserve">26, driven by the return of international students and </w:t>
      </w:r>
      <w:r w:rsidR="00A811BA">
        <w:t xml:space="preserve">other </w:t>
      </w:r>
      <w:r w:rsidRPr="0080495D">
        <w:t>temporary migrants</w:t>
      </w:r>
      <w:bookmarkStart w:id="139" w:name="_Hlk116482757"/>
      <w:r w:rsidRPr="0080495D">
        <w:t xml:space="preserve">. Net overseas migration is forecast to contribute 0.9 </w:t>
      </w:r>
      <w:r w:rsidR="008F7993">
        <w:t>percent</w:t>
      </w:r>
      <w:r w:rsidR="007B0E47">
        <w:t>age points</w:t>
      </w:r>
      <w:r w:rsidRPr="0080495D">
        <w:t xml:space="preserve"> to New South </w:t>
      </w:r>
      <w:proofErr w:type="spellStart"/>
      <w:r w:rsidRPr="0080495D">
        <w:t>Wales’</w:t>
      </w:r>
      <w:proofErr w:type="spellEnd"/>
      <w:r w:rsidRPr="0080495D">
        <w:t xml:space="preserve"> population growth rate in 2025</w:t>
      </w:r>
      <w:r w:rsidR="0033101B">
        <w:t>–</w:t>
      </w:r>
      <w:r w:rsidRPr="0080495D">
        <w:t xml:space="preserve">26, up from </w:t>
      </w:r>
      <w:r w:rsidR="00F45ADC">
        <w:t>-</w:t>
      </w:r>
      <w:r w:rsidRPr="0080495D">
        <w:t>0.1 in 2020</w:t>
      </w:r>
      <w:r w:rsidR="0033101B">
        <w:t>–</w:t>
      </w:r>
      <w:r w:rsidRPr="0080495D">
        <w:t xml:space="preserve">21. </w:t>
      </w:r>
      <w:bookmarkEnd w:id="139"/>
      <w:r w:rsidR="00435134">
        <w:t>The state’s share of national net overseas migration is expected to decline over the next decade to 32 per cent</w:t>
      </w:r>
      <w:r w:rsidR="00D765CB">
        <w:t>,</w:t>
      </w:r>
      <w:r w:rsidR="00435134">
        <w:t xml:space="preserve"> down from an average of 38.2 per cent between </w:t>
      </w:r>
      <w:r w:rsidR="00435134" w:rsidRPr="002A105B">
        <w:t>201</w:t>
      </w:r>
      <w:r w:rsidR="00435134">
        <w:t>3–1</w:t>
      </w:r>
      <w:r w:rsidR="00435134" w:rsidRPr="002A105B">
        <w:t>4</w:t>
      </w:r>
      <w:r w:rsidR="00435134">
        <w:t xml:space="preserve"> and </w:t>
      </w:r>
      <w:r w:rsidR="00435134" w:rsidRPr="002A105B">
        <w:t>201</w:t>
      </w:r>
      <w:r w:rsidR="00435134">
        <w:t>7–1</w:t>
      </w:r>
      <w:r w:rsidR="00435134" w:rsidRPr="002A105B">
        <w:t>8</w:t>
      </w:r>
      <w:r w:rsidR="00435134">
        <w:t>. This reflects a pre-pandemic trend in declining international student arrivals to New South Wales</w:t>
      </w:r>
      <w:r w:rsidR="00435134" w:rsidRPr="0080495D">
        <w:t>.</w:t>
      </w:r>
    </w:p>
    <w:p w14:paraId="277397CA" w14:textId="2F91DD62" w:rsidR="00027AC6" w:rsidRPr="0080495D" w:rsidRDefault="00027AC6" w:rsidP="0039767A">
      <w:bookmarkStart w:id="140" w:name="_Ref115340894"/>
      <w:r w:rsidRPr="007B1D0F">
        <w:t>Natural increase remained stable in 2020–21, with births and deaths similar to pre-pandemic levels</w:t>
      </w:r>
      <w:r w:rsidR="007B1D0F">
        <w:t>. It</w:t>
      </w:r>
      <w:r w:rsidRPr="007B1D0F">
        <w:t xml:space="preserve"> was the only positive contributor to population growth in that year. Natural increase is projected to fall more than usual in 2021–22 and 2022–23 due to an increase in the number of deaths from COVID</w:t>
      </w:r>
      <w:r w:rsidR="009B78C6" w:rsidRPr="007B1D0F">
        <w:t>-</w:t>
      </w:r>
      <w:r w:rsidRPr="007B1D0F">
        <w:t xml:space="preserve">19 and other causes. </w:t>
      </w:r>
      <w:r w:rsidR="000271BC">
        <w:t>After recovering in 2023</w:t>
      </w:r>
      <w:r w:rsidR="000271BC" w:rsidRPr="007B1D0F">
        <w:t>–</w:t>
      </w:r>
      <w:r w:rsidR="000271BC">
        <w:t>24, f</w:t>
      </w:r>
      <w:r w:rsidRPr="007B1D0F">
        <w:t>rom 2024–25 onwards, natural increase is projected to return to pre</w:t>
      </w:r>
      <w:r w:rsidR="009B78C6" w:rsidRPr="007B1D0F">
        <w:t>-</w:t>
      </w:r>
      <w:r w:rsidRPr="007B1D0F">
        <w:t>pandemic trends</w:t>
      </w:r>
      <w:r w:rsidR="004403D6">
        <w:t xml:space="preserve"> and</w:t>
      </w:r>
      <w:r w:rsidRPr="007B1D0F">
        <w:t xml:space="preserve"> gradually decreas</w:t>
      </w:r>
      <w:r w:rsidR="004403D6">
        <w:t>e</w:t>
      </w:r>
      <w:r w:rsidRPr="007B1D0F">
        <w:t xml:space="preserve"> through to 2032–33.</w:t>
      </w:r>
      <w:r w:rsidR="006772DF">
        <w:t xml:space="preserve"> </w:t>
      </w:r>
    </w:p>
    <w:p w14:paraId="3CCBCF67" w14:textId="77777777" w:rsidR="00F167CB" w:rsidRPr="0080495D" w:rsidRDefault="00F167CB" w:rsidP="0039767A">
      <w:bookmarkStart w:id="141" w:name="_Ref118133437"/>
      <w:r w:rsidRPr="00F167CB">
        <w:t>New South Wales has generally experienced net outflows of interstate migration. This is forecast to reach a historically high outflow of 40,000 in 2021–22 due to an extended COVID-19 lockdown in the second half of 2021, subtracting 0.5 percentage points from growth. Pre-pandemic patterns are forecast to return from 2023</w:t>
      </w:r>
      <w:r w:rsidRPr="00F167CB">
        <w:sym w:font="Symbol" w:char="F02D"/>
      </w:r>
      <w:r w:rsidRPr="00F167CB">
        <w:t>24, resulting in net interstate migration of -23,000 for New South Wales, subtracting 0.3 percentage points from growth. Levels of interstate migration are projected to remain generally stable for the remainder of the projection period through to 2032–33.</w:t>
      </w:r>
      <w:r w:rsidRPr="0080495D">
        <w:t xml:space="preserve"> </w:t>
      </w:r>
    </w:p>
    <w:p w14:paraId="5D6865F5" w14:textId="77777777" w:rsidR="004D5372" w:rsidRPr="0080495D" w:rsidRDefault="004D5372" w:rsidP="004D5372">
      <w:pPr>
        <w:pStyle w:val="Heading9"/>
      </w:pPr>
      <w:bookmarkStart w:id="142" w:name="_Ref121132524"/>
      <w:r w:rsidRPr="0080495D">
        <w:t>Population growth and components, New South Wales</w:t>
      </w:r>
      <w:bookmarkEnd w:id="140"/>
      <w:bookmarkEnd w:id="141"/>
      <w:bookmarkEnd w:id="142"/>
    </w:p>
    <w:p w14:paraId="091C56AD" w14:textId="40CDFCC1" w:rsidR="004D5372" w:rsidRPr="0080495D" w:rsidRDefault="00E657FA" w:rsidP="00564E3B">
      <w:pPr>
        <w:spacing w:before="0" w:after="0"/>
        <w:jc w:val="center"/>
      </w:pPr>
      <w:r w:rsidRPr="00E657FA">
        <w:rPr>
          <w:noProof/>
        </w:rPr>
        <w:drawing>
          <wp:inline distT="0" distB="0" distL="0" distR="0" wp14:anchorId="79BD6D8D" wp14:editId="60A1B25E">
            <wp:extent cx="5581650" cy="2524125"/>
            <wp:effectExtent l="0" t="0" r="0" b="0"/>
            <wp:docPr id="93" name="Picture 93" descr="A chart showing total population growth in New South Wales, disaggregated into its components: natural increase, net overseas migration, and net interstate migration. Intercensal difference is also shown. Population growth declined significantly in 2019-20 and 2020-21 as overseas migration dropped. Population growth is projected to peak at 1.1 per cent in 2024-25 before slowly declining to 1.0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chart showing total population growth in New South Wales, disaggregated into its components: natural increase, net overseas migration, and net interstate migration. Intercensal difference is also shown. Population growth declined significantly in 2019-20 and 2020-21 as overseas migration dropped. Population growth is projected to peak at 1.1 per cent in 2024-25 before slowly declining to 1.0 per cent by 2032-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F35E931" w14:textId="2E25E05A" w:rsidR="004D5372" w:rsidRPr="0080495D" w:rsidRDefault="004D5372" w:rsidP="004D5372">
      <w:pPr>
        <w:pStyle w:val="Source"/>
      </w:pPr>
      <w:r w:rsidRPr="0080495D">
        <w:t xml:space="preserve">Source: </w:t>
      </w:r>
      <w:r w:rsidR="0031429D">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6D4C13A8" w14:textId="452C0A9C" w:rsidR="00687E2E" w:rsidRDefault="00687E2E" w:rsidP="00584010">
      <w:pPr>
        <w:spacing w:before="0" w:after="160" w:line="259" w:lineRule="auto"/>
      </w:pPr>
    </w:p>
    <w:p w14:paraId="459FD851" w14:textId="77777777" w:rsidR="00DB40C7" w:rsidRPr="0080495D" w:rsidRDefault="00DB40C7" w:rsidP="00584010">
      <w:pPr>
        <w:spacing w:before="0" w:after="160" w:line="259" w:lineRule="auto"/>
      </w:pPr>
    </w:p>
    <w:p w14:paraId="1A9B08FF" w14:textId="77777777" w:rsidR="00687E2E" w:rsidRPr="0080495D" w:rsidRDefault="00687E2E" w:rsidP="009D5E0B">
      <w:pPr>
        <w:pStyle w:val="Heading3"/>
      </w:pPr>
      <w:bookmarkStart w:id="143" w:name="_Toc120635114"/>
      <w:bookmarkStart w:id="144" w:name="_Toc122617947"/>
      <w:bookmarkStart w:id="145" w:name="_Toc122618374"/>
      <w:bookmarkStart w:id="146" w:name="_Hlk113546317"/>
      <w:r w:rsidRPr="0080495D">
        <w:lastRenderedPageBreak/>
        <w:t>Greater Sydney and the Rest of New South Wales</w:t>
      </w:r>
      <w:bookmarkEnd w:id="143"/>
      <w:bookmarkEnd w:id="144"/>
      <w:bookmarkEnd w:id="145"/>
    </w:p>
    <w:bookmarkEnd w:id="146"/>
    <w:p w14:paraId="528FBF09" w14:textId="364E69AD" w:rsidR="00055125" w:rsidRPr="00877EDE" w:rsidRDefault="00055125" w:rsidP="00055125">
      <w:r w:rsidRPr="007B1D0F">
        <w:t xml:space="preserve">The population of Greater Sydney was 5.3 million on 30 June 2021, making it Australia’s largest city and 65 per cent of the population of New South Wales. Sydney experienced a large fall in population growth in 2020–21 to -0.5 per cent due to reductions in net overseas migration. Sydney’s population growth is projected to recover as international travel restrictions ease and overseas migration returns. </w:t>
      </w:r>
      <w:r w:rsidR="00A811BA">
        <w:t>Population growth</w:t>
      </w:r>
      <w:r w:rsidRPr="007B1D0F">
        <w:t xml:space="preserve"> is projected </w:t>
      </w:r>
      <w:r w:rsidR="00A811BA">
        <w:t>to be</w:t>
      </w:r>
      <w:r w:rsidR="00A811BA" w:rsidRPr="007B1D0F">
        <w:t xml:space="preserve"> </w:t>
      </w:r>
      <w:r w:rsidRPr="007B1D0F">
        <w:t>0.9</w:t>
      </w:r>
      <w:r w:rsidR="007B1D0F">
        <w:t> </w:t>
      </w:r>
      <w:r w:rsidRPr="007B1D0F">
        <w:t>per cent in 2021–22, 1.2 per cent in 2022–23 and 1.3 per cent by 2024–25, before slowing to 1.1 per cent in 2032–33. Sydney’s population is projected to be 6.</w:t>
      </w:r>
      <w:r w:rsidR="003A416A">
        <w:t>1</w:t>
      </w:r>
      <w:r w:rsidRPr="007B1D0F">
        <w:t> million in 2032–33.</w:t>
      </w:r>
    </w:p>
    <w:p w14:paraId="3D82D5C4" w14:textId="23383FD3" w:rsidR="00F167CB" w:rsidRPr="0080495D" w:rsidRDefault="00F167CB" w:rsidP="00F167CB">
      <w:r w:rsidRPr="00F167CB">
        <w:t>Population growth in the rest of New South Wales has also fallen throughout the pandemic, albeit less than in Sydney. Population growth in the rest of New South Wales is projected to be 0.3 per cent in 2021–22, driven largely by a drop in net internal migration, and then increase to 0.7 per cent by 202</w:t>
      </w:r>
      <w:r w:rsidR="00BE6F03">
        <w:t>3</w:t>
      </w:r>
      <w:r w:rsidRPr="00F167CB">
        <w:t>–2</w:t>
      </w:r>
      <w:r w:rsidR="00BE6F03">
        <w:t>4</w:t>
      </w:r>
      <w:r w:rsidRPr="00F167CB">
        <w:t>. Population growth is then projected to remain steady through to 2032–33. In 2032–33, the population of the rest of New South Wales is projected to be 3.1 million.</w:t>
      </w:r>
    </w:p>
    <w:p w14:paraId="0006EC40" w14:textId="77777777" w:rsidR="00687E2E" w:rsidRPr="0080495D" w:rsidRDefault="00687E2E" w:rsidP="00687E2E">
      <w:pPr>
        <w:pStyle w:val="Heading9"/>
      </w:pPr>
      <w:r w:rsidRPr="0080495D">
        <w:t>Population growth in New South Wales, Sydney and the Rest of New South Wales</w:t>
      </w:r>
    </w:p>
    <w:p w14:paraId="24A2168A" w14:textId="459EC405" w:rsidR="00687E2E" w:rsidRPr="0080495D" w:rsidRDefault="00346AC5" w:rsidP="000C4294">
      <w:pPr>
        <w:spacing w:before="0" w:after="0"/>
        <w:jc w:val="center"/>
      </w:pPr>
      <w:r w:rsidRPr="00346AC5">
        <w:t xml:space="preserve"> </w:t>
      </w:r>
      <w:r w:rsidR="00D34605" w:rsidRPr="00D34605">
        <w:rPr>
          <w:noProof/>
        </w:rPr>
        <w:drawing>
          <wp:inline distT="0" distB="0" distL="0" distR="0" wp14:anchorId="2697521F" wp14:editId="2697F2A5">
            <wp:extent cx="5581650" cy="2524125"/>
            <wp:effectExtent l="0" t="0" r="0" b="0"/>
            <wp:docPr id="88" name="Picture 88" descr="A chart comparing population growth in New South Wales, Sydney, and the rest of New South Wales. Population growth declined significantly in Sydney in 2019-20 and 2020-21, driving growth lower in the state. Population growth in the rest of New South Wales remained steady in 2020-21 but is forecast to slow in 2021-22. Population growth in all 3 areas is then forecast to recover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chart comparing population growth in New South Wales, Sydney, and the rest of New South Wales. Population growth declined significantly in Sydney in 2019-20 and 2020-21, driving growth lower in the state. Population growth in the rest of New South Wales remained steady in 2020-21 but is forecast to slow in 2021-22. Population growth in all 3 areas is then forecast to recover thereafte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ADFBB3F" w14:textId="2E5FB9C5" w:rsidR="004D5372" w:rsidRPr="0080495D" w:rsidRDefault="00687E2E" w:rsidP="00687E2E">
      <w:pPr>
        <w:pStyle w:val="Source"/>
        <w:rPr>
          <w:rStyle w:val="Hyperlink"/>
        </w:rPr>
      </w:pPr>
      <w:r w:rsidRPr="0080495D">
        <w:t xml:space="preserve">Source: </w:t>
      </w:r>
      <w:r w:rsidR="00A30CFF">
        <w:rPr>
          <w:noProof/>
        </w:rPr>
        <w:t>Australian Bureau of Statistics, Regional population, 2022</w:t>
      </w:r>
      <w:r w:rsidR="0046336F">
        <w:t>;</w:t>
      </w:r>
      <w:r w:rsidRPr="0080495D">
        <w:t xml:space="preserve"> </w:t>
      </w:r>
      <w:r w:rsidR="00A30CF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5F5DA8A1" w14:textId="77777777" w:rsidR="00CD158B" w:rsidRPr="0080495D" w:rsidRDefault="00CD158B" w:rsidP="00584010">
      <w:pPr>
        <w:spacing w:before="0" w:after="160" w:line="259" w:lineRule="auto"/>
      </w:pPr>
    </w:p>
    <w:p w14:paraId="54DB83AA" w14:textId="77777777" w:rsidR="00CD158B" w:rsidRPr="0080495D" w:rsidRDefault="00CD158B" w:rsidP="00584010">
      <w:pPr>
        <w:spacing w:before="0" w:after="160" w:line="259" w:lineRule="auto"/>
      </w:pPr>
    </w:p>
    <w:p w14:paraId="191BD719" w14:textId="77777777" w:rsidR="00CD158B" w:rsidRPr="0080495D" w:rsidRDefault="00CD158B" w:rsidP="00584010">
      <w:pPr>
        <w:spacing w:before="0" w:after="160" w:line="259" w:lineRule="auto"/>
      </w:pPr>
    </w:p>
    <w:p w14:paraId="3E39C4AE" w14:textId="77777777" w:rsidR="0027185F" w:rsidRDefault="0027185F">
      <w:pPr>
        <w:spacing w:before="0" w:after="160" w:line="259" w:lineRule="auto"/>
        <w:rPr>
          <w:b/>
          <w:bCs/>
          <w:smallCaps/>
          <w:color w:val="002C47" w:themeColor="accent1"/>
          <w:spacing w:val="15"/>
        </w:rPr>
      </w:pPr>
      <w:r>
        <w:br w:type="page"/>
      </w:r>
    </w:p>
    <w:p w14:paraId="5C178C5C" w14:textId="1FE49954" w:rsidR="00CD158B" w:rsidRPr="0080495D" w:rsidRDefault="00CD158B" w:rsidP="005540BC">
      <w:pPr>
        <w:pStyle w:val="TableMainHeading"/>
      </w:pPr>
      <w:r w:rsidRPr="0080495D">
        <w:lastRenderedPageBreak/>
        <w:t>Population projections, New South Wales</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rsidRPr="0080495D" w14:paraId="3A36F677"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0E707AB2" w14:textId="77777777" w:rsidR="00CD158B" w:rsidRPr="0080495D" w:rsidRDefault="00CD158B" w:rsidP="00676947">
            <w:pPr>
              <w:spacing w:after="0"/>
            </w:pPr>
          </w:p>
        </w:tc>
        <w:tc>
          <w:tcPr>
            <w:tcW w:w="996" w:type="dxa"/>
          </w:tcPr>
          <w:p w14:paraId="0C1FA6E7" w14:textId="589C8A9F" w:rsidR="00CD158B" w:rsidRPr="0080495D" w:rsidRDefault="00CD158B" w:rsidP="002C06DC">
            <w:pPr>
              <w:pStyle w:val="TableColumnHeadingLeft"/>
            </w:pPr>
            <w:r w:rsidRPr="0080495D">
              <w:t>2020</w:t>
            </w:r>
            <w:r w:rsidR="0033101B">
              <w:t>–</w:t>
            </w:r>
            <w:r w:rsidRPr="0080495D">
              <w:t>21</w:t>
            </w:r>
          </w:p>
        </w:tc>
        <w:tc>
          <w:tcPr>
            <w:tcW w:w="996" w:type="dxa"/>
            <w:shd w:val="clear" w:color="auto" w:fill="D2EDFF" w:themeFill="accent1" w:themeFillTint="1A"/>
          </w:tcPr>
          <w:p w14:paraId="3552B426" w14:textId="087EE063" w:rsidR="00CD158B" w:rsidRPr="0080495D" w:rsidRDefault="00CD158B" w:rsidP="002C06DC">
            <w:pPr>
              <w:pStyle w:val="TableColumnHeadingLeft"/>
            </w:pPr>
            <w:r w:rsidRPr="0080495D">
              <w:t>2021</w:t>
            </w:r>
            <w:r w:rsidR="0033101B">
              <w:t>–</w:t>
            </w:r>
            <w:r w:rsidRPr="0080495D">
              <w:t>22</w:t>
            </w:r>
          </w:p>
        </w:tc>
        <w:tc>
          <w:tcPr>
            <w:tcW w:w="996" w:type="dxa"/>
          </w:tcPr>
          <w:p w14:paraId="40D5F38A" w14:textId="0672FBA7" w:rsidR="00CD158B" w:rsidRPr="0080495D" w:rsidRDefault="00CD158B" w:rsidP="002C06DC">
            <w:pPr>
              <w:pStyle w:val="TableColumnHeadingLeft"/>
            </w:pPr>
            <w:r w:rsidRPr="0080495D">
              <w:t>2022</w:t>
            </w:r>
            <w:r w:rsidR="0033101B">
              <w:t>–</w:t>
            </w:r>
            <w:r w:rsidRPr="0080495D">
              <w:t>23</w:t>
            </w:r>
          </w:p>
        </w:tc>
        <w:tc>
          <w:tcPr>
            <w:tcW w:w="996" w:type="dxa"/>
          </w:tcPr>
          <w:p w14:paraId="6AECD7E3" w14:textId="042CE64D" w:rsidR="00CD158B" w:rsidRPr="0080495D" w:rsidRDefault="00CD158B" w:rsidP="002C06DC">
            <w:pPr>
              <w:pStyle w:val="TableColumnHeadingLeft"/>
            </w:pPr>
            <w:r w:rsidRPr="0080495D">
              <w:t>2023</w:t>
            </w:r>
            <w:r w:rsidR="0033101B">
              <w:t>–</w:t>
            </w:r>
            <w:r w:rsidRPr="0080495D">
              <w:t>24</w:t>
            </w:r>
          </w:p>
        </w:tc>
        <w:tc>
          <w:tcPr>
            <w:tcW w:w="996" w:type="dxa"/>
            <w:tcBorders>
              <w:right w:val="single" w:sz="4" w:space="0" w:color="auto"/>
            </w:tcBorders>
          </w:tcPr>
          <w:p w14:paraId="1B2308BE" w14:textId="498BC707" w:rsidR="00CD158B" w:rsidRPr="0080495D" w:rsidRDefault="00CD158B" w:rsidP="002C06DC">
            <w:pPr>
              <w:pStyle w:val="TableColumnHeadingLeft"/>
            </w:pPr>
            <w:r w:rsidRPr="0080495D">
              <w:t>2024</w:t>
            </w:r>
            <w:r w:rsidR="0033101B">
              <w:t>–</w:t>
            </w:r>
            <w:r w:rsidRPr="0080495D">
              <w:t>25</w:t>
            </w:r>
          </w:p>
        </w:tc>
        <w:tc>
          <w:tcPr>
            <w:tcW w:w="996" w:type="dxa"/>
            <w:tcBorders>
              <w:left w:val="single" w:sz="4" w:space="0" w:color="auto"/>
            </w:tcBorders>
          </w:tcPr>
          <w:p w14:paraId="2A131C71" w14:textId="125F3415" w:rsidR="00CD158B" w:rsidRPr="0080495D" w:rsidRDefault="00CD158B" w:rsidP="002C06DC">
            <w:pPr>
              <w:pStyle w:val="TableColumnHeadingLeft"/>
            </w:pPr>
            <w:r w:rsidRPr="0080495D">
              <w:t>2032</w:t>
            </w:r>
            <w:r w:rsidR="0033101B">
              <w:t>–</w:t>
            </w:r>
            <w:r w:rsidRPr="0080495D">
              <w:t>33</w:t>
            </w:r>
          </w:p>
        </w:tc>
      </w:tr>
      <w:tr w:rsidR="00055125" w:rsidRPr="0080495D" w14:paraId="281E0192" w14:textId="77777777" w:rsidTr="00676947">
        <w:tc>
          <w:tcPr>
            <w:tcW w:w="3096" w:type="dxa"/>
          </w:tcPr>
          <w:p w14:paraId="6999FDC8" w14:textId="77777777" w:rsidR="00055125" w:rsidRPr="00363EFE" w:rsidRDefault="00055125" w:rsidP="007F14AC">
            <w:pPr>
              <w:pStyle w:val="TableColumnHeadingLeft"/>
              <w:rPr>
                <w:color w:val="002C47" w:themeColor="accent1"/>
              </w:rPr>
            </w:pPr>
            <w:r w:rsidRPr="00363EFE">
              <w:rPr>
                <w:color w:val="002C47" w:themeColor="accent1"/>
              </w:rPr>
              <w:t>Population (‘000)</w:t>
            </w:r>
          </w:p>
        </w:tc>
        <w:tc>
          <w:tcPr>
            <w:tcW w:w="996" w:type="dxa"/>
          </w:tcPr>
          <w:p w14:paraId="53A9D798" w14:textId="77777777" w:rsidR="00055125" w:rsidRPr="00E20618" w:rsidRDefault="00055125" w:rsidP="007F14AC">
            <w:pPr>
              <w:pStyle w:val="TableTextLeft"/>
            </w:pPr>
          </w:p>
        </w:tc>
        <w:tc>
          <w:tcPr>
            <w:tcW w:w="996" w:type="dxa"/>
            <w:shd w:val="clear" w:color="auto" w:fill="D2EDFF" w:themeFill="accent1" w:themeFillTint="1A"/>
          </w:tcPr>
          <w:p w14:paraId="35C0B850" w14:textId="77777777" w:rsidR="00055125" w:rsidRPr="00E20618" w:rsidRDefault="00055125" w:rsidP="007F14AC">
            <w:pPr>
              <w:pStyle w:val="TableTextLeft"/>
            </w:pPr>
          </w:p>
        </w:tc>
        <w:tc>
          <w:tcPr>
            <w:tcW w:w="996" w:type="dxa"/>
          </w:tcPr>
          <w:p w14:paraId="3D6BA396" w14:textId="77777777" w:rsidR="00055125" w:rsidRPr="00E20618" w:rsidRDefault="00055125" w:rsidP="007F14AC">
            <w:pPr>
              <w:pStyle w:val="TableTextLeft"/>
            </w:pPr>
          </w:p>
        </w:tc>
        <w:tc>
          <w:tcPr>
            <w:tcW w:w="996" w:type="dxa"/>
          </w:tcPr>
          <w:p w14:paraId="656F991E" w14:textId="77777777" w:rsidR="00055125" w:rsidRPr="00E20618" w:rsidRDefault="00055125" w:rsidP="007F14AC">
            <w:pPr>
              <w:pStyle w:val="TableTextLeft"/>
            </w:pPr>
          </w:p>
        </w:tc>
        <w:tc>
          <w:tcPr>
            <w:tcW w:w="996" w:type="dxa"/>
            <w:tcBorders>
              <w:right w:val="single" w:sz="4" w:space="0" w:color="auto"/>
            </w:tcBorders>
          </w:tcPr>
          <w:p w14:paraId="0551F5C2" w14:textId="77777777" w:rsidR="00055125" w:rsidRPr="00E20618" w:rsidRDefault="00055125" w:rsidP="007F14AC">
            <w:pPr>
              <w:pStyle w:val="TableTextLeft"/>
            </w:pPr>
          </w:p>
        </w:tc>
        <w:tc>
          <w:tcPr>
            <w:tcW w:w="996" w:type="dxa"/>
            <w:tcBorders>
              <w:top w:val="single" w:sz="4" w:space="0" w:color="000000" w:themeColor="text1"/>
              <w:left w:val="single" w:sz="4" w:space="0" w:color="auto"/>
              <w:bottom w:val="nil"/>
            </w:tcBorders>
          </w:tcPr>
          <w:p w14:paraId="344DCF7F" w14:textId="77777777" w:rsidR="00055125" w:rsidRPr="00E20618" w:rsidRDefault="00055125" w:rsidP="007F14AC">
            <w:pPr>
              <w:pStyle w:val="TableTextLeft"/>
            </w:pPr>
          </w:p>
        </w:tc>
      </w:tr>
      <w:tr w:rsidR="00055125" w:rsidRPr="0080495D" w14:paraId="6A1A9643" w14:textId="77777777" w:rsidTr="00870149">
        <w:tc>
          <w:tcPr>
            <w:tcW w:w="3096" w:type="dxa"/>
          </w:tcPr>
          <w:p w14:paraId="222F0DFD"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0238757C" w14:textId="567C6103" w:rsidR="00055125" w:rsidRPr="00E20618" w:rsidRDefault="00055125" w:rsidP="000649FA">
            <w:pPr>
              <w:pStyle w:val="TableTextLeft"/>
              <w:jc w:val="right"/>
            </w:pPr>
            <w:r w:rsidRPr="00E20618">
              <w:rPr>
                <w:rFonts w:cstheme="minorHAnsi"/>
              </w:rPr>
              <w:t>8,094</w:t>
            </w:r>
          </w:p>
        </w:tc>
        <w:tc>
          <w:tcPr>
            <w:tcW w:w="996" w:type="dxa"/>
            <w:tcBorders>
              <w:top w:val="nil"/>
              <w:left w:val="nil"/>
              <w:bottom w:val="nil"/>
              <w:right w:val="nil"/>
            </w:tcBorders>
            <w:shd w:val="clear" w:color="auto" w:fill="D2EDFF" w:themeFill="accent1" w:themeFillTint="1A"/>
          </w:tcPr>
          <w:p w14:paraId="4AFFCFF7" w14:textId="044A0D5A" w:rsidR="00055125" w:rsidRPr="00E20618" w:rsidRDefault="00055125" w:rsidP="000649FA">
            <w:pPr>
              <w:pStyle w:val="TableTextLeft"/>
              <w:jc w:val="right"/>
            </w:pPr>
            <w:r w:rsidRPr="00E20618">
              <w:rPr>
                <w:rFonts w:cstheme="minorHAnsi"/>
              </w:rPr>
              <w:t>8,149</w:t>
            </w:r>
          </w:p>
        </w:tc>
        <w:tc>
          <w:tcPr>
            <w:tcW w:w="996" w:type="dxa"/>
            <w:tcBorders>
              <w:top w:val="nil"/>
              <w:left w:val="nil"/>
              <w:bottom w:val="nil"/>
              <w:right w:val="nil"/>
            </w:tcBorders>
          </w:tcPr>
          <w:p w14:paraId="52DA203B" w14:textId="10E4AC25" w:rsidR="00055125" w:rsidRPr="00E20618" w:rsidRDefault="00055125" w:rsidP="000649FA">
            <w:pPr>
              <w:pStyle w:val="TableTextLeft"/>
              <w:jc w:val="right"/>
            </w:pPr>
            <w:r w:rsidRPr="00E20618">
              <w:rPr>
                <w:rFonts w:cstheme="minorHAnsi"/>
              </w:rPr>
              <w:t>8,228</w:t>
            </w:r>
          </w:p>
        </w:tc>
        <w:tc>
          <w:tcPr>
            <w:tcW w:w="996" w:type="dxa"/>
            <w:tcBorders>
              <w:top w:val="nil"/>
              <w:left w:val="nil"/>
              <w:bottom w:val="nil"/>
              <w:right w:val="nil"/>
            </w:tcBorders>
          </w:tcPr>
          <w:p w14:paraId="15135EB0" w14:textId="134EBB3B" w:rsidR="00055125" w:rsidRPr="00E20618" w:rsidRDefault="00055125" w:rsidP="000649FA">
            <w:pPr>
              <w:pStyle w:val="TableTextLeft"/>
              <w:jc w:val="right"/>
            </w:pPr>
            <w:r w:rsidRPr="00E20618">
              <w:rPr>
                <w:rFonts w:cstheme="minorHAnsi"/>
              </w:rPr>
              <w:t>8,319</w:t>
            </w:r>
          </w:p>
        </w:tc>
        <w:tc>
          <w:tcPr>
            <w:tcW w:w="996" w:type="dxa"/>
            <w:tcBorders>
              <w:top w:val="nil"/>
              <w:left w:val="nil"/>
              <w:bottom w:val="nil"/>
              <w:right w:val="single" w:sz="4" w:space="0" w:color="auto"/>
            </w:tcBorders>
          </w:tcPr>
          <w:p w14:paraId="232444F4" w14:textId="759A8C11" w:rsidR="00055125" w:rsidRPr="00E20618" w:rsidRDefault="00055125" w:rsidP="000649FA">
            <w:pPr>
              <w:pStyle w:val="TableTextLeft"/>
              <w:jc w:val="right"/>
            </w:pPr>
            <w:r w:rsidRPr="00E20618">
              <w:rPr>
                <w:rFonts w:cstheme="minorHAnsi"/>
              </w:rPr>
              <w:t>8,412</w:t>
            </w:r>
          </w:p>
        </w:tc>
        <w:tc>
          <w:tcPr>
            <w:tcW w:w="996" w:type="dxa"/>
            <w:tcBorders>
              <w:top w:val="nil"/>
              <w:left w:val="single" w:sz="4" w:space="0" w:color="auto"/>
              <w:bottom w:val="nil"/>
              <w:right w:val="nil"/>
            </w:tcBorders>
          </w:tcPr>
          <w:p w14:paraId="41761544" w14:textId="2287DFA0" w:rsidR="00055125" w:rsidRPr="00E20618" w:rsidRDefault="00055125" w:rsidP="000649FA">
            <w:pPr>
              <w:pStyle w:val="TableTextLeft"/>
              <w:jc w:val="right"/>
            </w:pPr>
            <w:r w:rsidRPr="00E20618">
              <w:rPr>
                <w:rFonts w:cstheme="minorHAnsi"/>
              </w:rPr>
              <w:t>9,131</w:t>
            </w:r>
          </w:p>
        </w:tc>
      </w:tr>
      <w:tr w:rsidR="00055125" w:rsidRPr="0080495D" w14:paraId="1E1E5077" w14:textId="77777777" w:rsidTr="00870149">
        <w:tc>
          <w:tcPr>
            <w:tcW w:w="3096" w:type="dxa"/>
          </w:tcPr>
          <w:p w14:paraId="190369E6"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33026310" w14:textId="38A09CA8" w:rsidR="00055125" w:rsidRPr="00E20618" w:rsidRDefault="00055125" w:rsidP="000649FA">
            <w:pPr>
              <w:pStyle w:val="TableTextLeft"/>
              <w:jc w:val="right"/>
            </w:pPr>
            <w:r w:rsidRPr="00E20618">
              <w:rPr>
                <w:rFonts w:cstheme="minorHAnsi"/>
              </w:rPr>
              <w:t>5,260</w:t>
            </w:r>
          </w:p>
        </w:tc>
        <w:tc>
          <w:tcPr>
            <w:tcW w:w="996" w:type="dxa"/>
            <w:tcBorders>
              <w:top w:val="nil"/>
              <w:left w:val="nil"/>
              <w:bottom w:val="nil"/>
              <w:right w:val="nil"/>
            </w:tcBorders>
            <w:shd w:val="clear" w:color="auto" w:fill="D2EDFF" w:themeFill="accent1" w:themeFillTint="1A"/>
          </w:tcPr>
          <w:p w14:paraId="7D9F33BA" w14:textId="0BA175BF" w:rsidR="00055125" w:rsidRPr="00E20618" w:rsidRDefault="00055125" w:rsidP="000649FA">
            <w:pPr>
              <w:pStyle w:val="TableTextLeft"/>
              <w:jc w:val="right"/>
            </w:pPr>
            <w:r w:rsidRPr="00E20618">
              <w:rPr>
                <w:rFonts w:cstheme="minorHAnsi"/>
              </w:rPr>
              <w:t>5,305</w:t>
            </w:r>
          </w:p>
        </w:tc>
        <w:tc>
          <w:tcPr>
            <w:tcW w:w="996" w:type="dxa"/>
            <w:tcBorders>
              <w:top w:val="nil"/>
              <w:left w:val="nil"/>
              <w:bottom w:val="nil"/>
              <w:right w:val="nil"/>
            </w:tcBorders>
          </w:tcPr>
          <w:p w14:paraId="5F905B62" w14:textId="3B06FC85" w:rsidR="00055125" w:rsidRPr="00E20618" w:rsidRDefault="00055125" w:rsidP="000649FA">
            <w:pPr>
              <w:pStyle w:val="TableTextLeft"/>
              <w:jc w:val="right"/>
            </w:pPr>
            <w:r w:rsidRPr="00E20618">
              <w:rPr>
                <w:rFonts w:cstheme="minorHAnsi"/>
              </w:rPr>
              <w:t>5,369</w:t>
            </w:r>
          </w:p>
        </w:tc>
        <w:tc>
          <w:tcPr>
            <w:tcW w:w="996" w:type="dxa"/>
            <w:tcBorders>
              <w:top w:val="nil"/>
              <w:left w:val="nil"/>
              <w:bottom w:val="nil"/>
              <w:right w:val="nil"/>
            </w:tcBorders>
          </w:tcPr>
          <w:p w14:paraId="400E9F56" w14:textId="55F18E32" w:rsidR="00055125" w:rsidRPr="00E20618" w:rsidRDefault="00055125" w:rsidP="000649FA">
            <w:pPr>
              <w:pStyle w:val="TableTextLeft"/>
              <w:jc w:val="right"/>
            </w:pPr>
            <w:r w:rsidRPr="00E20618">
              <w:rPr>
                <w:rFonts w:cstheme="minorHAnsi"/>
              </w:rPr>
              <w:t>5,440</w:t>
            </w:r>
          </w:p>
        </w:tc>
        <w:tc>
          <w:tcPr>
            <w:tcW w:w="996" w:type="dxa"/>
            <w:tcBorders>
              <w:top w:val="nil"/>
              <w:left w:val="nil"/>
              <w:bottom w:val="nil"/>
              <w:right w:val="single" w:sz="4" w:space="0" w:color="auto"/>
            </w:tcBorders>
          </w:tcPr>
          <w:p w14:paraId="0C036CD4" w14:textId="3C5527A0" w:rsidR="00055125" w:rsidRPr="00E20618" w:rsidRDefault="00055125" w:rsidP="000649FA">
            <w:pPr>
              <w:pStyle w:val="TableTextLeft"/>
              <w:jc w:val="right"/>
            </w:pPr>
            <w:r w:rsidRPr="00E20618">
              <w:rPr>
                <w:rFonts w:cstheme="minorHAnsi"/>
              </w:rPr>
              <w:t>5,512</w:t>
            </w:r>
          </w:p>
        </w:tc>
        <w:tc>
          <w:tcPr>
            <w:tcW w:w="996" w:type="dxa"/>
            <w:tcBorders>
              <w:top w:val="nil"/>
              <w:left w:val="single" w:sz="4" w:space="0" w:color="auto"/>
              <w:bottom w:val="nil"/>
              <w:right w:val="nil"/>
            </w:tcBorders>
          </w:tcPr>
          <w:p w14:paraId="7A72B889" w14:textId="4506B5D7" w:rsidR="00055125" w:rsidRPr="00E20618" w:rsidRDefault="00055125" w:rsidP="000649FA">
            <w:pPr>
              <w:pStyle w:val="TableTextLeft"/>
              <w:jc w:val="right"/>
            </w:pPr>
            <w:r w:rsidRPr="00E20618">
              <w:rPr>
                <w:rFonts w:cstheme="minorHAnsi"/>
              </w:rPr>
              <w:t>6,062</w:t>
            </w:r>
          </w:p>
        </w:tc>
      </w:tr>
      <w:tr w:rsidR="00055125" w:rsidRPr="0080495D" w14:paraId="5198279D" w14:textId="77777777" w:rsidTr="00870149">
        <w:tc>
          <w:tcPr>
            <w:tcW w:w="3096" w:type="dxa"/>
          </w:tcPr>
          <w:p w14:paraId="0C019FE7"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35601D03" w14:textId="5E1AA724" w:rsidR="00055125" w:rsidRPr="00E20618" w:rsidRDefault="00055125" w:rsidP="000649FA">
            <w:pPr>
              <w:pStyle w:val="TableTextLeft"/>
              <w:jc w:val="right"/>
            </w:pPr>
            <w:r w:rsidRPr="00E20618">
              <w:rPr>
                <w:rFonts w:cstheme="minorHAnsi"/>
              </w:rPr>
              <w:t>2,834</w:t>
            </w:r>
          </w:p>
        </w:tc>
        <w:tc>
          <w:tcPr>
            <w:tcW w:w="996" w:type="dxa"/>
            <w:tcBorders>
              <w:top w:val="nil"/>
              <w:left w:val="nil"/>
              <w:bottom w:val="nil"/>
              <w:right w:val="nil"/>
            </w:tcBorders>
            <w:shd w:val="clear" w:color="auto" w:fill="D2EDFF" w:themeFill="accent1" w:themeFillTint="1A"/>
          </w:tcPr>
          <w:p w14:paraId="4345C97E" w14:textId="532DA0A6" w:rsidR="00055125" w:rsidRPr="00E20618" w:rsidRDefault="00055125" w:rsidP="000649FA">
            <w:pPr>
              <w:pStyle w:val="TableTextLeft"/>
              <w:jc w:val="right"/>
            </w:pPr>
            <w:r w:rsidRPr="00E20618">
              <w:rPr>
                <w:rFonts w:cstheme="minorHAnsi"/>
              </w:rPr>
              <w:t>2,844</w:t>
            </w:r>
          </w:p>
        </w:tc>
        <w:tc>
          <w:tcPr>
            <w:tcW w:w="996" w:type="dxa"/>
            <w:tcBorders>
              <w:top w:val="nil"/>
              <w:left w:val="nil"/>
              <w:bottom w:val="nil"/>
              <w:right w:val="nil"/>
            </w:tcBorders>
          </w:tcPr>
          <w:p w14:paraId="674FB299" w14:textId="70F65C5C" w:rsidR="00055125" w:rsidRPr="00E20618" w:rsidRDefault="00055125" w:rsidP="000649FA">
            <w:pPr>
              <w:pStyle w:val="TableTextLeft"/>
              <w:jc w:val="right"/>
            </w:pPr>
            <w:r w:rsidRPr="00E20618">
              <w:rPr>
                <w:rFonts w:cstheme="minorHAnsi"/>
              </w:rPr>
              <w:t>2,859</w:t>
            </w:r>
          </w:p>
        </w:tc>
        <w:tc>
          <w:tcPr>
            <w:tcW w:w="996" w:type="dxa"/>
            <w:tcBorders>
              <w:top w:val="nil"/>
              <w:left w:val="nil"/>
              <w:bottom w:val="nil"/>
              <w:right w:val="nil"/>
            </w:tcBorders>
          </w:tcPr>
          <w:p w14:paraId="778390E3" w14:textId="21AED3E0" w:rsidR="00055125" w:rsidRPr="00E20618" w:rsidRDefault="00055125" w:rsidP="000649FA">
            <w:pPr>
              <w:pStyle w:val="TableTextLeft"/>
              <w:jc w:val="right"/>
            </w:pPr>
            <w:r w:rsidRPr="00E20618">
              <w:rPr>
                <w:rFonts w:cstheme="minorHAnsi"/>
              </w:rPr>
              <w:t>2,879</w:t>
            </w:r>
          </w:p>
        </w:tc>
        <w:tc>
          <w:tcPr>
            <w:tcW w:w="996" w:type="dxa"/>
            <w:tcBorders>
              <w:top w:val="nil"/>
              <w:left w:val="nil"/>
              <w:bottom w:val="nil"/>
              <w:right w:val="single" w:sz="4" w:space="0" w:color="auto"/>
            </w:tcBorders>
          </w:tcPr>
          <w:p w14:paraId="0D5A5798" w14:textId="4E0FCE79" w:rsidR="00055125" w:rsidRPr="00E20618" w:rsidRDefault="00055125" w:rsidP="000649FA">
            <w:pPr>
              <w:pStyle w:val="TableTextLeft"/>
              <w:jc w:val="right"/>
            </w:pPr>
            <w:r w:rsidRPr="00E20618">
              <w:rPr>
                <w:rFonts w:cstheme="minorHAnsi"/>
              </w:rPr>
              <w:t>2,900</w:t>
            </w:r>
          </w:p>
        </w:tc>
        <w:tc>
          <w:tcPr>
            <w:tcW w:w="996" w:type="dxa"/>
            <w:tcBorders>
              <w:top w:val="nil"/>
              <w:left w:val="single" w:sz="4" w:space="0" w:color="auto"/>
              <w:bottom w:val="nil"/>
              <w:right w:val="nil"/>
            </w:tcBorders>
          </w:tcPr>
          <w:p w14:paraId="5DDF10E6" w14:textId="37CE1E08" w:rsidR="00055125" w:rsidRPr="00E20618" w:rsidRDefault="00055125" w:rsidP="000649FA">
            <w:pPr>
              <w:pStyle w:val="TableTextLeft"/>
              <w:jc w:val="right"/>
            </w:pPr>
            <w:r w:rsidRPr="00E20618">
              <w:rPr>
                <w:rFonts w:cstheme="minorHAnsi"/>
              </w:rPr>
              <w:t>3,069</w:t>
            </w:r>
          </w:p>
        </w:tc>
      </w:tr>
      <w:tr w:rsidR="00055125" w:rsidRPr="0080495D" w14:paraId="4669C800" w14:textId="77777777" w:rsidTr="00870149">
        <w:tc>
          <w:tcPr>
            <w:tcW w:w="3096" w:type="dxa"/>
          </w:tcPr>
          <w:p w14:paraId="553486A1" w14:textId="77777777" w:rsidR="00055125" w:rsidRPr="00363EFE" w:rsidRDefault="00055125" w:rsidP="007F14A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5B1DAB19"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1C39CB68" w14:textId="77777777" w:rsidR="00055125" w:rsidRPr="00E20618" w:rsidRDefault="00055125" w:rsidP="000649FA">
            <w:pPr>
              <w:pStyle w:val="TableTextLeft"/>
              <w:jc w:val="right"/>
            </w:pPr>
          </w:p>
        </w:tc>
        <w:tc>
          <w:tcPr>
            <w:tcW w:w="996" w:type="dxa"/>
            <w:tcBorders>
              <w:top w:val="nil"/>
              <w:left w:val="nil"/>
              <w:bottom w:val="nil"/>
              <w:right w:val="nil"/>
            </w:tcBorders>
          </w:tcPr>
          <w:p w14:paraId="703D08C7" w14:textId="77777777" w:rsidR="00055125" w:rsidRPr="00E20618" w:rsidRDefault="00055125" w:rsidP="000649FA">
            <w:pPr>
              <w:pStyle w:val="TableTextLeft"/>
              <w:jc w:val="right"/>
            </w:pPr>
          </w:p>
        </w:tc>
        <w:tc>
          <w:tcPr>
            <w:tcW w:w="996" w:type="dxa"/>
            <w:tcBorders>
              <w:top w:val="nil"/>
              <w:left w:val="nil"/>
              <w:bottom w:val="nil"/>
              <w:right w:val="nil"/>
            </w:tcBorders>
          </w:tcPr>
          <w:p w14:paraId="7086BCBE"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7C03A800"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3510641" w14:textId="77777777" w:rsidR="00055125" w:rsidRPr="00E20618" w:rsidRDefault="00055125" w:rsidP="000649FA">
            <w:pPr>
              <w:pStyle w:val="TableTextLeft"/>
              <w:jc w:val="right"/>
            </w:pPr>
          </w:p>
        </w:tc>
      </w:tr>
      <w:tr w:rsidR="00055125" w:rsidRPr="0080495D" w14:paraId="736261E8" w14:textId="77777777" w:rsidTr="00870149">
        <w:tc>
          <w:tcPr>
            <w:tcW w:w="3096" w:type="dxa"/>
          </w:tcPr>
          <w:p w14:paraId="632A806A"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708D493B" w14:textId="60A621FC" w:rsidR="00055125" w:rsidRPr="00E20618" w:rsidRDefault="00055125"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773F5DC2" w14:textId="2976C42C" w:rsidR="00055125" w:rsidRPr="00E20618" w:rsidRDefault="00055125" w:rsidP="000649FA">
            <w:pPr>
              <w:pStyle w:val="TableTextLeft"/>
              <w:jc w:val="right"/>
            </w:pPr>
            <w:r w:rsidRPr="00E20618">
              <w:rPr>
                <w:rFonts w:cstheme="minorHAnsi"/>
              </w:rPr>
              <w:t>0.7</w:t>
            </w:r>
          </w:p>
        </w:tc>
        <w:tc>
          <w:tcPr>
            <w:tcW w:w="996" w:type="dxa"/>
            <w:tcBorders>
              <w:top w:val="nil"/>
              <w:left w:val="nil"/>
              <w:bottom w:val="nil"/>
              <w:right w:val="nil"/>
            </w:tcBorders>
          </w:tcPr>
          <w:p w14:paraId="54FCC919" w14:textId="481C9931"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nil"/>
            </w:tcBorders>
          </w:tcPr>
          <w:p w14:paraId="00BB9409" w14:textId="556EF920" w:rsidR="00055125" w:rsidRPr="00E20618" w:rsidRDefault="00055125" w:rsidP="000649FA">
            <w:pPr>
              <w:pStyle w:val="TableTextLeft"/>
              <w:jc w:val="right"/>
            </w:pPr>
            <w:r w:rsidRPr="00E20618">
              <w:rPr>
                <w:rFonts w:cstheme="minorHAnsi"/>
              </w:rPr>
              <w:t>1.1</w:t>
            </w:r>
          </w:p>
        </w:tc>
        <w:tc>
          <w:tcPr>
            <w:tcW w:w="996" w:type="dxa"/>
            <w:tcBorders>
              <w:top w:val="nil"/>
              <w:left w:val="nil"/>
              <w:bottom w:val="nil"/>
              <w:right w:val="single" w:sz="4" w:space="0" w:color="auto"/>
            </w:tcBorders>
          </w:tcPr>
          <w:p w14:paraId="372AC97A" w14:textId="59A585C3" w:rsidR="00055125" w:rsidRPr="00E20618" w:rsidRDefault="00055125" w:rsidP="000649FA">
            <w:pPr>
              <w:pStyle w:val="TableTextLeft"/>
              <w:jc w:val="right"/>
            </w:pPr>
            <w:r w:rsidRPr="00E20618">
              <w:rPr>
                <w:rFonts w:cstheme="minorHAnsi"/>
              </w:rPr>
              <w:t>1.1</w:t>
            </w:r>
          </w:p>
        </w:tc>
        <w:tc>
          <w:tcPr>
            <w:tcW w:w="996" w:type="dxa"/>
            <w:tcBorders>
              <w:top w:val="nil"/>
              <w:left w:val="single" w:sz="4" w:space="0" w:color="auto"/>
              <w:bottom w:val="nil"/>
              <w:right w:val="nil"/>
            </w:tcBorders>
          </w:tcPr>
          <w:p w14:paraId="7F802D9A" w14:textId="09C615F0" w:rsidR="00055125" w:rsidRPr="00E20618" w:rsidRDefault="00055125" w:rsidP="000649FA">
            <w:pPr>
              <w:pStyle w:val="TableTextLeft"/>
              <w:jc w:val="right"/>
            </w:pPr>
            <w:r w:rsidRPr="00E20618">
              <w:rPr>
                <w:rFonts w:cstheme="minorHAnsi"/>
              </w:rPr>
              <w:t>1</w:t>
            </w:r>
          </w:p>
        </w:tc>
      </w:tr>
      <w:tr w:rsidR="00055125" w:rsidRPr="0080495D" w14:paraId="16F82099" w14:textId="77777777" w:rsidTr="00870149">
        <w:tc>
          <w:tcPr>
            <w:tcW w:w="3096" w:type="dxa"/>
          </w:tcPr>
          <w:p w14:paraId="2052EFF4"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28CC220F" w14:textId="4A5C8753" w:rsidR="00055125" w:rsidRPr="00E20618" w:rsidRDefault="00055125"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3A4358B0" w14:textId="21E50ACA"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tcPr>
          <w:p w14:paraId="44AE3D77" w14:textId="08491F25"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tcPr>
          <w:p w14:paraId="6B78DCCA" w14:textId="4661CE3F" w:rsidR="00055125" w:rsidRPr="00E20618" w:rsidRDefault="00055125" w:rsidP="000649FA">
            <w:pPr>
              <w:pStyle w:val="TableTextLeft"/>
              <w:jc w:val="right"/>
            </w:pPr>
            <w:r w:rsidRPr="00E20618">
              <w:rPr>
                <w:rFonts w:cstheme="minorHAnsi"/>
              </w:rPr>
              <w:t>1.3</w:t>
            </w:r>
          </w:p>
        </w:tc>
        <w:tc>
          <w:tcPr>
            <w:tcW w:w="996" w:type="dxa"/>
            <w:tcBorders>
              <w:top w:val="nil"/>
              <w:left w:val="nil"/>
              <w:bottom w:val="nil"/>
              <w:right w:val="single" w:sz="4" w:space="0" w:color="auto"/>
            </w:tcBorders>
          </w:tcPr>
          <w:p w14:paraId="16BB1411" w14:textId="6C6BC23D" w:rsidR="00055125" w:rsidRPr="00E20618" w:rsidRDefault="00055125" w:rsidP="000649FA">
            <w:pPr>
              <w:pStyle w:val="TableTextLeft"/>
              <w:jc w:val="right"/>
            </w:pPr>
            <w:r w:rsidRPr="00E20618">
              <w:rPr>
                <w:rFonts w:cstheme="minorHAnsi"/>
              </w:rPr>
              <w:t>1.3</w:t>
            </w:r>
          </w:p>
        </w:tc>
        <w:tc>
          <w:tcPr>
            <w:tcW w:w="996" w:type="dxa"/>
            <w:tcBorders>
              <w:top w:val="nil"/>
              <w:left w:val="single" w:sz="4" w:space="0" w:color="auto"/>
              <w:bottom w:val="nil"/>
              <w:right w:val="nil"/>
            </w:tcBorders>
          </w:tcPr>
          <w:p w14:paraId="21FD8C32" w14:textId="259B86D5" w:rsidR="00055125" w:rsidRPr="00E20618" w:rsidRDefault="00055125" w:rsidP="000649FA">
            <w:pPr>
              <w:pStyle w:val="TableTextLeft"/>
              <w:jc w:val="right"/>
            </w:pPr>
            <w:r w:rsidRPr="00E20618">
              <w:rPr>
                <w:rFonts w:cstheme="minorHAnsi"/>
              </w:rPr>
              <w:t>1.1</w:t>
            </w:r>
          </w:p>
        </w:tc>
      </w:tr>
      <w:tr w:rsidR="00055125" w:rsidRPr="0080495D" w14:paraId="5960D36A" w14:textId="77777777" w:rsidTr="00870149">
        <w:tc>
          <w:tcPr>
            <w:tcW w:w="3096" w:type="dxa"/>
          </w:tcPr>
          <w:p w14:paraId="48075D88" w14:textId="77777777" w:rsidR="00055125" w:rsidRPr="0079192A" w:rsidRDefault="00055125" w:rsidP="0079192A">
            <w:pPr>
              <w:pStyle w:val="Tabletextleftindent"/>
              <w:rPr>
                <w:color w:val="002C47" w:themeColor="accent1"/>
              </w:rPr>
            </w:pPr>
            <w:r w:rsidRPr="0079192A">
              <w:rPr>
                <w:color w:val="002C47" w:themeColor="accent1"/>
              </w:rPr>
              <w:t>Rest of New South Wales</w:t>
            </w:r>
          </w:p>
        </w:tc>
        <w:tc>
          <w:tcPr>
            <w:tcW w:w="996" w:type="dxa"/>
            <w:tcBorders>
              <w:top w:val="nil"/>
              <w:left w:val="nil"/>
              <w:bottom w:val="nil"/>
              <w:right w:val="nil"/>
            </w:tcBorders>
          </w:tcPr>
          <w:p w14:paraId="5D9BFCFA" w14:textId="6DD8741B"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4444E31A" w14:textId="0F2DC565" w:rsidR="00055125" w:rsidRPr="00E20618" w:rsidRDefault="00055125" w:rsidP="000649FA">
            <w:pPr>
              <w:pStyle w:val="TableTextLeft"/>
              <w:jc w:val="right"/>
            </w:pPr>
            <w:r w:rsidRPr="00E20618">
              <w:rPr>
                <w:rFonts w:cstheme="minorHAnsi"/>
              </w:rPr>
              <w:t>0.3</w:t>
            </w:r>
          </w:p>
        </w:tc>
        <w:tc>
          <w:tcPr>
            <w:tcW w:w="996" w:type="dxa"/>
            <w:tcBorders>
              <w:top w:val="nil"/>
              <w:left w:val="nil"/>
              <w:bottom w:val="nil"/>
              <w:right w:val="nil"/>
            </w:tcBorders>
          </w:tcPr>
          <w:p w14:paraId="21C945F2" w14:textId="45DED398" w:rsidR="00055125" w:rsidRPr="00E20618" w:rsidRDefault="00055125" w:rsidP="000649FA">
            <w:pPr>
              <w:pStyle w:val="TableTextLeft"/>
              <w:jc w:val="right"/>
            </w:pPr>
            <w:r w:rsidRPr="00E20618">
              <w:rPr>
                <w:rFonts w:cstheme="minorHAnsi"/>
              </w:rPr>
              <w:t>0.6</w:t>
            </w:r>
          </w:p>
        </w:tc>
        <w:tc>
          <w:tcPr>
            <w:tcW w:w="996" w:type="dxa"/>
            <w:tcBorders>
              <w:top w:val="nil"/>
              <w:left w:val="nil"/>
              <w:bottom w:val="nil"/>
              <w:right w:val="nil"/>
            </w:tcBorders>
          </w:tcPr>
          <w:p w14:paraId="418D252A" w14:textId="0DE2FF21" w:rsidR="00055125" w:rsidRPr="00E20618" w:rsidRDefault="00055125" w:rsidP="000649FA">
            <w:pPr>
              <w:pStyle w:val="TableTextLeft"/>
              <w:jc w:val="right"/>
            </w:pPr>
            <w:r w:rsidRPr="00E20618">
              <w:rPr>
                <w:rFonts w:cstheme="minorHAnsi"/>
              </w:rPr>
              <w:t>0.7</w:t>
            </w:r>
          </w:p>
        </w:tc>
        <w:tc>
          <w:tcPr>
            <w:tcW w:w="996" w:type="dxa"/>
            <w:tcBorders>
              <w:top w:val="nil"/>
              <w:left w:val="nil"/>
              <w:bottom w:val="nil"/>
              <w:right w:val="single" w:sz="4" w:space="0" w:color="auto"/>
            </w:tcBorders>
          </w:tcPr>
          <w:p w14:paraId="5ED78456" w14:textId="4FCA54A6" w:rsidR="00055125" w:rsidRPr="00E20618" w:rsidRDefault="00055125" w:rsidP="000649FA">
            <w:pPr>
              <w:pStyle w:val="TableTextLeft"/>
              <w:jc w:val="right"/>
            </w:pPr>
            <w:r w:rsidRPr="00E20618">
              <w:rPr>
                <w:rFonts w:cstheme="minorHAnsi"/>
              </w:rPr>
              <w:t>0.7</w:t>
            </w:r>
          </w:p>
        </w:tc>
        <w:tc>
          <w:tcPr>
            <w:tcW w:w="996" w:type="dxa"/>
            <w:tcBorders>
              <w:top w:val="nil"/>
              <w:left w:val="single" w:sz="4" w:space="0" w:color="auto"/>
              <w:bottom w:val="nil"/>
              <w:right w:val="nil"/>
            </w:tcBorders>
          </w:tcPr>
          <w:p w14:paraId="0CFCCD68" w14:textId="568DFAF6" w:rsidR="00055125" w:rsidRPr="00E20618" w:rsidRDefault="00055125" w:rsidP="000649FA">
            <w:pPr>
              <w:pStyle w:val="TableTextLeft"/>
              <w:jc w:val="right"/>
            </w:pPr>
            <w:r w:rsidRPr="00E20618">
              <w:rPr>
                <w:rFonts w:cstheme="minorHAnsi"/>
              </w:rPr>
              <w:t>0.7</w:t>
            </w:r>
          </w:p>
        </w:tc>
      </w:tr>
      <w:tr w:rsidR="00055125" w:rsidRPr="0080495D" w14:paraId="2AA4B573" w14:textId="77777777" w:rsidTr="00870149">
        <w:tc>
          <w:tcPr>
            <w:tcW w:w="3096" w:type="dxa"/>
          </w:tcPr>
          <w:p w14:paraId="729B7208" w14:textId="77777777" w:rsidR="00055125" w:rsidRPr="00363EFE" w:rsidRDefault="00055125" w:rsidP="007F14A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507285A8"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547E5579" w14:textId="77777777" w:rsidR="00055125" w:rsidRPr="00E20618" w:rsidRDefault="00055125" w:rsidP="000649FA">
            <w:pPr>
              <w:pStyle w:val="TableTextLeft"/>
              <w:jc w:val="right"/>
            </w:pPr>
          </w:p>
        </w:tc>
        <w:tc>
          <w:tcPr>
            <w:tcW w:w="996" w:type="dxa"/>
            <w:tcBorders>
              <w:top w:val="nil"/>
              <w:left w:val="nil"/>
              <w:bottom w:val="nil"/>
              <w:right w:val="nil"/>
            </w:tcBorders>
          </w:tcPr>
          <w:p w14:paraId="0DA1DBD3" w14:textId="77777777" w:rsidR="00055125" w:rsidRPr="00E20618" w:rsidRDefault="00055125" w:rsidP="000649FA">
            <w:pPr>
              <w:pStyle w:val="TableTextLeft"/>
              <w:jc w:val="right"/>
            </w:pPr>
          </w:p>
        </w:tc>
        <w:tc>
          <w:tcPr>
            <w:tcW w:w="996" w:type="dxa"/>
            <w:tcBorders>
              <w:top w:val="nil"/>
              <w:left w:val="nil"/>
              <w:bottom w:val="nil"/>
              <w:right w:val="nil"/>
            </w:tcBorders>
          </w:tcPr>
          <w:p w14:paraId="157AF177" w14:textId="315089D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88E2478"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7019D8F2" w14:textId="323B5478" w:rsidR="00055125" w:rsidRPr="00E20618" w:rsidRDefault="00055125" w:rsidP="000649FA">
            <w:pPr>
              <w:pStyle w:val="TableTextLeft"/>
              <w:jc w:val="right"/>
            </w:pPr>
          </w:p>
        </w:tc>
      </w:tr>
      <w:tr w:rsidR="00055125" w:rsidRPr="0080495D" w14:paraId="649FD921" w14:textId="77777777" w:rsidTr="00870149">
        <w:tc>
          <w:tcPr>
            <w:tcW w:w="3096" w:type="dxa"/>
          </w:tcPr>
          <w:p w14:paraId="0BD1C83C"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09FB55E8" w14:textId="3E897D2E" w:rsidR="00055125" w:rsidRPr="00E20618" w:rsidRDefault="00055125"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0A1B49ED" w14:textId="3E4AF78F" w:rsidR="00055125" w:rsidRPr="00E20618" w:rsidRDefault="00055125" w:rsidP="000649FA">
            <w:pPr>
              <w:pStyle w:val="TableTextLeft"/>
              <w:jc w:val="right"/>
            </w:pPr>
            <w:r w:rsidRPr="00E20618">
              <w:rPr>
                <w:rFonts w:cstheme="minorHAnsi"/>
              </w:rPr>
              <w:t>54.8</w:t>
            </w:r>
          </w:p>
        </w:tc>
        <w:tc>
          <w:tcPr>
            <w:tcW w:w="996" w:type="dxa"/>
            <w:tcBorders>
              <w:top w:val="nil"/>
              <w:left w:val="nil"/>
              <w:bottom w:val="nil"/>
              <w:right w:val="nil"/>
            </w:tcBorders>
          </w:tcPr>
          <w:p w14:paraId="53EFB5C1" w14:textId="2CD316EC" w:rsidR="00055125" w:rsidRPr="00E20618" w:rsidRDefault="00055125" w:rsidP="000649FA">
            <w:pPr>
              <w:pStyle w:val="TableTextLeft"/>
              <w:jc w:val="right"/>
            </w:pPr>
            <w:r w:rsidRPr="00E20618">
              <w:rPr>
                <w:rFonts w:cstheme="minorHAnsi"/>
              </w:rPr>
              <w:t>79.5</w:t>
            </w:r>
          </w:p>
        </w:tc>
        <w:tc>
          <w:tcPr>
            <w:tcW w:w="996" w:type="dxa"/>
            <w:tcBorders>
              <w:top w:val="nil"/>
              <w:left w:val="nil"/>
              <w:bottom w:val="nil"/>
              <w:right w:val="nil"/>
            </w:tcBorders>
          </w:tcPr>
          <w:p w14:paraId="2E1C90D8" w14:textId="480A849B" w:rsidR="00055125" w:rsidRPr="00E20618" w:rsidRDefault="00055125" w:rsidP="000649FA">
            <w:pPr>
              <w:pStyle w:val="TableTextLeft"/>
              <w:jc w:val="right"/>
            </w:pPr>
            <w:r w:rsidRPr="00E20618">
              <w:rPr>
                <w:rFonts w:cstheme="minorHAnsi"/>
              </w:rPr>
              <w:t>91</w:t>
            </w:r>
          </w:p>
        </w:tc>
        <w:tc>
          <w:tcPr>
            <w:tcW w:w="996" w:type="dxa"/>
            <w:tcBorders>
              <w:top w:val="nil"/>
              <w:left w:val="nil"/>
              <w:bottom w:val="nil"/>
              <w:right w:val="single" w:sz="4" w:space="0" w:color="auto"/>
            </w:tcBorders>
          </w:tcPr>
          <w:p w14:paraId="18ED7F3F" w14:textId="2ECC0835" w:rsidR="00055125" w:rsidRPr="00E20618" w:rsidRDefault="00055125" w:rsidP="000649FA">
            <w:pPr>
              <w:pStyle w:val="TableTextLeft"/>
              <w:jc w:val="right"/>
            </w:pPr>
            <w:r w:rsidRPr="00E20618">
              <w:rPr>
                <w:rFonts w:cstheme="minorHAnsi"/>
              </w:rPr>
              <w:t>93.2</w:t>
            </w:r>
          </w:p>
        </w:tc>
        <w:tc>
          <w:tcPr>
            <w:tcW w:w="996" w:type="dxa"/>
            <w:tcBorders>
              <w:top w:val="nil"/>
              <w:left w:val="single" w:sz="4" w:space="0" w:color="auto"/>
              <w:bottom w:val="nil"/>
              <w:right w:val="nil"/>
            </w:tcBorders>
          </w:tcPr>
          <w:p w14:paraId="6A374004" w14:textId="030D53B2" w:rsidR="00055125" w:rsidRPr="00E20618" w:rsidRDefault="00055125" w:rsidP="000649FA">
            <w:pPr>
              <w:pStyle w:val="TableTextLeft"/>
              <w:jc w:val="right"/>
            </w:pPr>
            <w:r w:rsidRPr="00E20618">
              <w:rPr>
                <w:rFonts w:cstheme="minorHAnsi"/>
              </w:rPr>
              <w:t>88.5</w:t>
            </w:r>
          </w:p>
        </w:tc>
      </w:tr>
      <w:tr w:rsidR="00055125" w:rsidRPr="0080495D" w14:paraId="6F161E91" w14:textId="77777777" w:rsidTr="00870149">
        <w:tc>
          <w:tcPr>
            <w:tcW w:w="3096" w:type="dxa"/>
          </w:tcPr>
          <w:p w14:paraId="6359B49B"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0372948D" w14:textId="4CCE0246" w:rsidR="00055125" w:rsidRPr="00E20618" w:rsidRDefault="00055125" w:rsidP="000649FA">
            <w:pPr>
              <w:pStyle w:val="TableTextLeft"/>
              <w:jc w:val="right"/>
            </w:pPr>
            <w:r w:rsidRPr="00E20618">
              <w:rPr>
                <w:rFonts w:cstheme="minorHAnsi"/>
              </w:rPr>
              <w:t>-25.1</w:t>
            </w:r>
          </w:p>
        </w:tc>
        <w:tc>
          <w:tcPr>
            <w:tcW w:w="996" w:type="dxa"/>
            <w:tcBorders>
              <w:top w:val="nil"/>
              <w:left w:val="nil"/>
              <w:bottom w:val="nil"/>
              <w:right w:val="nil"/>
            </w:tcBorders>
            <w:shd w:val="clear" w:color="auto" w:fill="D2EDFF" w:themeFill="accent1" w:themeFillTint="1A"/>
          </w:tcPr>
          <w:p w14:paraId="5DB98A76" w14:textId="50168ECF" w:rsidR="00055125" w:rsidRPr="00E20618" w:rsidRDefault="00055125" w:rsidP="000649FA">
            <w:pPr>
              <w:pStyle w:val="TableTextLeft"/>
              <w:jc w:val="right"/>
            </w:pPr>
            <w:r w:rsidRPr="00E20618">
              <w:rPr>
                <w:rFonts w:cstheme="minorHAnsi"/>
              </w:rPr>
              <w:t>45.1</w:t>
            </w:r>
          </w:p>
        </w:tc>
        <w:tc>
          <w:tcPr>
            <w:tcW w:w="996" w:type="dxa"/>
            <w:tcBorders>
              <w:top w:val="nil"/>
              <w:left w:val="nil"/>
              <w:bottom w:val="nil"/>
              <w:right w:val="nil"/>
            </w:tcBorders>
          </w:tcPr>
          <w:p w14:paraId="3201B546" w14:textId="7B66C6FA" w:rsidR="00055125" w:rsidRPr="00E20618" w:rsidRDefault="00055125" w:rsidP="000649FA">
            <w:pPr>
              <w:pStyle w:val="TableTextLeft"/>
              <w:jc w:val="right"/>
            </w:pPr>
            <w:r w:rsidRPr="00E20618">
              <w:rPr>
                <w:rFonts w:cstheme="minorHAnsi"/>
              </w:rPr>
              <w:t>63.8</w:t>
            </w:r>
          </w:p>
        </w:tc>
        <w:tc>
          <w:tcPr>
            <w:tcW w:w="996" w:type="dxa"/>
            <w:tcBorders>
              <w:top w:val="nil"/>
              <w:left w:val="nil"/>
              <w:bottom w:val="nil"/>
              <w:right w:val="nil"/>
            </w:tcBorders>
          </w:tcPr>
          <w:p w14:paraId="06940132" w14:textId="77EF48B8" w:rsidR="00055125" w:rsidRPr="00E20618" w:rsidRDefault="00055125" w:rsidP="000649FA">
            <w:pPr>
              <w:pStyle w:val="TableTextLeft"/>
              <w:jc w:val="right"/>
            </w:pPr>
            <w:r w:rsidRPr="00E20618">
              <w:rPr>
                <w:rFonts w:cstheme="minorHAnsi"/>
              </w:rPr>
              <w:t>71</w:t>
            </w:r>
          </w:p>
        </w:tc>
        <w:tc>
          <w:tcPr>
            <w:tcW w:w="996" w:type="dxa"/>
            <w:tcBorders>
              <w:top w:val="nil"/>
              <w:left w:val="nil"/>
              <w:bottom w:val="nil"/>
              <w:right w:val="single" w:sz="4" w:space="0" w:color="auto"/>
            </w:tcBorders>
          </w:tcPr>
          <w:p w14:paraId="76FE8891" w14:textId="08F63513" w:rsidR="00055125" w:rsidRPr="00E20618" w:rsidRDefault="00055125" w:rsidP="000649FA">
            <w:pPr>
              <w:pStyle w:val="TableTextLeft"/>
              <w:jc w:val="right"/>
            </w:pPr>
            <w:r w:rsidRPr="00E20618">
              <w:rPr>
                <w:rFonts w:cstheme="minorHAnsi"/>
              </w:rPr>
              <w:t>72.7</w:t>
            </w:r>
          </w:p>
        </w:tc>
        <w:tc>
          <w:tcPr>
            <w:tcW w:w="996" w:type="dxa"/>
            <w:tcBorders>
              <w:top w:val="nil"/>
              <w:left w:val="single" w:sz="4" w:space="0" w:color="auto"/>
              <w:bottom w:val="nil"/>
              <w:right w:val="nil"/>
            </w:tcBorders>
          </w:tcPr>
          <w:p w14:paraId="1DCA25BA" w14:textId="762875BD" w:rsidR="00055125" w:rsidRPr="00E20618" w:rsidRDefault="00055125" w:rsidP="000649FA">
            <w:pPr>
              <w:pStyle w:val="TableTextLeft"/>
              <w:jc w:val="right"/>
            </w:pPr>
            <w:r w:rsidRPr="00E20618">
              <w:rPr>
                <w:rFonts w:cstheme="minorHAnsi"/>
              </w:rPr>
              <w:t>66.8</w:t>
            </w:r>
          </w:p>
        </w:tc>
      </w:tr>
      <w:tr w:rsidR="00055125" w:rsidRPr="0080495D" w14:paraId="6AEF3466" w14:textId="77777777" w:rsidTr="00870149">
        <w:tc>
          <w:tcPr>
            <w:tcW w:w="3096" w:type="dxa"/>
            <w:tcBorders>
              <w:bottom w:val="single" w:sz="4" w:space="0" w:color="auto"/>
            </w:tcBorders>
          </w:tcPr>
          <w:p w14:paraId="3E9FA440"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0D6D0398" w14:textId="21D2AC90" w:rsidR="00055125" w:rsidRPr="00E20618" w:rsidRDefault="00055125" w:rsidP="000649FA">
            <w:pPr>
              <w:pStyle w:val="TableTextLeft"/>
              <w:jc w:val="right"/>
            </w:pPr>
            <w:r w:rsidRPr="00E20618">
              <w:rPr>
                <w:rFonts w:cstheme="minorHAnsi"/>
              </w:rPr>
              <w:t>24.6</w:t>
            </w:r>
          </w:p>
        </w:tc>
        <w:tc>
          <w:tcPr>
            <w:tcW w:w="996" w:type="dxa"/>
            <w:tcBorders>
              <w:top w:val="nil"/>
              <w:left w:val="nil"/>
              <w:bottom w:val="single" w:sz="4" w:space="0" w:color="auto"/>
              <w:right w:val="nil"/>
            </w:tcBorders>
            <w:shd w:val="clear" w:color="auto" w:fill="D2EDFF" w:themeFill="accent1" w:themeFillTint="1A"/>
          </w:tcPr>
          <w:p w14:paraId="2A2F979E" w14:textId="794E8563" w:rsidR="00055125" w:rsidRPr="00E20618" w:rsidRDefault="00055125" w:rsidP="000649FA">
            <w:pPr>
              <w:pStyle w:val="TableTextLeft"/>
              <w:jc w:val="right"/>
            </w:pPr>
            <w:r w:rsidRPr="00E20618">
              <w:rPr>
                <w:rFonts w:cstheme="minorHAnsi"/>
              </w:rPr>
              <w:t>9.7</w:t>
            </w:r>
          </w:p>
        </w:tc>
        <w:tc>
          <w:tcPr>
            <w:tcW w:w="996" w:type="dxa"/>
            <w:tcBorders>
              <w:top w:val="nil"/>
              <w:left w:val="nil"/>
              <w:bottom w:val="single" w:sz="4" w:space="0" w:color="auto"/>
              <w:right w:val="nil"/>
            </w:tcBorders>
          </w:tcPr>
          <w:p w14:paraId="7ED8411E" w14:textId="0697DC22" w:rsidR="00055125" w:rsidRPr="00E20618" w:rsidRDefault="00055125" w:rsidP="000649FA">
            <w:pPr>
              <w:pStyle w:val="TableTextLeft"/>
              <w:jc w:val="right"/>
            </w:pPr>
            <w:r w:rsidRPr="00E20618">
              <w:rPr>
                <w:rFonts w:cstheme="minorHAnsi"/>
              </w:rPr>
              <w:t>15.7</w:t>
            </w:r>
          </w:p>
        </w:tc>
        <w:tc>
          <w:tcPr>
            <w:tcW w:w="996" w:type="dxa"/>
            <w:tcBorders>
              <w:top w:val="nil"/>
              <w:left w:val="nil"/>
              <w:bottom w:val="single" w:sz="4" w:space="0" w:color="auto"/>
              <w:right w:val="nil"/>
            </w:tcBorders>
          </w:tcPr>
          <w:p w14:paraId="494708FE" w14:textId="063311BF" w:rsidR="00055125" w:rsidRPr="00E20618" w:rsidRDefault="00055125" w:rsidP="000649FA">
            <w:pPr>
              <w:pStyle w:val="TableTextLeft"/>
              <w:jc w:val="right"/>
            </w:pPr>
            <w:r w:rsidRPr="00E20618">
              <w:rPr>
                <w:rFonts w:cstheme="minorHAnsi"/>
              </w:rPr>
              <w:t>19.9</w:t>
            </w:r>
          </w:p>
        </w:tc>
        <w:tc>
          <w:tcPr>
            <w:tcW w:w="996" w:type="dxa"/>
            <w:tcBorders>
              <w:top w:val="nil"/>
              <w:left w:val="nil"/>
              <w:bottom w:val="single" w:sz="4" w:space="0" w:color="auto"/>
              <w:right w:val="single" w:sz="4" w:space="0" w:color="auto"/>
            </w:tcBorders>
          </w:tcPr>
          <w:p w14:paraId="4530E418" w14:textId="5E9FD4D3" w:rsidR="00055125" w:rsidRPr="00E20618" w:rsidRDefault="00055125" w:rsidP="000649FA">
            <w:pPr>
              <w:pStyle w:val="TableTextLeft"/>
              <w:jc w:val="right"/>
            </w:pPr>
            <w:r w:rsidRPr="00E20618">
              <w:rPr>
                <w:rFonts w:cstheme="minorHAnsi"/>
              </w:rPr>
              <w:t>20.5</w:t>
            </w:r>
          </w:p>
        </w:tc>
        <w:tc>
          <w:tcPr>
            <w:tcW w:w="996" w:type="dxa"/>
            <w:tcBorders>
              <w:top w:val="nil"/>
              <w:left w:val="single" w:sz="4" w:space="0" w:color="auto"/>
              <w:bottom w:val="single" w:sz="4" w:space="0" w:color="auto"/>
              <w:right w:val="nil"/>
            </w:tcBorders>
          </w:tcPr>
          <w:p w14:paraId="7FAB552A" w14:textId="0ADF4209" w:rsidR="00055125" w:rsidRPr="00E20618" w:rsidRDefault="00055125" w:rsidP="000649FA">
            <w:pPr>
              <w:pStyle w:val="TableTextLeft"/>
              <w:jc w:val="right"/>
            </w:pPr>
            <w:r w:rsidRPr="00E20618">
              <w:rPr>
                <w:rFonts w:cstheme="minorHAnsi"/>
              </w:rPr>
              <w:t>21.7</w:t>
            </w:r>
          </w:p>
        </w:tc>
      </w:tr>
      <w:tr w:rsidR="00055125" w:rsidRPr="0080495D" w14:paraId="54854F70" w14:textId="77777777" w:rsidTr="00870149">
        <w:tc>
          <w:tcPr>
            <w:tcW w:w="3096" w:type="dxa"/>
            <w:tcBorders>
              <w:top w:val="single" w:sz="4" w:space="0" w:color="auto"/>
              <w:bottom w:val="nil"/>
            </w:tcBorders>
          </w:tcPr>
          <w:p w14:paraId="75BA2EE7" w14:textId="1BC22353" w:rsidR="00055125" w:rsidRPr="00363EFE" w:rsidRDefault="00055125" w:rsidP="007F14A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2A64BE2"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40B9C93C"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3269DC1D"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222E22CC"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5EF9B2EA"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2C51ADCD" w14:textId="77777777" w:rsidR="00055125" w:rsidRPr="00E20618" w:rsidRDefault="00055125" w:rsidP="000649FA">
            <w:pPr>
              <w:pStyle w:val="TableTextLeft"/>
              <w:jc w:val="right"/>
            </w:pPr>
          </w:p>
        </w:tc>
      </w:tr>
      <w:tr w:rsidR="00055125" w:rsidRPr="0080495D" w14:paraId="4050D4F2" w14:textId="77777777" w:rsidTr="00870149">
        <w:tc>
          <w:tcPr>
            <w:tcW w:w="3096" w:type="dxa"/>
            <w:tcBorders>
              <w:top w:val="nil"/>
            </w:tcBorders>
          </w:tcPr>
          <w:p w14:paraId="19455DD9"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152DFF5D" w14:textId="20D9D602" w:rsidR="00055125" w:rsidRPr="00E20618" w:rsidRDefault="00055125" w:rsidP="000649FA">
            <w:pPr>
              <w:pStyle w:val="TableTextLeft"/>
              <w:jc w:val="right"/>
            </w:pPr>
            <w:r w:rsidRPr="00E20618">
              <w:rPr>
                <w:rFonts w:cstheme="minorHAnsi"/>
              </w:rPr>
              <w:t>44.1</w:t>
            </w:r>
          </w:p>
        </w:tc>
        <w:tc>
          <w:tcPr>
            <w:tcW w:w="996" w:type="dxa"/>
            <w:tcBorders>
              <w:top w:val="nil"/>
              <w:left w:val="nil"/>
              <w:bottom w:val="nil"/>
              <w:right w:val="nil"/>
            </w:tcBorders>
            <w:shd w:val="clear" w:color="auto" w:fill="D2EDFF" w:themeFill="accent1" w:themeFillTint="1A"/>
          </w:tcPr>
          <w:p w14:paraId="20AA48BC" w14:textId="27868387"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tcPr>
          <w:p w14:paraId="3FB525BF" w14:textId="6EEFC347" w:rsidR="00055125" w:rsidRPr="00E20618" w:rsidRDefault="00055125" w:rsidP="000649FA">
            <w:pPr>
              <w:pStyle w:val="TableTextLeft"/>
              <w:jc w:val="right"/>
            </w:pPr>
            <w:r w:rsidRPr="00E20618">
              <w:rPr>
                <w:rFonts w:cstheme="minorHAnsi"/>
              </w:rPr>
              <w:t>36.5</w:t>
            </w:r>
          </w:p>
        </w:tc>
        <w:tc>
          <w:tcPr>
            <w:tcW w:w="996" w:type="dxa"/>
            <w:tcBorders>
              <w:top w:val="nil"/>
              <w:left w:val="nil"/>
              <w:bottom w:val="nil"/>
              <w:right w:val="nil"/>
            </w:tcBorders>
          </w:tcPr>
          <w:p w14:paraId="2375D4E0" w14:textId="392324B7" w:rsidR="00055125" w:rsidRPr="00E20618" w:rsidRDefault="00055125" w:rsidP="000649FA">
            <w:pPr>
              <w:pStyle w:val="TableTextLeft"/>
              <w:jc w:val="right"/>
            </w:pPr>
            <w:r w:rsidRPr="00E20618">
              <w:rPr>
                <w:rFonts w:cstheme="minorHAnsi"/>
              </w:rPr>
              <w:t>40.2</w:t>
            </w:r>
          </w:p>
        </w:tc>
        <w:tc>
          <w:tcPr>
            <w:tcW w:w="996" w:type="dxa"/>
            <w:tcBorders>
              <w:top w:val="nil"/>
              <w:left w:val="nil"/>
              <w:bottom w:val="nil"/>
              <w:right w:val="single" w:sz="4" w:space="0" w:color="auto"/>
            </w:tcBorders>
          </w:tcPr>
          <w:p w14:paraId="7A744999" w14:textId="2B9C3AFB" w:rsidR="00055125" w:rsidRPr="00E20618" w:rsidRDefault="00055125" w:rsidP="000649FA">
            <w:pPr>
              <w:pStyle w:val="TableTextLeft"/>
              <w:jc w:val="right"/>
            </w:pPr>
            <w:r w:rsidRPr="00E20618">
              <w:rPr>
                <w:rFonts w:cstheme="minorHAnsi"/>
              </w:rPr>
              <w:t>39.5</w:t>
            </w:r>
          </w:p>
        </w:tc>
        <w:tc>
          <w:tcPr>
            <w:tcW w:w="996" w:type="dxa"/>
            <w:tcBorders>
              <w:top w:val="nil"/>
              <w:left w:val="single" w:sz="4" w:space="0" w:color="auto"/>
              <w:bottom w:val="nil"/>
              <w:right w:val="nil"/>
            </w:tcBorders>
          </w:tcPr>
          <w:p w14:paraId="5A386393" w14:textId="5049EDBC" w:rsidR="00055125" w:rsidRPr="00E20618" w:rsidRDefault="00055125" w:rsidP="000649FA">
            <w:pPr>
              <w:pStyle w:val="TableTextLeft"/>
              <w:jc w:val="right"/>
            </w:pPr>
            <w:r w:rsidRPr="00E20618">
              <w:rPr>
                <w:rFonts w:cstheme="minorHAnsi"/>
              </w:rPr>
              <w:t>34.9</w:t>
            </w:r>
          </w:p>
        </w:tc>
      </w:tr>
      <w:tr w:rsidR="00055125" w:rsidRPr="0080495D" w14:paraId="4D9D20FB" w14:textId="77777777" w:rsidTr="00870149">
        <w:tc>
          <w:tcPr>
            <w:tcW w:w="3096" w:type="dxa"/>
          </w:tcPr>
          <w:p w14:paraId="780619E2"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1D1BE85E" w14:textId="044B2C13"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nil"/>
            </w:tcBorders>
            <w:shd w:val="clear" w:color="auto" w:fill="D2EDFF" w:themeFill="accent1" w:themeFillTint="1A"/>
          </w:tcPr>
          <w:p w14:paraId="52AE1BF7" w14:textId="72F36CEC" w:rsidR="00055125" w:rsidRPr="00E20618" w:rsidRDefault="00055125" w:rsidP="000649FA">
            <w:pPr>
              <w:pStyle w:val="TableTextLeft"/>
              <w:jc w:val="right"/>
            </w:pPr>
            <w:r w:rsidRPr="00E20618">
              <w:rPr>
                <w:rFonts w:cstheme="minorHAnsi"/>
              </w:rPr>
              <w:t>34.8</w:t>
            </w:r>
          </w:p>
        </w:tc>
        <w:tc>
          <w:tcPr>
            <w:tcW w:w="996" w:type="dxa"/>
            <w:tcBorders>
              <w:top w:val="nil"/>
              <w:left w:val="nil"/>
              <w:bottom w:val="nil"/>
              <w:right w:val="nil"/>
            </w:tcBorders>
          </w:tcPr>
          <w:p w14:paraId="7C73A6F2" w14:textId="33D9F00A" w:rsidR="00055125" w:rsidRPr="00E20618" w:rsidRDefault="00055125" w:rsidP="000649FA">
            <w:pPr>
              <w:pStyle w:val="TableTextLeft"/>
              <w:jc w:val="right"/>
            </w:pPr>
            <w:r w:rsidRPr="00E20618">
              <w:rPr>
                <w:rFonts w:cstheme="minorHAnsi"/>
              </w:rPr>
              <w:t>34.4</w:t>
            </w:r>
          </w:p>
        </w:tc>
        <w:tc>
          <w:tcPr>
            <w:tcW w:w="996" w:type="dxa"/>
            <w:tcBorders>
              <w:top w:val="nil"/>
              <w:left w:val="nil"/>
              <w:bottom w:val="nil"/>
              <w:right w:val="nil"/>
            </w:tcBorders>
          </w:tcPr>
          <w:p w14:paraId="7BD89868" w14:textId="3E0F2AAA" w:rsidR="00055125" w:rsidRPr="00E20618" w:rsidRDefault="00055125" w:rsidP="000649FA">
            <w:pPr>
              <w:pStyle w:val="TableTextLeft"/>
              <w:jc w:val="right"/>
            </w:pPr>
            <w:r w:rsidRPr="00E20618">
              <w:rPr>
                <w:rFonts w:cstheme="minorHAnsi"/>
              </w:rPr>
              <w:t>36.5</w:t>
            </w:r>
          </w:p>
        </w:tc>
        <w:tc>
          <w:tcPr>
            <w:tcW w:w="996" w:type="dxa"/>
            <w:tcBorders>
              <w:top w:val="nil"/>
              <w:left w:val="nil"/>
              <w:bottom w:val="nil"/>
              <w:right w:val="single" w:sz="4" w:space="0" w:color="auto"/>
            </w:tcBorders>
          </w:tcPr>
          <w:p w14:paraId="3F5BCFC8" w14:textId="66C548DC" w:rsidR="00055125" w:rsidRPr="00E20618" w:rsidRDefault="00055125" w:rsidP="000649FA">
            <w:pPr>
              <w:pStyle w:val="TableTextLeft"/>
              <w:jc w:val="right"/>
            </w:pPr>
            <w:r w:rsidRPr="00E20618">
              <w:rPr>
                <w:rFonts w:cstheme="minorHAnsi"/>
              </w:rPr>
              <w:t>36.3</w:t>
            </w:r>
          </w:p>
        </w:tc>
        <w:tc>
          <w:tcPr>
            <w:tcW w:w="996" w:type="dxa"/>
            <w:tcBorders>
              <w:top w:val="nil"/>
              <w:left w:val="single" w:sz="4" w:space="0" w:color="auto"/>
              <w:bottom w:val="nil"/>
              <w:right w:val="nil"/>
            </w:tcBorders>
          </w:tcPr>
          <w:p w14:paraId="403F0B31" w14:textId="5B044FEB" w:rsidR="00055125" w:rsidRPr="00E20618" w:rsidRDefault="00055125" w:rsidP="000649FA">
            <w:pPr>
              <w:pStyle w:val="TableTextLeft"/>
              <w:jc w:val="right"/>
            </w:pPr>
            <w:r w:rsidRPr="00E20618">
              <w:rPr>
                <w:rFonts w:cstheme="minorHAnsi"/>
              </w:rPr>
              <w:t>36.5</w:t>
            </w:r>
          </w:p>
        </w:tc>
      </w:tr>
      <w:tr w:rsidR="00055125" w:rsidRPr="0080495D" w14:paraId="401D1FE5" w14:textId="77777777" w:rsidTr="00870149">
        <w:tc>
          <w:tcPr>
            <w:tcW w:w="3096" w:type="dxa"/>
          </w:tcPr>
          <w:p w14:paraId="20071048"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4A085E7E" w14:textId="3666BF07" w:rsidR="00055125" w:rsidRPr="00E20618" w:rsidRDefault="00055125" w:rsidP="000649FA">
            <w:pPr>
              <w:pStyle w:val="TableTextLeft"/>
              <w:jc w:val="right"/>
            </w:pPr>
            <w:r w:rsidRPr="00E20618">
              <w:rPr>
                <w:rFonts w:cstheme="minorHAnsi"/>
              </w:rPr>
              <w:t>7.2</w:t>
            </w:r>
          </w:p>
        </w:tc>
        <w:tc>
          <w:tcPr>
            <w:tcW w:w="996" w:type="dxa"/>
            <w:tcBorders>
              <w:top w:val="nil"/>
              <w:left w:val="nil"/>
              <w:bottom w:val="nil"/>
              <w:right w:val="nil"/>
            </w:tcBorders>
            <w:shd w:val="clear" w:color="auto" w:fill="D2EDFF" w:themeFill="accent1" w:themeFillTint="1A"/>
          </w:tcPr>
          <w:p w14:paraId="3E1DD46D" w14:textId="1120901B" w:rsidR="00055125" w:rsidRPr="00E20618" w:rsidRDefault="00055125" w:rsidP="000649FA">
            <w:pPr>
              <w:pStyle w:val="TableTextLeft"/>
              <w:jc w:val="right"/>
            </w:pPr>
            <w:r w:rsidRPr="00E20618">
              <w:rPr>
                <w:rFonts w:cstheme="minorHAnsi"/>
              </w:rPr>
              <w:t>2.3</w:t>
            </w:r>
          </w:p>
        </w:tc>
        <w:tc>
          <w:tcPr>
            <w:tcW w:w="996" w:type="dxa"/>
            <w:tcBorders>
              <w:top w:val="nil"/>
              <w:left w:val="nil"/>
              <w:bottom w:val="nil"/>
              <w:right w:val="nil"/>
            </w:tcBorders>
          </w:tcPr>
          <w:p w14:paraId="196B2C79" w14:textId="5A486B1A" w:rsidR="00055125" w:rsidRPr="00E20618" w:rsidRDefault="00055125" w:rsidP="000649FA">
            <w:pPr>
              <w:pStyle w:val="TableTextLeft"/>
              <w:jc w:val="right"/>
            </w:pPr>
            <w:r w:rsidRPr="00E20618">
              <w:rPr>
                <w:rFonts w:cstheme="minorHAnsi"/>
              </w:rPr>
              <w:t>2.1</w:t>
            </w:r>
          </w:p>
        </w:tc>
        <w:tc>
          <w:tcPr>
            <w:tcW w:w="996" w:type="dxa"/>
            <w:tcBorders>
              <w:top w:val="nil"/>
              <w:left w:val="nil"/>
              <w:bottom w:val="nil"/>
              <w:right w:val="nil"/>
            </w:tcBorders>
          </w:tcPr>
          <w:p w14:paraId="3F95CD63" w14:textId="1EE2FFD8"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single" w:sz="4" w:space="0" w:color="auto"/>
            </w:tcBorders>
          </w:tcPr>
          <w:p w14:paraId="70F527FA" w14:textId="454B1A4A" w:rsidR="00055125" w:rsidRPr="00E20618" w:rsidRDefault="00055125" w:rsidP="000649FA">
            <w:pPr>
              <w:pStyle w:val="TableTextLeft"/>
              <w:jc w:val="right"/>
            </w:pPr>
            <w:r w:rsidRPr="00E20618">
              <w:rPr>
                <w:rFonts w:cstheme="minorHAnsi"/>
              </w:rPr>
              <w:t>3.1</w:t>
            </w:r>
          </w:p>
        </w:tc>
        <w:tc>
          <w:tcPr>
            <w:tcW w:w="996" w:type="dxa"/>
            <w:tcBorders>
              <w:top w:val="nil"/>
              <w:left w:val="single" w:sz="4" w:space="0" w:color="auto"/>
              <w:bottom w:val="nil"/>
              <w:right w:val="nil"/>
            </w:tcBorders>
          </w:tcPr>
          <w:p w14:paraId="080B99EF" w14:textId="526340D9" w:rsidR="00055125" w:rsidRPr="00E20618" w:rsidRDefault="00822F22" w:rsidP="000649FA">
            <w:pPr>
              <w:pStyle w:val="TableTextLeft"/>
              <w:jc w:val="right"/>
            </w:pPr>
            <w:r w:rsidRPr="00E20618">
              <w:rPr>
                <w:rFonts w:cstheme="minorHAnsi"/>
              </w:rPr>
              <w:t>-</w:t>
            </w:r>
            <w:r w:rsidR="00055125" w:rsidRPr="00E20618">
              <w:rPr>
                <w:rFonts w:cstheme="minorHAnsi"/>
              </w:rPr>
              <w:t>1.6</w:t>
            </w:r>
          </w:p>
        </w:tc>
      </w:tr>
      <w:tr w:rsidR="00055125" w:rsidRPr="0080495D" w14:paraId="3DF75E27" w14:textId="77777777" w:rsidTr="00870149">
        <w:tc>
          <w:tcPr>
            <w:tcW w:w="3096" w:type="dxa"/>
          </w:tcPr>
          <w:p w14:paraId="385D6544" w14:textId="77777777" w:rsidR="00055125" w:rsidRPr="00363EFE" w:rsidRDefault="00055125"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7202A9B5"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6B3573F2" w14:textId="77777777" w:rsidR="00055125" w:rsidRPr="00E20618" w:rsidRDefault="00055125" w:rsidP="000649FA">
            <w:pPr>
              <w:pStyle w:val="TableTextLeft"/>
              <w:jc w:val="right"/>
            </w:pPr>
          </w:p>
        </w:tc>
        <w:tc>
          <w:tcPr>
            <w:tcW w:w="996" w:type="dxa"/>
            <w:tcBorders>
              <w:top w:val="nil"/>
              <w:left w:val="nil"/>
              <w:bottom w:val="nil"/>
              <w:right w:val="nil"/>
            </w:tcBorders>
          </w:tcPr>
          <w:p w14:paraId="7CADFA08" w14:textId="77777777" w:rsidR="00055125" w:rsidRPr="00E20618" w:rsidRDefault="00055125" w:rsidP="000649FA">
            <w:pPr>
              <w:pStyle w:val="TableTextLeft"/>
              <w:jc w:val="right"/>
            </w:pPr>
          </w:p>
        </w:tc>
        <w:tc>
          <w:tcPr>
            <w:tcW w:w="996" w:type="dxa"/>
            <w:tcBorders>
              <w:top w:val="nil"/>
              <w:left w:val="nil"/>
              <w:bottom w:val="nil"/>
              <w:right w:val="nil"/>
            </w:tcBorders>
          </w:tcPr>
          <w:p w14:paraId="395DED22"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635EFE4D"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4E4EBEB7" w14:textId="77777777" w:rsidR="00055125" w:rsidRPr="00E20618" w:rsidRDefault="00055125" w:rsidP="000649FA">
            <w:pPr>
              <w:pStyle w:val="TableTextLeft"/>
              <w:jc w:val="right"/>
            </w:pPr>
          </w:p>
        </w:tc>
      </w:tr>
      <w:tr w:rsidR="00055125" w:rsidRPr="0080495D" w14:paraId="2BD697E1" w14:textId="77777777" w:rsidTr="00870149">
        <w:tc>
          <w:tcPr>
            <w:tcW w:w="3096" w:type="dxa"/>
          </w:tcPr>
          <w:p w14:paraId="55E3D8AE"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20FC753D" w14:textId="22CB3025" w:rsidR="00055125" w:rsidRPr="00E20618" w:rsidRDefault="00055125" w:rsidP="000649FA">
            <w:pPr>
              <w:pStyle w:val="TableTextLeft"/>
              <w:jc w:val="right"/>
            </w:pPr>
            <w:r w:rsidRPr="00E20618">
              <w:rPr>
                <w:rFonts w:cstheme="minorHAnsi"/>
              </w:rPr>
              <w:t>-6.4</w:t>
            </w:r>
          </w:p>
        </w:tc>
        <w:tc>
          <w:tcPr>
            <w:tcW w:w="996" w:type="dxa"/>
            <w:tcBorders>
              <w:top w:val="nil"/>
              <w:left w:val="nil"/>
              <w:bottom w:val="nil"/>
              <w:right w:val="nil"/>
            </w:tcBorders>
            <w:shd w:val="clear" w:color="auto" w:fill="D2EDFF" w:themeFill="accent1" w:themeFillTint="1A"/>
          </w:tcPr>
          <w:p w14:paraId="102A5977" w14:textId="4E80CB0E" w:rsidR="00055125" w:rsidRPr="00E20618" w:rsidRDefault="00055125" w:rsidP="000649FA">
            <w:pPr>
              <w:pStyle w:val="TableTextLeft"/>
              <w:jc w:val="right"/>
            </w:pPr>
            <w:r w:rsidRPr="00E20618">
              <w:rPr>
                <w:rFonts w:cstheme="minorHAnsi"/>
              </w:rPr>
              <w:t>57.7</w:t>
            </w:r>
          </w:p>
        </w:tc>
        <w:tc>
          <w:tcPr>
            <w:tcW w:w="996" w:type="dxa"/>
            <w:tcBorders>
              <w:top w:val="nil"/>
              <w:left w:val="nil"/>
              <w:bottom w:val="nil"/>
              <w:right w:val="nil"/>
            </w:tcBorders>
          </w:tcPr>
          <w:p w14:paraId="43B6D577" w14:textId="54692FB3" w:rsidR="00055125" w:rsidRPr="00E20618" w:rsidRDefault="00055125" w:rsidP="000649FA">
            <w:pPr>
              <w:pStyle w:val="TableTextLeft"/>
              <w:jc w:val="right"/>
            </w:pPr>
            <w:r w:rsidRPr="00E20618">
              <w:rPr>
                <w:rFonts w:cstheme="minorHAnsi"/>
              </w:rPr>
              <w:t>74.3</w:t>
            </w:r>
          </w:p>
        </w:tc>
        <w:tc>
          <w:tcPr>
            <w:tcW w:w="996" w:type="dxa"/>
            <w:tcBorders>
              <w:top w:val="nil"/>
              <w:left w:val="nil"/>
              <w:bottom w:val="nil"/>
              <w:right w:val="nil"/>
            </w:tcBorders>
          </w:tcPr>
          <w:p w14:paraId="582808A7" w14:textId="5F9B88F3" w:rsidR="00055125" w:rsidRPr="00E20618" w:rsidRDefault="00055125" w:rsidP="000649FA">
            <w:pPr>
              <w:pStyle w:val="TableTextLeft"/>
              <w:jc w:val="right"/>
            </w:pPr>
            <w:r w:rsidRPr="00E20618">
              <w:rPr>
                <w:rFonts w:cstheme="minorHAnsi"/>
              </w:rPr>
              <w:t>73.3</w:t>
            </w:r>
          </w:p>
        </w:tc>
        <w:tc>
          <w:tcPr>
            <w:tcW w:w="996" w:type="dxa"/>
            <w:tcBorders>
              <w:top w:val="nil"/>
              <w:left w:val="nil"/>
              <w:bottom w:val="nil"/>
              <w:right w:val="single" w:sz="4" w:space="0" w:color="auto"/>
            </w:tcBorders>
          </w:tcPr>
          <w:p w14:paraId="12E0C104" w14:textId="1444572D" w:rsidR="00055125" w:rsidRPr="00E20618" w:rsidRDefault="00055125" w:rsidP="000649FA">
            <w:pPr>
              <w:pStyle w:val="TableTextLeft"/>
              <w:jc w:val="right"/>
            </w:pPr>
            <w:r w:rsidRPr="00E20618">
              <w:rPr>
                <w:rFonts w:cstheme="minorHAnsi"/>
              </w:rPr>
              <w:t>76.3</w:t>
            </w:r>
          </w:p>
        </w:tc>
        <w:tc>
          <w:tcPr>
            <w:tcW w:w="996" w:type="dxa"/>
            <w:tcBorders>
              <w:top w:val="nil"/>
              <w:left w:val="single" w:sz="4" w:space="0" w:color="auto"/>
              <w:bottom w:val="nil"/>
              <w:right w:val="nil"/>
            </w:tcBorders>
          </w:tcPr>
          <w:p w14:paraId="535981D5" w14:textId="0F085C41" w:rsidR="00055125" w:rsidRPr="00E20618" w:rsidRDefault="00055125" w:rsidP="000649FA">
            <w:pPr>
              <w:pStyle w:val="TableTextLeft"/>
              <w:jc w:val="right"/>
            </w:pPr>
            <w:r w:rsidRPr="00E20618">
              <w:rPr>
                <w:rFonts w:cstheme="minorHAnsi"/>
              </w:rPr>
              <w:t>75.4</w:t>
            </w:r>
          </w:p>
        </w:tc>
      </w:tr>
      <w:tr w:rsidR="00055125" w:rsidRPr="0080495D" w14:paraId="279679BF" w14:textId="77777777" w:rsidTr="00870149">
        <w:tc>
          <w:tcPr>
            <w:tcW w:w="3096" w:type="dxa"/>
          </w:tcPr>
          <w:p w14:paraId="628D61DC"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64F02DEE" w14:textId="2BD7AE44" w:rsidR="00055125" w:rsidRPr="00E20618" w:rsidRDefault="00055125" w:rsidP="000649FA">
            <w:pPr>
              <w:pStyle w:val="TableTextLeft"/>
              <w:jc w:val="right"/>
            </w:pPr>
            <w:r w:rsidRPr="00E20618">
              <w:rPr>
                <w:rFonts w:cstheme="minorHAnsi"/>
              </w:rPr>
              <w:t>-7.6</w:t>
            </w:r>
          </w:p>
        </w:tc>
        <w:tc>
          <w:tcPr>
            <w:tcW w:w="996" w:type="dxa"/>
            <w:tcBorders>
              <w:top w:val="nil"/>
              <w:left w:val="nil"/>
              <w:bottom w:val="nil"/>
              <w:right w:val="nil"/>
            </w:tcBorders>
            <w:shd w:val="clear" w:color="auto" w:fill="D2EDFF" w:themeFill="accent1" w:themeFillTint="1A"/>
          </w:tcPr>
          <w:p w14:paraId="6D1EEAB6" w14:textId="53D613B1" w:rsidR="00055125" w:rsidRPr="00E20618" w:rsidRDefault="00055125" w:rsidP="000649FA">
            <w:pPr>
              <w:pStyle w:val="TableTextLeft"/>
              <w:jc w:val="right"/>
            </w:pPr>
            <w:r w:rsidRPr="00E20618">
              <w:rPr>
                <w:rFonts w:cstheme="minorHAnsi"/>
              </w:rPr>
              <w:t>49.2</w:t>
            </w:r>
          </w:p>
        </w:tc>
        <w:tc>
          <w:tcPr>
            <w:tcW w:w="996" w:type="dxa"/>
            <w:tcBorders>
              <w:top w:val="nil"/>
              <w:left w:val="nil"/>
              <w:bottom w:val="nil"/>
              <w:right w:val="nil"/>
            </w:tcBorders>
          </w:tcPr>
          <w:p w14:paraId="561F2D7F" w14:textId="5B96CEF1" w:rsidR="00055125" w:rsidRPr="00E20618" w:rsidRDefault="00055125" w:rsidP="000649FA">
            <w:pPr>
              <w:pStyle w:val="TableTextLeft"/>
              <w:jc w:val="right"/>
            </w:pPr>
            <w:r w:rsidRPr="00E20618">
              <w:rPr>
                <w:rFonts w:cstheme="minorHAnsi"/>
              </w:rPr>
              <w:t>63.6</w:t>
            </w:r>
          </w:p>
        </w:tc>
        <w:tc>
          <w:tcPr>
            <w:tcW w:w="996" w:type="dxa"/>
            <w:tcBorders>
              <w:top w:val="nil"/>
              <w:left w:val="nil"/>
              <w:bottom w:val="nil"/>
              <w:right w:val="nil"/>
            </w:tcBorders>
          </w:tcPr>
          <w:p w14:paraId="052131D7" w14:textId="31BCCA9F" w:rsidR="00055125" w:rsidRPr="00E20618" w:rsidRDefault="00055125" w:rsidP="000649FA">
            <w:pPr>
              <w:pStyle w:val="TableTextLeft"/>
              <w:jc w:val="right"/>
            </w:pPr>
            <w:r w:rsidRPr="00E20618">
              <w:rPr>
                <w:rFonts w:cstheme="minorHAnsi"/>
              </w:rPr>
              <w:t>62.2</w:t>
            </w:r>
          </w:p>
        </w:tc>
        <w:tc>
          <w:tcPr>
            <w:tcW w:w="996" w:type="dxa"/>
            <w:tcBorders>
              <w:top w:val="nil"/>
              <w:left w:val="nil"/>
              <w:bottom w:val="nil"/>
              <w:right w:val="single" w:sz="4" w:space="0" w:color="auto"/>
            </w:tcBorders>
          </w:tcPr>
          <w:p w14:paraId="6581AA45" w14:textId="0D7B98E1" w:rsidR="00055125" w:rsidRPr="00E20618" w:rsidRDefault="00055125" w:rsidP="000649FA">
            <w:pPr>
              <w:pStyle w:val="TableTextLeft"/>
              <w:jc w:val="right"/>
            </w:pPr>
            <w:r w:rsidRPr="00E20618">
              <w:rPr>
                <w:rFonts w:cstheme="minorHAnsi"/>
              </w:rPr>
              <w:t>64.8</w:t>
            </w:r>
          </w:p>
        </w:tc>
        <w:tc>
          <w:tcPr>
            <w:tcW w:w="996" w:type="dxa"/>
            <w:tcBorders>
              <w:top w:val="nil"/>
              <w:left w:val="single" w:sz="4" w:space="0" w:color="auto"/>
              <w:bottom w:val="nil"/>
              <w:right w:val="nil"/>
            </w:tcBorders>
          </w:tcPr>
          <w:p w14:paraId="3A6DF681" w14:textId="59A730EF" w:rsidR="00055125" w:rsidRPr="00E20618" w:rsidRDefault="00055125" w:rsidP="000649FA">
            <w:pPr>
              <w:pStyle w:val="TableTextLeft"/>
              <w:jc w:val="right"/>
            </w:pPr>
            <w:r w:rsidRPr="00E20618">
              <w:rPr>
                <w:rFonts w:cstheme="minorHAnsi"/>
              </w:rPr>
              <w:t>63.7</w:t>
            </w:r>
          </w:p>
        </w:tc>
      </w:tr>
      <w:tr w:rsidR="00055125" w:rsidRPr="0080495D" w14:paraId="7D3606C6" w14:textId="77777777" w:rsidTr="00870149">
        <w:tc>
          <w:tcPr>
            <w:tcW w:w="3096" w:type="dxa"/>
          </w:tcPr>
          <w:p w14:paraId="52C967C8"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nil"/>
              <w:right w:val="nil"/>
            </w:tcBorders>
          </w:tcPr>
          <w:p w14:paraId="139F43DE" w14:textId="273CF8C4"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5FFB57D0" w14:textId="1290A132" w:rsidR="00055125" w:rsidRPr="00E20618" w:rsidRDefault="00055125" w:rsidP="000649FA">
            <w:pPr>
              <w:pStyle w:val="TableTextLeft"/>
              <w:jc w:val="right"/>
            </w:pPr>
            <w:r w:rsidRPr="00E20618">
              <w:rPr>
                <w:rFonts w:cstheme="minorHAnsi"/>
              </w:rPr>
              <w:t>8.5</w:t>
            </w:r>
          </w:p>
        </w:tc>
        <w:tc>
          <w:tcPr>
            <w:tcW w:w="996" w:type="dxa"/>
            <w:tcBorders>
              <w:top w:val="nil"/>
              <w:left w:val="nil"/>
              <w:bottom w:val="nil"/>
              <w:right w:val="nil"/>
            </w:tcBorders>
          </w:tcPr>
          <w:p w14:paraId="4864C14B" w14:textId="6BADC9EB" w:rsidR="00055125" w:rsidRPr="00E20618" w:rsidRDefault="00055125" w:rsidP="000649FA">
            <w:pPr>
              <w:pStyle w:val="TableTextLeft"/>
              <w:jc w:val="right"/>
            </w:pPr>
            <w:r w:rsidRPr="00E20618">
              <w:rPr>
                <w:rFonts w:cstheme="minorHAnsi"/>
              </w:rPr>
              <w:t>10.8</w:t>
            </w:r>
          </w:p>
        </w:tc>
        <w:tc>
          <w:tcPr>
            <w:tcW w:w="996" w:type="dxa"/>
            <w:tcBorders>
              <w:top w:val="nil"/>
              <w:left w:val="nil"/>
              <w:bottom w:val="nil"/>
              <w:right w:val="nil"/>
            </w:tcBorders>
          </w:tcPr>
          <w:p w14:paraId="5C584850" w14:textId="7152C00C" w:rsidR="00055125" w:rsidRPr="00E20618" w:rsidRDefault="00055125" w:rsidP="000649FA">
            <w:pPr>
              <w:pStyle w:val="TableTextLeft"/>
              <w:jc w:val="right"/>
            </w:pPr>
            <w:r w:rsidRPr="00E20618">
              <w:rPr>
                <w:rFonts w:cstheme="minorHAnsi"/>
              </w:rPr>
              <w:t>11.1</w:t>
            </w:r>
          </w:p>
        </w:tc>
        <w:tc>
          <w:tcPr>
            <w:tcW w:w="996" w:type="dxa"/>
            <w:tcBorders>
              <w:top w:val="nil"/>
              <w:left w:val="nil"/>
              <w:bottom w:val="nil"/>
              <w:right w:val="single" w:sz="4" w:space="0" w:color="auto"/>
            </w:tcBorders>
          </w:tcPr>
          <w:p w14:paraId="41DB1EBF" w14:textId="70B78255" w:rsidR="00055125" w:rsidRPr="00E20618" w:rsidRDefault="00055125" w:rsidP="000649FA">
            <w:pPr>
              <w:pStyle w:val="TableTextLeft"/>
              <w:jc w:val="right"/>
            </w:pPr>
            <w:r w:rsidRPr="00E20618">
              <w:rPr>
                <w:rFonts w:cstheme="minorHAnsi"/>
              </w:rPr>
              <w:t>11.5</w:t>
            </w:r>
          </w:p>
        </w:tc>
        <w:tc>
          <w:tcPr>
            <w:tcW w:w="996" w:type="dxa"/>
            <w:tcBorders>
              <w:top w:val="nil"/>
              <w:left w:val="single" w:sz="4" w:space="0" w:color="auto"/>
              <w:bottom w:val="nil"/>
              <w:right w:val="nil"/>
            </w:tcBorders>
          </w:tcPr>
          <w:p w14:paraId="0E375EA1" w14:textId="1CD112E5" w:rsidR="00055125" w:rsidRPr="00E20618" w:rsidRDefault="00055125" w:rsidP="000649FA">
            <w:pPr>
              <w:pStyle w:val="TableTextLeft"/>
              <w:jc w:val="right"/>
            </w:pPr>
            <w:r w:rsidRPr="00E20618">
              <w:rPr>
                <w:rFonts w:cstheme="minorHAnsi"/>
              </w:rPr>
              <w:t>11.7</w:t>
            </w:r>
          </w:p>
        </w:tc>
      </w:tr>
      <w:tr w:rsidR="00055125" w:rsidRPr="0080495D" w14:paraId="48E6A059" w14:textId="77777777" w:rsidTr="00870149">
        <w:tc>
          <w:tcPr>
            <w:tcW w:w="3096" w:type="dxa"/>
          </w:tcPr>
          <w:p w14:paraId="1CAED44A" w14:textId="01774BB0" w:rsidR="00055125" w:rsidRPr="00363EFE" w:rsidRDefault="00055125"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7A12E62F"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21587F8" w14:textId="77777777" w:rsidR="00055125" w:rsidRPr="00E20618" w:rsidRDefault="00055125" w:rsidP="000649FA">
            <w:pPr>
              <w:pStyle w:val="TableTextLeft"/>
              <w:jc w:val="right"/>
            </w:pPr>
          </w:p>
        </w:tc>
        <w:tc>
          <w:tcPr>
            <w:tcW w:w="996" w:type="dxa"/>
            <w:tcBorders>
              <w:top w:val="nil"/>
              <w:left w:val="nil"/>
              <w:bottom w:val="nil"/>
              <w:right w:val="nil"/>
            </w:tcBorders>
          </w:tcPr>
          <w:p w14:paraId="4F0E0857" w14:textId="77777777" w:rsidR="00055125" w:rsidRPr="00E20618" w:rsidRDefault="00055125" w:rsidP="000649FA">
            <w:pPr>
              <w:pStyle w:val="TableTextLeft"/>
              <w:jc w:val="right"/>
            </w:pPr>
          </w:p>
        </w:tc>
        <w:tc>
          <w:tcPr>
            <w:tcW w:w="996" w:type="dxa"/>
            <w:tcBorders>
              <w:top w:val="nil"/>
              <w:left w:val="nil"/>
              <w:bottom w:val="nil"/>
              <w:right w:val="nil"/>
            </w:tcBorders>
          </w:tcPr>
          <w:p w14:paraId="6862C3E0"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30015326"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DDFAC6D" w14:textId="7E0D315D" w:rsidR="00055125" w:rsidRPr="00E20618" w:rsidRDefault="00055125" w:rsidP="000649FA">
            <w:pPr>
              <w:pStyle w:val="TableTextLeft"/>
              <w:jc w:val="right"/>
            </w:pPr>
          </w:p>
        </w:tc>
      </w:tr>
      <w:tr w:rsidR="00055125" w:rsidRPr="0080495D" w14:paraId="7BFE3BC8" w14:textId="77777777" w:rsidTr="00870149">
        <w:tc>
          <w:tcPr>
            <w:tcW w:w="3096" w:type="dxa"/>
          </w:tcPr>
          <w:p w14:paraId="52A24C80" w14:textId="77777777" w:rsidR="00055125" w:rsidRPr="00363EFE" w:rsidRDefault="00055125" w:rsidP="007F14AC">
            <w:pPr>
              <w:pStyle w:val="TableTextLeft"/>
              <w:rPr>
                <w:color w:val="002C47" w:themeColor="accent1"/>
              </w:rPr>
            </w:pPr>
            <w:r w:rsidRPr="00363EFE">
              <w:rPr>
                <w:color w:val="002C47" w:themeColor="accent1"/>
              </w:rPr>
              <w:t>New South Wales</w:t>
            </w:r>
          </w:p>
        </w:tc>
        <w:tc>
          <w:tcPr>
            <w:tcW w:w="996" w:type="dxa"/>
            <w:tcBorders>
              <w:top w:val="nil"/>
              <w:left w:val="nil"/>
              <w:bottom w:val="nil"/>
              <w:right w:val="nil"/>
            </w:tcBorders>
          </w:tcPr>
          <w:p w14:paraId="375D9FFE" w14:textId="6D954521" w:rsidR="00055125" w:rsidRPr="00E20618" w:rsidRDefault="00055125" w:rsidP="000649FA">
            <w:pPr>
              <w:pStyle w:val="TableTextLeft"/>
              <w:jc w:val="right"/>
            </w:pPr>
            <w:r w:rsidRPr="00E20618">
              <w:rPr>
                <w:rFonts w:cstheme="minorHAnsi"/>
              </w:rPr>
              <w:t>-16.8</w:t>
            </w:r>
          </w:p>
        </w:tc>
        <w:tc>
          <w:tcPr>
            <w:tcW w:w="996" w:type="dxa"/>
            <w:tcBorders>
              <w:top w:val="nil"/>
              <w:left w:val="nil"/>
              <w:bottom w:val="nil"/>
              <w:right w:val="nil"/>
            </w:tcBorders>
            <w:shd w:val="clear" w:color="auto" w:fill="D2EDFF" w:themeFill="accent1" w:themeFillTint="1A"/>
          </w:tcPr>
          <w:p w14:paraId="1DCFB6C8" w14:textId="537E2269" w:rsidR="00055125" w:rsidRPr="00E20618" w:rsidRDefault="00055125" w:rsidP="000649FA">
            <w:pPr>
              <w:pStyle w:val="TableTextLeft"/>
              <w:jc w:val="right"/>
            </w:pPr>
            <w:r w:rsidRPr="00E20618">
              <w:rPr>
                <w:rFonts w:cstheme="minorHAnsi"/>
              </w:rPr>
              <w:t>-40.1</w:t>
            </w:r>
          </w:p>
        </w:tc>
        <w:tc>
          <w:tcPr>
            <w:tcW w:w="996" w:type="dxa"/>
            <w:tcBorders>
              <w:top w:val="nil"/>
              <w:left w:val="nil"/>
              <w:bottom w:val="nil"/>
              <w:right w:val="nil"/>
            </w:tcBorders>
          </w:tcPr>
          <w:p w14:paraId="44A3D286" w14:textId="4147E084" w:rsidR="00055125" w:rsidRPr="00E20618" w:rsidRDefault="00055125" w:rsidP="000649FA">
            <w:pPr>
              <w:pStyle w:val="TableTextLeft"/>
              <w:jc w:val="right"/>
            </w:pPr>
            <w:r w:rsidRPr="00E20618">
              <w:rPr>
                <w:rFonts w:cstheme="minorHAnsi"/>
              </w:rPr>
              <w:t>-31.3</w:t>
            </w:r>
          </w:p>
        </w:tc>
        <w:tc>
          <w:tcPr>
            <w:tcW w:w="996" w:type="dxa"/>
            <w:tcBorders>
              <w:top w:val="nil"/>
              <w:left w:val="nil"/>
              <w:bottom w:val="nil"/>
              <w:right w:val="nil"/>
            </w:tcBorders>
          </w:tcPr>
          <w:p w14:paraId="5BD03D8A" w14:textId="3FC8F9C6" w:rsidR="00055125" w:rsidRPr="00E20618" w:rsidRDefault="00055125" w:rsidP="000649FA">
            <w:pPr>
              <w:pStyle w:val="TableTextLeft"/>
              <w:jc w:val="right"/>
            </w:pPr>
            <w:r w:rsidRPr="00E20618">
              <w:rPr>
                <w:rFonts w:cstheme="minorHAnsi"/>
              </w:rPr>
              <w:t>-22.5</w:t>
            </w:r>
          </w:p>
        </w:tc>
        <w:tc>
          <w:tcPr>
            <w:tcW w:w="996" w:type="dxa"/>
            <w:tcBorders>
              <w:top w:val="nil"/>
              <w:left w:val="nil"/>
              <w:bottom w:val="nil"/>
              <w:right w:val="single" w:sz="4" w:space="0" w:color="auto"/>
            </w:tcBorders>
          </w:tcPr>
          <w:p w14:paraId="5ED5AF52" w14:textId="01D64D74" w:rsidR="00055125" w:rsidRPr="00E20618" w:rsidRDefault="00055125" w:rsidP="000649FA">
            <w:pPr>
              <w:pStyle w:val="TableTextLeft"/>
              <w:jc w:val="right"/>
            </w:pPr>
            <w:r w:rsidRPr="00E20618">
              <w:rPr>
                <w:rFonts w:cstheme="minorHAnsi"/>
              </w:rPr>
              <w:t>-22.5</w:t>
            </w:r>
          </w:p>
        </w:tc>
        <w:tc>
          <w:tcPr>
            <w:tcW w:w="996" w:type="dxa"/>
            <w:tcBorders>
              <w:top w:val="nil"/>
              <w:left w:val="single" w:sz="4" w:space="0" w:color="auto"/>
              <w:bottom w:val="nil"/>
              <w:right w:val="nil"/>
            </w:tcBorders>
          </w:tcPr>
          <w:p w14:paraId="46B3D4F9" w14:textId="07AD50AE" w:rsidR="00055125" w:rsidRPr="00E20618" w:rsidRDefault="00055125" w:rsidP="000649FA">
            <w:pPr>
              <w:pStyle w:val="TableTextLeft"/>
              <w:jc w:val="right"/>
            </w:pPr>
            <w:r w:rsidRPr="00E20618">
              <w:rPr>
                <w:rFonts w:cstheme="minorHAnsi"/>
              </w:rPr>
              <w:t>-21.9</w:t>
            </w:r>
          </w:p>
        </w:tc>
      </w:tr>
      <w:tr w:rsidR="00055125" w:rsidRPr="0080495D" w14:paraId="43DD1624" w14:textId="77777777" w:rsidTr="00870149">
        <w:tc>
          <w:tcPr>
            <w:tcW w:w="3096" w:type="dxa"/>
          </w:tcPr>
          <w:p w14:paraId="63485400"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68CB7703" w14:textId="646613E0" w:rsidR="00055125" w:rsidRPr="00E20618" w:rsidRDefault="00055125" w:rsidP="000649FA">
            <w:pPr>
              <w:pStyle w:val="TableTextLeft"/>
              <w:jc w:val="right"/>
            </w:pPr>
            <w:r w:rsidRPr="00E20618">
              <w:rPr>
                <w:rFonts w:cstheme="minorHAnsi"/>
              </w:rPr>
              <w:t>-34.8</w:t>
            </w:r>
          </w:p>
        </w:tc>
        <w:tc>
          <w:tcPr>
            <w:tcW w:w="996" w:type="dxa"/>
            <w:tcBorders>
              <w:top w:val="nil"/>
              <w:left w:val="nil"/>
              <w:bottom w:val="nil"/>
              <w:right w:val="nil"/>
            </w:tcBorders>
            <w:shd w:val="clear" w:color="auto" w:fill="D2EDFF" w:themeFill="accent1" w:themeFillTint="1A"/>
          </w:tcPr>
          <w:p w14:paraId="60A1A752" w14:textId="3F109659" w:rsidR="00055125" w:rsidRPr="00E20618" w:rsidRDefault="00055125" w:rsidP="000649FA">
            <w:pPr>
              <w:pStyle w:val="TableTextLeft"/>
              <w:jc w:val="right"/>
            </w:pPr>
            <w:r w:rsidRPr="00E20618">
              <w:rPr>
                <w:rFonts w:cstheme="minorHAnsi"/>
              </w:rPr>
              <w:t>-38.9</w:t>
            </w:r>
          </w:p>
        </w:tc>
        <w:tc>
          <w:tcPr>
            <w:tcW w:w="996" w:type="dxa"/>
            <w:tcBorders>
              <w:top w:val="nil"/>
              <w:left w:val="nil"/>
              <w:bottom w:val="nil"/>
              <w:right w:val="nil"/>
            </w:tcBorders>
          </w:tcPr>
          <w:p w14:paraId="349CF0F2" w14:textId="01895609" w:rsidR="00055125" w:rsidRPr="00E20618" w:rsidRDefault="00055125" w:rsidP="000649FA">
            <w:pPr>
              <w:pStyle w:val="TableTextLeft"/>
              <w:jc w:val="right"/>
            </w:pPr>
            <w:r w:rsidRPr="00E20618">
              <w:rPr>
                <w:rFonts w:cstheme="minorHAnsi"/>
              </w:rPr>
              <w:t>-34.1</w:t>
            </w:r>
          </w:p>
        </w:tc>
        <w:tc>
          <w:tcPr>
            <w:tcW w:w="996" w:type="dxa"/>
            <w:tcBorders>
              <w:top w:val="nil"/>
              <w:left w:val="nil"/>
              <w:bottom w:val="nil"/>
              <w:right w:val="nil"/>
            </w:tcBorders>
          </w:tcPr>
          <w:p w14:paraId="03D44CEF" w14:textId="45EBAF41" w:rsidR="00055125" w:rsidRPr="00E20618" w:rsidRDefault="00055125" w:rsidP="000649FA">
            <w:pPr>
              <w:pStyle w:val="TableTextLeft"/>
              <w:jc w:val="right"/>
            </w:pPr>
            <w:r w:rsidRPr="00E20618">
              <w:rPr>
                <w:rFonts w:cstheme="minorHAnsi"/>
              </w:rPr>
              <w:t>-27.7</w:t>
            </w:r>
          </w:p>
        </w:tc>
        <w:tc>
          <w:tcPr>
            <w:tcW w:w="996" w:type="dxa"/>
            <w:tcBorders>
              <w:top w:val="nil"/>
              <w:left w:val="nil"/>
              <w:bottom w:val="nil"/>
              <w:right w:val="single" w:sz="4" w:space="0" w:color="auto"/>
            </w:tcBorders>
          </w:tcPr>
          <w:p w14:paraId="02981836" w14:textId="424BD950" w:rsidR="00055125" w:rsidRPr="00E20618" w:rsidRDefault="00055125" w:rsidP="000649FA">
            <w:pPr>
              <w:pStyle w:val="TableTextLeft"/>
              <w:jc w:val="right"/>
            </w:pPr>
            <w:r w:rsidRPr="00E20618">
              <w:rPr>
                <w:rFonts w:cstheme="minorHAnsi"/>
              </w:rPr>
              <w:t>-28.4</w:t>
            </w:r>
          </w:p>
        </w:tc>
        <w:tc>
          <w:tcPr>
            <w:tcW w:w="996" w:type="dxa"/>
            <w:tcBorders>
              <w:top w:val="nil"/>
              <w:left w:val="single" w:sz="4" w:space="0" w:color="auto"/>
              <w:bottom w:val="nil"/>
              <w:right w:val="nil"/>
            </w:tcBorders>
          </w:tcPr>
          <w:p w14:paraId="1FE5899D" w14:textId="182B7E0A" w:rsidR="00055125" w:rsidRPr="00E20618" w:rsidRDefault="00055125" w:rsidP="000649FA">
            <w:pPr>
              <w:pStyle w:val="TableTextLeft"/>
              <w:jc w:val="right"/>
            </w:pPr>
            <w:r w:rsidRPr="00E20618">
              <w:rPr>
                <w:rFonts w:cstheme="minorHAnsi"/>
              </w:rPr>
              <w:t>-33.4</w:t>
            </w:r>
          </w:p>
        </w:tc>
      </w:tr>
      <w:tr w:rsidR="00055125" w:rsidRPr="0080495D" w14:paraId="068C7427" w14:textId="77777777" w:rsidTr="00870149">
        <w:tc>
          <w:tcPr>
            <w:tcW w:w="3096" w:type="dxa"/>
            <w:tcBorders>
              <w:bottom w:val="single" w:sz="4" w:space="0" w:color="auto"/>
            </w:tcBorders>
          </w:tcPr>
          <w:p w14:paraId="13A74636"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133D4502" w14:textId="245BE8CF" w:rsidR="00055125" w:rsidRPr="00E20618" w:rsidRDefault="00055125" w:rsidP="000649FA">
            <w:pPr>
              <w:pStyle w:val="TableTextLeft"/>
              <w:jc w:val="right"/>
            </w:pPr>
            <w:r w:rsidRPr="00E20618">
              <w:rPr>
                <w:rFonts w:cstheme="minorHAnsi"/>
              </w:rPr>
              <w:t>18</w:t>
            </w:r>
          </w:p>
        </w:tc>
        <w:tc>
          <w:tcPr>
            <w:tcW w:w="996" w:type="dxa"/>
            <w:tcBorders>
              <w:top w:val="nil"/>
              <w:left w:val="nil"/>
              <w:bottom w:val="single" w:sz="4" w:space="0" w:color="auto"/>
              <w:right w:val="nil"/>
            </w:tcBorders>
            <w:shd w:val="clear" w:color="auto" w:fill="D2EDFF" w:themeFill="accent1" w:themeFillTint="1A"/>
          </w:tcPr>
          <w:p w14:paraId="308D2AD4" w14:textId="79A0D249" w:rsidR="00055125" w:rsidRPr="00E20618" w:rsidRDefault="00055125" w:rsidP="000649FA">
            <w:pPr>
              <w:pStyle w:val="TableTextLeft"/>
              <w:jc w:val="right"/>
            </w:pPr>
            <w:r w:rsidRPr="00E20618">
              <w:rPr>
                <w:rFonts w:cstheme="minorHAnsi"/>
              </w:rPr>
              <w:t>-1.2</w:t>
            </w:r>
          </w:p>
        </w:tc>
        <w:tc>
          <w:tcPr>
            <w:tcW w:w="996" w:type="dxa"/>
            <w:tcBorders>
              <w:top w:val="nil"/>
              <w:left w:val="nil"/>
              <w:bottom w:val="single" w:sz="4" w:space="0" w:color="auto"/>
              <w:right w:val="nil"/>
            </w:tcBorders>
          </w:tcPr>
          <w:p w14:paraId="32B0DD56" w14:textId="6A398C66" w:rsidR="00055125" w:rsidRPr="00E20618" w:rsidRDefault="00055125" w:rsidP="000649FA">
            <w:pPr>
              <w:pStyle w:val="TableTextLeft"/>
              <w:jc w:val="right"/>
            </w:pPr>
            <w:r w:rsidRPr="00E20618">
              <w:rPr>
                <w:rFonts w:cstheme="minorHAnsi"/>
              </w:rPr>
              <w:t>2.8</w:t>
            </w:r>
          </w:p>
        </w:tc>
        <w:tc>
          <w:tcPr>
            <w:tcW w:w="996" w:type="dxa"/>
            <w:tcBorders>
              <w:top w:val="nil"/>
              <w:left w:val="nil"/>
              <w:bottom w:val="single" w:sz="4" w:space="0" w:color="auto"/>
              <w:right w:val="nil"/>
            </w:tcBorders>
          </w:tcPr>
          <w:p w14:paraId="4627E94F" w14:textId="7B686D0E" w:rsidR="00055125" w:rsidRPr="00E20618" w:rsidRDefault="00055125" w:rsidP="000649FA">
            <w:pPr>
              <w:pStyle w:val="TableTextLeft"/>
              <w:jc w:val="right"/>
            </w:pPr>
            <w:r w:rsidRPr="00E20618">
              <w:rPr>
                <w:rFonts w:cstheme="minorHAnsi"/>
              </w:rPr>
              <w:t>5.1</w:t>
            </w:r>
          </w:p>
        </w:tc>
        <w:tc>
          <w:tcPr>
            <w:tcW w:w="996" w:type="dxa"/>
            <w:tcBorders>
              <w:top w:val="nil"/>
              <w:left w:val="nil"/>
              <w:bottom w:val="single" w:sz="4" w:space="0" w:color="auto"/>
              <w:right w:val="single" w:sz="4" w:space="0" w:color="auto"/>
            </w:tcBorders>
          </w:tcPr>
          <w:p w14:paraId="042E56F7" w14:textId="7D2279AA" w:rsidR="00055125" w:rsidRPr="00E20618" w:rsidRDefault="00055125" w:rsidP="000649FA">
            <w:pPr>
              <w:pStyle w:val="TableTextLeft"/>
              <w:jc w:val="right"/>
            </w:pPr>
            <w:r w:rsidRPr="00E20618">
              <w:rPr>
                <w:rFonts w:cstheme="minorHAnsi"/>
              </w:rPr>
              <w:t>5.8</w:t>
            </w:r>
          </w:p>
        </w:tc>
        <w:tc>
          <w:tcPr>
            <w:tcW w:w="996" w:type="dxa"/>
            <w:tcBorders>
              <w:top w:val="nil"/>
              <w:left w:val="single" w:sz="4" w:space="0" w:color="auto"/>
              <w:bottom w:val="single" w:sz="4" w:space="0" w:color="auto"/>
              <w:right w:val="nil"/>
            </w:tcBorders>
          </w:tcPr>
          <w:p w14:paraId="00CAFE5A" w14:textId="1BCEA1DA" w:rsidR="00055125" w:rsidRPr="00E20618" w:rsidRDefault="00055125" w:rsidP="000649FA">
            <w:pPr>
              <w:pStyle w:val="TableTextLeft"/>
              <w:jc w:val="right"/>
            </w:pPr>
            <w:r w:rsidRPr="00E20618">
              <w:rPr>
                <w:rFonts w:cstheme="minorHAnsi"/>
              </w:rPr>
              <w:t>11.5</w:t>
            </w:r>
          </w:p>
        </w:tc>
      </w:tr>
      <w:tr w:rsidR="00055125" w:rsidRPr="0080495D" w14:paraId="3375DA2A" w14:textId="77777777" w:rsidTr="00870149">
        <w:tc>
          <w:tcPr>
            <w:tcW w:w="3096" w:type="dxa"/>
            <w:tcBorders>
              <w:top w:val="single" w:sz="4" w:space="0" w:color="auto"/>
              <w:bottom w:val="nil"/>
            </w:tcBorders>
          </w:tcPr>
          <w:p w14:paraId="5550AB26" w14:textId="77777777" w:rsidR="00055125" w:rsidRPr="00363EFE" w:rsidRDefault="00055125"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2C2B1DF"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522E832A"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5D6AC337"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63CFF077"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3B48FD1E"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7A233359" w14:textId="6123E6AF" w:rsidR="00055125" w:rsidRPr="00E20618" w:rsidRDefault="00055125" w:rsidP="000649FA">
            <w:pPr>
              <w:pStyle w:val="TableTextLeft"/>
              <w:jc w:val="right"/>
            </w:pPr>
          </w:p>
        </w:tc>
      </w:tr>
      <w:tr w:rsidR="00055125" w:rsidRPr="0080495D" w14:paraId="2782A488" w14:textId="77777777" w:rsidTr="00870149">
        <w:tc>
          <w:tcPr>
            <w:tcW w:w="3096" w:type="dxa"/>
            <w:tcBorders>
              <w:top w:val="nil"/>
            </w:tcBorders>
          </w:tcPr>
          <w:p w14:paraId="4B3F4869" w14:textId="77777777" w:rsidR="00055125" w:rsidRPr="00363EFE" w:rsidRDefault="00055125" w:rsidP="007F14AC">
            <w:pPr>
              <w:pStyle w:val="TableTextLeft"/>
              <w:rPr>
                <w:i/>
                <w:iCs/>
                <w:color w:val="002C47" w:themeColor="accent1"/>
              </w:rPr>
            </w:pPr>
            <w:r w:rsidRPr="00363EFE">
              <w:rPr>
                <w:color w:val="002C47" w:themeColor="accent1"/>
              </w:rPr>
              <w:t>New South Wales</w:t>
            </w:r>
          </w:p>
        </w:tc>
        <w:tc>
          <w:tcPr>
            <w:tcW w:w="996" w:type="dxa"/>
            <w:tcBorders>
              <w:top w:val="nil"/>
              <w:left w:val="nil"/>
              <w:bottom w:val="nil"/>
              <w:right w:val="nil"/>
            </w:tcBorders>
          </w:tcPr>
          <w:p w14:paraId="55C9C51A" w14:textId="6591B5C0" w:rsidR="00055125" w:rsidRPr="00E20618" w:rsidRDefault="00055125" w:rsidP="000649FA">
            <w:pPr>
              <w:pStyle w:val="TableTextLeft"/>
              <w:jc w:val="right"/>
            </w:pPr>
            <w:r w:rsidRPr="00E20618">
              <w:rPr>
                <w:rFonts w:cstheme="minorHAnsi"/>
              </w:rPr>
              <w:t>38.6</w:t>
            </w:r>
          </w:p>
        </w:tc>
        <w:tc>
          <w:tcPr>
            <w:tcW w:w="996" w:type="dxa"/>
            <w:tcBorders>
              <w:top w:val="nil"/>
              <w:left w:val="nil"/>
              <w:bottom w:val="nil"/>
              <w:right w:val="nil"/>
            </w:tcBorders>
            <w:shd w:val="clear" w:color="auto" w:fill="D2EDFF" w:themeFill="accent1" w:themeFillTint="1A"/>
          </w:tcPr>
          <w:p w14:paraId="389B51EF" w14:textId="064896FC" w:rsidR="00055125" w:rsidRPr="00E20618" w:rsidRDefault="00055125" w:rsidP="000649FA">
            <w:pPr>
              <w:pStyle w:val="TableTextLeft"/>
              <w:jc w:val="right"/>
            </w:pPr>
            <w:r w:rsidRPr="00E20618">
              <w:rPr>
                <w:rFonts w:cstheme="minorHAnsi"/>
              </w:rPr>
              <w:t>38.8</w:t>
            </w:r>
          </w:p>
        </w:tc>
        <w:tc>
          <w:tcPr>
            <w:tcW w:w="996" w:type="dxa"/>
            <w:tcBorders>
              <w:top w:val="nil"/>
              <w:left w:val="nil"/>
              <w:bottom w:val="nil"/>
              <w:right w:val="nil"/>
            </w:tcBorders>
          </w:tcPr>
          <w:p w14:paraId="39A30F59" w14:textId="6A66D1BD" w:rsidR="00055125" w:rsidRPr="00E20618" w:rsidRDefault="00055125" w:rsidP="000649FA">
            <w:pPr>
              <w:pStyle w:val="TableTextLeft"/>
              <w:jc w:val="right"/>
            </w:pPr>
            <w:r w:rsidRPr="00E20618">
              <w:rPr>
                <w:rFonts w:cstheme="minorHAnsi"/>
              </w:rPr>
              <w:t>38.9</w:t>
            </w:r>
          </w:p>
        </w:tc>
        <w:tc>
          <w:tcPr>
            <w:tcW w:w="996" w:type="dxa"/>
            <w:tcBorders>
              <w:top w:val="nil"/>
              <w:left w:val="nil"/>
              <w:bottom w:val="nil"/>
              <w:right w:val="nil"/>
            </w:tcBorders>
          </w:tcPr>
          <w:p w14:paraId="3F9094C9" w14:textId="7819EFDE" w:rsidR="00055125" w:rsidRPr="00E20618" w:rsidRDefault="00055125" w:rsidP="000649FA">
            <w:pPr>
              <w:pStyle w:val="TableTextLeft"/>
              <w:jc w:val="right"/>
            </w:pPr>
            <w:r w:rsidRPr="00E20618">
              <w:rPr>
                <w:rFonts w:cstheme="minorHAnsi"/>
              </w:rPr>
              <w:t>39</w:t>
            </w:r>
          </w:p>
        </w:tc>
        <w:tc>
          <w:tcPr>
            <w:tcW w:w="996" w:type="dxa"/>
            <w:tcBorders>
              <w:top w:val="nil"/>
              <w:left w:val="nil"/>
              <w:bottom w:val="nil"/>
              <w:right w:val="single" w:sz="4" w:space="0" w:color="auto"/>
            </w:tcBorders>
          </w:tcPr>
          <w:p w14:paraId="28A8B97D" w14:textId="197F9391" w:rsidR="00055125" w:rsidRPr="00E20618" w:rsidRDefault="00055125" w:rsidP="000649FA">
            <w:pPr>
              <w:pStyle w:val="TableTextLeft"/>
              <w:jc w:val="right"/>
            </w:pPr>
            <w:r w:rsidRPr="00E20618">
              <w:rPr>
                <w:rFonts w:cstheme="minorHAnsi"/>
              </w:rPr>
              <w:t>39.2</w:t>
            </w:r>
          </w:p>
        </w:tc>
        <w:tc>
          <w:tcPr>
            <w:tcW w:w="996" w:type="dxa"/>
            <w:tcBorders>
              <w:top w:val="nil"/>
              <w:left w:val="single" w:sz="4" w:space="0" w:color="auto"/>
              <w:bottom w:val="nil"/>
              <w:right w:val="nil"/>
            </w:tcBorders>
          </w:tcPr>
          <w:p w14:paraId="6BE0BB69" w14:textId="75F01B72" w:rsidR="00055125" w:rsidRPr="00E20618" w:rsidRDefault="00055125" w:rsidP="000649FA">
            <w:pPr>
              <w:pStyle w:val="TableTextLeft"/>
              <w:jc w:val="right"/>
            </w:pPr>
            <w:r w:rsidRPr="00E20618">
              <w:rPr>
                <w:rFonts w:cstheme="minorHAnsi"/>
              </w:rPr>
              <w:t>40.1</w:t>
            </w:r>
          </w:p>
        </w:tc>
      </w:tr>
      <w:tr w:rsidR="00055125" w:rsidRPr="0080495D" w14:paraId="37B6EFCC" w14:textId="77777777" w:rsidTr="00870149">
        <w:tc>
          <w:tcPr>
            <w:tcW w:w="3096" w:type="dxa"/>
            <w:tcBorders>
              <w:bottom w:val="nil"/>
            </w:tcBorders>
          </w:tcPr>
          <w:p w14:paraId="59EEB2C5" w14:textId="77777777" w:rsidR="00055125" w:rsidRPr="00363EFE" w:rsidRDefault="00055125" w:rsidP="007F14AC">
            <w:pPr>
              <w:pStyle w:val="Tabletextleftindent"/>
              <w:rPr>
                <w:color w:val="002C47" w:themeColor="accent1"/>
              </w:rPr>
            </w:pPr>
            <w:r w:rsidRPr="00363EFE">
              <w:rPr>
                <w:color w:val="002C47" w:themeColor="accent1"/>
              </w:rPr>
              <w:t xml:space="preserve">Greater Sydney </w:t>
            </w:r>
          </w:p>
        </w:tc>
        <w:tc>
          <w:tcPr>
            <w:tcW w:w="996" w:type="dxa"/>
            <w:tcBorders>
              <w:top w:val="nil"/>
              <w:left w:val="nil"/>
              <w:bottom w:val="nil"/>
              <w:right w:val="nil"/>
            </w:tcBorders>
          </w:tcPr>
          <w:p w14:paraId="354D26B4" w14:textId="6FD2257D"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shd w:val="clear" w:color="auto" w:fill="D2EDFF" w:themeFill="accent1" w:themeFillTint="1A"/>
          </w:tcPr>
          <w:p w14:paraId="6BD299E2" w14:textId="36110821" w:rsidR="00055125" w:rsidRPr="00E20618" w:rsidRDefault="00055125" w:rsidP="000649FA">
            <w:pPr>
              <w:pStyle w:val="TableTextLeft"/>
              <w:jc w:val="right"/>
            </w:pPr>
            <w:r w:rsidRPr="00E20618">
              <w:rPr>
                <w:rFonts w:cstheme="minorHAnsi"/>
              </w:rPr>
              <w:t>37.3</w:t>
            </w:r>
          </w:p>
        </w:tc>
        <w:tc>
          <w:tcPr>
            <w:tcW w:w="996" w:type="dxa"/>
            <w:tcBorders>
              <w:top w:val="nil"/>
              <w:left w:val="nil"/>
              <w:bottom w:val="nil"/>
              <w:right w:val="nil"/>
            </w:tcBorders>
          </w:tcPr>
          <w:p w14:paraId="096672C8" w14:textId="0F5DC81C" w:rsidR="00055125" w:rsidRPr="00E20618" w:rsidRDefault="00055125" w:rsidP="000649FA">
            <w:pPr>
              <w:pStyle w:val="TableTextLeft"/>
              <w:jc w:val="right"/>
            </w:pPr>
            <w:r w:rsidRPr="00E20618">
              <w:rPr>
                <w:rFonts w:cstheme="minorHAnsi"/>
              </w:rPr>
              <w:t>37.3</w:t>
            </w:r>
          </w:p>
        </w:tc>
        <w:tc>
          <w:tcPr>
            <w:tcW w:w="996" w:type="dxa"/>
            <w:tcBorders>
              <w:top w:val="nil"/>
              <w:left w:val="nil"/>
              <w:bottom w:val="nil"/>
              <w:right w:val="nil"/>
            </w:tcBorders>
          </w:tcPr>
          <w:p w14:paraId="3A4E29EA" w14:textId="78D89C3B" w:rsidR="00055125" w:rsidRPr="00E20618" w:rsidRDefault="00055125" w:rsidP="000649FA">
            <w:pPr>
              <w:pStyle w:val="TableTextLeft"/>
              <w:jc w:val="right"/>
            </w:pPr>
            <w:r w:rsidRPr="00E20618">
              <w:rPr>
                <w:rFonts w:cstheme="minorHAnsi"/>
              </w:rPr>
              <w:t>37.4</w:t>
            </w:r>
          </w:p>
        </w:tc>
        <w:tc>
          <w:tcPr>
            <w:tcW w:w="996" w:type="dxa"/>
            <w:tcBorders>
              <w:top w:val="nil"/>
              <w:left w:val="nil"/>
              <w:bottom w:val="nil"/>
              <w:right w:val="single" w:sz="4" w:space="0" w:color="auto"/>
            </w:tcBorders>
          </w:tcPr>
          <w:p w14:paraId="63AAC5E1" w14:textId="5FC16708" w:rsidR="00055125" w:rsidRPr="00E20618" w:rsidRDefault="00055125" w:rsidP="000649FA">
            <w:pPr>
              <w:pStyle w:val="TableTextLeft"/>
              <w:jc w:val="right"/>
            </w:pPr>
            <w:r w:rsidRPr="00E20618">
              <w:rPr>
                <w:rFonts w:cstheme="minorHAnsi"/>
              </w:rPr>
              <w:t>37.4</w:t>
            </w:r>
          </w:p>
        </w:tc>
        <w:tc>
          <w:tcPr>
            <w:tcW w:w="996" w:type="dxa"/>
            <w:tcBorders>
              <w:top w:val="nil"/>
              <w:left w:val="single" w:sz="4" w:space="0" w:color="auto"/>
              <w:bottom w:val="nil"/>
              <w:right w:val="nil"/>
            </w:tcBorders>
          </w:tcPr>
          <w:p w14:paraId="29763AB5" w14:textId="57F334E8" w:rsidR="00055125" w:rsidRPr="00E20618" w:rsidRDefault="00055125" w:rsidP="000649FA">
            <w:pPr>
              <w:pStyle w:val="TableTextLeft"/>
              <w:jc w:val="right"/>
            </w:pPr>
            <w:r w:rsidRPr="00E20618">
              <w:rPr>
                <w:rFonts w:cstheme="minorHAnsi"/>
              </w:rPr>
              <w:t>37.9</w:t>
            </w:r>
          </w:p>
        </w:tc>
      </w:tr>
      <w:tr w:rsidR="00055125" w:rsidRPr="0080495D" w14:paraId="4BFFE973" w14:textId="77777777" w:rsidTr="00870149">
        <w:tc>
          <w:tcPr>
            <w:tcW w:w="3096" w:type="dxa"/>
            <w:tcBorders>
              <w:bottom w:val="single" w:sz="4" w:space="0" w:color="auto"/>
            </w:tcBorders>
          </w:tcPr>
          <w:p w14:paraId="001A27E0" w14:textId="77777777" w:rsidR="00055125" w:rsidRPr="00363EFE" w:rsidRDefault="00055125" w:rsidP="007F14AC">
            <w:pPr>
              <w:pStyle w:val="Tabletextleftindent"/>
              <w:rPr>
                <w:color w:val="002C47" w:themeColor="accent1"/>
              </w:rPr>
            </w:pPr>
            <w:r w:rsidRPr="00363EFE">
              <w:rPr>
                <w:color w:val="002C47" w:themeColor="accent1"/>
              </w:rPr>
              <w:t>Rest of New South Wales</w:t>
            </w:r>
          </w:p>
        </w:tc>
        <w:tc>
          <w:tcPr>
            <w:tcW w:w="996" w:type="dxa"/>
            <w:tcBorders>
              <w:top w:val="nil"/>
              <w:left w:val="nil"/>
              <w:bottom w:val="single" w:sz="4" w:space="0" w:color="auto"/>
              <w:right w:val="nil"/>
            </w:tcBorders>
          </w:tcPr>
          <w:p w14:paraId="067869C9" w14:textId="7887DE9F" w:rsidR="00055125" w:rsidRPr="00E20618" w:rsidRDefault="00055125" w:rsidP="000649FA">
            <w:pPr>
              <w:pStyle w:val="TableTextLeft"/>
              <w:jc w:val="right"/>
            </w:pPr>
            <w:r w:rsidRPr="00E20618">
              <w:rPr>
                <w:rFonts w:cstheme="minorHAnsi"/>
              </w:rPr>
              <w:t>42.5</w:t>
            </w:r>
          </w:p>
        </w:tc>
        <w:tc>
          <w:tcPr>
            <w:tcW w:w="996" w:type="dxa"/>
            <w:tcBorders>
              <w:top w:val="nil"/>
              <w:left w:val="nil"/>
              <w:bottom w:val="single" w:sz="4" w:space="0" w:color="auto"/>
              <w:right w:val="nil"/>
            </w:tcBorders>
            <w:shd w:val="clear" w:color="auto" w:fill="D2EDFF" w:themeFill="accent1" w:themeFillTint="1A"/>
          </w:tcPr>
          <w:p w14:paraId="547EFA58" w14:textId="039FDD3C" w:rsidR="00055125" w:rsidRPr="00E20618" w:rsidRDefault="00055125" w:rsidP="000649FA">
            <w:pPr>
              <w:pStyle w:val="TableTextLeft"/>
              <w:jc w:val="right"/>
            </w:pPr>
            <w:r w:rsidRPr="00E20618">
              <w:rPr>
                <w:rFonts w:cstheme="minorHAnsi"/>
              </w:rPr>
              <w:t>42.6</w:t>
            </w:r>
          </w:p>
        </w:tc>
        <w:tc>
          <w:tcPr>
            <w:tcW w:w="996" w:type="dxa"/>
            <w:tcBorders>
              <w:top w:val="nil"/>
              <w:left w:val="nil"/>
              <w:bottom w:val="single" w:sz="4" w:space="0" w:color="auto"/>
              <w:right w:val="nil"/>
            </w:tcBorders>
          </w:tcPr>
          <w:p w14:paraId="2656DE45" w14:textId="6D92AE17" w:rsidR="00055125" w:rsidRPr="00E20618" w:rsidRDefault="00055125" w:rsidP="000649FA">
            <w:pPr>
              <w:pStyle w:val="TableTextLeft"/>
              <w:jc w:val="right"/>
            </w:pPr>
            <w:r w:rsidRPr="00E20618">
              <w:rPr>
                <w:rFonts w:cstheme="minorHAnsi"/>
              </w:rPr>
              <w:t>42.8</w:t>
            </w:r>
          </w:p>
        </w:tc>
        <w:tc>
          <w:tcPr>
            <w:tcW w:w="996" w:type="dxa"/>
            <w:tcBorders>
              <w:top w:val="nil"/>
              <w:left w:val="nil"/>
              <w:bottom w:val="single" w:sz="4" w:space="0" w:color="auto"/>
              <w:right w:val="nil"/>
            </w:tcBorders>
          </w:tcPr>
          <w:p w14:paraId="6D99B7A8" w14:textId="010ADCC7" w:rsidR="00055125" w:rsidRPr="00E20618" w:rsidRDefault="00055125" w:rsidP="000649FA">
            <w:pPr>
              <w:pStyle w:val="TableTextLeft"/>
              <w:jc w:val="right"/>
            </w:pPr>
            <w:r w:rsidRPr="00E20618">
              <w:rPr>
                <w:rFonts w:cstheme="minorHAnsi"/>
              </w:rPr>
              <w:t>43</w:t>
            </w:r>
          </w:p>
        </w:tc>
        <w:tc>
          <w:tcPr>
            <w:tcW w:w="996" w:type="dxa"/>
            <w:tcBorders>
              <w:top w:val="nil"/>
              <w:left w:val="nil"/>
              <w:bottom w:val="single" w:sz="4" w:space="0" w:color="auto"/>
              <w:right w:val="single" w:sz="4" w:space="0" w:color="auto"/>
            </w:tcBorders>
          </w:tcPr>
          <w:p w14:paraId="3D27A9E2" w14:textId="44197B0F" w:rsidR="00055125" w:rsidRPr="00E20618" w:rsidRDefault="00055125" w:rsidP="000649FA">
            <w:pPr>
              <w:pStyle w:val="TableTextLeft"/>
              <w:jc w:val="right"/>
            </w:pPr>
            <w:r w:rsidRPr="00E20618">
              <w:rPr>
                <w:rFonts w:cstheme="minorHAnsi"/>
              </w:rPr>
              <w:t>43.3</w:t>
            </w:r>
          </w:p>
        </w:tc>
        <w:tc>
          <w:tcPr>
            <w:tcW w:w="996" w:type="dxa"/>
            <w:tcBorders>
              <w:top w:val="nil"/>
              <w:left w:val="single" w:sz="4" w:space="0" w:color="auto"/>
              <w:bottom w:val="single" w:sz="4" w:space="0" w:color="auto"/>
              <w:right w:val="nil"/>
            </w:tcBorders>
          </w:tcPr>
          <w:p w14:paraId="35AD14B3" w14:textId="3827D6F5" w:rsidR="00055125" w:rsidRPr="00E20618" w:rsidRDefault="00055125" w:rsidP="000649FA">
            <w:pPr>
              <w:pStyle w:val="TableTextLeft"/>
              <w:jc w:val="right"/>
            </w:pPr>
            <w:r w:rsidRPr="00E20618">
              <w:rPr>
                <w:rFonts w:cstheme="minorHAnsi"/>
              </w:rPr>
              <w:t>45.3</w:t>
            </w:r>
          </w:p>
        </w:tc>
      </w:tr>
    </w:tbl>
    <w:p w14:paraId="33ABB320" w14:textId="410BF63B" w:rsidR="00CD158B" w:rsidRPr="002645AD" w:rsidRDefault="00CD158B" w:rsidP="00CD158B">
      <w:pPr>
        <w:pStyle w:val="Source"/>
      </w:pPr>
      <w:r w:rsidRPr="0080495D">
        <w:t xml:space="preserve">Source: </w:t>
      </w:r>
      <w:r w:rsidR="00920D8F">
        <w:rPr>
          <w:noProof/>
        </w:rPr>
        <w:t>Australian Bureau of Statistics, National, state and territory population, March 2022, 2022</w:t>
      </w:r>
      <w:r w:rsidR="00837FB0">
        <w:t>;</w:t>
      </w:r>
      <w:r w:rsidR="00920D8F">
        <w:rPr>
          <w:noProof/>
        </w:rPr>
        <w:t xml:space="preserve"> Australian Bureau of Statistics, Regional population, 2022</w:t>
      </w:r>
      <w:r w:rsidRPr="0080495D">
        <w:t xml:space="preserve"> and Centre for Population projections.</w:t>
      </w:r>
    </w:p>
    <w:p w14:paraId="24956900" w14:textId="77777777" w:rsidR="0027185F" w:rsidRPr="00584010" w:rsidRDefault="0027185F" w:rsidP="00CD158B">
      <w:pPr>
        <w:spacing w:before="0" w:after="160" w:line="259" w:lineRule="auto"/>
        <w:rPr>
          <w:b/>
          <w:smallCaps/>
          <w:color w:val="002C47" w:themeColor="accent1"/>
          <w:spacing w:val="15"/>
        </w:rPr>
      </w:pPr>
    </w:p>
    <w:bookmarkEnd w:id="138"/>
    <w:p w14:paraId="3F4C36F3" w14:textId="2DA8F8F8" w:rsidR="00CF6797" w:rsidRDefault="00CF6797">
      <w:pPr>
        <w:spacing w:before="0" w:after="160" w:line="259" w:lineRule="auto"/>
        <w:rPr>
          <w:b/>
          <w:smallCaps/>
          <w:color w:val="002C47" w:themeColor="accent1"/>
          <w:spacing w:val="15"/>
        </w:rPr>
      </w:pPr>
      <w:r>
        <w:rPr>
          <w:b/>
          <w:smallCaps/>
          <w:color w:val="002C47" w:themeColor="accent1"/>
          <w:spacing w:val="15"/>
        </w:rPr>
        <w:br w:type="page"/>
      </w:r>
    </w:p>
    <w:p w14:paraId="33E28EA0" w14:textId="1BC47AE4" w:rsidR="00E47BB8" w:rsidRDefault="00E47BB8" w:rsidP="0039767A">
      <w:pPr>
        <w:pStyle w:val="Heading2Numbered"/>
      </w:pPr>
      <w:bookmarkStart w:id="147" w:name="_Toc122618375"/>
      <w:r>
        <w:lastRenderedPageBreak/>
        <w:t>Victoria</w:t>
      </w:r>
      <w:bookmarkEnd w:id="147"/>
    </w:p>
    <w:p w14:paraId="3DABACA1" w14:textId="4ABCE7EB" w:rsidR="00055125" w:rsidRPr="00BF4725" w:rsidRDefault="00055125" w:rsidP="0039767A">
      <w:bookmarkStart w:id="148" w:name="_Ref115340911"/>
      <w:r w:rsidRPr="00BF4725">
        <w:t xml:space="preserve">Victoria had a population of 6.6 million on 30 June 2021 and is projected to reach 7.9 million by 2032–33. </w:t>
      </w:r>
      <w:r w:rsidR="00CF6797">
        <w:br/>
      </w:r>
      <w:r w:rsidRPr="00BF4725">
        <w:t>The pandemic affected Victoria’s population growth more than any other state due to large falls in both net overseas migration and interstate migration. Annual population growth declined to -0.9 per cent in 2020–21, after averaging 2.1 per cent annual growth between 2014–15 and 2018–19. Victoria’s population growth is expected to recover to 1.8 per cent by 2023–24 and then slowly decline to 1.5 per cent in 2032–33 (</w:t>
      </w:r>
      <w:r w:rsidR="002C2CC1">
        <w:t>Chart 27</w:t>
      </w:r>
      <w:r w:rsidRPr="00BF4725">
        <w:t>).</w:t>
      </w:r>
    </w:p>
    <w:p w14:paraId="7E0A68D6" w14:textId="1CAA866D" w:rsidR="00055125" w:rsidRPr="0080495D" w:rsidRDefault="00DA3075" w:rsidP="0039767A">
      <w:bookmarkStart w:id="149" w:name="_Hlk114573999"/>
      <w:r>
        <w:t>Net o</w:t>
      </w:r>
      <w:r w:rsidR="00055125" w:rsidRPr="00BF4725">
        <w:t>verseas migration to Victoria is forecast to recover from a low of -5</w:t>
      </w:r>
      <w:r>
        <w:t>3</w:t>
      </w:r>
      <w:r w:rsidR="00055125" w:rsidRPr="00BF4725">
        <w:t xml:space="preserve">,000 in 2020–21 to </w:t>
      </w:r>
      <w:r>
        <w:t>49</w:t>
      </w:r>
      <w:r w:rsidR="00055125" w:rsidRPr="00BF4725">
        <w:t xml:space="preserve">,000 in 2021–22 and increase to </w:t>
      </w:r>
      <w:r>
        <w:t>81</w:t>
      </w:r>
      <w:r w:rsidR="00055125" w:rsidRPr="00BF4725">
        <w:t>,000 in 2023–24, driven by the return of international students. Net overseas migration is forecast to contribute 1.1 percent</w:t>
      </w:r>
      <w:r w:rsidR="007B0E47">
        <w:t>age points</w:t>
      </w:r>
      <w:r w:rsidR="00055125" w:rsidRPr="00BF4725">
        <w:t xml:space="preserve"> to Victoria’s population growth in 2025–26, up from -0.8 in 2020–</w:t>
      </w:r>
      <w:r w:rsidR="007224C3">
        <w:t>‍</w:t>
      </w:r>
      <w:r w:rsidR="00055125" w:rsidRPr="00BF4725">
        <w:t>21. The Victorian share of net overseas migration is forecast to remain steady over the next decade at 34 per cent of national flows.</w:t>
      </w:r>
      <w:bookmarkEnd w:id="149"/>
    </w:p>
    <w:p w14:paraId="20C1711A" w14:textId="3327D194" w:rsidR="00027AC6" w:rsidRPr="006457D1" w:rsidRDefault="00027AC6" w:rsidP="0039767A">
      <w:r w:rsidRPr="006457D1">
        <w:t>Natural increase in Victoria recovered by 3</w:t>
      </w:r>
      <w:r w:rsidR="000271BC">
        <w:t>.4</w:t>
      </w:r>
      <w:r w:rsidRPr="006457D1">
        <w:t xml:space="preserve"> per cent in 2020–21 from a low of </w:t>
      </w:r>
      <w:r w:rsidR="000271BC">
        <w:t>34</w:t>
      </w:r>
      <w:r w:rsidRPr="006457D1">
        <w:t>,000 in 2019–20. Activity restrictions and lockdowns led to longer than usual delays in birth registrations, which affected the reported outcomes for 2019–20 and 2020–21. Natural increase was the only component that contributed positively to growth in 2020–21, partly reflecting the recovery in birth registrations. An increase in deaths is expected to drive a fall in natural increase in 2021–22 and 2022–23. Natural increase is then projected to return to pre</w:t>
      </w:r>
      <w:r w:rsidR="006457D1">
        <w:noBreakHyphen/>
      </w:r>
      <w:r w:rsidRPr="006457D1">
        <w:t xml:space="preserve">pandemic levels in 2023–24 and 2024–25. It is projected to decrease </w:t>
      </w:r>
      <w:r w:rsidR="000271BC">
        <w:t>gradually</w:t>
      </w:r>
      <w:r w:rsidR="000271BC" w:rsidRPr="006457D1">
        <w:t xml:space="preserve"> </w:t>
      </w:r>
      <w:r w:rsidRPr="006457D1">
        <w:t>from 2025–26 due to low fertility rates and deaths increasing faster than births</w:t>
      </w:r>
      <w:r w:rsidR="008B282A">
        <w:t>.</w:t>
      </w:r>
    </w:p>
    <w:p w14:paraId="446A707E" w14:textId="2C42088C" w:rsidR="00F167CB" w:rsidRPr="0080495D" w:rsidRDefault="00F167CB" w:rsidP="0039767A">
      <w:bookmarkStart w:id="150" w:name="_Ref118133763"/>
      <w:r w:rsidRPr="00F167CB">
        <w:t>Victoria experienced a significant net interstate migration outflow of 18,000 in 2020–21, reversing the net inflows of recent years. COVID-19 lockdowns reduced arrivals and increased departures from the state, resulting in a contribution to growth of -0.3 percentage points in 2020–21</w:t>
      </w:r>
      <w:r w:rsidR="005B6649">
        <w:t>,</w:t>
      </w:r>
      <w:r w:rsidR="00B25B15">
        <w:t xml:space="preserve"> </w:t>
      </w:r>
      <w:r w:rsidR="005B6649">
        <w:t>the</w:t>
      </w:r>
      <w:r w:rsidR="00B25B15">
        <w:t xml:space="preserve"> low</w:t>
      </w:r>
      <w:r w:rsidR="005B6649">
        <w:t>est contribution</w:t>
      </w:r>
      <w:r w:rsidR="00B25B15">
        <w:t xml:space="preserve"> since the 1990s</w:t>
      </w:r>
      <w:r w:rsidRPr="00F167CB">
        <w:t>. A net outflow of 17,000 is also expected in 2021–22. A smaller net outflow of 6,000 is projected for 2022–23 before net interstate migration returns to pre-pandemic levels with an inflow of 4,000 in 2023–24. Net interstate migration is then projected to fall gradually, reaching 1,000 in 2032–33.</w:t>
      </w:r>
      <w:r w:rsidRPr="0080495D">
        <w:t xml:space="preserve"> </w:t>
      </w:r>
    </w:p>
    <w:p w14:paraId="1DEA3D4C" w14:textId="77777777" w:rsidR="00CD158B" w:rsidRPr="0080495D" w:rsidRDefault="00CD158B" w:rsidP="00CD158B">
      <w:pPr>
        <w:pStyle w:val="Heading9"/>
      </w:pPr>
      <w:bookmarkStart w:id="151" w:name="_Ref120712744"/>
      <w:r w:rsidRPr="0080495D">
        <w:t>Population growth and components, Victoria</w:t>
      </w:r>
      <w:bookmarkEnd w:id="148"/>
      <w:bookmarkEnd w:id="150"/>
      <w:bookmarkEnd w:id="151"/>
    </w:p>
    <w:p w14:paraId="3E3E45C8" w14:textId="2FC3D906" w:rsidR="00CD158B" w:rsidRPr="0080495D" w:rsidRDefault="00EE5CED" w:rsidP="006E070F">
      <w:pPr>
        <w:spacing w:before="0" w:after="0"/>
        <w:jc w:val="center"/>
      </w:pPr>
      <w:r w:rsidRPr="00EE5CED">
        <w:rPr>
          <w:noProof/>
        </w:rPr>
        <w:drawing>
          <wp:inline distT="0" distB="0" distL="0" distR="0" wp14:anchorId="64CAA24B" wp14:editId="0C932A70">
            <wp:extent cx="5581650" cy="2524125"/>
            <wp:effectExtent l="0" t="0" r="0" b="0"/>
            <wp:docPr id="92" name="Picture 92" descr="A chart showing total population growth in Victoria, disaggregated into its components: natural increase, net overseas migration, and net interstate migration. Intercensal difference is also shown. Population growth declined significantly in 2019-20 and 2020-21 as overseas migration and interstate migration fell. Population growth is projected to recover to 1.8 per cent in 2023-24 before slowly declining thereafter, to 1.5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chart showing total population growth in Victoria, disaggregated into its components: natural increase, net overseas migration, and net interstate migration. Intercensal difference is also shown. Population growth declined significantly in 2019-20 and 2020-21 as overseas migration and interstate migration fell. Population growth is projected to recover to 1.8 per cent in 2023-24 before slowly declining thereafter, to 1.5 per cent by 2032-3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607D3D5" w14:textId="5AEC4A42" w:rsidR="00CD158B" w:rsidRPr="0080495D" w:rsidRDefault="00CD158B" w:rsidP="00CD158B">
      <w:pPr>
        <w:pStyle w:val="Source"/>
      </w:pPr>
      <w:r w:rsidRPr="0080495D">
        <w:t xml:space="preserve">Source: </w:t>
      </w:r>
      <w:r w:rsidR="005D7AE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6EA2DC99" w14:textId="77777777" w:rsidR="00DB40C7" w:rsidRDefault="00DB40C7" w:rsidP="007D55C1">
      <w:pPr>
        <w:pStyle w:val="NoSpacing"/>
        <w:sectPr w:rsidR="00DB40C7" w:rsidSect="00E35CCB">
          <w:footerReference w:type="even" r:id="rId60"/>
          <w:footerReference w:type="default" r:id="rId61"/>
          <w:pgSz w:w="11906" w:h="16838" w:code="9"/>
          <w:pgMar w:top="1418" w:right="1418" w:bottom="1418" w:left="1418" w:header="709" w:footer="709" w:gutter="0"/>
          <w:pgNumType w:start="1"/>
          <w:cols w:space="708"/>
          <w:docGrid w:linePitch="360"/>
        </w:sectPr>
      </w:pPr>
    </w:p>
    <w:p w14:paraId="05C68724" w14:textId="77777777" w:rsidR="00CD158B" w:rsidRPr="0080495D" w:rsidRDefault="00CD158B" w:rsidP="009D5E0B">
      <w:pPr>
        <w:pStyle w:val="Heading3"/>
      </w:pPr>
      <w:bookmarkStart w:id="152" w:name="_Toc120635116"/>
      <w:bookmarkStart w:id="153" w:name="_Toc122617949"/>
      <w:bookmarkStart w:id="154" w:name="_Toc122618376"/>
      <w:r w:rsidRPr="0080495D">
        <w:lastRenderedPageBreak/>
        <w:t>Greater Melbourne and the Rest of Victoria</w:t>
      </w:r>
      <w:bookmarkEnd w:id="152"/>
      <w:bookmarkEnd w:id="153"/>
      <w:bookmarkEnd w:id="154"/>
    </w:p>
    <w:p w14:paraId="57587F61" w14:textId="2BB975F4" w:rsidR="00055125" w:rsidRPr="00224C31" w:rsidRDefault="00055125" w:rsidP="0039767A">
      <w:r w:rsidRPr="00224C31">
        <w:t>Greater Melbourne had 5 million residents on 30 June 2021, accounting for 76 per cent of Victoria’s population. Melbourne’s population growth declined further than other cities in 2020–21, with the loss of overseas migration compounded by falls in net internal migration. Melbourne’s population growth in 2018–19 was 1.8 per cent. By 2020–21, population growth had declined to -1.6 per cent. Population growth in Melbourne is projected to recover to 2.1 per cent in 2023–24, before slowly declining to 1.6 per cent in 2032</w:t>
      </w:r>
      <w:r w:rsidR="000331C3">
        <w:sym w:font="Symbol" w:char="F02D"/>
      </w:r>
      <w:r w:rsidRPr="00224C31">
        <w:t>33. Melbourne is projected to overtake Sydney to become the largest city in Australia in 2031–32, with a population of 6 million, and then grow to 6.1 million in 2032–33.</w:t>
      </w:r>
    </w:p>
    <w:p w14:paraId="38121B5E" w14:textId="30F252A7" w:rsidR="00F167CB" w:rsidRPr="0080495D" w:rsidRDefault="00F167CB" w:rsidP="0039767A">
      <w:r w:rsidRPr="00F167CB">
        <w:t>The rest of Victoria had a population of 1.6 million on 30 June 2021. Population growth in the rest of Victoria was much stronger than in Melbourne, falling from 1.6 per cent in 2018–19 to 1.3 per cent in 2020–21. Growth was supported by strong internal migration in the early stages of the pandemic, which helped offset the decline in overseas migration. Growth is projected</w:t>
      </w:r>
      <w:r w:rsidR="00777A2B">
        <w:t xml:space="preserve"> to</w:t>
      </w:r>
      <w:r w:rsidRPr="00F167CB">
        <w:t xml:space="preserve"> decline to 1.1 per cent by 2022–23 and then gradually to 1 per</w:t>
      </w:r>
      <w:r w:rsidR="00E321DC">
        <w:t> </w:t>
      </w:r>
      <w:r w:rsidRPr="00F167CB">
        <w:t>cent by 2032–33, driven by the declining contribution of natural increase, which makes a negative contribution to growth from 2031–32. In 2032–33, the population of the rest of Victoria is projected to be 1.8 million.</w:t>
      </w:r>
    </w:p>
    <w:p w14:paraId="2A9D4A89" w14:textId="77777777" w:rsidR="00CD158B" w:rsidRPr="0080495D" w:rsidRDefault="00CD158B" w:rsidP="00CD158B">
      <w:pPr>
        <w:pStyle w:val="Heading9"/>
      </w:pPr>
      <w:r w:rsidRPr="0080495D">
        <w:t>Population growth in Victoria, Greater Melbourne and the Rest of Victoria</w:t>
      </w:r>
    </w:p>
    <w:p w14:paraId="6F413D9D" w14:textId="2429426C" w:rsidR="00CD158B" w:rsidRPr="0080495D" w:rsidRDefault="00D34605" w:rsidP="006E070F">
      <w:pPr>
        <w:spacing w:before="0" w:after="0"/>
        <w:jc w:val="center"/>
      </w:pPr>
      <w:r w:rsidRPr="00D34605">
        <w:rPr>
          <w:noProof/>
        </w:rPr>
        <w:drawing>
          <wp:inline distT="0" distB="0" distL="0" distR="0" wp14:anchorId="5CA60D4A" wp14:editId="1A7E8AFD">
            <wp:extent cx="5581650" cy="2524125"/>
            <wp:effectExtent l="0" t="0" r="0" b="0"/>
            <wp:docPr id="87" name="Picture 87" descr="A chart comparing population growth in Victoria, Melbourne, and the rest of Victoria. Population growth declined significantly in Melbourne in 2019-20 and 2020-21, driving growth lower in Victoria. Population growth in the rest of Victoria declined slightly in 2020-21 and is forecast to continue to slowly decline until 2023-24. Population growth in Victoria and Melbourne is projected to recover, while growth in the rest of Victoria is projected to remain relatively 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hart comparing population growth in Victoria, Melbourne, and the rest of Victoria. Population growth declined significantly in Melbourne in 2019-20 and 2020-21, driving growth lower in Victoria. Population growth in the rest of Victoria declined slightly in 2020-21 and is forecast to continue to slowly decline until 2023-24. Population growth in Victoria and Melbourne is projected to recover, while growth in the rest of Victoria is projected to remain relatively stab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34E593B1" w14:textId="5E7408CB" w:rsidR="00CD158B" w:rsidRPr="0080495D" w:rsidRDefault="00CD158B" w:rsidP="00CD158B">
      <w:pPr>
        <w:pStyle w:val="Source"/>
      </w:pPr>
      <w:r w:rsidRPr="0080495D">
        <w:t xml:space="preserve">Source: </w:t>
      </w:r>
      <w:r w:rsidR="005D7AEF">
        <w:rPr>
          <w:noProof/>
        </w:rPr>
        <w:t>Australian Bureau of Statistics, Regional population, 2022</w:t>
      </w:r>
      <w:r w:rsidR="00837FB0">
        <w:t>;</w:t>
      </w:r>
      <w:r w:rsidRPr="0080495D">
        <w:t xml:space="preserve"> </w:t>
      </w:r>
      <w:r w:rsidR="005D7AEF">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73184972" w14:textId="7AAE7A27" w:rsidR="00CD158B" w:rsidRPr="0080495D" w:rsidRDefault="00CD158B" w:rsidP="007D55C1"/>
    <w:p w14:paraId="129116AB" w14:textId="631F5232" w:rsidR="00CD158B" w:rsidRPr="0080495D" w:rsidRDefault="00CD158B" w:rsidP="007D55C1"/>
    <w:p w14:paraId="43A12B38" w14:textId="1903E221" w:rsidR="00CD158B" w:rsidRPr="0080495D" w:rsidRDefault="00CD158B" w:rsidP="007D55C1"/>
    <w:p w14:paraId="626D8F4D" w14:textId="77777777" w:rsidR="002D5ADB" w:rsidRDefault="002D5ADB">
      <w:pPr>
        <w:spacing w:before="0" w:after="160" w:line="259" w:lineRule="auto"/>
        <w:rPr>
          <w:b/>
          <w:bCs/>
          <w:smallCaps/>
          <w:color w:val="002C47" w:themeColor="accent1"/>
          <w:spacing w:val="15"/>
        </w:rPr>
      </w:pPr>
      <w:r>
        <w:br w:type="page"/>
      </w:r>
    </w:p>
    <w:p w14:paraId="33613690" w14:textId="77777777" w:rsidR="00CD158B" w:rsidRPr="0080495D" w:rsidRDefault="00CD158B" w:rsidP="005540BC">
      <w:pPr>
        <w:pStyle w:val="TableMainHeading"/>
      </w:pPr>
      <w:r w:rsidRPr="0080495D">
        <w:lastRenderedPageBreak/>
        <w:t>Population projections, Victoria</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rsidRPr="0080495D" w14:paraId="52519285"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3376F2E7" w14:textId="77777777" w:rsidR="00CD158B" w:rsidRPr="0080495D" w:rsidRDefault="00CD158B" w:rsidP="00676947">
            <w:pPr>
              <w:spacing w:after="0"/>
            </w:pPr>
          </w:p>
        </w:tc>
        <w:tc>
          <w:tcPr>
            <w:tcW w:w="996" w:type="dxa"/>
          </w:tcPr>
          <w:p w14:paraId="7551516B" w14:textId="5A6CB7D9" w:rsidR="00CD158B" w:rsidRPr="00CF6797" w:rsidRDefault="00CD158B" w:rsidP="00CF6797">
            <w:pPr>
              <w:pStyle w:val="TableColumnHeadingLeft"/>
            </w:pPr>
            <w:r w:rsidRPr="00CF6797">
              <w:t>2020</w:t>
            </w:r>
            <w:r w:rsidR="0033101B" w:rsidRPr="00CF6797">
              <w:t>–</w:t>
            </w:r>
            <w:r w:rsidRPr="00CF6797">
              <w:t>21</w:t>
            </w:r>
          </w:p>
        </w:tc>
        <w:tc>
          <w:tcPr>
            <w:tcW w:w="996" w:type="dxa"/>
            <w:shd w:val="clear" w:color="auto" w:fill="D2EDFF" w:themeFill="accent1" w:themeFillTint="1A"/>
          </w:tcPr>
          <w:p w14:paraId="4BAD7D57" w14:textId="17D5DED8" w:rsidR="00CD158B" w:rsidRPr="00CF6797" w:rsidRDefault="00CD158B" w:rsidP="00CF6797">
            <w:pPr>
              <w:pStyle w:val="TableColumnHeadingLeft"/>
            </w:pPr>
            <w:r w:rsidRPr="00CF6797">
              <w:t>2021</w:t>
            </w:r>
            <w:r w:rsidR="0033101B" w:rsidRPr="00CF6797">
              <w:t>–</w:t>
            </w:r>
            <w:r w:rsidRPr="00CF6797">
              <w:t>22</w:t>
            </w:r>
          </w:p>
        </w:tc>
        <w:tc>
          <w:tcPr>
            <w:tcW w:w="996" w:type="dxa"/>
          </w:tcPr>
          <w:p w14:paraId="59AE5C07" w14:textId="02D2C43D" w:rsidR="00CD158B" w:rsidRPr="00CF6797" w:rsidRDefault="00CD158B" w:rsidP="00CF6797">
            <w:pPr>
              <w:pStyle w:val="TableColumnHeadingLeft"/>
            </w:pPr>
            <w:r w:rsidRPr="00CF6797">
              <w:t>2022</w:t>
            </w:r>
            <w:r w:rsidR="0033101B" w:rsidRPr="00CF6797">
              <w:t>–</w:t>
            </w:r>
            <w:r w:rsidRPr="00CF6797">
              <w:t>23</w:t>
            </w:r>
          </w:p>
        </w:tc>
        <w:tc>
          <w:tcPr>
            <w:tcW w:w="996" w:type="dxa"/>
          </w:tcPr>
          <w:p w14:paraId="110D6830" w14:textId="6ABEFB60" w:rsidR="00CD158B" w:rsidRPr="00CF6797" w:rsidRDefault="00CD158B" w:rsidP="00CF6797">
            <w:pPr>
              <w:pStyle w:val="TableColumnHeadingLeft"/>
            </w:pPr>
            <w:r w:rsidRPr="00CF6797">
              <w:t>2023</w:t>
            </w:r>
            <w:r w:rsidR="0033101B" w:rsidRPr="00CF6797">
              <w:t>–</w:t>
            </w:r>
            <w:r w:rsidRPr="00CF6797">
              <w:t>24</w:t>
            </w:r>
          </w:p>
        </w:tc>
        <w:tc>
          <w:tcPr>
            <w:tcW w:w="996" w:type="dxa"/>
            <w:tcBorders>
              <w:right w:val="single" w:sz="4" w:space="0" w:color="auto"/>
            </w:tcBorders>
          </w:tcPr>
          <w:p w14:paraId="4A62C5A4" w14:textId="3BBE79F4" w:rsidR="00CD158B" w:rsidRPr="00CF6797" w:rsidRDefault="00CD158B" w:rsidP="00CF6797">
            <w:pPr>
              <w:pStyle w:val="TableColumnHeadingLeft"/>
            </w:pPr>
            <w:r w:rsidRPr="00CF6797">
              <w:t>2024</w:t>
            </w:r>
            <w:r w:rsidR="0033101B" w:rsidRPr="00CF6797">
              <w:t>–</w:t>
            </w:r>
            <w:r w:rsidRPr="00CF6797">
              <w:t>25</w:t>
            </w:r>
          </w:p>
        </w:tc>
        <w:tc>
          <w:tcPr>
            <w:tcW w:w="996" w:type="dxa"/>
            <w:tcBorders>
              <w:left w:val="single" w:sz="4" w:space="0" w:color="auto"/>
            </w:tcBorders>
          </w:tcPr>
          <w:p w14:paraId="4A44F400" w14:textId="15595B96" w:rsidR="00CD158B" w:rsidRPr="00CF6797" w:rsidRDefault="00CD158B" w:rsidP="00CF6797">
            <w:pPr>
              <w:pStyle w:val="TableColumnHeadingLeft"/>
            </w:pPr>
            <w:r w:rsidRPr="00CF6797">
              <w:t>2032</w:t>
            </w:r>
            <w:r w:rsidR="0033101B" w:rsidRPr="00CF6797">
              <w:t>–</w:t>
            </w:r>
            <w:r w:rsidRPr="00CF6797">
              <w:t>33</w:t>
            </w:r>
          </w:p>
        </w:tc>
      </w:tr>
      <w:tr w:rsidR="00055125" w:rsidRPr="0080495D" w14:paraId="05AB610C" w14:textId="77777777" w:rsidTr="00676947">
        <w:tc>
          <w:tcPr>
            <w:tcW w:w="3096" w:type="dxa"/>
          </w:tcPr>
          <w:p w14:paraId="1E6ECF16" w14:textId="77777777" w:rsidR="00055125" w:rsidRPr="00363EFE" w:rsidRDefault="00055125" w:rsidP="00CF6797">
            <w:pPr>
              <w:pStyle w:val="TableColumnHeadingLeft"/>
              <w:rPr>
                <w:color w:val="002C47" w:themeColor="accent1"/>
              </w:rPr>
            </w:pPr>
            <w:r w:rsidRPr="00363EFE">
              <w:rPr>
                <w:color w:val="002C47" w:themeColor="accent1"/>
              </w:rPr>
              <w:t>Population (‘000)</w:t>
            </w:r>
          </w:p>
        </w:tc>
        <w:tc>
          <w:tcPr>
            <w:tcW w:w="996" w:type="dxa"/>
          </w:tcPr>
          <w:p w14:paraId="1C0B3F82" w14:textId="77777777" w:rsidR="00055125" w:rsidRPr="00E20618" w:rsidRDefault="00055125" w:rsidP="000649FA">
            <w:pPr>
              <w:pStyle w:val="TableTextLeft"/>
              <w:jc w:val="right"/>
            </w:pPr>
          </w:p>
        </w:tc>
        <w:tc>
          <w:tcPr>
            <w:tcW w:w="996" w:type="dxa"/>
            <w:shd w:val="clear" w:color="auto" w:fill="D2EDFF" w:themeFill="accent1" w:themeFillTint="1A"/>
          </w:tcPr>
          <w:p w14:paraId="769020C3" w14:textId="77777777" w:rsidR="00055125" w:rsidRPr="00E20618" w:rsidRDefault="00055125" w:rsidP="000649FA">
            <w:pPr>
              <w:pStyle w:val="TableTextLeft"/>
              <w:jc w:val="right"/>
            </w:pPr>
          </w:p>
        </w:tc>
        <w:tc>
          <w:tcPr>
            <w:tcW w:w="996" w:type="dxa"/>
          </w:tcPr>
          <w:p w14:paraId="1245BE12" w14:textId="77777777" w:rsidR="00055125" w:rsidRPr="00E20618" w:rsidRDefault="00055125" w:rsidP="000649FA">
            <w:pPr>
              <w:pStyle w:val="TableTextLeft"/>
              <w:jc w:val="right"/>
            </w:pPr>
          </w:p>
        </w:tc>
        <w:tc>
          <w:tcPr>
            <w:tcW w:w="996" w:type="dxa"/>
          </w:tcPr>
          <w:p w14:paraId="18997B4E" w14:textId="77777777" w:rsidR="00055125" w:rsidRPr="00E20618" w:rsidRDefault="00055125" w:rsidP="000649FA">
            <w:pPr>
              <w:pStyle w:val="TableTextLeft"/>
              <w:jc w:val="right"/>
            </w:pPr>
          </w:p>
        </w:tc>
        <w:tc>
          <w:tcPr>
            <w:tcW w:w="996" w:type="dxa"/>
            <w:tcBorders>
              <w:right w:val="single" w:sz="4" w:space="0" w:color="auto"/>
            </w:tcBorders>
          </w:tcPr>
          <w:p w14:paraId="531C0CBE" w14:textId="77777777" w:rsidR="00055125" w:rsidRPr="00E20618" w:rsidRDefault="00055125" w:rsidP="000649FA">
            <w:pPr>
              <w:pStyle w:val="TableTextLeft"/>
              <w:jc w:val="right"/>
            </w:pPr>
          </w:p>
        </w:tc>
        <w:tc>
          <w:tcPr>
            <w:tcW w:w="996" w:type="dxa"/>
            <w:tcBorders>
              <w:top w:val="single" w:sz="4" w:space="0" w:color="000000" w:themeColor="text1"/>
              <w:left w:val="single" w:sz="4" w:space="0" w:color="auto"/>
            </w:tcBorders>
          </w:tcPr>
          <w:p w14:paraId="7621B1B5" w14:textId="77777777" w:rsidR="00055125" w:rsidRPr="00E20618" w:rsidRDefault="00055125" w:rsidP="000649FA">
            <w:pPr>
              <w:pStyle w:val="TableTextLeft"/>
              <w:jc w:val="right"/>
            </w:pPr>
          </w:p>
        </w:tc>
      </w:tr>
      <w:tr w:rsidR="00055125" w:rsidRPr="0080495D" w14:paraId="13E42006" w14:textId="77777777" w:rsidTr="00870149">
        <w:tc>
          <w:tcPr>
            <w:tcW w:w="3096" w:type="dxa"/>
          </w:tcPr>
          <w:p w14:paraId="1AB6B93E" w14:textId="77777777" w:rsidR="00055125" w:rsidRPr="00363EFE" w:rsidRDefault="00055125" w:rsidP="00CF6797">
            <w:pPr>
              <w:pStyle w:val="TableTextLeft"/>
              <w:rPr>
                <w:color w:val="002C47" w:themeColor="accent1"/>
              </w:rPr>
            </w:pPr>
            <w:r w:rsidRPr="00363EFE">
              <w:rPr>
                <w:color w:val="002C47" w:themeColor="accent1"/>
              </w:rPr>
              <w:t>Victoria</w:t>
            </w:r>
          </w:p>
        </w:tc>
        <w:tc>
          <w:tcPr>
            <w:tcW w:w="996" w:type="dxa"/>
            <w:tcBorders>
              <w:top w:val="nil"/>
              <w:left w:val="nil"/>
              <w:bottom w:val="nil"/>
              <w:right w:val="nil"/>
            </w:tcBorders>
          </w:tcPr>
          <w:p w14:paraId="6EED359E" w14:textId="51706274" w:rsidR="00055125" w:rsidRPr="00E20618" w:rsidRDefault="00055125" w:rsidP="000649FA">
            <w:pPr>
              <w:pStyle w:val="TableTextLeft"/>
              <w:jc w:val="right"/>
            </w:pPr>
            <w:r w:rsidRPr="00E20618">
              <w:rPr>
                <w:rFonts w:cstheme="minorHAnsi"/>
              </w:rPr>
              <w:t>6,548</w:t>
            </w:r>
          </w:p>
        </w:tc>
        <w:tc>
          <w:tcPr>
            <w:tcW w:w="996" w:type="dxa"/>
            <w:tcBorders>
              <w:top w:val="nil"/>
              <w:left w:val="nil"/>
              <w:bottom w:val="nil"/>
              <w:right w:val="nil"/>
            </w:tcBorders>
            <w:shd w:val="clear" w:color="auto" w:fill="D2EDFF" w:themeFill="accent1" w:themeFillTint="1A"/>
          </w:tcPr>
          <w:p w14:paraId="1D2EF426" w14:textId="7B279D1A" w:rsidR="00055125" w:rsidRPr="00E20618" w:rsidRDefault="00055125" w:rsidP="000649FA">
            <w:pPr>
              <w:pStyle w:val="TableTextLeft"/>
              <w:jc w:val="right"/>
            </w:pPr>
            <w:r w:rsidRPr="00E20618">
              <w:rPr>
                <w:rFonts w:cstheme="minorHAnsi"/>
              </w:rPr>
              <w:t>6,614</w:t>
            </w:r>
          </w:p>
        </w:tc>
        <w:tc>
          <w:tcPr>
            <w:tcW w:w="996" w:type="dxa"/>
            <w:tcBorders>
              <w:top w:val="nil"/>
              <w:left w:val="nil"/>
              <w:bottom w:val="nil"/>
              <w:right w:val="nil"/>
            </w:tcBorders>
          </w:tcPr>
          <w:p w14:paraId="2D591220" w14:textId="02E8EF0F" w:rsidR="00055125" w:rsidRPr="00E20618" w:rsidRDefault="00055125" w:rsidP="000649FA">
            <w:pPr>
              <w:pStyle w:val="TableTextLeft"/>
              <w:jc w:val="right"/>
            </w:pPr>
            <w:r w:rsidRPr="00E20618">
              <w:rPr>
                <w:rFonts w:cstheme="minorHAnsi"/>
              </w:rPr>
              <w:t>6,720</w:t>
            </w:r>
          </w:p>
        </w:tc>
        <w:tc>
          <w:tcPr>
            <w:tcW w:w="996" w:type="dxa"/>
            <w:tcBorders>
              <w:top w:val="nil"/>
              <w:left w:val="nil"/>
              <w:bottom w:val="nil"/>
              <w:right w:val="nil"/>
            </w:tcBorders>
          </w:tcPr>
          <w:p w14:paraId="4D191191" w14:textId="38121B98" w:rsidR="00055125" w:rsidRPr="00E20618" w:rsidRDefault="00055125" w:rsidP="000649FA">
            <w:pPr>
              <w:pStyle w:val="TableTextLeft"/>
              <w:jc w:val="right"/>
            </w:pPr>
            <w:r w:rsidRPr="00E20618">
              <w:rPr>
                <w:rFonts w:cstheme="minorHAnsi"/>
              </w:rPr>
              <w:t>6,841</w:t>
            </w:r>
          </w:p>
        </w:tc>
        <w:tc>
          <w:tcPr>
            <w:tcW w:w="996" w:type="dxa"/>
            <w:tcBorders>
              <w:top w:val="nil"/>
              <w:left w:val="nil"/>
              <w:bottom w:val="nil"/>
              <w:right w:val="single" w:sz="4" w:space="0" w:color="auto"/>
            </w:tcBorders>
          </w:tcPr>
          <w:p w14:paraId="55C3CD81" w14:textId="496048E1" w:rsidR="00055125" w:rsidRPr="00E20618" w:rsidRDefault="00055125" w:rsidP="000649FA">
            <w:pPr>
              <w:pStyle w:val="TableTextLeft"/>
              <w:jc w:val="right"/>
            </w:pPr>
            <w:r w:rsidRPr="00E20618">
              <w:rPr>
                <w:rFonts w:cstheme="minorHAnsi"/>
              </w:rPr>
              <w:t>6,959</w:t>
            </w:r>
          </w:p>
        </w:tc>
        <w:tc>
          <w:tcPr>
            <w:tcW w:w="996" w:type="dxa"/>
            <w:tcBorders>
              <w:top w:val="nil"/>
              <w:left w:val="single" w:sz="4" w:space="0" w:color="auto"/>
              <w:bottom w:val="nil"/>
              <w:right w:val="nil"/>
            </w:tcBorders>
          </w:tcPr>
          <w:p w14:paraId="53AFA1EF" w14:textId="50D257BA" w:rsidR="00055125" w:rsidRPr="00E20618" w:rsidRDefault="00055125" w:rsidP="000649FA">
            <w:pPr>
              <w:pStyle w:val="TableTextLeft"/>
              <w:jc w:val="right"/>
            </w:pPr>
            <w:r w:rsidRPr="00E20618">
              <w:rPr>
                <w:rFonts w:cstheme="minorHAnsi"/>
              </w:rPr>
              <w:t>7,882</w:t>
            </w:r>
          </w:p>
        </w:tc>
      </w:tr>
      <w:tr w:rsidR="00055125" w:rsidRPr="0080495D" w14:paraId="1D1596F6" w14:textId="77777777" w:rsidTr="00870149">
        <w:tc>
          <w:tcPr>
            <w:tcW w:w="3096" w:type="dxa"/>
          </w:tcPr>
          <w:p w14:paraId="31AD439F"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5F080280" w14:textId="2D8E0882" w:rsidR="00055125" w:rsidRPr="00E20618" w:rsidRDefault="00055125" w:rsidP="000649FA">
            <w:pPr>
              <w:pStyle w:val="TableTextLeft"/>
              <w:jc w:val="right"/>
            </w:pPr>
            <w:r w:rsidRPr="00E20618">
              <w:rPr>
                <w:rFonts w:cstheme="minorHAnsi"/>
              </w:rPr>
              <w:t>4,976</w:t>
            </w:r>
          </w:p>
        </w:tc>
        <w:tc>
          <w:tcPr>
            <w:tcW w:w="996" w:type="dxa"/>
            <w:tcBorders>
              <w:top w:val="nil"/>
              <w:left w:val="nil"/>
              <w:bottom w:val="nil"/>
              <w:right w:val="nil"/>
            </w:tcBorders>
            <w:shd w:val="clear" w:color="auto" w:fill="D2EDFF" w:themeFill="accent1" w:themeFillTint="1A"/>
          </w:tcPr>
          <w:p w14:paraId="5154DD3D" w14:textId="568E7840" w:rsidR="00055125" w:rsidRPr="00E20618" w:rsidRDefault="00055125" w:rsidP="000649FA">
            <w:pPr>
              <w:pStyle w:val="TableTextLeft"/>
              <w:jc w:val="right"/>
            </w:pPr>
            <w:r w:rsidRPr="00E20618">
              <w:rPr>
                <w:rFonts w:cstheme="minorHAnsi"/>
              </w:rPr>
              <w:t>5,023</w:t>
            </w:r>
          </w:p>
        </w:tc>
        <w:tc>
          <w:tcPr>
            <w:tcW w:w="996" w:type="dxa"/>
            <w:tcBorders>
              <w:top w:val="nil"/>
              <w:left w:val="nil"/>
              <w:bottom w:val="nil"/>
              <w:right w:val="nil"/>
            </w:tcBorders>
          </w:tcPr>
          <w:p w14:paraId="3FB846DA" w14:textId="73940779" w:rsidR="00055125" w:rsidRPr="00E20618" w:rsidRDefault="00055125" w:rsidP="000649FA">
            <w:pPr>
              <w:pStyle w:val="TableTextLeft"/>
              <w:jc w:val="right"/>
            </w:pPr>
            <w:r w:rsidRPr="00E20618">
              <w:rPr>
                <w:rFonts w:cstheme="minorHAnsi"/>
              </w:rPr>
              <w:t>5,112</w:t>
            </w:r>
          </w:p>
        </w:tc>
        <w:tc>
          <w:tcPr>
            <w:tcW w:w="996" w:type="dxa"/>
            <w:tcBorders>
              <w:top w:val="nil"/>
              <w:left w:val="nil"/>
              <w:bottom w:val="nil"/>
              <w:right w:val="nil"/>
            </w:tcBorders>
          </w:tcPr>
          <w:p w14:paraId="1B82DCEF" w14:textId="5418238E" w:rsidR="00055125" w:rsidRPr="00E20618" w:rsidRDefault="00055125" w:rsidP="000649FA">
            <w:pPr>
              <w:pStyle w:val="TableTextLeft"/>
              <w:jc w:val="right"/>
            </w:pPr>
            <w:r w:rsidRPr="00E20618">
              <w:rPr>
                <w:rFonts w:cstheme="minorHAnsi"/>
              </w:rPr>
              <w:t>5,217</w:t>
            </w:r>
          </w:p>
        </w:tc>
        <w:tc>
          <w:tcPr>
            <w:tcW w:w="996" w:type="dxa"/>
            <w:tcBorders>
              <w:top w:val="nil"/>
              <w:left w:val="nil"/>
              <w:bottom w:val="nil"/>
              <w:right w:val="single" w:sz="4" w:space="0" w:color="auto"/>
            </w:tcBorders>
          </w:tcPr>
          <w:p w14:paraId="06627819" w14:textId="014CD012" w:rsidR="00055125" w:rsidRPr="00E20618" w:rsidRDefault="00055125" w:rsidP="000649FA">
            <w:pPr>
              <w:pStyle w:val="TableTextLeft"/>
              <w:jc w:val="right"/>
            </w:pPr>
            <w:r w:rsidRPr="00E20618">
              <w:rPr>
                <w:rFonts w:cstheme="minorHAnsi"/>
              </w:rPr>
              <w:t>5,318</w:t>
            </w:r>
          </w:p>
        </w:tc>
        <w:tc>
          <w:tcPr>
            <w:tcW w:w="996" w:type="dxa"/>
            <w:tcBorders>
              <w:top w:val="nil"/>
              <w:left w:val="single" w:sz="4" w:space="0" w:color="auto"/>
              <w:bottom w:val="nil"/>
              <w:right w:val="nil"/>
            </w:tcBorders>
          </w:tcPr>
          <w:p w14:paraId="0AA5FE33" w14:textId="2263F7BE" w:rsidR="00055125" w:rsidRPr="00E20618" w:rsidRDefault="00055125" w:rsidP="000649FA">
            <w:pPr>
              <w:pStyle w:val="TableTextLeft"/>
              <w:jc w:val="right"/>
            </w:pPr>
            <w:r w:rsidRPr="00E20618">
              <w:rPr>
                <w:rFonts w:cstheme="minorHAnsi"/>
              </w:rPr>
              <w:t>6,101</w:t>
            </w:r>
          </w:p>
        </w:tc>
      </w:tr>
      <w:tr w:rsidR="00055125" w:rsidRPr="0080495D" w14:paraId="11309A0F" w14:textId="77777777" w:rsidTr="00870149">
        <w:tc>
          <w:tcPr>
            <w:tcW w:w="3096" w:type="dxa"/>
          </w:tcPr>
          <w:p w14:paraId="604D2A31"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nil"/>
              <w:right w:val="nil"/>
            </w:tcBorders>
          </w:tcPr>
          <w:p w14:paraId="0B5876F1" w14:textId="2EED4EB9" w:rsidR="00055125" w:rsidRPr="00E20618" w:rsidRDefault="00055125" w:rsidP="000649FA">
            <w:pPr>
              <w:pStyle w:val="TableTextLeft"/>
              <w:jc w:val="right"/>
            </w:pPr>
            <w:r w:rsidRPr="00E20618">
              <w:rPr>
                <w:rFonts w:cstheme="minorHAnsi"/>
              </w:rPr>
              <w:t>1,572</w:t>
            </w:r>
          </w:p>
        </w:tc>
        <w:tc>
          <w:tcPr>
            <w:tcW w:w="996" w:type="dxa"/>
            <w:tcBorders>
              <w:top w:val="nil"/>
              <w:left w:val="nil"/>
              <w:bottom w:val="nil"/>
              <w:right w:val="nil"/>
            </w:tcBorders>
            <w:shd w:val="clear" w:color="auto" w:fill="D2EDFF" w:themeFill="accent1" w:themeFillTint="1A"/>
          </w:tcPr>
          <w:p w14:paraId="5BD7A68F" w14:textId="37D76D73" w:rsidR="00055125" w:rsidRPr="00E20618" w:rsidRDefault="00055125" w:rsidP="000649FA">
            <w:pPr>
              <w:pStyle w:val="TableTextLeft"/>
              <w:jc w:val="right"/>
            </w:pPr>
            <w:r w:rsidRPr="00E20618">
              <w:rPr>
                <w:rFonts w:cstheme="minorHAnsi"/>
              </w:rPr>
              <w:t>1,590</w:t>
            </w:r>
          </w:p>
        </w:tc>
        <w:tc>
          <w:tcPr>
            <w:tcW w:w="996" w:type="dxa"/>
            <w:tcBorders>
              <w:top w:val="nil"/>
              <w:left w:val="nil"/>
              <w:bottom w:val="nil"/>
              <w:right w:val="nil"/>
            </w:tcBorders>
          </w:tcPr>
          <w:p w14:paraId="7B1D9FD3" w14:textId="24156654" w:rsidR="00055125" w:rsidRPr="00E20618" w:rsidRDefault="00055125" w:rsidP="000649FA">
            <w:pPr>
              <w:pStyle w:val="TableTextLeft"/>
              <w:jc w:val="right"/>
            </w:pPr>
            <w:r w:rsidRPr="00E20618">
              <w:rPr>
                <w:rFonts w:cstheme="minorHAnsi"/>
              </w:rPr>
              <w:t>1,608</w:t>
            </w:r>
          </w:p>
        </w:tc>
        <w:tc>
          <w:tcPr>
            <w:tcW w:w="996" w:type="dxa"/>
            <w:tcBorders>
              <w:top w:val="nil"/>
              <w:left w:val="nil"/>
              <w:bottom w:val="nil"/>
              <w:right w:val="nil"/>
            </w:tcBorders>
          </w:tcPr>
          <w:p w14:paraId="3A8966BA" w14:textId="7397CBCC" w:rsidR="00055125" w:rsidRPr="00E20618" w:rsidRDefault="00055125" w:rsidP="000649FA">
            <w:pPr>
              <w:pStyle w:val="TableTextLeft"/>
              <w:jc w:val="right"/>
            </w:pPr>
            <w:r w:rsidRPr="00E20618">
              <w:rPr>
                <w:rFonts w:cstheme="minorHAnsi"/>
              </w:rPr>
              <w:t>1,624</w:t>
            </w:r>
          </w:p>
        </w:tc>
        <w:tc>
          <w:tcPr>
            <w:tcW w:w="996" w:type="dxa"/>
            <w:tcBorders>
              <w:top w:val="nil"/>
              <w:left w:val="nil"/>
              <w:bottom w:val="nil"/>
              <w:right w:val="single" w:sz="4" w:space="0" w:color="auto"/>
            </w:tcBorders>
          </w:tcPr>
          <w:p w14:paraId="4436B7D3" w14:textId="3A9D70B0" w:rsidR="00055125" w:rsidRPr="00E20618" w:rsidRDefault="00055125" w:rsidP="000649FA">
            <w:pPr>
              <w:pStyle w:val="TableTextLeft"/>
              <w:jc w:val="right"/>
            </w:pPr>
            <w:r w:rsidRPr="00E20618">
              <w:rPr>
                <w:rFonts w:cstheme="minorHAnsi"/>
              </w:rPr>
              <w:t>1,641</w:t>
            </w:r>
          </w:p>
        </w:tc>
        <w:tc>
          <w:tcPr>
            <w:tcW w:w="996" w:type="dxa"/>
            <w:tcBorders>
              <w:top w:val="nil"/>
              <w:left w:val="single" w:sz="4" w:space="0" w:color="auto"/>
              <w:bottom w:val="nil"/>
              <w:right w:val="nil"/>
            </w:tcBorders>
          </w:tcPr>
          <w:p w14:paraId="0236F3B8" w14:textId="1BC8AD7E" w:rsidR="00055125" w:rsidRPr="00E20618" w:rsidRDefault="00055125" w:rsidP="000649FA">
            <w:pPr>
              <w:pStyle w:val="TableTextLeft"/>
              <w:jc w:val="right"/>
            </w:pPr>
            <w:r w:rsidRPr="00E20618">
              <w:rPr>
                <w:rFonts w:cstheme="minorHAnsi"/>
              </w:rPr>
              <w:t>1,781</w:t>
            </w:r>
          </w:p>
        </w:tc>
      </w:tr>
      <w:tr w:rsidR="00055125" w:rsidRPr="0080495D" w14:paraId="1286B56A" w14:textId="77777777" w:rsidTr="00870149">
        <w:tc>
          <w:tcPr>
            <w:tcW w:w="3096" w:type="dxa"/>
          </w:tcPr>
          <w:p w14:paraId="1092FE7B" w14:textId="77777777" w:rsidR="00055125" w:rsidRPr="00363EFE" w:rsidRDefault="00055125"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723974AB"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213DC8F9" w14:textId="77777777" w:rsidR="00055125" w:rsidRPr="00E20618" w:rsidRDefault="00055125" w:rsidP="000649FA">
            <w:pPr>
              <w:pStyle w:val="TableTextLeft"/>
              <w:jc w:val="right"/>
            </w:pPr>
          </w:p>
        </w:tc>
        <w:tc>
          <w:tcPr>
            <w:tcW w:w="996" w:type="dxa"/>
            <w:tcBorders>
              <w:top w:val="nil"/>
              <w:left w:val="nil"/>
              <w:bottom w:val="nil"/>
              <w:right w:val="nil"/>
            </w:tcBorders>
          </w:tcPr>
          <w:p w14:paraId="5A53ADE1" w14:textId="77777777" w:rsidR="00055125" w:rsidRPr="00E20618" w:rsidRDefault="00055125" w:rsidP="000649FA">
            <w:pPr>
              <w:pStyle w:val="TableTextLeft"/>
              <w:jc w:val="right"/>
            </w:pPr>
          </w:p>
        </w:tc>
        <w:tc>
          <w:tcPr>
            <w:tcW w:w="996" w:type="dxa"/>
            <w:tcBorders>
              <w:top w:val="nil"/>
              <w:left w:val="nil"/>
              <w:bottom w:val="nil"/>
              <w:right w:val="nil"/>
            </w:tcBorders>
          </w:tcPr>
          <w:p w14:paraId="57427E22"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CEDBFAF"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7DF748A" w14:textId="77777777" w:rsidR="00055125" w:rsidRPr="00E20618" w:rsidRDefault="00055125" w:rsidP="000649FA">
            <w:pPr>
              <w:pStyle w:val="TableTextLeft"/>
              <w:jc w:val="right"/>
            </w:pPr>
          </w:p>
        </w:tc>
      </w:tr>
      <w:tr w:rsidR="00055125" w:rsidRPr="0080495D" w14:paraId="276D6EC1" w14:textId="77777777" w:rsidTr="00870149">
        <w:tc>
          <w:tcPr>
            <w:tcW w:w="3096" w:type="dxa"/>
          </w:tcPr>
          <w:p w14:paraId="54EA70D5" w14:textId="77777777" w:rsidR="00055125" w:rsidRPr="00363EFE" w:rsidRDefault="00055125" w:rsidP="00CF6797">
            <w:pPr>
              <w:pStyle w:val="TableTextLeft"/>
              <w:rPr>
                <w:color w:val="002C47" w:themeColor="accent1"/>
              </w:rPr>
            </w:pPr>
            <w:r w:rsidRPr="00363EFE">
              <w:rPr>
                <w:color w:val="002C47" w:themeColor="accent1"/>
              </w:rPr>
              <w:t>Victoria</w:t>
            </w:r>
          </w:p>
        </w:tc>
        <w:tc>
          <w:tcPr>
            <w:tcW w:w="996" w:type="dxa"/>
            <w:tcBorders>
              <w:top w:val="nil"/>
              <w:left w:val="nil"/>
              <w:bottom w:val="nil"/>
              <w:right w:val="nil"/>
            </w:tcBorders>
          </w:tcPr>
          <w:p w14:paraId="40F7869A" w14:textId="35434D64"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72F39902" w14:textId="09C44062"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nil"/>
            </w:tcBorders>
          </w:tcPr>
          <w:p w14:paraId="0641E47B" w14:textId="55276FA0"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tcPr>
          <w:p w14:paraId="28E6F4D0" w14:textId="379CF11D"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3F4A96E5" w14:textId="5154C0EE" w:rsidR="00055125" w:rsidRPr="00E20618" w:rsidRDefault="00055125" w:rsidP="000649FA">
            <w:pPr>
              <w:pStyle w:val="TableTextLeft"/>
              <w:jc w:val="right"/>
            </w:pPr>
            <w:r w:rsidRPr="00E20618">
              <w:rPr>
                <w:rFonts w:cstheme="minorHAnsi"/>
              </w:rPr>
              <w:t>1.7</w:t>
            </w:r>
          </w:p>
        </w:tc>
        <w:tc>
          <w:tcPr>
            <w:tcW w:w="996" w:type="dxa"/>
            <w:tcBorders>
              <w:top w:val="nil"/>
              <w:left w:val="single" w:sz="4" w:space="0" w:color="auto"/>
              <w:bottom w:val="nil"/>
              <w:right w:val="nil"/>
            </w:tcBorders>
          </w:tcPr>
          <w:p w14:paraId="2B8BA609" w14:textId="5EB1B797" w:rsidR="00055125" w:rsidRPr="00E20618" w:rsidRDefault="00055125" w:rsidP="000649FA">
            <w:pPr>
              <w:pStyle w:val="TableTextLeft"/>
              <w:jc w:val="right"/>
            </w:pPr>
            <w:r w:rsidRPr="00E20618">
              <w:rPr>
                <w:rFonts w:cstheme="minorHAnsi"/>
              </w:rPr>
              <w:t>1.5</w:t>
            </w:r>
          </w:p>
        </w:tc>
      </w:tr>
      <w:tr w:rsidR="00055125" w:rsidRPr="0080495D" w14:paraId="1B4D81F0" w14:textId="77777777" w:rsidTr="00870149">
        <w:tc>
          <w:tcPr>
            <w:tcW w:w="3096" w:type="dxa"/>
          </w:tcPr>
          <w:p w14:paraId="2C3EA088"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79A140A4" w14:textId="51D5FED1"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3A39DF78" w14:textId="4B5858E3" w:rsidR="00055125" w:rsidRPr="00E20618" w:rsidRDefault="00055125" w:rsidP="000649FA">
            <w:pPr>
              <w:pStyle w:val="TableTextLeft"/>
              <w:jc w:val="right"/>
            </w:pPr>
            <w:r w:rsidRPr="00E20618">
              <w:rPr>
                <w:rFonts w:cstheme="minorHAnsi"/>
              </w:rPr>
              <w:t>0.9</w:t>
            </w:r>
          </w:p>
        </w:tc>
        <w:tc>
          <w:tcPr>
            <w:tcW w:w="996" w:type="dxa"/>
            <w:tcBorders>
              <w:top w:val="nil"/>
              <w:left w:val="nil"/>
              <w:bottom w:val="nil"/>
              <w:right w:val="nil"/>
            </w:tcBorders>
          </w:tcPr>
          <w:p w14:paraId="593EDD3A" w14:textId="7AEF2E6B"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nil"/>
            </w:tcBorders>
          </w:tcPr>
          <w:p w14:paraId="5BB9E3B8" w14:textId="2D20F6C7" w:rsidR="00055125" w:rsidRPr="00E20618" w:rsidRDefault="00055125" w:rsidP="000649FA">
            <w:pPr>
              <w:pStyle w:val="TableTextLeft"/>
              <w:jc w:val="right"/>
            </w:pPr>
            <w:r w:rsidRPr="00E20618">
              <w:rPr>
                <w:rFonts w:cstheme="minorHAnsi"/>
              </w:rPr>
              <w:t>2.1</w:t>
            </w:r>
          </w:p>
        </w:tc>
        <w:tc>
          <w:tcPr>
            <w:tcW w:w="996" w:type="dxa"/>
            <w:tcBorders>
              <w:top w:val="nil"/>
              <w:left w:val="nil"/>
              <w:bottom w:val="nil"/>
              <w:right w:val="single" w:sz="4" w:space="0" w:color="auto"/>
            </w:tcBorders>
          </w:tcPr>
          <w:p w14:paraId="0561E808" w14:textId="19BF9863" w:rsidR="00055125" w:rsidRPr="00E20618" w:rsidRDefault="00055125" w:rsidP="000649FA">
            <w:pPr>
              <w:pStyle w:val="TableTextLeft"/>
              <w:jc w:val="right"/>
            </w:pPr>
            <w:r w:rsidRPr="00E20618">
              <w:rPr>
                <w:rFonts w:cstheme="minorHAnsi"/>
              </w:rPr>
              <w:t>1.9</w:t>
            </w:r>
          </w:p>
        </w:tc>
        <w:tc>
          <w:tcPr>
            <w:tcW w:w="996" w:type="dxa"/>
            <w:tcBorders>
              <w:top w:val="nil"/>
              <w:left w:val="single" w:sz="4" w:space="0" w:color="auto"/>
              <w:bottom w:val="nil"/>
              <w:right w:val="nil"/>
            </w:tcBorders>
          </w:tcPr>
          <w:p w14:paraId="180F3ABF" w14:textId="1C2688B8" w:rsidR="00055125" w:rsidRPr="00E20618" w:rsidRDefault="00055125" w:rsidP="000649FA">
            <w:pPr>
              <w:pStyle w:val="TableTextLeft"/>
              <w:jc w:val="right"/>
            </w:pPr>
            <w:r w:rsidRPr="00E20618">
              <w:rPr>
                <w:rFonts w:cstheme="minorHAnsi"/>
              </w:rPr>
              <w:t>1.6</w:t>
            </w:r>
          </w:p>
        </w:tc>
      </w:tr>
      <w:tr w:rsidR="00055125" w:rsidRPr="0080495D" w14:paraId="2772F4F9" w14:textId="77777777" w:rsidTr="00870149">
        <w:tc>
          <w:tcPr>
            <w:tcW w:w="3096" w:type="dxa"/>
          </w:tcPr>
          <w:p w14:paraId="077E91C8"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nil"/>
              <w:right w:val="nil"/>
            </w:tcBorders>
          </w:tcPr>
          <w:p w14:paraId="1DAB64F9" w14:textId="7876A992" w:rsidR="00055125" w:rsidRPr="00E20618" w:rsidRDefault="00055125" w:rsidP="000649FA">
            <w:pPr>
              <w:pStyle w:val="TableTextLeft"/>
              <w:jc w:val="right"/>
            </w:pPr>
            <w:r w:rsidRPr="00E20618">
              <w:rPr>
                <w:rFonts w:cstheme="minorHAnsi"/>
              </w:rPr>
              <w:t>1.3</w:t>
            </w:r>
          </w:p>
        </w:tc>
        <w:tc>
          <w:tcPr>
            <w:tcW w:w="996" w:type="dxa"/>
            <w:tcBorders>
              <w:top w:val="nil"/>
              <w:left w:val="nil"/>
              <w:bottom w:val="nil"/>
              <w:right w:val="nil"/>
            </w:tcBorders>
            <w:shd w:val="clear" w:color="auto" w:fill="D2EDFF" w:themeFill="accent1" w:themeFillTint="1A"/>
          </w:tcPr>
          <w:p w14:paraId="534D6A97" w14:textId="67D8CFB8" w:rsidR="00055125" w:rsidRPr="00E20618" w:rsidRDefault="00055125" w:rsidP="000649FA">
            <w:pPr>
              <w:pStyle w:val="TableTextLeft"/>
              <w:jc w:val="right"/>
            </w:pPr>
            <w:r w:rsidRPr="00E20618">
              <w:rPr>
                <w:rFonts w:cstheme="minorHAnsi"/>
              </w:rPr>
              <w:t>1.2</w:t>
            </w:r>
          </w:p>
        </w:tc>
        <w:tc>
          <w:tcPr>
            <w:tcW w:w="996" w:type="dxa"/>
            <w:tcBorders>
              <w:top w:val="nil"/>
              <w:left w:val="nil"/>
              <w:bottom w:val="nil"/>
              <w:right w:val="nil"/>
            </w:tcBorders>
          </w:tcPr>
          <w:p w14:paraId="5BFEFD4B" w14:textId="063633DE" w:rsidR="00055125" w:rsidRPr="00E20618" w:rsidRDefault="00055125" w:rsidP="000649FA">
            <w:pPr>
              <w:pStyle w:val="TableTextLeft"/>
              <w:jc w:val="right"/>
            </w:pPr>
            <w:r w:rsidRPr="00E20618">
              <w:rPr>
                <w:rFonts w:cstheme="minorHAnsi"/>
              </w:rPr>
              <w:t>1.1</w:t>
            </w:r>
          </w:p>
        </w:tc>
        <w:tc>
          <w:tcPr>
            <w:tcW w:w="996" w:type="dxa"/>
            <w:tcBorders>
              <w:top w:val="nil"/>
              <w:left w:val="nil"/>
              <w:bottom w:val="nil"/>
              <w:right w:val="nil"/>
            </w:tcBorders>
          </w:tcPr>
          <w:p w14:paraId="6048094D" w14:textId="3F36FB62" w:rsidR="00055125" w:rsidRPr="00E20618" w:rsidRDefault="00055125" w:rsidP="000649FA">
            <w:pPr>
              <w:pStyle w:val="TableTextLeft"/>
              <w:jc w:val="right"/>
            </w:pPr>
            <w:r w:rsidRPr="00E20618">
              <w:rPr>
                <w:rFonts w:cstheme="minorHAnsi"/>
              </w:rPr>
              <w:t>1</w:t>
            </w:r>
          </w:p>
        </w:tc>
        <w:tc>
          <w:tcPr>
            <w:tcW w:w="996" w:type="dxa"/>
            <w:tcBorders>
              <w:top w:val="nil"/>
              <w:left w:val="nil"/>
              <w:bottom w:val="nil"/>
              <w:right w:val="single" w:sz="4" w:space="0" w:color="auto"/>
            </w:tcBorders>
          </w:tcPr>
          <w:p w14:paraId="4699ADC2" w14:textId="08649EEF" w:rsidR="00055125" w:rsidRPr="00E20618" w:rsidRDefault="00055125"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10ABBCB4" w14:textId="71CB1412" w:rsidR="00055125" w:rsidRPr="00E20618" w:rsidRDefault="00055125" w:rsidP="000649FA">
            <w:pPr>
              <w:pStyle w:val="TableTextLeft"/>
              <w:jc w:val="right"/>
            </w:pPr>
            <w:r w:rsidRPr="00E20618">
              <w:rPr>
                <w:rFonts w:cstheme="minorHAnsi"/>
              </w:rPr>
              <w:t>1</w:t>
            </w:r>
          </w:p>
        </w:tc>
      </w:tr>
      <w:tr w:rsidR="00055125" w:rsidRPr="0080495D" w14:paraId="2C457167" w14:textId="77777777" w:rsidTr="00870149">
        <w:tc>
          <w:tcPr>
            <w:tcW w:w="3096" w:type="dxa"/>
          </w:tcPr>
          <w:p w14:paraId="002CB50D" w14:textId="77777777" w:rsidR="00055125" w:rsidRPr="00363EFE" w:rsidRDefault="00055125"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E2A56DD"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9533D65" w14:textId="77777777" w:rsidR="00055125" w:rsidRPr="00E20618" w:rsidRDefault="00055125" w:rsidP="000649FA">
            <w:pPr>
              <w:pStyle w:val="TableTextLeft"/>
              <w:jc w:val="right"/>
            </w:pPr>
          </w:p>
        </w:tc>
        <w:tc>
          <w:tcPr>
            <w:tcW w:w="996" w:type="dxa"/>
            <w:tcBorders>
              <w:top w:val="nil"/>
              <w:left w:val="nil"/>
              <w:bottom w:val="nil"/>
              <w:right w:val="nil"/>
            </w:tcBorders>
          </w:tcPr>
          <w:p w14:paraId="19671D24" w14:textId="77777777" w:rsidR="00055125" w:rsidRPr="00E20618" w:rsidRDefault="00055125" w:rsidP="000649FA">
            <w:pPr>
              <w:pStyle w:val="TableTextLeft"/>
              <w:jc w:val="right"/>
            </w:pPr>
          </w:p>
        </w:tc>
        <w:tc>
          <w:tcPr>
            <w:tcW w:w="996" w:type="dxa"/>
            <w:tcBorders>
              <w:top w:val="nil"/>
              <w:left w:val="nil"/>
              <w:bottom w:val="nil"/>
              <w:right w:val="nil"/>
            </w:tcBorders>
          </w:tcPr>
          <w:p w14:paraId="23D5B291"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583018E6"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4838208C" w14:textId="77777777" w:rsidR="00055125" w:rsidRPr="00E20618" w:rsidRDefault="00055125" w:rsidP="000649FA">
            <w:pPr>
              <w:pStyle w:val="TableTextLeft"/>
              <w:jc w:val="right"/>
            </w:pPr>
          </w:p>
        </w:tc>
      </w:tr>
      <w:tr w:rsidR="00055125" w:rsidRPr="0080495D" w14:paraId="41C71C73" w14:textId="77777777" w:rsidTr="00870149">
        <w:tc>
          <w:tcPr>
            <w:tcW w:w="3096" w:type="dxa"/>
          </w:tcPr>
          <w:p w14:paraId="7F1C4E63"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7BF82139" w14:textId="76B9262E" w:rsidR="00055125" w:rsidRPr="00E20618" w:rsidRDefault="00055125" w:rsidP="000649FA">
            <w:pPr>
              <w:pStyle w:val="TableTextLeft"/>
              <w:jc w:val="right"/>
            </w:pPr>
            <w:r w:rsidRPr="00E20618">
              <w:rPr>
                <w:rFonts w:cstheme="minorHAnsi"/>
              </w:rPr>
              <w:t>-58.1</w:t>
            </w:r>
          </w:p>
        </w:tc>
        <w:tc>
          <w:tcPr>
            <w:tcW w:w="996" w:type="dxa"/>
            <w:tcBorders>
              <w:top w:val="nil"/>
              <w:left w:val="nil"/>
              <w:bottom w:val="nil"/>
              <w:right w:val="nil"/>
            </w:tcBorders>
            <w:shd w:val="clear" w:color="auto" w:fill="D2EDFF" w:themeFill="accent1" w:themeFillTint="1A"/>
          </w:tcPr>
          <w:p w14:paraId="791F923F" w14:textId="27CE2B69" w:rsidR="00055125" w:rsidRPr="00E20618" w:rsidRDefault="00055125" w:rsidP="000649FA">
            <w:pPr>
              <w:pStyle w:val="TableTextLeft"/>
              <w:jc w:val="right"/>
            </w:pPr>
            <w:r w:rsidRPr="00E20618">
              <w:rPr>
                <w:rFonts w:cstheme="minorHAnsi"/>
              </w:rPr>
              <w:t>65.5</w:t>
            </w:r>
          </w:p>
        </w:tc>
        <w:tc>
          <w:tcPr>
            <w:tcW w:w="996" w:type="dxa"/>
            <w:tcBorders>
              <w:top w:val="nil"/>
              <w:left w:val="nil"/>
              <w:bottom w:val="nil"/>
              <w:right w:val="nil"/>
            </w:tcBorders>
          </w:tcPr>
          <w:p w14:paraId="4B3A758B" w14:textId="398BD02F" w:rsidR="00055125" w:rsidRPr="00E20618" w:rsidRDefault="00055125" w:rsidP="000649FA">
            <w:pPr>
              <w:pStyle w:val="TableTextLeft"/>
              <w:jc w:val="right"/>
            </w:pPr>
            <w:r w:rsidRPr="00E20618">
              <w:rPr>
                <w:rFonts w:cstheme="minorHAnsi"/>
              </w:rPr>
              <w:t>106.1</w:t>
            </w:r>
          </w:p>
        </w:tc>
        <w:tc>
          <w:tcPr>
            <w:tcW w:w="996" w:type="dxa"/>
            <w:tcBorders>
              <w:top w:val="nil"/>
              <w:left w:val="nil"/>
              <w:bottom w:val="nil"/>
              <w:right w:val="nil"/>
            </w:tcBorders>
          </w:tcPr>
          <w:p w14:paraId="1CBC3CAD" w14:textId="7A89FE58" w:rsidR="00055125" w:rsidRPr="00E20618" w:rsidRDefault="00055125" w:rsidP="000649FA">
            <w:pPr>
              <w:pStyle w:val="TableTextLeft"/>
              <w:jc w:val="right"/>
            </w:pPr>
            <w:r w:rsidRPr="00E20618">
              <w:rPr>
                <w:rFonts w:cstheme="minorHAnsi"/>
              </w:rPr>
              <w:t>121.4</w:t>
            </w:r>
          </w:p>
        </w:tc>
        <w:tc>
          <w:tcPr>
            <w:tcW w:w="996" w:type="dxa"/>
            <w:tcBorders>
              <w:top w:val="nil"/>
              <w:left w:val="nil"/>
              <w:bottom w:val="nil"/>
              <w:right w:val="single" w:sz="4" w:space="0" w:color="auto"/>
            </w:tcBorders>
          </w:tcPr>
          <w:p w14:paraId="7C7070E4" w14:textId="6D8CFF36" w:rsidR="00055125" w:rsidRPr="00E20618" w:rsidRDefault="00055125" w:rsidP="000649FA">
            <w:pPr>
              <w:pStyle w:val="TableTextLeft"/>
              <w:jc w:val="right"/>
            </w:pPr>
            <w:r w:rsidRPr="00E20618">
              <w:rPr>
                <w:rFonts w:cstheme="minorHAnsi"/>
              </w:rPr>
              <w:t>117.8</w:t>
            </w:r>
          </w:p>
        </w:tc>
        <w:tc>
          <w:tcPr>
            <w:tcW w:w="996" w:type="dxa"/>
            <w:tcBorders>
              <w:top w:val="nil"/>
              <w:left w:val="single" w:sz="4" w:space="0" w:color="auto"/>
              <w:bottom w:val="nil"/>
              <w:right w:val="nil"/>
            </w:tcBorders>
          </w:tcPr>
          <w:p w14:paraId="00A7D5F1" w14:textId="6F0909B0" w:rsidR="00055125" w:rsidRPr="00E20618" w:rsidRDefault="00055125" w:rsidP="000649FA">
            <w:pPr>
              <w:pStyle w:val="TableTextLeft"/>
              <w:jc w:val="right"/>
            </w:pPr>
            <w:r w:rsidRPr="00E20618">
              <w:rPr>
                <w:rFonts w:cstheme="minorHAnsi"/>
              </w:rPr>
              <w:t>113.2</w:t>
            </w:r>
          </w:p>
        </w:tc>
      </w:tr>
      <w:tr w:rsidR="00055125" w:rsidRPr="0080495D" w14:paraId="497B4C34" w14:textId="77777777" w:rsidTr="00870149">
        <w:tc>
          <w:tcPr>
            <w:tcW w:w="3096" w:type="dxa"/>
          </w:tcPr>
          <w:p w14:paraId="0E9B2D77" w14:textId="77777777" w:rsidR="00055125" w:rsidRPr="00363EFE" w:rsidRDefault="00055125" w:rsidP="00CF6797">
            <w:pPr>
              <w:pStyle w:val="Tabletextleftindent"/>
              <w:rPr>
                <w:bCs/>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722BEA52" w14:textId="5F3DE057" w:rsidR="00055125" w:rsidRPr="00E20618" w:rsidRDefault="00055125" w:rsidP="000649FA">
            <w:pPr>
              <w:pStyle w:val="TableTextLeft"/>
              <w:jc w:val="right"/>
            </w:pPr>
            <w:r w:rsidRPr="00E20618">
              <w:rPr>
                <w:rFonts w:cstheme="minorHAnsi"/>
              </w:rPr>
              <w:t>-78.7</w:t>
            </w:r>
          </w:p>
        </w:tc>
        <w:tc>
          <w:tcPr>
            <w:tcW w:w="996" w:type="dxa"/>
            <w:tcBorders>
              <w:top w:val="nil"/>
              <w:left w:val="nil"/>
              <w:bottom w:val="nil"/>
              <w:right w:val="nil"/>
            </w:tcBorders>
            <w:shd w:val="clear" w:color="auto" w:fill="D2EDFF" w:themeFill="accent1" w:themeFillTint="1A"/>
          </w:tcPr>
          <w:p w14:paraId="19C93F8E" w14:textId="64EF32C3" w:rsidR="00055125" w:rsidRPr="00E20618" w:rsidRDefault="00055125" w:rsidP="000649FA">
            <w:pPr>
              <w:pStyle w:val="TableTextLeft"/>
              <w:jc w:val="right"/>
            </w:pPr>
            <w:r w:rsidRPr="00E20618">
              <w:rPr>
                <w:rFonts w:cstheme="minorHAnsi"/>
              </w:rPr>
              <w:t>46.9</w:t>
            </w:r>
          </w:p>
        </w:tc>
        <w:tc>
          <w:tcPr>
            <w:tcW w:w="996" w:type="dxa"/>
            <w:tcBorders>
              <w:top w:val="nil"/>
              <w:left w:val="nil"/>
              <w:bottom w:val="nil"/>
              <w:right w:val="nil"/>
            </w:tcBorders>
          </w:tcPr>
          <w:p w14:paraId="5897F67D" w14:textId="5DD690C1" w:rsidR="00055125" w:rsidRPr="00E20618" w:rsidRDefault="00055125" w:rsidP="000649FA">
            <w:pPr>
              <w:pStyle w:val="TableTextLeft"/>
              <w:jc w:val="right"/>
            </w:pPr>
            <w:r w:rsidRPr="00E20618">
              <w:rPr>
                <w:rFonts w:cstheme="minorHAnsi"/>
              </w:rPr>
              <w:t>89</w:t>
            </w:r>
          </w:p>
        </w:tc>
        <w:tc>
          <w:tcPr>
            <w:tcW w:w="996" w:type="dxa"/>
            <w:tcBorders>
              <w:top w:val="nil"/>
              <w:left w:val="nil"/>
              <w:bottom w:val="nil"/>
              <w:right w:val="nil"/>
            </w:tcBorders>
          </w:tcPr>
          <w:p w14:paraId="58D7F353" w14:textId="31B3AB34" w:rsidR="00055125" w:rsidRPr="00E20618" w:rsidRDefault="00055125" w:rsidP="000649FA">
            <w:pPr>
              <w:pStyle w:val="TableTextLeft"/>
              <w:jc w:val="right"/>
            </w:pPr>
            <w:r w:rsidRPr="00E20618">
              <w:rPr>
                <w:rFonts w:cstheme="minorHAnsi"/>
              </w:rPr>
              <w:t>105</w:t>
            </w:r>
          </w:p>
        </w:tc>
        <w:tc>
          <w:tcPr>
            <w:tcW w:w="996" w:type="dxa"/>
            <w:tcBorders>
              <w:top w:val="nil"/>
              <w:left w:val="nil"/>
              <w:bottom w:val="nil"/>
              <w:right w:val="single" w:sz="4" w:space="0" w:color="auto"/>
            </w:tcBorders>
          </w:tcPr>
          <w:p w14:paraId="6F9E8FCA" w14:textId="3FAD2CFF" w:rsidR="00055125" w:rsidRPr="00E20618" w:rsidRDefault="00055125" w:rsidP="000649FA">
            <w:pPr>
              <w:pStyle w:val="TableTextLeft"/>
              <w:jc w:val="right"/>
            </w:pPr>
            <w:r w:rsidRPr="00E20618">
              <w:rPr>
                <w:rFonts w:cstheme="minorHAnsi"/>
              </w:rPr>
              <w:t>101.2</w:t>
            </w:r>
          </w:p>
        </w:tc>
        <w:tc>
          <w:tcPr>
            <w:tcW w:w="996" w:type="dxa"/>
            <w:tcBorders>
              <w:top w:val="nil"/>
              <w:left w:val="single" w:sz="4" w:space="0" w:color="auto"/>
              <w:bottom w:val="nil"/>
              <w:right w:val="nil"/>
            </w:tcBorders>
          </w:tcPr>
          <w:p w14:paraId="30FF3404" w14:textId="3ED5869A" w:rsidR="00055125" w:rsidRPr="00E20618" w:rsidRDefault="00055125" w:rsidP="000649FA">
            <w:pPr>
              <w:pStyle w:val="TableTextLeft"/>
              <w:jc w:val="right"/>
            </w:pPr>
            <w:r w:rsidRPr="00E20618">
              <w:rPr>
                <w:rFonts w:cstheme="minorHAnsi"/>
              </w:rPr>
              <w:t>95.1</w:t>
            </w:r>
          </w:p>
        </w:tc>
      </w:tr>
      <w:tr w:rsidR="00055125" w:rsidRPr="0080495D" w14:paraId="10B020DA" w14:textId="77777777" w:rsidTr="00870149">
        <w:tc>
          <w:tcPr>
            <w:tcW w:w="3096" w:type="dxa"/>
            <w:tcBorders>
              <w:bottom w:val="single" w:sz="4" w:space="0" w:color="auto"/>
            </w:tcBorders>
          </w:tcPr>
          <w:p w14:paraId="1A273D10" w14:textId="77777777" w:rsidR="00055125" w:rsidRPr="00363EFE" w:rsidRDefault="00055125" w:rsidP="00CF6797">
            <w:pPr>
              <w:pStyle w:val="Tabletextleftindent"/>
              <w:rPr>
                <w:bCs/>
                <w:color w:val="002C47" w:themeColor="accent1"/>
              </w:rPr>
            </w:pPr>
            <w:r w:rsidRPr="00363EFE">
              <w:rPr>
                <w:color w:val="002C47" w:themeColor="accent1"/>
              </w:rPr>
              <w:t>Rest of Victoria</w:t>
            </w:r>
          </w:p>
        </w:tc>
        <w:tc>
          <w:tcPr>
            <w:tcW w:w="996" w:type="dxa"/>
            <w:tcBorders>
              <w:top w:val="nil"/>
              <w:left w:val="nil"/>
              <w:bottom w:val="single" w:sz="4" w:space="0" w:color="auto"/>
              <w:right w:val="nil"/>
            </w:tcBorders>
          </w:tcPr>
          <w:p w14:paraId="6E5E3DF1" w14:textId="412AF1FC" w:rsidR="00055125" w:rsidRPr="00E20618" w:rsidRDefault="00055125" w:rsidP="000649FA">
            <w:pPr>
              <w:pStyle w:val="TableTextLeft"/>
              <w:jc w:val="right"/>
            </w:pPr>
            <w:r w:rsidRPr="00E20618">
              <w:rPr>
                <w:rFonts w:cstheme="minorHAnsi"/>
              </w:rPr>
              <w:t>20.5</w:t>
            </w:r>
          </w:p>
        </w:tc>
        <w:tc>
          <w:tcPr>
            <w:tcW w:w="996" w:type="dxa"/>
            <w:tcBorders>
              <w:top w:val="nil"/>
              <w:left w:val="nil"/>
              <w:bottom w:val="single" w:sz="4" w:space="0" w:color="auto"/>
              <w:right w:val="nil"/>
            </w:tcBorders>
            <w:shd w:val="clear" w:color="auto" w:fill="D2EDFF" w:themeFill="accent1" w:themeFillTint="1A"/>
          </w:tcPr>
          <w:p w14:paraId="307B2A0F" w14:textId="2B268405" w:rsidR="00055125" w:rsidRPr="00E20618" w:rsidRDefault="00055125" w:rsidP="000649FA">
            <w:pPr>
              <w:pStyle w:val="TableTextLeft"/>
              <w:jc w:val="right"/>
            </w:pPr>
            <w:r w:rsidRPr="00E20618">
              <w:rPr>
                <w:rFonts w:cstheme="minorHAnsi"/>
              </w:rPr>
              <w:t>18.6</w:t>
            </w:r>
          </w:p>
        </w:tc>
        <w:tc>
          <w:tcPr>
            <w:tcW w:w="996" w:type="dxa"/>
            <w:tcBorders>
              <w:top w:val="nil"/>
              <w:left w:val="nil"/>
              <w:bottom w:val="single" w:sz="4" w:space="0" w:color="auto"/>
              <w:right w:val="nil"/>
            </w:tcBorders>
          </w:tcPr>
          <w:p w14:paraId="00093D52" w14:textId="3FEE7E2B" w:rsidR="00055125" w:rsidRPr="00E20618" w:rsidRDefault="00055125" w:rsidP="000649FA">
            <w:pPr>
              <w:pStyle w:val="TableTextLeft"/>
              <w:jc w:val="right"/>
            </w:pPr>
            <w:r w:rsidRPr="00E20618">
              <w:rPr>
                <w:rFonts w:cstheme="minorHAnsi"/>
              </w:rPr>
              <w:t>17.1</w:t>
            </w:r>
          </w:p>
        </w:tc>
        <w:tc>
          <w:tcPr>
            <w:tcW w:w="996" w:type="dxa"/>
            <w:tcBorders>
              <w:top w:val="nil"/>
              <w:left w:val="nil"/>
              <w:bottom w:val="single" w:sz="4" w:space="0" w:color="auto"/>
              <w:right w:val="nil"/>
            </w:tcBorders>
          </w:tcPr>
          <w:p w14:paraId="7D822B48" w14:textId="179A95BF" w:rsidR="00055125" w:rsidRPr="00E20618" w:rsidRDefault="00055125" w:rsidP="000649FA">
            <w:pPr>
              <w:pStyle w:val="TableTextLeft"/>
              <w:jc w:val="right"/>
            </w:pPr>
            <w:r w:rsidRPr="00E20618">
              <w:rPr>
                <w:rFonts w:cstheme="minorHAnsi"/>
              </w:rPr>
              <w:t>16.4</w:t>
            </w:r>
          </w:p>
        </w:tc>
        <w:tc>
          <w:tcPr>
            <w:tcW w:w="996" w:type="dxa"/>
            <w:tcBorders>
              <w:top w:val="nil"/>
              <w:left w:val="nil"/>
              <w:bottom w:val="single" w:sz="4" w:space="0" w:color="auto"/>
              <w:right w:val="single" w:sz="4" w:space="0" w:color="auto"/>
            </w:tcBorders>
          </w:tcPr>
          <w:p w14:paraId="05C367B7" w14:textId="70046836" w:rsidR="00055125" w:rsidRPr="00E20618" w:rsidRDefault="00055125" w:rsidP="000649FA">
            <w:pPr>
              <w:pStyle w:val="TableTextLeft"/>
              <w:jc w:val="right"/>
            </w:pPr>
            <w:r w:rsidRPr="00E20618">
              <w:rPr>
                <w:rFonts w:cstheme="minorHAnsi"/>
              </w:rPr>
              <w:t>16.6</w:t>
            </w:r>
          </w:p>
        </w:tc>
        <w:tc>
          <w:tcPr>
            <w:tcW w:w="996" w:type="dxa"/>
            <w:tcBorders>
              <w:top w:val="nil"/>
              <w:left w:val="single" w:sz="4" w:space="0" w:color="auto"/>
              <w:bottom w:val="single" w:sz="4" w:space="0" w:color="auto"/>
              <w:right w:val="nil"/>
            </w:tcBorders>
          </w:tcPr>
          <w:p w14:paraId="346E90A7" w14:textId="5E01DE1B" w:rsidR="00055125" w:rsidRPr="00E20618" w:rsidRDefault="00055125" w:rsidP="000649FA">
            <w:pPr>
              <w:pStyle w:val="TableTextLeft"/>
              <w:jc w:val="right"/>
            </w:pPr>
            <w:r w:rsidRPr="00E20618">
              <w:rPr>
                <w:rFonts w:cstheme="minorHAnsi"/>
              </w:rPr>
              <w:t>18</w:t>
            </w:r>
          </w:p>
        </w:tc>
      </w:tr>
      <w:tr w:rsidR="00055125" w:rsidRPr="0080495D" w14:paraId="4D215A6F" w14:textId="77777777" w:rsidTr="00870149">
        <w:tc>
          <w:tcPr>
            <w:tcW w:w="3096" w:type="dxa"/>
            <w:tcBorders>
              <w:top w:val="single" w:sz="4" w:space="0" w:color="auto"/>
              <w:bottom w:val="nil"/>
            </w:tcBorders>
          </w:tcPr>
          <w:p w14:paraId="4FE8F7ED" w14:textId="3CFBE06A" w:rsidR="00055125" w:rsidRPr="00363EFE" w:rsidRDefault="00055125"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77C29CC"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315C43C3"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3BA062B6"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12F7B5EA"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440A84A9"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62901924" w14:textId="77777777" w:rsidR="00055125" w:rsidRPr="00E20618" w:rsidRDefault="00055125" w:rsidP="000649FA">
            <w:pPr>
              <w:pStyle w:val="TableTextLeft"/>
              <w:jc w:val="right"/>
            </w:pPr>
          </w:p>
        </w:tc>
      </w:tr>
      <w:tr w:rsidR="00055125" w:rsidRPr="0080495D" w14:paraId="7813EBB3" w14:textId="77777777" w:rsidTr="00870149">
        <w:tc>
          <w:tcPr>
            <w:tcW w:w="3096" w:type="dxa"/>
            <w:tcBorders>
              <w:top w:val="nil"/>
            </w:tcBorders>
          </w:tcPr>
          <w:p w14:paraId="139744CB"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2D36EBE0" w14:textId="46A999B3" w:rsidR="00055125" w:rsidRPr="00E20618" w:rsidRDefault="00055125" w:rsidP="000649FA">
            <w:pPr>
              <w:pStyle w:val="TableTextLeft"/>
              <w:jc w:val="right"/>
            </w:pPr>
            <w:r w:rsidRPr="00E20618">
              <w:rPr>
                <w:rFonts w:cstheme="minorHAnsi"/>
              </w:rPr>
              <w:t>35.3</w:t>
            </w:r>
          </w:p>
        </w:tc>
        <w:tc>
          <w:tcPr>
            <w:tcW w:w="996" w:type="dxa"/>
            <w:tcBorders>
              <w:top w:val="nil"/>
              <w:left w:val="nil"/>
              <w:bottom w:val="nil"/>
              <w:right w:val="nil"/>
            </w:tcBorders>
            <w:shd w:val="clear" w:color="auto" w:fill="D2EDFF" w:themeFill="accent1" w:themeFillTint="1A"/>
          </w:tcPr>
          <w:p w14:paraId="2F03B8D5" w14:textId="323E0A57" w:rsidR="00055125" w:rsidRPr="00E20618" w:rsidRDefault="00055125" w:rsidP="000649FA">
            <w:pPr>
              <w:pStyle w:val="TableTextLeft"/>
              <w:jc w:val="right"/>
            </w:pPr>
            <w:r w:rsidRPr="00E20618">
              <w:rPr>
                <w:rFonts w:cstheme="minorHAnsi"/>
              </w:rPr>
              <w:t>32.9</w:t>
            </w:r>
          </w:p>
        </w:tc>
        <w:tc>
          <w:tcPr>
            <w:tcW w:w="996" w:type="dxa"/>
            <w:tcBorders>
              <w:top w:val="nil"/>
              <w:left w:val="nil"/>
              <w:bottom w:val="nil"/>
              <w:right w:val="nil"/>
            </w:tcBorders>
          </w:tcPr>
          <w:p w14:paraId="3CD68FA8" w14:textId="01F030D9" w:rsidR="00055125" w:rsidRPr="00E20618" w:rsidRDefault="00055125" w:rsidP="000649FA">
            <w:pPr>
              <w:pStyle w:val="TableTextLeft"/>
              <w:jc w:val="right"/>
            </w:pPr>
            <w:r w:rsidRPr="00E20618">
              <w:rPr>
                <w:rFonts w:cstheme="minorHAnsi"/>
              </w:rPr>
              <w:t>32.8</w:t>
            </w:r>
          </w:p>
        </w:tc>
        <w:tc>
          <w:tcPr>
            <w:tcW w:w="996" w:type="dxa"/>
            <w:tcBorders>
              <w:top w:val="nil"/>
              <w:left w:val="nil"/>
              <w:bottom w:val="nil"/>
              <w:right w:val="nil"/>
            </w:tcBorders>
          </w:tcPr>
          <w:p w14:paraId="0E51F66D" w14:textId="59B3722F" w:rsidR="00055125" w:rsidRPr="00E20618" w:rsidRDefault="00055125" w:rsidP="000649FA">
            <w:pPr>
              <w:pStyle w:val="TableTextLeft"/>
              <w:jc w:val="right"/>
            </w:pPr>
            <w:r w:rsidRPr="00E20618">
              <w:rPr>
                <w:rFonts w:cstheme="minorHAnsi"/>
              </w:rPr>
              <w:t>36.2</w:t>
            </w:r>
          </w:p>
        </w:tc>
        <w:tc>
          <w:tcPr>
            <w:tcW w:w="996" w:type="dxa"/>
            <w:tcBorders>
              <w:top w:val="nil"/>
              <w:left w:val="nil"/>
              <w:bottom w:val="nil"/>
              <w:right w:val="single" w:sz="4" w:space="0" w:color="auto"/>
            </w:tcBorders>
          </w:tcPr>
          <w:p w14:paraId="796777A1" w14:textId="5CDA3278" w:rsidR="00055125" w:rsidRPr="00E20618" w:rsidRDefault="00055125" w:rsidP="000649FA">
            <w:pPr>
              <w:pStyle w:val="TableTextLeft"/>
              <w:jc w:val="right"/>
            </w:pPr>
            <w:r w:rsidRPr="00E20618">
              <w:rPr>
                <w:rFonts w:cstheme="minorHAnsi"/>
              </w:rPr>
              <w:t>36.3</w:t>
            </w:r>
          </w:p>
        </w:tc>
        <w:tc>
          <w:tcPr>
            <w:tcW w:w="996" w:type="dxa"/>
            <w:tcBorders>
              <w:top w:val="nil"/>
              <w:left w:val="single" w:sz="4" w:space="0" w:color="auto"/>
              <w:bottom w:val="nil"/>
              <w:right w:val="nil"/>
            </w:tcBorders>
          </w:tcPr>
          <w:p w14:paraId="116558FF" w14:textId="311A9C46" w:rsidR="00055125" w:rsidRPr="00E20618" w:rsidRDefault="00055125" w:rsidP="000649FA">
            <w:pPr>
              <w:pStyle w:val="TableTextLeft"/>
              <w:jc w:val="right"/>
            </w:pPr>
            <w:r w:rsidRPr="00E20618">
              <w:rPr>
                <w:rFonts w:cstheme="minorHAnsi"/>
              </w:rPr>
              <w:t>33.7</w:t>
            </w:r>
          </w:p>
        </w:tc>
      </w:tr>
      <w:tr w:rsidR="00055125" w:rsidRPr="0080495D" w14:paraId="7D05D717" w14:textId="77777777" w:rsidTr="00870149">
        <w:tc>
          <w:tcPr>
            <w:tcW w:w="3096" w:type="dxa"/>
          </w:tcPr>
          <w:p w14:paraId="2F4633A8" w14:textId="77777777" w:rsidR="00055125" w:rsidRPr="00363EFE" w:rsidRDefault="00055125" w:rsidP="00CF6797">
            <w:pPr>
              <w:pStyle w:val="Tabletextleftindent"/>
              <w:rPr>
                <w:bCs/>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333870CD" w14:textId="68416725" w:rsidR="00055125" w:rsidRPr="00E20618" w:rsidRDefault="00055125" w:rsidP="000649FA">
            <w:pPr>
              <w:pStyle w:val="TableTextLeft"/>
              <w:jc w:val="right"/>
            </w:pPr>
            <w:r w:rsidRPr="00E20618">
              <w:rPr>
                <w:rFonts w:cstheme="minorHAnsi"/>
              </w:rPr>
              <w:t>31.7</w:t>
            </w:r>
          </w:p>
        </w:tc>
        <w:tc>
          <w:tcPr>
            <w:tcW w:w="996" w:type="dxa"/>
            <w:tcBorders>
              <w:top w:val="nil"/>
              <w:left w:val="nil"/>
              <w:bottom w:val="nil"/>
              <w:right w:val="nil"/>
            </w:tcBorders>
            <w:shd w:val="clear" w:color="auto" w:fill="D2EDFF" w:themeFill="accent1" w:themeFillTint="1A"/>
          </w:tcPr>
          <w:p w14:paraId="174C27DD" w14:textId="2C3148E9" w:rsidR="00055125" w:rsidRPr="00E20618" w:rsidRDefault="00055125" w:rsidP="000649FA">
            <w:pPr>
              <w:pStyle w:val="TableTextLeft"/>
              <w:jc w:val="right"/>
            </w:pPr>
            <w:r w:rsidRPr="00E20618">
              <w:rPr>
                <w:rFonts w:cstheme="minorHAnsi"/>
              </w:rPr>
              <w:t>31</w:t>
            </w:r>
          </w:p>
        </w:tc>
        <w:tc>
          <w:tcPr>
            <w:tcW w:w="996" w:type="dxa"/>
            <w:tcBorders>
              <w:top w:val="nil"/>
              <w:left w:val="nil"/>
              <w:bottom w:val="nil"/>
              <w:right w:val="nil"/>
            </w:tcBorders>
          </w:tcPr>
          <w:p w14:paraId="5FA21662" w14:textId="5F5423C0" w:rsidR="00055125" w:rsidRPr="00E20618" w:rsidRDefault="00055125" w:rsidP="000649FA">
            <w:pPr>
              <w:pStyle w:val="TableTextLeft"/>
              <w:jc w:val="right"/>
            </w:pPr>
            <w:r w:rsidRPr="00E20618">
              <w:rPr>
                <w:rFonts w:cstheme="minorHAnsi"/>
              </w:rPr>
              <w:t>31.1</w:t>
            </w:r>
          </w:p>
        </w:tc>
        <w:tc>
          <w:tcPr>
            <w:tcW w:w="996" w:type="dxa"/>
            <w:tcBorders>
              <w:top w:val="nil"/>
              <w:left w:val="nil"/>
              <w:bottom w:val="nil"/>
              <w:right w:val="nil"/>
            </w:tcBorders>
          </w:tcPr>
          <w:p w14:paraId="6841AA48" w14:textId="3FA7F824" w:rsidR="00055125" w:rsidRPr="00E20618" w:rsidRDefault="00055125" w:rsidP="000649FA">
            <w:pPr>
              <w:pStyle w:val="TableTextLeft"/>
              <w:jc w:val="right"/>
            </w:pPr>
            <w:r w:rsidRPr="00E20618">
              <w:rPr>
                <w:rFonts w:cstheme="minorHAnsi"/>
              </w:rPr>
              <w:t>33.6</w:t>
            </w:r>
          </w:p>
        </w:tc>
        <w:tc>
          <w:tcPr>
            <w:tcW w:w="996" w:type="dxa"/>
            <w:tcBorders>
              <w:top w:val="nil"/>
              <w:left w:val="nil"/>
              <w:bottom w:val="nil"/>
              <w:right w:val="single" w:sz="4" w:space="0" w:color="auto"/>
            </w:tcBorders>
          </w:tcPr>
          <w:p w14:paraId="3A2E6F96" w14:textId="2BDE7CF5" w:rsidR="00055125" w:rsidRPr="00E20618" w:rsidRDefault="00055125" w:rsidP="000649FA">
            <w:pPr>
              <w:pStyle w:val="TableTextLeft"/>
              <w:jc w:val="right"/>
            </w:pPr>
            <w:r w:rsidRPr="00E20618">
              <w:rPr>
                <w:rFonts w:cstheme="minorHAnsi"/>
              </w:rPr>
              <w:t>33.9</w:t>
            </w:r>
          </w:p>
        </w:tc>
        <w:tc>
          <w:tcPr>
            <w:tcW w:w="996" w:type="dxa"/>
            <w:tcBorders>
              <w:top w:val="nil"/>
              <w:left w:val="single" w:sz="4" w:space="0" w:color="auto"/>
              <w:bottom w:val="nil"/>
              <w:right w:val="nil"/>
            </w:tcBorders>
          </w:tcPr>
          <w:p w14:paraId="227BA8C2" w14:textId="0C8AF602" w:rsidR="00055125" w:rsidRPr="00E20618" w:rsidRDefault="00055125" w:rsidP="000649FA">
            <w:pPr>
              <w:pStyle w:val="TableTextLeft"/>
              <w:jc w:val="right"/>
            </w:pPr>
            <w:r w:rsidRPr="00E20618">
              <w:rPr>
                <w:rFonts w:cstheme="minorHAnsi"/>
              </w:rPr>
              <w:t>34.4</w:t>
            </w:r>
          </w:p>
        </w:tc>
      </w:tr>
      <w:tr w:rsidR="00055125" w:rsidRPr="0080495D" w14:paraId="3690AE37" w14:textId="77777777" w:rsidTr="00870149">
        <w:tc>
          <w:tcPr>
            <w:tcW w:w="3096" w:type="dxa"/>
          </w:tcPr>
          <w:p w14:paraId="64198B88" w14:textId="77777777" w:rsidR="00055125" w:rsidRPr="00363EFE" w:rsidRDefault="00055125" w:rsidP="00CF6797">
            <w:pPr>
              <w:pStyle w:val="Tabletextleftindent"/>
              <w:rPr>
                <w:bCs/>
                <w:color w:val="002C47" w:themeColor="accent1"/>
              </w:rPr>
            </w:pPr>
            <w:r w:rsidRPr="00363EFE">
              <w:rPr>
                <w:color w:val="002C47" w:themeColor="accent1"/>
              </w:rPr>
              <w:t>Rest of Victoria</w:t>
            </w:r>
          </w:p>
        </w:tc>
        <w:tc>
          <w:tcPr>
            <w:tcW w:w="996" w:type="dxa"/>
            <w:tcBorders>
              <w:top w:val="nil"/>
              <w:left w:val="nil"/>
              <w:bottom w:val="nil"/>
              <w:right w:val="nil"/>
            </w:tcBorders>
          </w:tcPr>
          <w:p w14:paraId="430ADC1D" w14:textId="5A3E6344" w:rsidR="00055125" w:rsidRPr="00E20618" w:rsidRDefault="00055125" w:rsidP="000649FA">
            <w:pPr>
              <w:pStyle w:val="TableTextLeft"/>
              <w:jc w:val="right"/>
            </w:pPr>
            <w:r w:rsidRPr="00E20618">
              <w:rPr>
                <w:rFonts w:cstheme="minorHAnsi"/>
              </w:rPr>
              <w:t>3.5</w:t>
            </w:r>
          </w:p>
        </w:tc>
        <w:tc>
          <w:tcPr>
            <w:tcW w:w="996" w:type="dxa"/>
            <w:tcBorders>
              <w:top w:val="nil"/>
              <w:left w:val="nil"/>
              <w:bottom w:val="nil"/>
              <w:right w:val="nil"/>
            </w:tcBorders>
            <w:shd w:val="clear" w:color="auto" w:fill="D2EDFF" w:themeFill="accent1" w:themeFillTint="1A"/>
          </w:tcPr>
          <w:p w14:paraId="12AB1A1B" w14:textId="250383B0" w:rsidR="00055125" w:rsidRPr="00E20618" w:rsidRDefault="00055125" w:rsidP="000649FA">
            <w:pPr>
              <w:pStyle w:val="TableTextLeft"/>
              <w:jc w:val="right"/>
            </w:pPr>
            <w:r w:rsidRPr="00E20618">
              <w:rPr>
                <w:rFonts w:cstheme="minorHAnsi"/>
              </w:rPr>
              <w:t>1.9</w:t>
            </w:r>
          </w:p>
        </w:tc>
        <w:tc>
          <w:tcPr>
            <w:tcW w:w="996" w:type="dxa"/>
            <w:tcBorders>
              <w:top w:val="nil"/>
              <w:left w:val="nil"/>
              <w:bottom w:val="nil"/>
              <w:right w:val="nil"/>
            </w:tcBorders>
          </w:tcPr>
          <w:p w14:paraId="491541EB" w14:textId="2C009A81" w:rsidR="00055125" w:rsidRPr="00E20618" w:rsidRDefault="00055125" w:rsidP="000649FA">
            <w:pPr>
              <w:pStyle w:val="TableTextLeft"/>
              <w:jc w:val="right"/>
            </w:pPr>
            <w:r w:rsidRPr="00E20618">
              <w:rPr>
                <w:rFonts w:cstheme="minorHAnsi"/>
              </w:rPr>
              <w:t>1.8</w:t>
            </w:r>
          </w:p>
        </w:tc>
        <w:tc>
          <w:tcPr>
            <w:tcW w:w="996" w:type="dxa"/>
            <w:tcBorders>
              <w:top w:val="nil"/>
              <w:left w:val="nil"/>
              <w:bottom w:val="nil"/>
              <w:right w:val="nil"/>
            </w:tcBorders>
          </w:tcPr>
          <w:p w14:paraId="4F8EB27B" w14:textId="20D76B11" w:rsidR="00055125" w:rsidRPr="00E20618" w:rsidRDefault="00055125" w:rsidP="000649FA">
            <w:pPr>
              <w:pStyle w:val="TableTextLeft"/>
              <w:jc w:val="right"/>
            </w:pPr>
            <w:r w:rsidRPr="00E20618">
              <w:rPr>
                <w:rFonts w:cstheme="minorHAnsi"/>
              </w:rPr>
              <w:t>2.6</w:t>
            </w:r>
          </w:p>
        </w:tc>
        <w:tc>
          <w:tcPr>
            <w:tcW w:w="996" w:type="dxa"/>
            <w:tcBorders>
              <w:top w:val="nil"/>
              <w:left w:val="nil"/>
              <w:bottom w:val="nil"/>
              <w:right w:val="single" w:sz="4" w:space="0" w:color="auto"/>
            </w:tcBorders>
          </w:tcPr>
          <w:p w14:paraId="3061F7EB" w14:textId="5B1A7F1D" w:rsidR="00055125" w:rsidRPr="00E20618" w:rsidRDefault="00055125" w:rsidP="000649FA">
            <w:pPr>
              <w:pStyle w:val="TableTextLeft"/>
              <w:jc w:val="right"/>
            </w:pPr>
            <w:r w:rsidRPr="00E20618">
              <w:rPr>
                <w:rFonts w:cstheme="minorHAnsi"/>
              </w:rPr>
              <w:t>2.4</w:t>
            </w:r>
          </w:p>
        </w:tc>
        <w:tc>
          <w:tcPr>
            <w:tcW w:w="996" w:type="dxa"/>
            <w:tcBorders>
              <w:top w:val="nil"/>
              <w:left w:val="single" w:sz="4" w:space="0" w:color="auto"/>
              <w:bottom w:val="nil"/>
              <w:right w:val="nil"/>
            </w:tcBorders>
          </w:tcPr>
          <w:p w14:paraId="3970C70A" w14:textId="59FA82A6" w:rsidR="00055125" w:rsidRPr="00E20618" w:rsidRDefault="00055125" w:rsidP="000649FA">
            <w:pPr>
              <w:pStyle w:val="TableTextLeft"/>
              <w:jc w:val="right"/>
            </w:pPr>
            <w:r w:rsidRPr="00E20618">
              <w:rPr>
                <w:rFonts w:cstheme="minorHAnsi"/>
              </w:rPr>
              <w:t>-0.7</w:t>
            </w:r>
          </w:p>
        </w:tc>
      </w:tr>
      <w:tr w:rsidR="00055125" w:rsidRPr="0080495D" w14:paraId="7E05FE3C" w14:textId="77777777" w:rsidTr="00870149">
        <w:tc>
          <w:tcPr>
            <w:tcW w:w="3096" w:type="dxa"/>
          </w:tcPr>
          <w:p w14:paraId="677836D0" w14:textId="77777777" w:rsidR="00055125" w:rsidRPr="00363EFE" w:rsidRDefault="00055125"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9DBCAAB"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4FFAB453" w14:textId="77777777" w:rsidR="00055125" w:rsidRPr="00E20618" w:rsidRDefault="00055125" w:rsidP="000649FA">
            <w:pPr>
              <w:pStyle w:val="TableTextLeft"/>
              <w:jc w:val="right"/>
            </w:pPr>
          </w:p>
        </w:tc>
        <w:tc>
          <w:tcPr>
            <w:tcW w:w="996" w:type="dxa"/>
            <w:tcBorders>
              <w:top w:val="nil"/>
              <w:left w:val="nil"/>
              <w:bottom w:val="nil"/>
              <w:right w:val="nil"/>
            </w:tcBorders>
          </w:tcPr>
          <w:p w14:paraId="5FE4A273" w14:textId="77777777" w:rsidR="00055125" w:rsidRPr="00E20618" w:rsidRDefault="00055125" w:rsidP="000649FA">
            <w:pPr>
              <w:pStyle w:val="TableTextLeft"/>
              <w:jc w:val="right"/>
            </w:pPr>
          </w:p>
        </w:tc>
        <w:tc>
          <w:tcPr>
            <w:tcW w:w="996" w:type="dxa"/>
            <w:tcBorders>
              <w:top w:val="nil"/>
              <w:left w:val="nil"/>
              <w:bottom w:val="nil"/>
              <w:right w:val="nil"/>
            </w:tcBorders>
          </w:tcPr>
          <w:p w14:paraId="61390EDC"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64FBFC24"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3204D256" w14:textId="77777777" w:rsidR="00055125" w:rsidRPr="00E20618" w:rsidRDefault="00055125" w:rsidP="000649FA">
            <w:pPr>
              <w:pStyle w:val="TableTextLeft"/>
              <w:jc w:val="right"/>
            </w:pPr>
          </w:p>
        </w:tc>
      </w:tr>
      <w:tr w:rsidR="00055125" w:rsidRPr="0080495D" w14:paraId="0C4A047E" w14:textId="77777777" w:rsidTr="00870149">
        <w:tc>
          <w:tcPr>
            <w:tcW w:w="3096" w:type="dxa"/>
          </w:tcPr>
          <w:p w14:paraId="46F75190"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1900CE44" w14:textId="26BF649B" w:rsidR="00055125" w:rsidRPr="00E20618" w:rsidRDefault="00055125" w:rsidP="000649FA">
            <w:pPr>
              <w:pStyle w:val="TableTextLeft"/>
              <w:jc w:val="right"/>
            </w:pPr>
            <w:r w:rsidRPr="00E20618">
              <w:rPr>
                <w:rFonts w:cstheme="minorHAnsi"/>
              </w:rPr>
              <w:t>-53.3</w:t>
            </w:r>
          </w:p>
        </w:tc>
        <w:tc>
          <w:tcPr>
            <w:tcW w:w="996" w:type="dxa"/>
            <w:tcBorders>
              <w:top w:val="nil"/>
              <w:left w:val="nil"/>
              <w:bottom w:val="nil"/>
              <w:right w:val="nil"/>
            </w:tcBorders>
            <w:shd w:val="clear" w:color="auto" w:fill="D2EDFF" w:themeFill="accent1" w:themeFillTint="1A"/>
          </w:tcPr>
          <w:p w14:paraId="4EF5CF15" w14:textId="269E52B8" w:rsidR="00055125" w:rsidRPr="00E20618" w:rsidRDefault="00055125" w:rsidP="000649FA">
            <w:pPr>
              <w:pStyle w:val="TableTextLeft"/>
              <w:jc w:val="right"/>
            </w:pPr>
            <w:r w:rsidRPr="00E20618">
              <w:rPr>
                <w:rFonts w:cstheme="minorHAnsi"/>
              </w:rPr>
              <w:t>49.2</w:t>
            </w:r>
          </w:p>
        </w:tc>
        <w:tc>
          <w:tcPr>
            <w:tcW w:w="996" w:type="dxa"/>
            <w:tcBorders>
              <w:top w:val="nil"/>
              <w:left w:val="nil"/>
              <w:bottom w:val="nil"/>
              <w:right w:val="nil"/>
            </w:tcBorders>
          </w:tcPr>
          <w:p w14:paraId="4716444D" w14:textId="5BBC68FC" w:rsidR="00055125" w:rsidRPr="00E20618" w:rsidRDefault="00055125" w:rsidP="000649FA">
            <w:pPr>
              <w:pStyle w:val="TableTextLeft"/>
              <w:jc w:val="right"/>
            </w:pPr>
            <w:r w:rsidRPr="00E20618">
              <w:rPr>
                <w:rFonts w:cstheme="minorHAnsi"/>
              </w:rPr>
              <w:t>79.7</w:t>
            </w:r>
          </w:p>
        </w:tc>
        <w:tc>
          <w:tcPr>
            <w:tcW w:w="996" w:type="dxa"/>
            <w:tcBorders>
              <w:top w:val="nil"/>
              <w:left w:val="nil"/>
              <w:bottom w:val="nil"/>
              <w:right w:val="nil"/>
            </w:tcBorders>
          </w:tcPr>
          <w:p w14:paraId="3C47187D" w14:textId="4F2C1672" w:rsidR="00055125" w:rsidRPr="00E20618" w:rsidRDefault="00055125" w:rsidP="000649FA">
            <w:pPr>
              <w:pStyle w:val="TableTextLeft"/>
              <w:jc w:val="right"/>
            </w:pPr>
            <w:r w:rsidRPr="00E20618">
              <w:rPr>
                <w:rFonts w:cstheme="minorHAnsi"/>
              </w:rPr>
              <w:t>81.4</w:t>
            </w:r>
          </w:p>
        </w:tc>
        <w:tc>
          <w:tcPr>
            <w:tcW w:w="996" w:type="dxa"/>
            <w:tcBorders>
              <w:top w:val="nil"/>
              <w:left w:val="nil"/>
              <w:bottom w:val="nil"/>
              <w:right w:val="single" w:sz="4" w:space="0" w:color="auto"/>
            </w:tcBorders>
          </w:tcPr>
          <w:p w14:paraId="0E833713" w14:textId="126D9ED5" w:rsidR="00055125" w:rsidRPr="00E20618" w:rsidRDefault="00055125" w:rsidP="000649FA">
            <w:pPr>
              <w:pStyle w:val="TableTextLeft"/>
              <w:jc w:val="right"/>
            </w:pPr>
            <w:r w:rsidRPr="00E20618">
              <w:rPr>
                <w:rFonts w:cstheme="minorHAnsi"/>
              </w:rPr>
              <w:t>78.1</w:t>
            </w:r>
          </w:p>
        </w:tc>
        <w:tc>
          <w:tcPr>
            <w:tcW w:w="996" w:type="dxa"/>
            <w:tcBorders>
              <w:top w:val="nil"/>
              <w:left w:val="single" w:sz="4" w:space="0" w:color="auto"/>
              <w:bottom w:val="nil"/>
              <w:right w:val="nil"/>
            </w:tcBorders>
          </w:tcPr>
          <w:p w14:paraId="5AE48833" w14:textId="632C049B" w:rsidR="00055125" w:rsidRPr="00E20618" w:rsidRDefault="00055125" w:rsidP="000649FA">
            <w:pPr>
              <w:pStyle w:val="TableTextLeft"/>
              <w:jc w:val="right"/>
            </w:pPr>
            <w:r w:rsidRPr="00E20618">
              <w:rPr>
                <w:rFonts w:cstheme="minorHAnsi"/>
              </w:rPr>
              <w:t>78.7</w:t>
            </w:r>
          </w:p>
        </w:tc>
      </w:tr>
      <w:tr w:rsidR="00055125" w:rsidRPr="0080495D" w14:paraId="4AB47F02" w14:textId="77777777" w:rsidTr="00870149">
        <w:tc>
          <w:tcPr>
            <w:tcW w:w="3096" w:type="dxa"/>
          </w:tcPr>
          <w:p w14:paraId="0E9B01D6" w14:textId="77777777" w:rsidR="00055125" w:rsidRPr="00575E08" w:rsidRDefault="00055125" w:rsidP="00CF6797">
            <w:pPr>
              <w:pStyle w:val="TableTextIndented"/>
              <w:rPr>
                <w:bCs/>
                <w:i/>
                <w:iCs/>
                <w:color w:val="002C47" w:themeColor="accent1"/>
              </w:rPr>
            </w:pPr>
            <w:r w:rsidRPr="00575E08">
              <w:rPr>
                <w:i/>
                <w:iCs/>
                <w:color w:val="002C47" w:themeColor="accent1"/>
              </w:rPr>
              <w:t xml:space="preserve">Greater Melbourne </w:t>
            </w:r>
          </w:p>
        </w:tc>
        <w:tc>
          <w:tcPr>
            <w:tcW w:w="996" w:type="dxa"/>
            <w:tcBorders>
              <w:top w:val="nil"/>
              <w:left w:val="nil"/>
              <w:bottom w:val="nil"/>
              <w:right w:val="nil"/>
            </w:tcBorders>
          </w:tcPr>
          <w:p w14:paraId="6BA21AB9" w14:textId="2DA58914" w:rsidR="00055125" w:rsidRPr="00E20618" w:rsidRDefault="00055125" w:rsidP="000649FA">
            <w:pPr>
              <w:pStyle w:val="TableTextLeft"/>
              <w:jc w:val="right"/>
            </w:pPr>
            <w:r w:rsidRPr="00E20618">
              <w:rPr>
                <w:rFonts w:cstheme="minorHAnsi"/>
              </w:rPr>
              <w:t>-51.6</w:t>
            </w:r>
          </w:p>
        </w:tc>
        <w:tc>
          <w:tcPr>
            <w:tcW w:w="996" w:type="dxa"/>
            <w:tcBorders>
              <w:top w:val="nil"/>
              <w:left w:val="nil"/>
              <w:bottom w:val="nil"/>
              <w:right w:val="nil"/>
            </w:tcBorders>
            <w:shd w:val="clear" w:color="auto" w:fill="D2EDFF" w:themeFill="accent1" w:themeFillTint="1A"/>
          </w:tcPr>
          <w:p w14:paraId="44E81CF3" w14:textId="0AC7EA48" w:rsidR="00055125" w:rsidRPr="00E20618" w:rsidRDefault="00055125" w:rsidP="000649FA">
            <w:pPr>
              <w:pStyle w:val="TableTextLeft"/>
              <w:jc w:val="right"/>
            </w:pPr>
            <w:r w:rsidRPr="00E20618">
              <w:rPr>
                <w:rFonts w:cstheme="minorHAnsi"/>
              </w:rPr>
              <w:t>44.8</w:t>
            </w:r>
          </w:p>
        </w:tc>
        <w:tc>
          <w:tcPr>
            <w:tcW w:w="996" w:type="dxa"/>
            <w:tcBorders>
              <w:top w:val="nil"/>
              <w:left w:val="nil"/>
              <w:bottom w:val="nil"/>
              <w:right w:val="nil"/>
            </w:tcBorders>
          </w:tcPr>
          <w:p w14:paraId="17AB65EE" w14:textId="15306D4D" w:rsidR="00055125" w:rsidRPr="00E20618" w:rsidRDefault="00055125" w:rsidP="000649FA">
            <w:pPr>
              <w:pStyle w:val="TableTextLeft"/>
              <w:jc w:val="right"/>
            </w:pPr>
            <w:r w:rsidRPr="00E20618">
              <w:rPr>
                <w:rFonts w:cstheme="minorHAnsi"/>
              </w:rPr>
              <w:t>73.1</w:t>
            </w:r>
          </w:p>
        </w:tc>
        <w:tc>
          <w:tcPr>
            <w:tcW w:w="996" w:type="dxa"/>
            <w:tcBorders>
              <w:top w:val="nil"/>
              <w:left w:val="nil"/>
              <w:bottom w:val="nil"/>
              <w:right w:val="nil"/>
            </w:tcBorders>
          </w:tcPr>
          <w:p w14:paraId="25721229" w14:textId="4375C012" w:rsidR="00055125" w:rsidRPr="00E20618" w:rsidRDefault="00055125" w:rsidP="000649FA">
            <w:pPr>
              <w:pStyle w:val="TableTextLeft"/>
              <w:jc w:val="right"/>
            </w:pPr>
            <w:r w:rsidRPr="00E20618">
              <w:rPr>
                <w:rFonts w:cstheme="minorHAnsi"/>
              </w:rPr>
              <w:t>74.5</w:t>
            </w:r>
          </w:p>
        </w:tc>
        <w:tc>
          <w:tcPr>
            <w:tcW w:w="996" w:type="dxa"/>
            <w:tcBorders>
              <w:top w:val="nil"/>
              <w:left w:val="nil"/>
              <w:bottom w:val="nil"/>
              <w:right w:val="single" w:sz="4" w:space="0" w:color="auto"/>
            </w:tcBorders>
          </w:tcPr>
          <w:p w14:paraId="242F794D" w14:textId="6216956E" w:rsidR="00055125" w:rsidRPr="00E20618" w:rsidRDefault="00055125" w:rsidP="000649FA">
            <w:pPr>
              <w:pStyle w:val="TableTextLeft"/>
              <w:jc w:val="right"/>
            </w:pPr>
            <w:r w:rsidRPr="00E20618">
              <w:rPr>
                <w:rFonts w:cstheme="minorHAnsi"/>
              </w:rPr>
              <w:t>71.3</w:t>
            </w:r>
          </w:p>
        </w:tc>
        <w:tc>
          <w:tcPr>
            <w:tcW w:w="996" w:type="dxa"/>
            <w:tcBorders>
              <w:top w:val="nil"/>
              <w:left w:val="single" w:sz="4" w:space="0" w:color="auto"/>
              <w:bottom w:val="nil"/>
              <w:right w:val="nil"/>
            </w:tcBorders>
          </w:tcPr>
          <w:p w14:paraId="4C4D409C" w14:textId="2C2191A5" w:rsidR="00055125" w:rsidRPr="00E20618" w:rsidRDefault="00055125" w:rsidP="000649FA">
            <w:pPr>
              <w:pStyle w:val="TableTextLeft"/>
              <w:jc w:val="right"/>
            </w:pPr>
            <w:r w:rsidRPr="00E20618">
              <w:rPr>
                <w:rFonts w:cstheme="minorHAnsi"/>
              </w:rPr>
              <w:t>71.8</w:t>
            </w:r>
          </w:p>
        </w:tc>
      </w:tr>
      <w:tr w:rsidR="00055125" w:rsidRPr="0080495D" w14:paraId="5B3B34AE" w14:textId="77777777" w:rsidTr="00870149">
        <w:tc>
          <w:tcPr>
            <w:tcW w:w="3096" w:type="dxa"/>
          </w:tcPr>
          <w:p w14:paraId="09793D81" w14:textId="77777777" w:rsidR="00055125" w:rsidRPr="00575E08" w:rsidRDefault="00055125" w:rsidP="00CF6797">
            <w:pPr>
              <w:pStyle w:val="TableTextIndented"/>
              <w:rPr>
                <w:bCs/>
                <w:i/>
                <w:iCs/>
                <w:color w:val="002C47" w:themeColor="accent1"/>
              </w:rPr>
            </w:pPr>
            <w:r w:rsidRPr="00575E08">
              <w:rPr>
                <w:i/>
                <w:iCs/>
                <w:color w:val="002C47" w:themeColor="accent1"/>
              </w:rPr>
              <w:t>Rest of Victoria</w:t>
            </w:r>
          </w:p>
        </w:tc>
        <w:tc>
          <w:tcPr>
            <w:tcW w:w="996" w:type="dxa"/>
            <w:tcBorders>
              <w:top w:val="nil"/>
              <w:left w:val="nil"/>
              <w:bottom w:val="nil"/>
              <w:right w:val="nil"/>
            </w:tcBorders>
          </w:tcPr>
          <w:p w14:paraId="0B39462C" w14:textId="250038E3" w:rsidR="00055125" w:rsidRPr="00E20618" w:rsidRDefault="00055125"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2F45C453" w14:textId="6CA2F682" w:rsidR="00055125" w:rsidRPr="00E20618" w:rsidRDefault="00055125" w:rsidP="000649FA">
            <w:pPr>
              <w:pStyle w:val="TableTextLeft"/>
              <w:jc w:val="right"/>
            </w:pPr>
            <w:r w:rsidRPr="00E20618">
              <w:rPr>
                <w:rFonts w:cstheme="minorHAnsi"/>
              </w:rPr>
              <w:t>4.4</w:t>
            </w:r>
          </w:p>
        </w:tc>
        <w:tc>
          <w:tcPr>
            <w:tcW w:w="996" w:type="dxa"/>
            <w:tcBorders>
              <w:top w:val="nil"/>
              <w:left w:val="nil"/>
              <w:bottom w:val="nil"/>
              <w:right w:val="nil"/>
            </w:tcBorders>
          </w:tcPr>
          <w:p w14:paraId="228982CA" w14:textId="6BE5B7EA" w:rsidR="00055125" w:rsidRPr="00E20618" w:rsidRDefault="00055125" w:rsidP="000649FA">
            <w:pPr>
              <w:pStyle w:val="TableTextLeft"/>
              <w:jc w:val="right"/>
            </w:pPr>
            <w:r w:rsidRPr="00E20618">
              <w:rPr>
                <w:rFonts w:cstheme="minorHAnsi"/>
              </w:rPr>
              <w:t>6.6</w:t>
            </w:r>
          </w:p>
        </w:tc>
        <w:tc>
          <w:tcPr>
            <w:tcW w:w="996" w:type="dxa"/>
            <w:tcBorders>
              <w:top w:val="nil"/>
              <w:left w:val="nil"/>
              <w:bottom w:val="nil"/>
              <w:right w:val="nil"/>
            </w:tcBorders>
          </w:tcPr>
          <w:p w14:paraId="106B42AC" w14:textId="754F7388" w:rsidR="00055125" w:rsidRPr="00E20618" w:rsidRDefault="00055125" w:rsidP="000649FA">
            <w:pPr>
              <w:pStyle w:val="TableTextLeft"/>
              <w:jc w:val="right"/>
            </w:pPr>
            <w:r w:rsidRPr="00E20618">
              <w:rPr>
                <w:rFonts w:cstheme="minorHAnsi"/>
              </w:rPr>
              <w:t>7</w:t>
            </w:r>
          </w:p>
        </w:tc>
        <w:tc>
          <w:tcPr>
            <w:tcW w:w="996" w:type="dxa"/>
            <w:tcBorders>
              <w:top w:val="nil"/>
              <w:left w:val="nil"/>
              <w:bottom w:val="nil"/>
              <w:right w:val="single" w:sz="4" w:space="0" w:color="auto"/>
            </w:tcBorders>
          </w:tcPr>
          <w:p w14:paraId="7DE9784D" w14:textId="7B4BD67B" w:rsidR="00055125" w:rsidRPr="00E20618" w:rsidRDefault="00055125" w:rsidP="000649FA">
            <w:pPr>
              <w:pStyle w:val="TableTextLeft"/>
              <w:jc w:val="right"/>
            </w:pPr>
            <w:r w:rsidRPr="00E20618">
              <w:rPr>
                <w:rFonts w:cstheme="minorHAnsi"/>
              </w:rPr>
              <w:t>6.8</w:t>
            </w:r>
          </w:p>
        </w:tc>
        <w:tc>
          <w:tcPr>
            <w:tcW w:w="996" w:type="dxa"/>
            <w:tcBorders>
              <w:top w:val="nil"/>
              <w:left w:val="single" w:sz="4" w:space="0" w:color="auto"/>
              <w:bottom w:val="nil"/>
              <w:right w:val="nil"/>
            </w:tcBorders>
          </w:tcPr>
          <w:p w14:paraId="00B92E8B" w14:textId="159670DE" w:rsidR="00055125" w:rsidRPr="00E20618" w:rsidRDefault="00055125" w:rsidP="000649FA">
            <w:pPr>
              <w:pStyle w:val="TableTextLeft"/>
              <w:jc w:val="right"/>
            </w:pPr>
            <w:r w:rsidRPr="00E20618">
              <w:rPr>
                <w:rFonts w:cstheme="minorHAnsi"/>
              </w:rPr>
              <w:t>7</w:t>
            </w:r>
          </w:p>
        </w:tc>
      </w:tr>
      <w:tr w:rsidR="00055125" w:rsidRPr="0080495D" w14:paraId="3F8F5EB9" w14:textId="77777777" w:rsidTr="00870149">
        <w:tc>
          <w:tcPr>
            <w:tcW w:w="3096" w:type="dxa"/>
          </w:tcPr>
          <w:p w14:paraId="0960DB2C" w14:textId="77777777" w:rsidR="00055125" w:rsidRPr="00363EFE" w:rsidRDefault="00055125"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63C4CB66" w14:textId="77777777" w:rsidR="00055125" w:rsidRPr="00E20618" w:rsidRDefault="00055125" w:rsidP="000649FA">
            <w:pPr>
              <w:pStyle w:val="TableTextLeft"/>
              <w:jc w:val="right"/>
            </w:pPr>
          </w:p>
        </w:tc>
        <w:tc>
          <w:tcPr>
            <w:tcW w:w="996" w:type="dxa"/>
            <w:tcBorders>
              <w:top w:val="nil"/>
              <w:left w:val="nil"/>
              <w:bottom w:val="nil"/>
              <w:right w:val="nil"/>
            </w:tcBorders>
            <w:shd w:val="clear" w:color="auto" w:fill="D2EDFF" w:themeFill="accent1" w:themeFillTint="1A"/>
          </w:tcPr>
          <w:p w14:paraId="0FBBEC89" w14:textId="77777777" w:rsidR="00055125" w:rsidRPr="00E20618" w:rsidRDefault="00055125" w:rsidP="000649FA">
            <w:pPr>
              <w:pStyle w:val="TableTextLeft"/>
              <w:jc w:val="right"/>
            </w:pPr>
          </w:p>
        </w:tc>
        <w:tc>
          <w:tcPr>
            <w:tcW w:w="996" w:type="dxa"/>
            <w:tcBorders>
              <w:top w:val="nil"/>
              <w:left w:val="nil"/>
              <w:bottom w:val="nil"/>
              <w:right w:val="nil"/>
            </w:tcBorders>
          </w:tcPr>
          <w:p w14:paraId="376E0D80" w14:textId="77777777" w:rsidR="00055125" w:rsidRPr="00E20618" w:rsidRDefault="00055125" w:rsidP="000649FA">
            <w:pPr>
              <w:pStyle w:val="TableTextLeft"/>
              <w:jc w:val="right"/>
            </w:pPr>
          </w:p>
        </w:tc>
        <w:tc>
          <w:tcPr>
            <w:tcW w:w="996" w:type="dxa"/>
            <w:tcBorders>
              <w:top w:val="nil"/>
              <w:left w:val="nil"/>
              <w:bottom w:val="nil"/>
              <w:right w:val="nil"/>
            </w:tcBorders>
          </w:tcPr>
          <w:p w14:paraId="1408B727" w14:textId="77777777" w:rsidR="00055125" w:rsidRPr="00E20618" w:rsidRDefault="00055125" w:rsidP="000649FA">
            <w:pPr>
              <w:pStyle w:val="TableTextLeft"/>
              <w:jc w:val="right"/>
            </w:pPr>
          </w:p>
        </w:tc>
        <w:tc>
          <w:tcPr>
            <w:tcW w:w="996" w:type="dxa"/>
            <w:tcBorders>
              <w:top w:val="nil"/>
              <w:left w:val="nil"/>
              <w:bottom w:val="nil"/>
              <w:right w:val="single" w:sz="4" w:space="0" w:color="auto"/>
            </w:tcBorders>
          </w:tcPr>
          <w:p w14:paraId="2D6709DE" w14:textId="77777777" w:rsidR="00055125" w:rsidRPr="00E20618" w:rsidRDefault="00055125" w:rsidP="000649FA">
            <w:pPr>
              <w:pStyle w:val="TableTextLeft"/>
              <w:jc w:val="right"/>
            </w:pPr>
          </w:p>
        </w:tc>
        <w:tc>
          <w:tcPr>
            <w:tcW w:w="996" w:type="dxa"/>
            <w:tcBorders>
              <w:top w:val="nil"/>
              <w:left w:val="single" w:sz="4" w:space="0" w:color="auto"/>
              <w:bottom w:val="nil"/>
              <w:right w:val="nil"/>
            </w:tcBorders>
          </w:tcPr>
          <w:p w14:paraId="64F2540D" w14:textId="77777777" w:rsidR="00055125" w:rsidRPr="00E20618" w:rsidRDefault="00055125" w:rsidP="000649FA">
            <w:pPr>
              <w:pStyle w:val="TableTextLeft"/>
              <w:jc w:val="right"/>
            </w:pPr>
          </w:p>
        </w:tc>
      </w:tr>
      <w:tr w:rsidR="00055125" w:rsidRPr="0080495D" w14:paraId="40DE867B" w14:textId="77777777" w:rsidTr="00870149">
        <w:tc>
          <w:tcPr>
            <w:tcW w:w="3096" w:type="dxa"/>
          </w:tcPr>
          <w:p w14:paraId="7A31BD8A" w14:textId="77777777" w:rsidR="00055125" w:rsidRPr="00363EFE" w:rsidRDefault="00055125" w:rsidP="00CF6797">
            <w:pPr>
              <w:pStyle w:val="TableTextLeft"/>
              <w:rPr>
                <w:bCs/>
                <w:color w:val="002C47" w:themeColor="accent1"/>
              </w:rPr>
            </w:pPr>
            <w:r w:rsidRPr="00363EFE">
              <w:rPr>
                <w:color w:val="002C47" w:themeColor="accent1"/>
              </w:rPr>
              <w:t>Victoria</w:t>
            </w:r>
          </w:p>
        </w:tc>
        <w:tc>
          <w:tcPr>
            <w:tcW w:w="996" w:type="dxa"/>
            <w:tcBorders>
              <w:top w:val="nil"/>
              <w:left w:val="nil"/>
              <w:bottom w:val="nil"/>
              <w:right w:val="nil"/>
            </w:tcBorders>
          </w:tcPr>
          <w:p w14:paraId="61414B45" w14:textId="625CBA0B" w:rsidR="00055125" w:rsidRPr="00E20618" w:rsidRDefault="00055125" w:rsidP="000649FA">
            <w:pPr>
              <w:pStyle w:val="TableTextLeft"/>
              <w:jc w:val="right"/>
            </w:pPr>
            <w:r w:rsidRPr="00E20618">
              <w:rPr>
                <w:rFonts w:cstheme="minorHAnsi"/>
              </w:rPr>
              <w:t>-18.3</w:t>
            </w:r>
          </w:p>
        </w:tc>
        <w:tc>
          <w:tcPr>
            <w:tcW w:w="996" w:type="dxa"/>
            <w:tcBorders>
              <w:top w:val="nil"/>
              <w:left w:val="nil"/>
              <w:bottom w:val="nil"/>
              <w:right w:val="nil"/>
            </w:tcBorders>
            <w:shd w:val="clear" w:color="auto" w:fill="D2EDFF" w:themeFill="accent1" w:themeFillTint="1A"/>
          </w:tcPr>
          <w:p w14:paraId="20F184E3" w14:textId="101CC5DE" w:rsidR="00055125" w:rsidRPr="00E20618" w:rsidRDefault="00055125" w:rsidP="000649FA">
            <w:pPr>
              <w:pStyle w:val="TableTextLeft"/>
              <w:jc w:val="right"/>
            </w:pPr>
            <w:r w:rsidRPr="00E20618">
              <w:rPr>
                <w:rFonts w:cstheme="minorHAnsi"/>
              </w:rPr>
              <w:t>-16.6</w:t>
            </w:r>
          </w:p>
        </w:tc>
        <w:tc>
          <w:tcPr>
            <w:tcW w:w="996" w:type="dxa"/>
            <w:tcBorders>
              <w:top w:val="nil"/>
              <w:left w:val="nil"/>
              <w:bottom w:val="nil"/>
              <w:right w:val="nil"/>
            </w:tcBorders>
          </w:tcPr>
          <w:p w14:paraId="6C83C4BD" w14:textId="3053D77E" w:rsidR="00055125" w:rsidRPr="00E20618" w:rsidRDefault="00055125" w:rsidP="000649FA">
            <w:pPr>
              <w:pStyle w:val="TableTextLeft"/>
              <w:jc w:val="right"/>
            </w:pPr>
            <w:r w:rsidRPr="00E20618">
              <w:rPr>
                <w:rFonts w:cstheme="minorHAnsi"/>
              </w:rPr>
              <w:t>-6.4</w:t>
            </w:r>
          </w:p>
        </w:tc>
        <w:tc>
          <w:tcPr>
            <w:tcW w:w="996" w:type="dxa"/>
            <w:tcBorders>
              <w:top w:val="nil"/>
              <w:left w:val="nil"/>
              <w:bottom w:val="nil"/>
              <w:right w:val="nil"/>
            </w:tcBorders>
          </w:tcPr>
          <w:p w14:paraId="161F836B" w14:textId="68B79C57"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single" w:sz="4" w:space="0" w:color="auto"/>
            </w:tcBorders>
          </w:tcPr>
          <w:p w14:paraId="520163FB" w14:textId="76F9E9A9" w:rsidR="00055125" w:rsidRPr="00E20618" w:rsidRDefault="00055125"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1A65724C" w14:textId="66DBE293" w:rsidR="00055125" w:rsidRPr="00E20618" w:rsidRDefault="00055125" w:rsidP="000649FA">
            <w:pPr>
              <w:pStyle w:val="TableTextLeft"/>
              <w:jc w:val="right"/>
            </w:pPr>
            <w:r w:rsidRPr="00E20618">
              <w:rPr>
                <w:rFonts w:cstheme="minorHAnsi"/>
              </w:rPr>
              <w:t>0.7</w:t>
            </w:r>
          </w:p>
        </w:tc>
      </w:tr>
      <w:tr w:rsidR="00055125" w:rsidRPr="0080495D" w14:paraId="5BAB3BB3" w14:textId="77777777" w:rsidTr="00870149">
        <w:tc>
          <w:tcPr>
            <w:tcW w:w="3096" w:type="dxa"/>
          </w:tcPr>
          <w:p w14:paraId="33D9F15B" w14:textId="77777777" w:rsidR="00055125" w:rsidRPr="00575E08" w:rsidRDefault="00055125" w:rsidP="00CF6797">
            <w:pPr>
              <w:pStyle w:val="TableTextIndented"/>
              <w:rPr>
                <w:bCs/>
                <w:i/>
                <w:iCs/>
                <w:color w:val="002C47" w:themeColor="accent1"/>
              </w:rPr>
            </w:pPr>
            <w:r w:rsidRPr="00575E08">
              <w:rPr>
                <w:i/>
                <w:iCs/>
                <w:color w:val="002C47" w:themeColor="accent1"/>
              </w:rPr>
              <w:t xml:space="preserve">Greater Melbourne </w:t>
            </w:r>
          </w:p>
        </w:tc>
        <w:tc>
          <w:tcPr>
            <w:tcW w:w="996" w:type="dxa"/>
            <w:tcBorders>
              <w:top w:val="nil"/>
              <w:left w:val="nil"/>
              <w:bottom w:val="nil"/>
              <w:right w:val="nil"/>
            </w:tcBorders>
          </w:tcPr>
          <w:p w14:paraId="4B0CED46" w14:textId="60438A88" w:rsidR="00055125" w:rsidRPr="00E20618" w:rsidRDefault="00055125" w:rsidP="000649FA">
            <w:pPr>
              <w:pStyle w:val="TableTextLeft"/>
              <w:jc w:val="right"/>
            </w:pPr>
            <w:r w:rsidRPr="00E20618">
              <w:rPr>
                <w:rFonts w:cstheme="minorHAnsi"/>
              </w:rPr>
              <w:t>-33.5</w:t>
            </w:r>
          </w:p>
        </w:tc>
        <w:tc>
          <w:tcPr>
            <w:tcW w:w="996" w:type="dxa"/>
            <w:tcBorders>
              <w:top w:val="nil"/>
              <w:left w:val="nil"/>
              <w:bottom w:val="nil"/>
              <w:right w:val="nil"/>
            </w:tcBorders>
            <w:shd w:val="clear" w:color="auto" w:fill="D2EDFF" w:themeFill="accent1" w:themeFillTint="1A"/>
          </w:tcPr>
          <w:p w14:paraId="49F77FA1" w14:textId="4E6C3932" w:rsidR="00055125" w:rsidRPr="00E20618" w:rsidRDefault="00055125" w:rsidP="000649FA">
            <w:pPr>
              <w:pStyle w:val="TableTextLeft"/>
              <w:jc w:val="right"/>
            </w:pPr>
            <w:r w:rsidRPr="00E20618">
              <w:rPr>
                <w:rFonts w:cstheme="minorHAnsi"/>
              </w:rPr>
              <w:t>-28.9</w:t>
            </w:r>
          </w:p>
        </w:tc>
        <w:tc>
          <w:tcPr>
            <w:tcW w:w="996" w:type="dxa"/>
            <w:tcBorders>
              <w:top w:val="nil"/>
              <w:left w:val="nil"/>
              <w:bottom w:val="nil"/>
              <w:right w:val="nil"/>
            </w:tcBorders>
          </w:tcPr>
          <w:p w14:paraId="36E81E3A" w14:textId="7507C29F" w:rsidR="00055125" w:rsidRPr="00E20618" w:rsidRDefault="00055125" w:rsidP="000649FA">
            <w:pPr>
              <w:pStyle w:val="TableTextLeft"/>
              <w:jc w:val="right"/>
            </w:pPr>
            <w:r w:rsidRPr="00E20618">
              <w:rPr>
                <w:rFonts w:cstheme="minorHAnsi"/>
              </w:rPr>
              <w:t>-15.1</w:t>
            </w:r>
          </w:p>
        </w:tc>
        <w:tc>
          <w:tcPr>
            <w:tcW w:w="996" w:type="dxa"/>
            <w:tcBorders>
              <w:top w:val="nil"/>
              <w:left w:val="nil"/>
              <w:bottom w:val="nil"/>
              <w:right w:val="nil"/>
            </w:tcBorders>
          </w:tcPr>
          <w:p w14:paraId="01DC6FA4" w14:textId="47E5A91E" w:rsidR="00055125" w:rsidRPr="00E20618" w:rsidRDefault="00055125" w:rsidP="000649FA">
            <w:pPr>
              <w:pStyle w:val="TableTextLeft"/>
              <w:jc w:val="right"/>
            </w:pPr>
            <w:r w:rsidRPr="00E20618">
              <w:rPr>
                <w:rFonts w:cstheme="minorHAnsi"/>
              </w:rPr>
              <w:t>-3.1</w:t>
            </w:r>
          </w:p>
        </w:tc>
        <w:tc>
          <w:tcPr>
            <w:tcW w:w="996" w:type="dxa"/>
            <w:tcBorders>
              <w:top w:val="nil"/>
              <w:left w:val="nil"/>
              <w:bottom w:val="nil"/>
              <w:right w:val="single" w:sz="4" w:space="0" w:color="auto"/>
            </w:tcBorders>
          </w:tcPr>
          <w:p w14:paraId="00B38E85" w14:textId="1D54998C" w:rsidR="00055125" w:rsidRPr="00E20618" w:rsidRDefault="00055125" w:rsidP="000649FA">
            <w:pPr>
              <w:pStyle w:val="TableTextLeft"/>
              <w:jc w:val="right"/>
            </w:pPr>
            <w:r w:rsidRPr="00E20618">
              <w:rPr>
                <w:rFonts w:cstheme="minorHAnsi"/>
              </w:rPr>
              <w:t>-4</w:t>
            </w:r>
          </w:p>
        </w:tc>
        <w:tc>
          <w:tcPr>
            <w:tcW w:w="996" w:type="dxa"/>
            <w:tcBorders>
              <w:top w:val="nil"/>
              <w:left w:val="single" w:sz="4" w:space="0" w:color="auto"/>
              <w:bottom w:val="nil"/>
              <w:right w:val="nil"/>
            </w:tcBorders>
          </w:tcPr>
          <w:p w14:paraId="036F30AE" w14:textId="1CB88751" w:rsidR="00055125" w:rsidRPr="00E20618" w:rsidRDefault="00055125" w:rsidP="000649FA">
            <w:pPr>
              <w:pStyle w:val="TableTextLeft"/>
              <w:jc w:val="right"/>
            </w:pPr>
            <w:r w:rsidRPr="00E20618">
              <w:rPr>
                <w:rFonts w:cstheme="minorHAnsi"/>
              </w:rPr>
              <w:t>-11</w:t>
            </w:r>
          </w:p>
        </w:tc>
      </w:tr>
      <w:tr w:rsidR="00055125" w:rsidRPr="0080495D" w14:paraId="0666FA5C" w14:textId="77777777" w:rsidTr="00870149">
        <w:tc>
          <w:tcPr>
            <w:tcW w:w="3096" w:type="dxa"/>
            <w:tcBorders>
              <w:bottom w:val="single" w:sz="4" w:space="0" w:color="auto"/>
            </w:tcBorders>
          </w:tcPr>
          <w:p w14:paraId="531E2D74" w14:textId="77777777" w:rsidR="00055125" w:rsidRPr="00575E08" w:rsidRDefault="00055125" w:rsidP="00CF6797">
            <w:pPr>
              <w:pStyle w:val="TableTextIndented"/>
              <w:rPr>
                <w:bCs/>
                <w:i/>
                <w:iCs/>
                <w:color w:val="002C47" w:themeColor="accent1"/>
              </w:rPr>
            </w:pPr>
            <w:r w:rsidRPr="00575E08">
              <w:rPr>
                <w:i/>
                <w:iCs/>
                <w:color w:val="002C47" w:themeColor="accent1"/>
              </w:rPr>
              <w:t>Rest of Victoria</w:t>
            </w:r>
          </w:p>
        </w:tc>
        <w:tc>
          <w:tcPr>
            <w:tcW w:w="996" w:type="dxa"/>
            <w:tcBorders>
              <w:top w:val="nil"/>
              <w:left w:val="nil"/>
              <w:bottom w:val="single" w:sz="4" w:space="0" w:color="auto"/>
              <w:right w:val="nil"/>
            </w:tcBorders>
          </w:tcPr>
          <w:p w14:paraId="47C2AEFB" w14:textId="27E765AA" w:rsidR="00055125" w:rsidRPr="00E20618" w:rsidRDefault="00055125" w:rsidP="000649FA">
            <w:pPr>
              <w:pStyle w:val="TableTextLeft"/>
              <w:jc w:val="right"/>
            </w:pPr>
            <w:r w:rsidRPr="00E20618">
              <w:rPr>
                <w:rFonts w:cstheme="minorHAnsi"/>
              </w:rPr>
              <w:t>15.2</w:t>
            </w:r>
          </w:p>
        </w:tc>
        <w:tc>
          <w:tcPr>
            <w:tcW w:w="996" w:type="dxa"/>
            <w:tcBorders>
              <w:top w:val="nil"/>
              <w:left w:val="nil"/>
              <w:bottom w:val="single" w:sz="4" w:space="0" w:color="auto"/>
              <w:right w:val="nil"/>
            </w:tcBorders>
            <w:shd w:val="clear" w:color="auto" w:fill="D2EDFF" w:themeFill="accent1" w:themeFillTint="1A"/>
          </w:tcPr>
          <w:p w14:paraId="12BFA5FC" w14:textId="2BA74A04" w:rsidR="00055125" w:rsidRPr="00E20618" w:rsidRDefault="00055125" w:rsidP="000649FA">
            <w:pPr>
              <w:pStyle w:val="TableTextLeft"/>
              <w:jc w:val="right"/>
            </w:pPr>
            <w:r w:rsidRPr="00E20618">
              <w:rPr>
                <w:rFonts w:cstheme="minorHAnsi"/>
              </w:rPr>
              <w:t>12.3</w:t>
            </w:r>
          </w:p>
        </w:tc>
        <w:tc>
          <w:tcPr>
            <w:tcW w:w="996" w:type="dxa"/>
            <w:tcBorders>
              <w:top w:val="nil"/>
              <w:left w:val="nil"/>
              <w:bottom w:val="single" w:sz="4" w:space="0" w:color="auto"/>
              <w:right w:val="nil"/>
            </w:tcBorders>
          </w:tcPr>
          <w:p w14:paraId="5D4F5D02" w14:textId="6B7276A4" w:rsidR="00055125" w:rsidRPr="00E20618" w:rsidRDefault="00055125" w:rsidP="000649FA">
            <w:pPr>
              <w:pStyle w:val="TableTextLeft"/>
              <w:jc w:val="right"/>
            </w:pPr>
            <w:r w:rsidRPr="00E20618">
              <w:rPr>
                <w:rFonts w:cstheme="minorHAnsi"/>
              </w:rPr>
              <w:t>8.8</w:t>
            </w:r>
          </w:p>
        </w:tc>
        <w:tc>
          <w:tcPr>
            <w:tcW w:w="996" w:type="dxa"/>
            <w:tcBorders>
              <w:top w:val="nil"/>
              <w:left w:val="nil"/>
              <w:bottom w:val="single" w:sz="4" w:space="0" w:color="auto"/>
              <w:right w:val="nil"/>
            </w:tcBorders>
          </w:tcPr>
          <w:p w14:paraId="48AFF2DD" w14:textId="712D3398" w:rsidR="00055125" w:rsidRPr="00E20618" w:rsidRDefault="00055125" w:rsidP="000649FA">
            <w:pPr>
              <w:pStyle w:val="TableTextLeft"/>
              <w:jc w:val="right"/>
            </w:pPr>
            <w:r w:rsidRPr="00E20618">
              <w:rPr>
                <w:rFonts w:cstheme="minorHAnsi"/>
              </w:rPr>
              <w:t>6.8</w:t>
            </w:r>
          </w:p>
        </w:tc>
        <w:tc>
          <w:tcPr>
            <w:tcW w:w="996" w:type="dxa"/>
            <w:tcBorders>
              <w:top w:val="nil"/>
              <w:left w:val="nil"/>
              <w:bottom w:val="single" w:sz="4" w:space="0" w:color="auto"/>
              <w:right w:val="single" w:sz="4" w:space="0" w:color="auto"/>
            </w:tcBorders>
          </w:tcPr>
          <w:p w14:paraId="2104D9A9" w14:textId="0C6BD233" w:rsidR="00055125" w:rsidRPr="00E20618" w:rsidRDefault="00055125" w:rsidP="000649FA">
            <w:pPr>
              <w:pStyle w:val="TableTextLeft"/>
              <w:jc w:val="right"/>
            </w:pPr>
            <w:r w:rsidRPr="00E20618">
              <w:rPr>
                <w:rFonts w:cstheme="minorHAnsi"/>
              </w:rPr>
              <w:t>7.4</w:t>
            </w:r>
          </w:p>
        </w:tc>
        <w:tc>
          <w:tcPr>
            <w:tcW w:w="996" w:type="dxa"/>
            <w:tcBorders>
              <w:top w:val="nil"/>
              <w:left w:val="single" w:sz="4" w:space="0" w:color="auto"/>
              <w:bottom w:val="single" w:sz="4" w:space="0" w:color="auto"/>
              <w:right w:val="nil"/>
            </w:tcBorders>
          </w:tcPr>
          <w:p w14:paraId="521EE5E9" w14:textId="7D38E8CB" w:rsidR="00055125" w:rsidRPr="00E20618" w:rsidRDefault="00055125" w:rsidP="000649FA">
            <w:pPr>
              <w:pStyle w:val="TableTextLeft"/>
              <w:jc w:val="right"/>
            </w:pPr>
            <w:r w:rsidRPr="00E20618">
              <w:rPr>
                <w:rFonts w:cstheme="minorHAnsi"/>
              </w:rPr>
              <w:t>11.7</w:t>
            </w:r>
          </w:p>
        </w:tc>
      </w:tr>
      <w:tr w:rsidR="00055125" w:rsidRPr="0080495D" w14:paraId="663EF7C9" w14:textId="77777777" w:rsidTr="00870149">
        <w:tc>
          <w:tcPr>
            <w:tcW w:w="3096" w:type="dxa"/>
            <w:tcBorders>
              <w:top w:val="single" w:sz="4" w:space="0" w:color="auto"/>
              <w:bottom w:val="nil"/>
            </w:tcBorders>
          </w:tcPr>
          <w:p w14:paraId="379F3F50" w14:textId="77777777" w:rsidR="00055125" w:rsidRPr="00363EFE" w:rsidRDefault="00055125"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734CBA20"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618D4433"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037E4BFF" w14:textId="77777777" w:rsidR="00055125" w:rsidRPr="00E20618" w:rsidRDefault="00055125" w:rsidP="000649FA">
            <w:pPr>
              <w:pStyle w:val="TableTextLeft"/>
              <w:jc w:val="right"/>
            </w:pPr>
          </w:p>
        </w:tc>
        <w:tc>
          <w:tcPr>
            <w:tcW w:w="996" w:type="dxa"/>
            <w:tcBorders>
              <w:top w:val="single" w:sz="4" w:space="0" w:color="auto"/>
              <w:left w:val="nil"/>
              <w:bottom w:val="nil"/>
              <w:right w:val="nil"/>
            </w:tcBorders>
          </w:tcPr>
          <w:p w14:paraId="1F362598" w14:textId="77777777" w:rsidR="00055125" w:rsidRPr="00E20618" w:rsidRDefault="00055125" w:rsidP="000649FA">
            <w:pPr>
              <w:pStyle w:val="TableTextLeft"/>
              <w:jc w:val="right"/>
            </w:pPr>
          </w:p>
        </w:tc>
        <w:tc>
          <w:tcPr>
            <w:tcW w:w="996" w:type="dxa"/>
            <w:tcBorders>
              <w:top w:val="single" w:sz="4" w:space="0" w:color="auto"/>
              <w:left w:val="nil"/>
              <w:bottom w:val="nil"/>
              <w:right w:val="single" w:sz="4" w:space="0" w:color="auto"/>
            </w:tcBorders>
          </w:tcPr>
          <w:p w14:paraId="7B4CF548" w14:textId="77777777" w:rsidR="00055125" w:rsidRPr="00E20618" w:rsidRDefault="00055125" w:rsidP="000649FA">
            <w:pPr>
              <w:pStyle w:val="TableTextLeft"/>
              <w:jc w:val="right"/>
            </w:pPr>
          </w:p>
        </w:tc>
        <w:tc>
          <w:tcPr>
            <w:tcW w:w="996" w:type="dxa"/>
            <w:tcBorders>
              <w:top w:val="single" w:sz="4" w:space="0" w:color="auto"/>
              <w:left w:val="single" w:sz="4" w:space="0" w:color="auto"/>
              <w:bottom w:val="nil"/>
              <w:right w:val="nil"/>
            </w:tcBorders>
          </w:tcPr>
          <w:p w14:paraId="526ACCC8" w14:textId="77777777" w:rsidR="00055125" w:rsidRPr="00E20618" w:rsidRDefault="00055125" w:rsidP="000649FA">
            <w:pPr>
              <w:pStyle w:val="TableTextLeft"/>
              <w:jc w:val="right"/>
            </w:pPr>
          </w:p>
        </w:tc>
      </w:tr>
      <w:tr w:rsidR="00055125" w:rsidRPr="0080495D" w14:paraId="6D003939" w14:textId="77777777" w:rsidTr="00870149">
        <w:tc>
          <w:tcPr>
            <w:tcW w:w="3096" w:type="dxa"/>
            <w:tcBorders>
              <w:bottom w:val="nil"/>
            </w:tcBorders>
          </w:tcPr>
          <w:p w14:paraId="18B4BFC6" w14:textId="77777777" w:rsidR="00055125" w:rsidRPr="00363EFE" w:rsidRDefault="00055125" w:rsidP="00CF6797">
            <w:pPr>
              <w:pStyle w:val="TableTextLeft"/>
              <w:rPr>
                <w:i/>
                <w:iCs/>
                <w:color w:val="002C47" w:themeColor="accent1"/>
              </w:rPr>
            </w:pPr>
            <w:r w:rsidRPr="00363EFE">
              <w:rPr>
                <w:color w:val="002C47" w:themeColor="accent1"/>
              </w:rPr>
              <w:t>Victoria</w:t>
            </w:r>
          </w:p>
        </w:tc>
        <w:tc>
          <w:tcPr>
            <w:tcW w:w="996" w:type="dxa"/>
            <w:tcBorders>
              <w:top w:val="nil"/>
              <w:left w:val="nil"/>
              <w:bottom w:val="nil"/>
              <w:right w:val="nil"/>
            </w:tcBorders>
          </w:tcPr>
          <w:p w14:paraId="692DDC07" w14:textId="58340A02" w:rsidR="00055125" w:rsidRPr="00E20618" w:rsidRDefault="00055125" w:rsidP="000649FA">
            <w:pPr>
              <w:pStyle w:val="TableTextLeft"/>
              <w:jc w:val="right"/>
            </w:pPr>
            <w:r w:rsidRPr="00E20618">
              <w:rPr>
                <w:rFonts w:cstheme="minorHAnsi"/>
              </w:rPr>
              <w:t>37.9</w:t>
            </w:r>
          </w:p>
        </w:tc>
        <w:tc>
          <w:tcPr>
            <w:tcW w:w="996" w:type="dxa"/>
            <w:tcBorders>
              <w:top w:val="nil"/>
              <w:left w:val="nil"/>
              <w:bottom w:val="nil"/>
              <w:right w:val="nil"/>
            </w:tcBorders>
            <w:shd w:val="clear" w:color="auto" w:fill="D2EDFF" w:themeFill="accent1" w:themeFillTint="1A"/>
          </w:tcPr>
          <w:p w14:paraId="1F5EF53A" w14:textId="3799F602" w:rsidR="00055125" w:rsidRPr="00E20618" w:rsidRDefault="00055125" w:rsidP="000649FA">
            <w:pPr>
              <w:pStyle w:val="TableTextLeft"/>
              <w:jc w:val="right"/>
            </w:pPr>
            <w:r w:rsidRPr="00E20618">
              <w:rPr>
                <w:rFonts w:cstheme="minorHAnsi"/>
              </w:rPr>
              <w:t>38.</w:t>
            </w:r>
            <w:r w:rsidR="000B415F" w:rsidRPr="00E20618">
              <w:rPr>
                <w:rFonts w:cstheme="minorHAnsi"/>
              </w:rPr>
              <w:t>2</w:t>
            </w:r>
          </w:p>
        </w:tc>
        <w:tc>
          <w:tcPr>
            <w:tcW w:w="996" w:type="dxa"/>
            <w:tcBorders>
              <w:top w:val="nil"/>
              <w:left w:val="nil"/>
              <w:bottom w:val="nil"/>
              <w:right w:val="nil"/>
            </w:tcBorders>
          </w:tcPr>
          <w:p w14:paraId="18F26F24" w14:textId="3A1CBB64" w:rsidR="00055125" w:rsidRPr="00E20618" w:rsidRDefault="00055125" w:rsidP="000649FA">
            <w:pPr>
              <w:pStyle w:val="TableTextLeft"/>
              <w:jc w:val="right"/>
            </w:pPr>
            <w:r w:rsidRPr="00E20618">
              <w:rPr>
                <w:rFonts w:cstheme="minorHAnsi"/>
              </w:rPr>
              <w:t>38.3</w:t>
            </w:r>
          </w:p>
        </w:tc>
        <w:tc>
          <w:tcPr>
            <w:tcW w:w="996" w:type="dxa"/>
            <w:tcBorders>
              <w:top w:val="nil"/>
              <w:left w:val="nil"/>
              <w:bottom w:val="nil"/>
              <w:right w:val="nil"/>
            </w:tcBorders>
          </w:tcPr>
          <w:p w14:paraId="279E6CFB" w14:textId="71A033A5" w:rsidR="00055125" w:rsidRPr="00E20618" w:rsidRDefault="00055125" w:rsidP="000649FA">
            <w:pPr>
              <w:pStyle w:val="TableTextLeft"/>
              <w:jc w:val="right"/>
            </w:pPr>
            <w:r w:rsidRPr="00E20618">
              <w:rPr>
                <w:rFonts w:cstheme="minorHAnsi"/>
              </w:rPr>
              <w:t>38.4</w:t>
            </w:r>
          </w:p>
        </w:tc>
        <w:tc>
          <w:tcPr>
            <w:tcW w:w="996" w:type="dxa"/>
            <w:tcBorders>
              <w:top w:val="nil"/>
              <w:left w:val="nil"/>
              <w:bottom w:val="nil"/>
              <w:right w:val="single" w:sz="4" w:space="0" w:color="auto"/>
            </w:tcBorders>
          </w:tcPr>
          <w:p w14:paraId="03C795CE" w14:textId="17AD1E67" w:rsidR="00055125" w:rsidRPr="00E20618" w:rsidRDefault="00055125" w:rsidP="000649FA">
            <w:pPr>
              <w:pStyle w:val="TableTextLeft"/>
              <w:jc w:val="right"/>
            </w:pPr>
            <w:r w:rsidRPr="00E20618">
              <w:rPr>
                <w:rFonts w:cstheme="minorHAnsi"/>
              </w:rPr>
              <w:t>38.5</w:t>
            </w:r>
          </w:p>
        </w:tc>
        <w:tc>
          <w:tcPr>
            <w:tcW w:w="996" w:type="dxa"/>
            <w:tcBorders>
              <w:top w:val="nil"/>
              <w:left w:val="single" w:sz="4" w:space="0" w:color="auto"/>
              <w:bottom w:val="nil"/>
              <w:right w:val="nil"/>
            </w:tcBorders>
          </w:tcPr>
          <w:p w14:paraId="1ACAB14B" w14:textId="6AF31A70" w:rsidR="00055125" w:rsidRPr="00E20618" w:rsidRDefault="00055125" w:rsidP="000649FA">
            <w:pPr>
              <w:pStyle w:val="TableTextLeft"/>
              <w:jc w:val="right"/>
            </w:pPr>
            <w:r w:rsidRPr="00E20618">
              <w:rPr>
                <w:rFonts w:cstheme="minorHAnsi"/>
              </w:rPr>
              <w:t>39.4</w:t>
            </w:r>
          </w:p>
        </w:tc>
      </w:tr>
      <w:tr w:rsidR="00055125" w:rsidRPr="0080495D" w14:paraId="3D8FEC2D" w14:textId="77777777" w:rsidTr="00870149">
        <w:tc>
          <w:tcPr>
            <w:tcW w:w="3096" w:type="dxa"/>
            <w:tcBorders>
              <w:bottom w:val="nil"/>
            </w:tcBorders>
          </w:tcPr>
          <w:p w14:paraId="3CA03BA4" w14:textId="77777777" w:rsidR="00055125" w:rsidRPr="00363EFE" w:rsidRDefault="00055125" w:rsidP="00CF6797">
            <w:pPr>
              <w:pStyle w:val="Tabletextleftindent"/>
              <w:rPr>
                <w:color w:val="002C47" w:themeColor="accent1"/>
              </w:rPr>
            </w:pPr>
            <w:r w:rsidRPr="00363EFE">
              <w:rPr>
                <w:color w:val="002C47" w:themeColor="accent1"/>
              </w:rPr>
              <w:t xml:space="preserve">Greater Melbourne </w:t>
            </w:r>
          </w:p>
        </w:tc>
        <w:tc>
          <w:tcPr>
            <w:tcW w:w="996" w:type="dxa"/>
            <w:tcBorders>
              <w:top w:val="nil"/>
              <w:left w:val="nil"/>
              <w:bottom w:val="nil"/>
              <w:right w:val="nil"/>
            </w:tcBorders>
          </w:tcPr>
          <w:p w14:paraId="6A1CC6D6" w14:textId="35FF19D3" w:rsidR="00055125" w:rsidRPr="00E20618" w:rsidRDefault="00055125" w:rsidP="000649FA">
            <w:pPr>
              <w:pStyle w:val="TableTextLeft"/>
              <w:jc w:val="right"/>
            </w:pPr>
            <w:r w:rsidRPr="00E20618">
              <w:rPr>
                <w:rFonts w:cstheme="minorHAnsi"/>
              </w:rPr>
              <w:t>36.8</w:t>
            </w:r>
          </w:p>
        </w:tc>
        <w:tc>
          <w:tcPr>
            <w:tcW w:w="996" w:type="dxa"/>
            <w:tcBorders>
              <w:top w:val="nil"/>
              <w:left w:val="nil"/>
              <w:bottom w:val="nil"/>
              <w:right w:val="nil"/>
            </w:tcBorders>
            <w:shd w:val="clear" w:color="auto" w:fill="D2EDFF" w:themeFill="accent1" w:themeFillTint="1A"/>
          </w:tcPr>
          <w:p w14:paraId="6D04EBC9" w14:textId="75B18E20" w:rsidR="00055125" w:rsidRPr="00E20618" w:rsidRDefault="00055125" w:rsidP="000649FA">
            <w:pPr>
              <w:pStyle w:val="TableTextLeft"/>
              <w:jc w:val="right"/>
            </w:pPr>
            <w:r w:rsidRPr="00E20618">
              <w:rPr>
                <w:rFonts w:cstheme="minorHAnsi"/>
              </w:rPr>
              <w:t>37</w:t>
            </w:r>
          </w:p>
        </w:tc>
        <w:tc>
          <w:tcPr>
            <w:tcW w:w="996" w:type="dxa"/>
            <w:tcBorders>
              <w:top w:val="nil"/>
              <w:left w:val="nil"/>
              <w:bottom w:val="nil"/>
              <w:right w:val="nil"/>
            </w:tcBorders>
          </w:tcPr>
          <w:p w14:paraId="70D67B5F" w14:textId="017A5C6E"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nil"/>
            </w:tcBorders>
          </w:tcPr>
          <w:p w14:paraId="6F47E75E" w14:textId="6BB014DE" w:rsidR="00055125" w:rsidRPr="00E20618" w:rsidRDefault="00055125" w:rsidP="000649FA">
            <w:pPr>
              <w:pStyle w:val="TableTextLeft"/>
              <w:jc w:val="right"/>
            </w:pPr>
            <w:r w:rsidRPr="00E20618">
              <w:rPr>
                <w:rFonts w:cstheme="minorHAnsi"/>
              </w:rPr>
              <w:t>37.1</w:t>
            </w:r>
          </w:p>
        </w:tc>
        <w:tc>
          <w:tcPr>
            <w:tcW w:w="996" w:type="dxa"/>
            <w:tcBorders>
              <w:top w:val="nil"/>
              <w:left w:val="nil"/>
              <w:bottom w:val="nil"/>
              <w:right w:val="single" w:sz="4" w:space="0" w:color="auto"/>
            </w:tcBorders>
          </w:tcPr>
          <w:p w14:paraId="3483E4BB" w14:textId="5037AF07" w:rsidR="00055125" w:rsidRPr="00E20618" w:rsidRDefault="00055125" w:rsidP="000649FA">
            <w:pPr>
              <w:pStyle w:val="TableTextLeft"/>
              <w:jc w:val="right"/>
            </w:pPr>
            <w:r w:rsidRPr="00E20618">
              <w:rPr>
                <w:rFonts w:cstheme="minorHAnsi"/>
              </w:rPr>
              <w:t>37.2</w:t>
            </w:r>
          </w:p>
        </w:tc>
        <w:tc>
          <w:tcPr>
            <w:tcW w:w="996" w:type="dxa"/>
            <w:tcBorders>
              <w:top w:val="nil"/>
              <w:left w:val="single" w:sz="4" w:space="0" w:color="auto"/>
              <w:bottom w:val="nil"/>
              <w:right w:val="nil"/>
            </w:tcBorders>
          </w:tcPr>
          <w:p w14:paraId="42EA9CD8" w14:textId="2B5F31EF" w:rsidR="00055125" w:rsidRPr="00E20618" w:rsidRDefault="00055125" w:rsidP="000649FA">
            <w:pPr>
              <w:pStyle w:val="TableTextLeft"/>
              <w:jc w:val="right"/>
            </w:pPr>
            <w:r w:rsidRPr="00E20618">
              <w:rPr>
                <w:rFonts w:cstheme="minorHAnsi"/>
              </w:rPr>
              <w:t>37.8</w:t>
            </w:r>
          </w:p>
        </w:tc>
      </w:tr>
      <w:tr w:rsidR="00055125" w:rsidRPr="0080495D" w14:paraId="7CC3029E" w14:textId="77777777" w:rsidTr="00870149">
        <w:tc>
          <w:tcPr>
            <w:tcW w:w="3096" w:type="dxa"/>
            <w:tcBorders>
              <w:bottom w:val="single" w:sz="4" w:space="0" w:color="auto"/>
            </w:tcBorders>
          </w:tcPr>
          <w:p w14:paraId="55644ECA" w14:textId="77777777" w:rsidR="00055125" w:rsidRPr="00363EFE" w:rsidRDefault="00055125" w:rsidP="00CF6797">
            <w:pPr>
              <w:pStyle w:val="Tabletextleftindent"/>
              <w:rPr>
                <w:color w:val="002C47" w:themeColor="accent1"/>
              </w:rPr>
            </w:pPr>
            <w:r w:rsidRPr="00363EFE">
              <w:rPr>
                <w:color w:val="002C47" w:themeColor="accent1"/>
              </w:rPr>
              <w:t>Rest of Victoria</w:t>
            </w:r>
          </w:p>
        </w:tc>
        <w:tc>
          <w:tcPr>
            <w:tcW w:w="996" w:type="dxa"/>
            <w:tcBorders>
              <w:top w:val="nil"/>
              <w:left w:val="nil"/>
              <w:bottom w:val="single" w:sz="4" w:space="0" w:color="auto"/>
              <w:right w:val="nil"/>
            </w:tcBorders>
          </w:tcPr>
          <w:p w14:paraId="042F906D" w14:textId="17D84A7F" w:rsidR="00055125" w:rsidRPr="00E20618" w:rsidRDefault="00055125" w:rsidP="000649FA">
            <w:pPr>
              <w:pStyle w:val="TableTextLeft"/>
              <w:jc w:val="right"/>
            </w:pPr>
            <w:r w:rsidRPr="00E20618">
              <w:rPr>
                <w:rFonts w:cstheme="minorHAnsi"/>
              </w:rPr>
              <w:t>43</w:t>
            </w:r>
          </w:p>
        </w:tc>
        <w:tc>
          <w:tcPr>
            <w:tcW w:w="996" w:type="dxa"/>
            <w:tcBorders>
              <w:top w:val="nil"/>
              <w:left w:val="nil"/>
              <w:bottom w:val="single" w:sz="4" w:space="0" w:color="auto"/>
              <w:right w:val="nil"/>
            </w:tcBorders>
            <w:shd w:val="clear" w:color="auto" w:fill="D2EDFF" w:themeFill="accent1" w:themeFillTint="1A"/>
          </w:tcPr>
          <w:p w14:paraId="2FC44E6F" w14:textId="4C56B9E0" w:rsidR="00055125" w:rsidRPr="00E20618" w:rsidRDefault="00055125" w:rsidP="000649FA">
            <w:pPr>
              <w:pStyle w:val="TableTextLeft"/>
              <w:jc w:val="right"/>
            </w:pPr>
            <w:r w:rsidRPr="00E20618">
              <w:rPr>
                <w:rFonts w:cstheme="minorHAnsi"/>
              </w:rPr>
              <w:t>43.3</w:t>
            </w:r>
          </w:p>
        </w:tc>
        <w:tc>
          <w:tcPr>
            <w:tcW w:w="996" w:type="dxa"/>
            <w:tcBorders>
              <w:top w:val="nil"/>
              <w:left w:val="nil"/>
              <w:bottom w:val="single" w:sz="4" w:space="0" w:color="auto"/>
              <w:right w:val="nil"/>
            </w:tcBorders>
          </w:tcPr>
          <w:p w14:paraId="1901D1F1" w14:textId="5BF0761E" w:rsidR="00055125" w:rsidRPr="00E20618" w:rsidRDefault="00055125" w:rsidP="000649FA">
            <w:pPr>
              <w:pStyle w:val="TableTextLeft"/>
              <w:jc w:val="right"/>
            </w:pPr>
            <w:r w:rsidRPr="00E20618">
              <w:rPr>
                <w:rFonts w:cstheme="minorHAnsi"/>
              </w:rPr>
              <w:t>43.5</w:t>
            </w:r>
          </w:p>
        </w:tc>
        <w:tc>
          <w:tcPr>
            <w:tcW w:w="996" w:type="dxa"/>
            <w:tcBorders>
              <w:top w:val="nil"/>
              <w:left w:val="nil"/>
              <w:bottom w:val="single" w:sz="4" w:space="0" w:color="auto"/>
              <w:right w:val="nil"/>
            </w:tcBorders>
          </w:tcPr>
          <w:p w14:paraId="75DFC751" w14:textId="4681AA89" w:rsidR="00055125" w:rsidRPr="00E20618" w:rsidRDefault="00055125" w:rsidP="000649FA">
            <w:pPr>
              <w:pStyle w:val="TableTextLeft"/>
              <w:jc w:val="right"/>
            </w:pPr>
            <w:r w:rsidRPr="00E20618">
              <w:rPr>
                <w:rFonts w:cstheme="minorHAnsi"/>
              </w:rPr>
              <w:t>43.7</w:t>
            </w:r>
          </w:p>
        </w:tc>
        <w:tc>
          <w:tcPr>
            <w:tcW w:w="996" w:type="dxa"/>
            <w:tcBorders>
              <w:top w:val="nil"/>
              <w:left w:val="nil"/>
              <w:bottom w:val="single" w:sz="4" w:space="0" w:color="auto"/>
              <w:right w:val="single" w:sz="4" w:space="0" w:color="auto"/>
            </w:tcBorders>
          </w:tcPr>
          <w:p w14:paraId="24EE542E" w14:textId="58429A99" w:rsidR="00055125" w:rsidRPr="00E20618" w:rsidRDefault="00055125" w:rsidP="000649FA">
            <w:pPr>
              <w:pStyle w:val="TableTextLeft"/>
              <w:jc w:val="right"/>
            </w:pPr>
            <w:r w:rsidRPr="00E20618">
              <w:rPr>
                <w:rFonts w:cstheme="minorHAnsi"/>
              </w:rPr>
              <w:t>44</w:t>
            </w:r>
          </w:p>
        </w:tc>
        <w:tc>
          <w:tcPr>
            <w:tcW w:w="996" w:type="dxa"/>
            <w:tcBorders>
              <w:top w:val="nil"/>
              <w:left w:val="single" w:sz="4" w:space="0" w:color="auto"/>
              <w:bottom w:val="single" w:sz="4" w:space="0" w:color="auto"/>
              <w:right w:val="nil"/>
            </w:tcBorders>
          </w:tcPr>
          <w:p w14:paraId="662035F6" w14:textId="28E784C4" w:rsidR="00055125" w:rsidRPr="00E20618" w:rsidRDefault="00055125" w:rsidP="000649FA">
            <w:pPr>
              <w:pStyle w:val="TableTextLeft"/>
              <w:jc w:val="right"/>
            </w:pPr>
            <w:r w:rsidRPr="00E20618">
              <w:rPr>
                <w:rFonts w:cstheme="minorHAnsi"/>
              </w:rPr>
              <w:t>46</w:t>
            </w:r>
          </w:p>
        </w:tc>
      </w:tr>
    </w:tbl>
    <w:p w14:paraId="604868F3" w14:textId="2788F4FF" w:rsidR="00CD158B" w:rsidRPr="00EA3637" w:rsidRDefault="00CD158B" w:rsidP="00CD158B">
      <w:pPr>
        <w:pStyle w:val="Source"/>
      </w:pPr>
      <w:r w:rsidRPr="0080495D">
        <w:t xml:space="preserve">Source: </w:t>
      </w:r>
      <w:r w:rsidR="00553557">
        <w:rPr>
          <w:noProof/>
        </w:rPr>
        <w:t>Australian Bureau of Statistics, National, state and territory population, March 2022, 2022</w:t>
      </w:r>
      <w:r w:rsidR="00837FB0">
        <w:t>;</w:t>
      </w:r>
      <w:r w:rsidRPr="0080495D">
        <w:t xml:space="preserve"> </w:t>
      </w:r>
      <w:r w:rsidR="00553557">
        <w:rPr>
          <w:noProof/>
        </w:rPr>
        <w:t>Australian Bureau of Statistics, Regional population, 2022</w:t>
      </w:r>
      <w:r w:rsidRPr="0080495D">
        <w:t xml:space="preserve"> and Centre for Population projections.</w:t>
      </w:r>
    </w:p>
    <w:p w14:paraId="4506DD36" w14:textId="77777777" w:rsidR="00CD158B" w:rsidRDefault="00CD158B" w:rsidP="007D55C1"/>
    <w:p w14:paraId="29E28571" w14:textId="1FE9AF3E" w:rsidR="00CF6797" w:rsidRDefault="00CF6797">
      <w:pPr>
        <w:spacing w:before="0" w:after="160" w:line="259" w:lineRule="auto"/>
      </w:pPr>
      <w:r>
        <w:br w:type="page"/>
      </w:r>
    </w:p>
    <w:p w14:paraId="0B36CDC8" w14:textId="7CCCBB6A" w:rsidR="00044410" w:rsidRDefault="00472C9A" w:rsidP="0039767A">
      <w:pPr>
        <w:pStyle w:val="Heading2Numbered"/>
      </w:pPr>
      <w:bookmarkStart w:id="155" w:name="_Toc122618377"/>
      <w:r>
        <w:lastRenderedPageBreak/>
        <w:t>Queensland</w:t>
      </w:r>
      <w:bookmarkEnd w:id="155"/>
    </w:p>
    <w:p w14:paraId="149EE90E" w14:textId="7A5FCF1E" w:rsidR="00F167CB" w:rsidRPr="0080495D" w:rsidRDefault="00F167CB" w:rsidP="0039767A">
      <w:bookmarkStart w:id="156" w:name="_Hlk116580987"/>
      <w:r w:rsidRPr="00F167CB">
        <w:t xml:space="preserve">Queensland’s population was 5.2 million on 30 June 2021 and is projected to reach 6.2 million by 2032–33. Queensland’s population growth is underpinned by strong net interstate migration, </w:t>
      </w:r>
      <w:r w:rsidRPr="00F167CB">
        <w:rPr>
          <w:rFonts w:eastAsia="Times New Roman"/>
        </w:rPr>
        <w:t>so was less affected by the drop in overseas migration than the other large states</w:t>
      </w:r>
      <w:r w:rsidRPr="00F167CB">
        <w:t>. Queensland experienced relatively strong population growth of 0.8 per cent in 2020–21. Growth is forecast to recover to 1.7 per cent by 2022–23, before declining to 1.2 per cent in 2032–33 (</w:t>
      </w:r>
      <w:r w:rsidR="002C2CC1">
        <w:t>Chart 29</w:t>
      </w:r>
      <w:r w:rsidRPr="00F167CB">
        <w:t>).</w:t>
      </w:r>
    </w:p>
    <w:p w14:paraId="165B843B" w14:textId="3C056344" w:rsidR="003F4980" w:rsidRPr="0080495D" w:rsidRDefault="003F4980" w:rsidP="0039767A">
      <w:r w:rsidRPr="00200AC2">
        <w:t>Net overseas migration to Queensland is forecast to recover from a low of -1</w:t>
      </w:r>
      <w:r w:rsidR="00A72E6A">
        <w:t>3</w:t>
      </w:r>
      <w:r w:rsidRPr="00200AC2">
        <w:t xml:space="preserve">,000 in 2020–21 to </w:t>
      </w:r>
      <w:r w:rsidR="00A72E6A">
        <w:t>18,0</w:t>
      </w:r>
      <w:r w:rsidRPr="00200AC2">
        <w:t>00 in 2021–22. This will be driven by the return of temporary migrants, especially international students and working holiday makers. Overseas migrant arrivals are forecast to increase by an average of 20,000 annually up to 2023–24. Net overseas migration is forecast to contribute 0.5 percent</w:t>
      </w:r>
      <w:r w:rsidR="007B0E47">
        <w:t>age points</w:t>
      </w:r>
      <w:r w:rsidRPr="00200AC2">
        <w:t xml:space="preserve"> to Queensland’s population growth rate in 2025–26, up from -0.</w:t>
      </w:r>
      <w:r w:rsidR="002477E9">
        <w:t>3</w:t>
      </w:r>
      <w:r w:rsidRPr="00200AC2">
        <w:t xml:space="preserve"> in 2020–21. Over the next decade, Queensland is expected to retain a 1</w:t>
      </w:r>
      <w:r w:rsidR="002477E9">
        <w:t>3</w:t>
      </w:r>
      <w:r w:rsidRPr="00200AC2">
        <w:t> per cent</w:t>
      </w:r>
      <w:r w:rsidRPr="00200AC2">
        <w:rPr>
          <w:b/>
          <w:bCs/>
        </w:rPr>
        <w:t xml:space="preserve"> </w:t>
      </w:r>
      <w:r w:rsidRPr="00200AC2">
        <w:t>share</w:t>
      </w:r>
      <w:r w:rsidRPr="00200AC2">
        <w:rPr>
          <w:b/>
          <w:bCs/>
        </w:rPr>
        <w:t xml:space="preserve"> </w:t>
      </w:r>
      <w:r w:rsidRPr="00200AC2">
        <w:t>of national net overseas migration, consistent with its pre</w:t>
      </w:r>
      <w:r w:rsidRPr="00200AC2">
        <w:noBreakHyphen/>
        <w:t>pandemic share.</w:t>
      </w:r>
      <w:bookmarkEnd w:id="156"/>
    </w:p>
    <w:p w14:paraId="2AF7CD31" w14:textId="6F38F266" w:rsidR="00027AC6" w:rsidRPr="00200AC2" w:rsidRDefault="00027AC6" w:rsidP="0039767A">
      <w:bookmarkStart w:id="157" w:name="_Ref115340946"/>
      <w:r w:rsidRPr="00200AC2">
        <w:t xml:space="preserve">Natural increase was the second largest contributor to Queensland’s population growth in 2020–21. Natural increase is forecast to decline by 13 per cent in 2021–22, reflecting an </w:t>
      </w:r>
      <w:r w:rsidR="00E64177">
        <w:t xml:space="preserve">expected </w:t>
      </w:r>
      <w:r w:rsidRPr="00200AC2">
        <w:t xml:space="preserve">increase in deaths. Deaths are forecast to remain elevated in 2022–23, before dropping by 4.7 per cent in 2023–24. From 2024–25 onwards, natural increase is projected to gradually decline, consistent with </w:t>
      </w:r>
      <w:r w:rsidR="000569AB">
        <w:t>long-</w:t>
      </w:r>
      <w:r w:rsidRPr="00200AC2">
        <w:t>term trends of population ageing and declining fertility rates (although they are above the national average).</w:t>
      </w:r>
    </w:p>
    <w:p w14:paraId="10832F70" w14:textId="267C638E" w:rsidR="000546AC" w:rsidRPr="0080495D" w:rsidRDefault="000546AC" w:rsidP="0039767A">
      <w:r w:rsidRPr="00200AC2">
        <w:t>Net interstate migration was the largest contributor to Queensland’s population growth in 2020–21, increasing from already high levels. Net interstate migration is projected to increase again to 40,000 in 2021–22, before returning to pre</w:t>
      </w:r>
      <w:r w:rsidR="009B78C6" w:rsidRPr="00200AC2">
        <w:t>-</w:t>
      </w:r>
      <w:r w:rsidRPr="00200AC2">
        <w:t xml:space="preserve">pandemic levels of 21,000 in 2023–24. </w:t>
      </w:r>
      <w:r w:rsidR="00920AAB">
        <w:t xml:space="preserve">Over the projection period, </w:t>
      </w:r>
      <w:r w:rsidRPr="00200AC2">
        <w:t>Queensland is expected to continue to have the highest interstate migration of any state or territory.</w:t>
      </w:r>
      <w:r w:rsidRPr="0080495D">
        <w:t xml:space="preserve"> </w:t>
      </w:r>
    </w:p>
    <w:p w14:paraId="33E60446" w14:textId="5117E998" w:rsidR="00CD158B" w:rsidRPr="0080495D" w:rsidRDefault="00CD158B" w:rsidP="00CD158B">
      <w:pPr>
        <w:pStyle w:val="Heading9"/>
      </w:pPr>
      <w:bookmarkStart w:id="158" w:name="_Ref118134288"/>
      <w:r w:rsidRPr="0080495D">
        <w:t>Population growth and components, Queensland</w:t>
      </w:r>
      <w:bookmarkEnd w:id="157"/>
      <w:bookmarkEnd w:id="158"/>
    </w:p>
    <w:p w14:paraId="1A3EAF53" w14:textId="144D30E6" w:rsidR="00CD158B" w:rsidRPr="0080495D" w:rsidRDefault="00346AC5" w:rsidP="003073C3">
      <w:pPr>
        <w:spacing w:before="0" w:after="0"/>
        <w:jc w:val="center"/>
      </w:pPr>
      <w:r w:rsidRPr="00346AC5">
        <w:t xml:space="preserve"> </w:t>
      </w:r>
      <w:r w:rsidR="00EE5CED" w:rsidRPr="00EE5CED">
        <w:rPr>
          <w:noProof/>
        </w:rPr>
        <w:drawing>
          <wp:inline distT="0" distB="0" distL="0" distR="0" wp14:anchorId="6F659837" wp14:editId="05417F52">
            <wp:extent cx="5581650" cy="2524125"/>
            <wp:effectExtent l="0" t="0" r="0" b="0"/>
            <wp:docPr id="91" name="Picture 91" descr="A chart showing total population growth in Queensland, disaggregated into its components: natural increase, net overseas migration, and net interstate migration. Intercensal difference is also shown. Population growth declined in 2020-21 as overseas migration fell. Population growth is forecast to recover and peak at 1.7 per cent in 2022-23, before declining slowly to 1.2 per cent by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hart showing total population growth in Queensland, disaggregated into its components: natural increase, net overseas migration, and net interstate migration. Intercensal difference is also shown. Population growth declined in 2020-21 as overseas migration fell. Population growth is forecast to recover and peak at 1.7 per cent in 2022-23, before declining slowly to 1.2 per cent by 2032-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1D8B7F9" w14:textId="35CA4F3C" w:rsidR="00CD158B" w:rsidRPr="0080495D" w:rsidRDefault="00CD158B" w:rsidP="00CD158B">
      <w:pPr>
        <w:pStyle w:val="Source"/>
        <w:rPr>
          <w:rStyle w:val="Hyperlink"/>
        </w:rPr>
      </w:pPr>
      <w:r w:rsidRPr="0080495D">
        <w:t xml:space="preserve">Source: </w:t>
      </w:r>
      <w:r w:rsidR="00CE4CA4">
        <w:rPr>
          <w:noProof/>
        </w:rPr>
        <w:t>Australian Bureau of Statistics, National, state and territory population, March 2022, 2022</w:t>
      </w:r>
      <w:r w:rsidR="00CE4CA4">
        <w:t xml:space="preserve"> </w:t>
      </w:r>
      <w:r w:rsidRPr="0080495D">
        <w:t>and Centre for Population projections.</w:t>
      </w:r>
      <w:r w:rsidR="00060AF3" w:rsidRPr="0080495D" w:rsidDel="00060AF3">
        <w:t xml:space="preserve"> </w:t>
      </w:r>
    </w:p>
    <w:p w14:paraId="3CA6D2ED" w14:textId="045DC512" w:rsidR="00066A96" w:rsidRDefault="00066A96" w:rsidP="007D55C1"/>
    <w:p w14:paraId="50F68A44" w14:textId="77777777" w:rsidR="009E2E05" w:rsidRPr="0080495D" w:rsidRDefault="009E2E05" w:rsidP="007D55C1"/>
    <w:p w14:paraId="4D7FAE6C" w14:textId="77777777" w:rsidR="00DB40C7" w:rsidRDefault="00DB40C7" w:rsidP="00DB40C7">
      <w:pPr>
        <w:pStyle w:val="Heading7"/>
        <w:sectPr w:rsidR="00DB40C7" w:rsidSect="00E35CCB">
          <w:pgSz w:w="11906" w:h="16838" w:code="9"/>
          <w:pgMar w:top="1418" w:right="1418" w:bottom="1418" w:left="1418" w:header="709" w:footer="709" w:gutter="0"/>
          <w:cols w:space="708"/>
          <w:docGrid w:linePitch="360"/>
        </w:sectPr>
      </w:pPr>
      <w:bookmarkStart w:id="159" w:name="_Toc120635118"/>
    </w:p>
    <w:p w14:paraId="1B7476A4" w14:textId="77777777" w:rsidR="00CD158B" w:rsidRPr="0080495D" w:rsidRDefault="00CD158B" w:rsidP="009D5E0B">
      <w:pPr>
        <w:pStyle w:val="Heading3"/>
      </w:pPr>
      <w:bookmarkStart w:id="160" w:name="_Toc122617951"/>
      <w:bookmarkStart w:id="161" w:name="_Toc122618378"/>
      <w:r w:rsidRPr="0080495D">
        <w:lastRenderedPageBreak/>
        <w:t>Greater Brisbane and the Rest of Queensland</w:t>
      </w:r>
      <w:bookmarkEnd w:id="159"/>
      <w:bookmarkEnd w:id="160"/>
      <w:bookmarkEnd w:id="161"/>
    </w:p>
    <w:p w14:paraId="5DF84473" w14:textId="3D11F61F" w:rsidR="00CD158B" w:rsidRPr="002302BB" w:rsidRDefault="00CD158B" w:rsidP="0039767A">
      <w:r w:rsidRPr="0080495D">
        <w:t xml:space="preserve">Unlike </w:t>
      </w:r>
      <w:r w:rsidR="003C3505">
        <w:t xml:space="preserve">most </w:t>
      </w:r>
      <w:r w:rsidRPr="0080495D">
        <w:t xml:space="preserve">other capital cities, Greater Brisbane does not account for </w:t>
      </w:r>
      <w:r w:rsidR="00820CC1">
        <w:t>the</w:t>
      </w:r>
      <w:r w:rsidRPr="0080495D">
        <w:t xml:space="preserve"> majority of its state</w:t>
      </w:r>
      <w:r w:rsidR="00340890">
        <w:t>’s</w:t>
      </w:r>
      <w:r w:rsidRPr="0080495D">
        <w:t xml:space="preserve"> population. Brisbane</w:t>
      </w:r>
      <w:r w:rsidR="00820CC1">
        <w:t>’s population on 30 June 2021 was</w:t>
      </w:r>
      <w:r w:rsidRPr="0080495D">
        <w:t xml:space="preserve"> 2.6 million, representing 49 per cent of Queensland’s population. Due largely to strong net internal migration, Brisbane’s population continued to grow during the pandemic, with growth falling from 2</w:t>
      </w:r>
      <w:r w:rsidR="000E05D7">
        <w:t>.0</w:t>
      </w:r>
      <w:r w:rsidRPr="0080495D">
        <w:t xml:space="preserve"> per cent in 2018</w:t>
      </w:r>
      <w:r w:rsidR="0033101B">
        <w:t>–</w:t>
      </w:r>
      <w:r w:rsidRPr="0080495D">
        <w:t>19 to 0.7 per cent in 2020</w:t>
      </w:r>
      <w:r w:rsidR="0033101B">
        <w:t>–</w:t>
      </w:r>
      <w:r w:rsidRPr="0080495D">
        <w:t>21. Population growth in Brisbane is forecast to recover to 1.9 per cent by 2022</w:t>
      </w:r>
      <w:r w:rsidR="0033101B">
        <w:t>–</w:t>
      </w:r>
      <w:r w:rsidRPr="0080495D">
        <w:t>23, before slowing to 1.3 per cent by 2032</w:t>
      </w:r>
      <w:r w:rsidR="0033101B">
        <w:t>–</w:t>
      </w:r>
      <w:r w:rsidRPr="0080495D">
        <w:t>33. Brisbane</w:t>
      </w:r>
      <w:r w:rsidR="00B95FF6">
        <w:t xml:space="preserve">’s </w:t>
      </w:r>
      <w:r w:rsidR="00B95FF6" w:rsidRPr="002302BB">
        <w:t>population</w:t>
      </w:r>
      <w:r w:rsidRPr="002302BB">
        <w:t xml:space="preserve"> is projected to be 3.1 million</w:t>
      </w:r>
      <w:r w:rsidR="00B95FF6" w:rsidRPr="002302BB">
        <w:t xml:space="preserve"> in 2032–33</w:t>
      </w:r>
      <w:r w:rsidRPr="002302BB">
        <w:t xml:space="preserve">. </w:t>
      </w:r>
    </w:p>
    <w:p w14:paraId="1DF9EF2C" w14:textId="33EB2800" w:rsidR="00F167CB" w:rsidRPr="0080495D" w:rsidRDefault="00F167CB" w:rsidP="0039767A">
      <w:r w:rsidRPr="00F167CB">
        <w:t>The population of the rest of Queensland on 30 June 2021 was 2.7 million. Strong flows of internal migration during the pandemic contributed to relatively strong population growth of 0.9 per cent in 2020–21. Population growth is projected to reach 1.4 per cent in 2022–23 before declining to 1.2 per cent in 2032–33. The population of the rest of Queensland is projected to be 3.1 million</w:t>
      </w:r>
      <w:r w:rsidR="00340890">
        <w:t xml:space="preserve"> </w:t>
      </w:r>
      <w:r w:rsidR="00340890" w:rsidRPr="00F167CB">
        <w:t xml:space="preserve">in 2032–33 </w:t>
      </w:r>
      <w:r w:rsidRPr="00F167CB">
        <w:t xml:space="preserve">and to </w:t>
      </w:r>
      <w:r w:rsidR="00340890">
        <w:t>be</w:t>
      </w:r>
      <w:r w:rsidRPr="00F167CB">
        <w:t xml:space="preserve"> just below half of the state’s population.</w:t>
      </w:r>
    </w:p>
    <w:p w14:paraId="39B64B0E" w14:textId="77777777" w:rsidR="00CD158B" w:rsidRPr="0080495D" w:rsidRDefault="00CD158B" w:rsidP="00CD158B">
      <w:pPr>
        <w:pStyle w:val="Heading9"/>
      </w:pPr>
      <w:r w:rsidRPr="0080495D">
        <w:t>Population growth in Queensland, Greater Brisbane and the Rest of Queensland</w:t>
      </w:r>
    </w:p>
    <w:p w14:paraId="216A29D6" w14:textId="60E4CCB9" w:rsidR="00CD158B" w:rsidRPr="0080495D" w:rsidRDefault="00D34605" w:rsidP="001A3279">
      <w:pPr>
        <w:jc w:val="center"/>
      </w:pPr>
      <w:r w:rsidRPr="00D34605">
        <w:rPr>
          <w:noProof/>
        </w:rPr>
        <w:drawing>
          <wp:inline distT="0" distB="0" distL="0" distR="0" wp14:anchorId="52267D8A" wp14:editId="321776F2">
            <wp:extent cx="5581650" cy="2524125"/>
            <wp:effectExtent l="0" t="0" r="0" b="0"/>
            <wp:docPr id="86" name="Picture 86" descr="A chart comparing population growth in Queensland, Brisbane, and the rest of Queensland. Population growth in all 3 areas declined in 2019-20 and 2020-21. Population growth is forecast to recover and peak in 2022-23 in all 3 areas before gradually declining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chart comparing population growth in Queensland, Brisbane, and the rest of Queensland. Population growth in all 3 areas declined in 2019-20 and 2020-21. Population growth is forecast to recover and peak in 2022-23 in all 3 areas before gradually declining until 2032-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00D3B0BE" w14:textId="3A45F416" w:rsidR="00CD158B" w:rsidRDefault="00CD158B" w:rsidP="00CD158B">
      <w:pPr>
        <w:pStyle w:val="Source"/>
      </w:pPr>
      <w:r w:rsidRPr="0080495D">
        <w:t xml:space="preserve">Source: </w:t>
      </w:r>
      <w:r w:rsidR="00CE4CA4">
        <w:rPr>
          <w:noProof/>
        </w:rPr>
        <w:t>Australian Bureau of Statistics, Regional population, 2022</w:t>
      </w:r>
      <w:r w:rsidR="00837FB0">
        <w:t>;</w:t>
      </w:r>
      <w:r w:rsidRPr="0080495D">
        <w:t xml:space="preserve"> </w:t>
      </w:r>
      <w:r w:rsidR="00CE4CA4">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4C8E67D0" w14:textId="2C78BB67" w:rsidR="00066A96" w:rsidRDefault="00066A96" w:rsidP="007D55C1">
      <w:pPr>
        <w:rPr>
          <w:rStyle w:val="Hyperlink"/>
          <w:color w:val="auto"/>
        </w:rPr>
      </w:pPr>
    </w:p>
    <w:p w14:paraId="2EBA1EA2" w14:textId="3535F9E1" w:rsidR="00CD158B" w:rsidRDefault="00CD158B" w:rsidP="007D55C1">
      <w:pPr>
        <w:rPr>
          <w:rStyle w:val="Hyperlink"/>
          <w:color w:val="auto"/>
        </w:rPr>
      </w:pPr>
    </w:p>
    <w:p w14:paraId="0305BBE0" w14:textId="77777777" w:rsidR="00010485" w:rsidRDefault="00010485">
      <w:pPr>
        <w:spacing w:before="0" w:after="160" w:line="259" w:lineRule="auto"/>
        <w:rPr>
          <w:b/>
          <w:bCs/>
          <w:smallCaps/>
          <w:color w:val="002C47" w:themeColor="accent1"/>
          <w:spacing w:val="15"/>
        </w:rPr>
      </w:pPr>
      <w:r>
        <w:br w:type="page"/>
      </w:r>
    </w:p>
    <w:p w14:paraId="4A36BF8B" w14:textId="0EF90A1D" w:rsidR="00CD158B" w:rsidRPr="0080495D" w:rsidRDefault="00CD158B" w:rsidP="005540BC">
      <w:pPr>
        <w:pStyle w:val="TableMainHeading"/>
      </w:pPr>
      <w:r w:rsidRPr="0080495D">
        <w:lastRenderedPageBreak/>
        <w:t>Population projections, Queensland</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rsidRPr="0080495D" w14:paraId="5F16B1F8"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315F1289" w14:textId="77777777" w:rsidR="00CD158B" w:rsidRPr="0080495D" w:rsidRDefault="00CD158B" w:rsidP="00676947">
            <w:pPr>
              <w:spacing w:after="0"/>
            </w:pPr>
          </w:p>
        </w:tc>
        <w:tc>
          <w:tcPr>
            <w:tcW w:w="996" w:type="dxa"/>
          </w:tcPr>
          <w:p w14:paraId="2756DFD9" w14:textId="5055E896" w:rsidR="00CD158B" w:rsidRPr="00CF6797" w:rsidRDefault="00CD158B" w:rsidP="00CF6797">
            <w:pPr>
              <w:pStyle w:val="TableColumnHeadingLeft"/>
            </w:pPr>
            <w:r w:rsidRPr="00CF6797">
              <w:t>2020</w:t>
            </w:r>
            <w:r w:rsidR="0033101B" w:rsidRPr="00CF6797">
              <w:t>–</w:t>
            </w:r>
            <w:r w:rsidRPr="00CF6797">
              <w:t>21</w:t>
            </w:r>
          </w:p>
        </w:tc>
        <w:tc>
          <w:tcPr>
            <w:tcW w:w="996" w:type="dxa"/>
            <w:shd w:val="clear" w:color="auto" w:fill="D2EDFF" w:themeFill="accent1" w:themeFillTint="1A"/>
          </w:tcPr>
          <w:p w14:paraId="4AD645A6" w14:textId="0AC8B177" w:rsidR="00CD158B" w:rsidRPr="00CF6797" w:rsidRDefault="00CD158B" w:rsidP="00CF6797">
            <w:pPr>
              <w:pStyle w:val="TableColumnHeadingLeft"/>
            </w:pPr>
            <w:r w:rsidRPr="00CF6797">
              <w:t>2021</w:t>
            </w:r>
            <w:r w:rsidR="0033101B" w:rsidRPr="00CF6797">
              <w:t>–</w:t>
            </w:r>
            <w:r w:rsidRPr="00CF6797">
              <w:t>22</w:t>
            </w:r>
          </w:p>
        </w:tc>
        <w:tc>
          <w:tcPr>
            <w:tcW w:w="996" w:type="dxa"/>
          </w:tcPr>
          <w:p w14:paraId="193AC587" w14:textId="504CD615" w:rsidR="00CD158B" w:rsidRPr="00CF6797" w:rsidRDefault="00CD158B" w:rsidP="00CF6797">
            <w:pPr>
              <w:pStyle w:val="TableColumnHeadingLeft"/>
            </w:pPr>
            <w:r w:rsidRPr="00CF6797">
              <w:t>2022</w:t>
            </w:r>
            <w:r w:rsidR="0033101B" w:rsidRPr="00CF6797">
              <w:t>–</w:t>
            </w:r>
            <w:r w:rsidRPr="00CF6797">
              <w:t>23</w:t>
            </w:r>
          </w:p>
        </w:tc>
        <w:tc>
          <w:tcPr>
            <w:tcW w:w="996" w:type="dxa"/>
          </w:tcPr>
          <w:p w14:paraId="7EB885CF" w14:textId="2EBDB1C8" w:rsidR="00CD158B" w:rsidRPr="00CF6797" w:rsidRDefault="00CD158B" w:rsidP="00CF6797">
            <w:pPr>
              <w:pStyle w:val="TableColumnHeadingLeft"/>
            </w:pPr>
            <w:r w:rsidRPr="00CF6797">
              <w:t>2023</w:t>
            </w:r>
            <w:r w:rsidR="0033101B" w:rsidRPr="00CF6797">
              <w:t>–</w:t>
            </w:r>
            <w:r w:rsidRPr="00CF6797">
              <w:t>24</w:t>
            </w:r>
          </w:p>
        </w:tc>
        <w:tc>
          <w:tcPr>
            <w:tcW w:w="996" w:type="dxa"/>
            <w:tcBorders>
              <w:right w:val="single" w:sz="4" w:space="0" w:color="auto"/>
            </w:tcBorders>
          </w:tcPr>
          <w:p w14:paraId="07F25821" w14:textId="3E5A0A71" w:rsidR="00CD158B" w:rsidRPr="00CF6797" w:rsidRDefault="00CD158B" w:rsidP="00CF6797">
            <w:pPr>
              <w:pStyle w:val="TableColumnHeadingLeft"/>
            </w:pPr>
            <w:r w:rsidRPr="00CF6797">
              <w:t>2024</w:t>
            </w:r>
            <w:r w:rsidR="0033101B" w:rsidRPr="00CF6797">
              <w:t>–</w:t>
            </w:r>
            <w:r w:rsidRPr="00CF6797">
              <w:t>25</w:t>
            </w:r>
          </w:p>
        </w:tc>
        <w:tc>
          <w:tcPr>
            <w:tcW w:w="996" w:type="dxa"/>
            <w:tcBorders>
              <w:left w:val="single" w:sz="4" w:space="0" w:color="auto"/>
            </w:tcBorders>
          </w:tcPr>
          <w:p w14:paraId="772B9C43" w14:textId="1F4F6127" w:rsidR="00CD158B" w:rsidRPr="00CF6797" w:rsidRDefault="00CD158B" w:rsidP="00CF6797">
            <w:pPr>
              <w:pStyle w:val="TableColumnHeadingLeft"/>
            </w:pPr>
            <w:r w:rsidRPr="00CF6797">
              <w:t>2032</w:t>
            </w:r>
            <w:r w:rsidR="0033101B" w:rsidRPr="00CF6797">
              <w:t>–</w:t>
            </w:r>
            <w:r w:rsidRPr="00CF6797">
              <w:t>33</w:t>
            </w:r>
          </w:p>
        </w:tc>
      </w:tr>
      <w:tr w:rsidR="003F4980" w:rsidRPr="0080495D" w14:paraId="66EEDBE9" w14:textId="77777777" w:rsidTr="00676947">
        <w:tc>
          <w:tcPr>
            <w:tcW w:w="3096" w:type="dxa"/>
          </w:tcPr>
          <w:p w14:paraId="04B66C36" w14:textId="77777777" w:rsidR="003F4980" w:rsidRPr="00363EFE" w:rsidRDefault="003F4980" w:rsidP="00CF6797">
            <w:pPr>
              <w:pStyle w:val="TableColumnHeadingLeft"/>
              <w:rPr>
                <w:color w:val="002C47" w:themeColor="accent1"/>
              </w:rPr>
            </w:pPr>
            <w:r w:rsidRPr="00363EFE">
              <w:rPr>
                <w:color w:val="002C47" w:themeColor="accent1"/>
              </w:rPr>
              <w:t>Population (‘000)</w:t>
            </w:r>
          </w:p>
        </w:tc>
        <w:tc>
          <w:tcPr>
            <w:tcW w:w="996" w:type="dxa"/>
          </w:tcPr>
          <w:p w14:paraId="6562036B" w14:textId="77777777" w:rsidR="003F4980" w:rsidRPr="00E20618" w:rsidRDefault="003F4980" w:rsidP="000649FA">
            <w:pPr>
              <w:pStyle w:val="TableTextLeft"/>
              <w:jc w:val="right"/>
            </w:pPr>
          </w:p>
        </w:tc>
        <w:tc>
          <w:tcPr>
            <w:tcW w:w="996" w:type="dxa"/>
            <w:shd w:val="clear" w:color="auto" w:fill="D2EDFF" w:themeFill="accent1" w:themeFillTint="1A"/>
          </w:tcPr>
          <w:p w14:paraId="7C2A1BB9" w14:textId="77777777" w:rsidR="003F4980" w:rsidRPr="00E20618" w:rsidRDefault="003F4980" w:rsidP="000649FA">
            <w:pPr>
              <w:pStyle w:val="TableTextLeft"/>
              <w:jc w:val="right"/>
            </w:pPr>
          </w:p>
        </w:tc>
        <w:tc>
          <w:tcPr>
            <w:tcW w:w="996" w:type="dxa"/>
          </w:tcPr>
          <w:p w14:paraId="76769212" w14:textId="77777777" w:rsidR="003F4980" w:rsidRPr="00E20618" w:rsidRDefault="003F4980" w:rsidP="000649FA">
            <w:pPr>
              <w:pStyle w:val="TableTextLeft"/>
              <w:jc w:val="right"/>
            </w:pPr>
          </w:p>
        </w:tc>
        <w:tc>
          <w:tcPr>
            <w:tcW w:w="996" w:type="dxa"/>
          </w:tcPr>
          <w:p w14:paraId="3DCEC522" w14:textId="77777777" w:rsidR="003F4980" w:rsidRPr="00E20618" w:rsidRDefault="003F4980" w:rsidP="000649FA">
            <w:pPr>
              <w:pStyle w:val="TableTextLeft"/>
              <w:jc w:val="right"/>
            </w:pPr>
          </w:p>
        </w:tc>
        <w:tc>
          <w:tcPr>
            <w:tcW w:w="996" w:type="dxa"/>
            <w:tcBorders>
              <w:right w:val="single" w:sz="4" w:space="0" w:color="auto"/>
            </w:tcBorders>
          </w:tcPr>
          <w:p w14:paraId="406D8849" w14:textId="77777777" w:rsidR="003F4980" w:rsidRPr="00E20618" w:rsidRDefault="003F4980" w:rsidP="000649FA">
            <w:pPr>
              <w:pStyle w:val="TableTextLeft"/>
              <w:jc w:val="right"/>
            </w:pPr>
          </w:p>
        </w:tc>
        <w:tc>
          <w:tcPr>
            <w:tcW w:w="996" w:type="dxa"/>
            <w:tcBorders>
              <w:top w:val="single" w:sz="4" w:space="0" w:color="000000" w:themeColor="text1"/>
              <w:left w:val="single" w:sz="4" w:space="0" w:color="auto"/>
              <w:bottom w:val="nil"/>
            </w:tcBorders>
          </w:tcPr>
          <w:p w14:paraId="451237AE" w14:textId="77777777" w:rsidR="003F4980" w:rsidRPr="00E20618" w:rsidRDefault="003F4980" w:rsidP="000649FA">
            <w:pPr>
              <w:pStyle w:val="TableTextLeft"/>
              <w:jc w:val="right"/>
            </w:pPr>
          </w:p>
        </w:tc>
      </w:tr>
      <w:tr w:rsidR="003F4980" w:rsidRPr="0080495D" w14:paraId="5B378442" w14:textId="77777777" w:rsidTr="00870149">
        <w:tc>
          <w:tcPr>
            <w:tcW w:w="3096" w:type="dxa"/>
          </w:tcPr>
          <w:p w14:paraId="74776158"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22DE55CC" w14:textId="01EBAD48" w:rsidR="003F4980" w:rsidRPr="00E20618" w:rsidRDefault="003F4980" w:rsidP="000649FA">
            <w:pPr>
              <w:pStyle w:val="TableTextLeft"/>
              <w:jc w:val="right"/>
              <w:rPr>
                <w:rFonts w:cstheme="minorHAnsi"/>
              </w:rPr>
            </w:pPr>
            <w:r w:rsidRPr="00E20618">
              <w:rPr>
                <w:rFonts w:cstheme="minorHAnsi"/>
              </w:rPr>
              <w:t>5,218</w:t>
            </w:r>
          </w:p>
        </w:tc>
        <w:tc>
          <w:tcPr>
            <w:tcW w:w="996" w:type="dxa"/>
            <w:tcBorders>
              <w:top w:val="nil"/>
              <w:left w:val="nil"/>
              <w:bottom w:val="nil"/>
              <w:right w:val="nil"/>
            </w:tcBorders>
            <w:shd w:val="clear" w:color="auto" w:fill="D2EDFF" w:themeFill="accent1" w:themeFillTint="1A"/>
          </w:tcPr>
          <w:p w14:paraId="468E2B15" w14:textId="032D5476" w:rsidR="003F4980" w:rsidRPr="00E20618" w:rsidRDefault="003F4980" w:rsidP="000649FA">
            <w:pPr>
              <w:pStyle w:val="TableTextLeft"/>
              <w:jc w:val="right"/>
              <w:rPr>
                <w:rFonts w:cstheme="minorHAnsi"/>
              </w:rPr>
            </w:pPr>
            <w:r w:rsidRPr="00E20618">
              <w:rPr>
                <w:rFonts w:cstheme="minorHAnsi"/>
              </w:rPr>
              <w:t>5,302</w:t>
            </w:r>
          </w:p>
        </w:tc>
        <w:tc>
          <w:tcPr>
            <w:tcW w:w="996" w:type="dxa"/>
            <w:tcBorders>
              <w:top w:val="nil"/>
              <w:left w:val="nil"/>
              <w:bottom w:val="nil"/>
              <w:right w:val="nil"/>
            </w:tcBorders>
          </w:tcPr>
          <w:p w14:paraId="57179267" w14:textId="1889F84F" w:rsidR="003F4980" w:rsidRPr="00E20618" w:rsidRDefault="003F4980" w:rsidP="000649FA">
            <w:pPr>
              <w:pStyle w:val="TableTextLeft"/>
              <w:jc w:val="right"/>
              <w:rPr>
                <w:rFonts w:cstheme="minorHAnsi"/>
              </w:rPr>
            </w:pPr>
            <w:r w:rsidRPr="00E20618">
              <w:rPr>
                <w:rFonts w:cstheme="minorHAnsi"/>
              </w:rPr>
              <w:t>5,390</w:t>
            </w:r>
          </w:p>
        </w:tc>
        <w:tc>
          <w:tcPr>
            <w:tcW w:w="996" w:type="dxa"/>
            <w:tcBorders>
              <w:top w:val="nil"/>
              <w:left w:val="nil"/>
              <w:bottom w:val="nil"/>
              <w:right w:val="nil"/>
            </w:tcBorders>
          </w:tcPr>
          <w:p w14:paraId="3E586816" w14:textId="4468F608" w:rsidR="003F4980" w:rsidRPr="00E20618" w:rsidRDefault="003F4980" w:rsidP="000649FA">
            <w:pPr>
              <w:pStyle w:val="TableTextLeft"/>
              <w:jc w:val="right"/>
              <w:rPr>
                <w:rFonts w:cstheme="minorHAnsi"/>
              </w:rPr>
            </w:pPr>
            <w:r w:rsidRPr="00E20618">
              <w:rPr>
                <w:rFonts w:cstheme="minorHAnsi"/>
              </w:rPr>
              <w:t>5,467</w:t>
            </w:r>
          </w:p>
        </w:tc>
        <w:tc>
          <w:tcPr>
            <w:tcW w:w="996" w:type="dxa"/>
            <w:tcBorders>
              <w:top w:val="nil"/>
              <w:left w:val="nil"/>
              <w:bottom w:val="nil"/>
              <w:right w:val="single" w:sz="4" w:space="0" w:color="auto"/>
            </w:tcBorders>
          </w:tcPr>
          <w:p w14:paraId="609DF8B2" w14:textId="41F38DA1" w:rsidR="003F4980" w:rsidRPr="00E20618" w:rsidRDefault="003F4980" w:rsidP="000649FA">
            <w:pPr>
              <w:pStyle w:val="TableTextLeft"/>
              <w:jc w:val="right"/>
              <w:rPr>
                <w:rFonts w:cstheme="minorHAnsi"/>
              </w:rPr>
            </w:pPr>
            <w:r w:rsidRPr="00E20618">
              <w:rPr>
                <w:rFonts w:cstheme="minorHAnsi"/>
              </w:rPr>
              <w:t>5,545</w:t>
            </w:r>
          </w:p>
        </w:tc>
        <w:tc>
          <w:tcPr>
            <w:tcW w:w="996" w:type="dxa"/>
            <w:tcBorders>
              <w:top w:val="nil"/>
              <w:left w:val="single" w:sz="4" w:space="0" w:color="auto"/>
              <w:bottom w:val="nil"/>
              <w:right w:val="nil"/>
            </w:tcBorders>
          </w:tcPr>
          <w:p w14:paraId="275AA34D" w14:textId="3DC07D28" w:rsidR="003F4980" w:rsidRPr="00E20618" w:rsidRDefault="003F4980" w:rsidP="000649FA">
            <w:pPr>
              <w:pStyle w:val="TableTextLeft"/>
              <w:jc w:val="right"/>
              <w:rPr>
                <w:rFonts w:cstheme="minorHAnsi"/>
              </w:rPr>
            </w:pPr>
            <w:r w:rsidRPr="00E20618">
              <w:rPr>
                <w:rFonts w:cstheme="minorHAnsi"/>
              </w:rPr>
              <w:t>6,156</w:t>
            </w:r>
          </w:p>
        </w:tc>
      </w:tr>
      <w:tr w:rsidR="003F4980" w:rsidRPr="0080495D" w14:paraId="01FED9FC" w14:textId="77777777" w:rsidTr="00870149">
        <w:tc>
          <w:tcPr>
            <w:tcW w:w="3096" w:type="dxa"/>
          </w:tcPr>
          <w:p w14:paraId="7BD9B628"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6A2E2918" w14:textId="16130658" w:rsidR="003F4980" w:rsidRPr="00E20618" w:rsidRDefault="003F4980" w:rsidP="000649FA">
            <w:pPr>
              <w:pStyle w:val="TableTextLeft"/>
              <w:jc w:val="right"/>
              <w:rPr>
                <w:rFonts w:cstheme="minorHAnsi"/>
              </w:rPr>
            </w:pPr>
            <w:r w:rsidRPr="00E20618">
              <w:rPr>
                <w:rFonts w:cstheme="minorHAnsi"/>
              </w:rPr>
              <w:t>2,569</w:t>
            </w:r>
          </w:p>
        </w:tc>
        <w:tc>
          <w:tcPr>
            <w:tcW w:w="996" w:type="dxa"/>
            <w:tcBorders>
              <w:top w:val="nil"/>
              <w:left w:val="nil"/>
              <w:bottom w:val="nil"/>
              <w:right w:val="nil"/>
            </w:tcBorders>
            <w:shd w:val="clear" w:color="auto" w:fill="D2EDFF" w:themeFill="accent1" w:themeFillTint="1A"/>
          </w:tcPr>
          <w:p w14:paraId="07EB74A2" w14:textId="28B9EFE0" w:rsidR="003F4980" w:rsidRPr="00E20618" w:rsidRDefault="003F4980" w:rsidP="000649FA">
            <w:pPr>
              <w:pStyle w:val="TableTextLeft"/>
              <w:jc w:val="right"/>
              <w:rPr>
                <w:rFonts w:cstheme="minorHAnsi"/>
              </w:rPr>
            </w:pPr>
            <w:r w:rsidRPr="00E20618">
              <w:rPr>
                <w:rFonts w:cstheme="minorHAnsi"/>
              </w:rPr>
              <w:t>2,616</w:t>
            </w:r>
          </w:p>
        </w:tc>
        <w:tc>
          <w:tcPr>
            <w:tcW w:w="996" w:type="dxa"/>
            <w:tcBorders>
              <w:top w:val="nil"/>
              <w:left w:val="nil"/>
              <w:bottom w:val="nil"/>
              <w:right w:val="nil"/>
            </w:tcBorders>
          </w:tcPr>
          <w:p w14:paraId="6EE62871" w14:textId="6EC51B57" w:rsidR="003F4980" w:rsidRPr="00E20618" w:rsidRDefault="003F4980" w:rsidP="000649FA">
            <w:pPr>
              <w:pStyle w:val="TableTextLeft"/>
              <w:jc w:val="right"/>
              <w:rPr>
                <w:rFonts w:cstheme="minorHAnsi"/>
              </w:rPr>
            </w:pPr>
            <w:r w:rsidRPr="00E20618">
              <w:rPr>
                <w:rFonts w:cstheme="minorHAnsi"/>
              </w:rPr>
              <w:t>2,665</w:t>
            </w:r>
          </w:p>
        </w:tc>
        <w:tc>
          <w:tcPr>
            <w:tcW w:w="996" w:type="dxa"/>
            <w:tcBorders>
              <w:top w:val="nil"/>
              <w:left w:val="nil"/>
              <w:bottom w:val="nil"/>
              <w:right w:val="nil"/>
            </w:tcBorders>
          </w:tcPr>
          <w:p w14:paraId="0EAA5CBB" w14:textId="7204B036" w:rsidR="003F4980" w:rsidRPr="00E20618" w:rsidRDefault="003F4980" w:rsidP="000649FA">
            <w:pPr>
              <w:pStyle w:val="TableTextLeft"/>
              <w:jc w:val="right"/>
              <w:rPr>
                <w:rFonts w:cstheme="minorHAnsi"/>
              </w:rPr>
            </w:pPr>
            <w:r w:rsidRPr="00E20618">
              <w:rPr>
                <w:rFonts w:cstheme="minorHAnsi"/>
              </w:rPr>
              <w:t>2,708</w:t>
            </w:r>
          </w:p>
        </w:tc>
        <w:tc>
          <w:tcPr>
            <w:tcW w:w="996" w:type="dxa"/>
            <w:tcBorders>
              <w:top w:val="nil"/>
              <w:left w:val="nil"/>
              <w:bottom w:val="nil"/>
              <w:right w:val="single" w:sz="4" w:space="0" w:color="auto"/>
            </w:tcBorders>
          </w:tcPr>
          <w:p w14:paraId="38B43824" w14:textId="5D4E46F0" w:rsidR="003F4980" w:rsidRPr="00E20618" w:rsidRDefault="003F4980" w:rsidP="000649FA">
            <w:pPr>
              <w:pStyle w:val="TableTextLeft"/>
              <w:jc w:val="right"/>
              <w:rPr>
                <w:rFonts w:cstheme="minorHAnsi"/>
              </w:rPr>
            </w:pPr>
            <w:r w:rsidRPr="00E20618">
              <w:rPr>
                <w:rFonts w:cstheme="minorHAnsi"/>
              </w:rPr>
              <w:t>2,751</w:t>
            </w:r>
          </w:p>
        </w:tc>
        <w:tc>
          <w:tcPr>
            <w:tcW w:w="996" w:type="dxa"/>
            <w:tcBorders>
              <w:top w:val="nil"/>
              <w:left w:val="single" w:sz="4" w:space="0" w:color="auto"/>
              <w:bottom w:val="nil"/>
              <w:right w:val="nil"/>
            </w:tcBorders>
          </w:tcPr>
          <w:p w14:paraId="74DA9E7B" w14:textId="007CE685" w:rsidR="003F4980" w:rsidRPr="00E20618" w:rsidRDefault="003F4980" w:rsidP="000649FA">
            <w:pPr>
              <w:pStyle w:val="TableTextLeft"/>
              <w:jc w:val="right"/>
              <w:rPr>
                <w:rFonts w:cstheme="minorHAnsi"/>
              </w:rPr>
            </w:pPr>
            <w:r w:rsidRPr="00E20618">
              <w:rPr>
                <w:rFonts w:cstheme="minorHAnsi"/>
              </w:rPr>
              <w:t>3,082</w:t>
            </w:r>
          </w:p>
        </w:tc>
      </w:tr>
      <w:tr w:rsidR="003F4980" w:rsidRPr="0080495D" w14:paraId="493822A3" w14:textId="77777777" w:rsidTr="00870149">
        <w:tc>
          <w:tcPr>
            <w:tcW w:w="3096" w:type="dxa"/>
          </w:tcPr>
          <w:p w14:paraId="28FD516B"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19294A8C" w14:textId="020C166E" w:rsidR="003F4980" w:rsidRPr="00E20618" w:rsidRDefault="003F4980" w:rsidP="000649FA">
            <w:pPr>
              <w:pStyle w:val="TableTextLeft"/>
              <w:jc w:val="right"/>
              <w:rPr>
                <w:rFonts w:cstheme="minorHAnsi"/>
              </w:rPr>
            </w:pPr>
            <w:r w:rsidRPr="00E20618">
              <w:rPr>
                <w:rFonts w:cstheme="minorHAnsi"/>
              </w:rPr>
              <w:t>2,649</w:t>
            </w:r>
          </w:p>
        </w:tc>
        <w:tc>
          <w:tcPr>
            <w:tcW w:w="996" w:type="dxa"/>
            <w:tcBorders>
              <w:top w:val="nil"/>
              <w:left w:val="nil"/>
              <w:bottom w:val="nil"/>
              <w:right w:val="nil"/>
            </w:tcBorders>
            <w:shd w:val="clear" w:color="auto" w:fill="D2EDFF" w:themeFill="accent1" w:themeFillTint="1A"/>
          </w:tcPr>
          <w:p w14:paraId="601D8AB7" w14:textId="39AC878A" w:rsidR="003F4980" w:rsidRPr="00E20618" w:rsidRDefault="003F4980" w:rsidP="000649FA">
            <w:pPr>
              <w:pStyle w:val="TableTextLeft"/>
              <w:jc w:val="right"/>
              <w:rPr>
                <w:rFonts w:cstheme="minorHAnsi"/>
              </w:rPr>
            </w:pPr>
            <w:r w:rsidRPr="00E20618">
              <w:rPr>
                <w:rFonts w:cstheme="minorHAnsi"/>
              </w:rPr>
              <w:t>2,686</w:t>
            </w:r>
          </w:p>
        </w:tc>
        <w:tc>
          <w:tcPr>
            <w:tcW w:w="996" w:type="dxa"/>
            <w:tcBorders>
              <w:top w:val="nil"/>
              <w:left w:val="nil"/>
              <w:bottom w:val="nil"/>
              <w:right w:val="nil"/>
            </w:tcBorders>
          </w:tcPr>
          <w:p w14:paraId="685F6E9D" w14:textId="4DC83774" w:rsidR="003F4980" w:rsidRPr="00E20618" w:rsidRDefault="003F4980" w:rsidP="000649FA">
            <w:pPr>
              <w:pStyle w:val="TableTextLeft"/>
              <w:jc w:val="right"/>
              <w:rPr>
                <w:rFonts w:cstheme="minorHAnsi"/>
              </w:rPr>
            </w:pPr>
            <w:r w:rsidRPr="00E20618">
              <w:rPr>
                <w:rFonts w:cstheme="minorHAnsi"/>
              </w:rPr>
              <w:t>2,725</w:t>
            </w:r>
          </w:p>
        </w:tc>
        <w:tc>
          <w:tcPr>
            <w:tcW w:w="996" w:type="dxa"/>
            <w:tcBorders>
              <w:top w:val="nil"/>
              <w:left w:val="nil"/>
              <w:bottom w:val="nil"/>
              <w:right w:val="nil"/>
            </w:tcBorders>
          </w:tcPr>
          <w:p w14:paraId="30235899" w14:textId="5D98AE89" w:rsidR="003F4980" w:rsidRPr="00E20618" w:rsidRDefault="003F4980" w:rsidP="000649FA">
            <w:pPr>
              <w:pStyle w:val="TableTextLeft"/>
              <w:jc w:val="right"/>
              <w:rPr>
                <w:rFonts w:cstheme="minorHAnsi"/>
              </w:rPr>
            </w:pPr>
            <w:r w:rsidRPr="00E20618">
              <w:rPr>
                <w:rFonts w:cstheme="minorHAnsi"/>
              </w:rPr>
              <w:t>2,759</w:t>
            </w:r>
          </w:p>
        </w:tc>
        <w:tc>
          <w:tcPr>
            <w:tcW w:w="996" w:type="dxa"/>
            <w:tcBorders>
              <w:top w:val="nil"/>
              <w:left w:val="nil"/>
              <w:bottom w:val="nil"/>
              <w:right w:val="single" w:sz="4" w:space="0" w:color="auto"/>
            </w:tcBorders>
          </w:tcPr>
          <w:p w14:paraId="570ABE12" w14:textId="743753DD" w:rsidR="003F4980" w:rsidRPr="00E20618" w:rsidRDefault="003F4980" w:rsidP="000649FA">
            <w:pPr>
              <w:pStyle w:val="TableTextLeft"/>
              <w:jc w:val="right"/>
              <w:rPr>
                <w:rFonts w:cstheme="minorHAnsi"/>
              </w:rPr>
            </w:pPr>
            <w:r w:rsidRPr="00E20618">
              <w:rPr>
                <w:rFonts w:cstheme="minorHAnsi"/>
              </w:rPr>
              <w:t>2,795</w:t>
            </w:r>
          </w:p>
        </w:tc>
        <w:tc>
          <w:tcPr>
            <w:tcW w:w="996" w:type="dxa"/>
            <w:tcBorders>
              <w:top w:val="nil"/>
              <w:left w:val="single" w:sz="4" w:space="0" w:color="auto"/>
              <w:bottom w:val="nil"/>
              <w:right w:val="nil"/>
            </w:tcBorders>
          </w:tcPr>
          <w:p w14:paraId="522AA63C" w14:textId="570BC9BE" w:rsidR="003F4980" w:rsidRPr="00E20618" w:rsidRDefault="003F4980" w:rsidP="000649FA">
            <w:pPr>
              <w:pStyle w:val="TableTextLeft"/>
              <w:jc w:val="right"/>
              <w:rPr>
                <w:rFonts w:cstheme="minorHAnsi"/>
              </w:rPr>
            </w:pPr>
            <w:r w:rsidRPr="00E20618">
              <w:rPr>
                <w:rFonts w:cstheme="minorHAnsi"/>
              </w:rPr>
              <w:t>3,075</w:t>
            </w:r>
          </w:p>
        </w:tc>
      </w:tr>
      <w:tr w:rsidR="003F4980" w:rsidRPr="0080495D" w14:paraId="5E431005" w14:textId="77777777" w:rsidTr="00870149">
        <w:tc>
          <w:tcPr>
            <w:tcW w:w="3096" w:type="dxa"/>
          </w:tcPr>
          <w:p w14:paraId="0995B510" w14:textId="77777777" w:rsidR="003F4980" w:rsidRPr="00363EFE" w:rsidRDefault="003F4980"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4F4FE53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4719C7AC"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30DF70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9CA0CA7"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27541EFD"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61358BDA" w14:textId="77777777" w:rsidR="003F4980" w:rsidRPr="00E20618" w:rsidRDefault="003F4980" w:rsidP="000649FA">
            <w:pPr>
              <w:pStyle w:val="TableTextLeft"/>
              <w:jc w:val="right"/>
              <w:rPr>
                <w:rFonts w:cstheme="minorHAnsi"/>
              </w:rPr>
            </w:pPr>
          </w:p>
        </w:tc>
      </w:tr>
      <w:tr w:rsidR="003F4980" w:rsidRPr="0080495D" w14:paraId="79C885BC" w14:textId="77777777" w:rsidTr="00870149">
        <w:tc>
          <w:tcPr>
            <w:tcW w:w="3096" w:type="dxa"/>
          </w:tcPr>
          <w:p w14:paraId="4DCA8A40"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6E268B72" w14:textId="1D8130C7"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7C07838" w14:textId="28F661AA"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nil"/>
            </w:tcBorders>
          </w:tcPr>
          <w:p w14:paraId="0DD0D417" w14:textId="14773468"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nil"/>
              <w:bottom w:val="nil"/>
              <w:right w:val="nil"/>
            </w:tcBorders>
          </w:tcPr>
          <w:p w14:paraId="1F651E5F" w14:textId="04DBDDEA"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single" w:sz="4" w:space="0" w:color="auto"/>
            </w:tcBorders>
          </w:tcPr>
          <w:p w14:paraId="054AD5D7" w14:textId="166CB5F7"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single" w:sz="4" w:space="0" w:color="auto"/>
              <w:bottom w:val="nil"/>
              <w:right w:val="nil"/>
            </w:tcBorders>
          </w:tcPr>
          <w:p w14:paraId="22FA5CD8" w14:textId="47F59326" w:rsidR="003F4980" w:rsidRPr="00E20618" w:rsidRDefault="003F4980" w:rsidP="000649FA">
            <w:pPr>
              <w:pStyle w:val="TableTextLeft"/>
              <w:jc w:val="right"/>
              <w:rPr>
                <w:rFonts w:cstheme="minorHAnsi"/>
              </w:rPr>
            </w:pPr>
            <w:r w:rsidRPr="00E20618">
              <w:rPr>
                <w:rFonts w:cstheme="minorHAnsi"/>
              </w:rPr>
              <w:t>1.2</w:t>
            </w:r>
          </w:p>
        </w:tc>
      </w:tr>
      <w:tr w:rsidR="003F4980" w:rsidRPr="0080495D" w14:paraId="2FB0B3A4" w14:textId="77777777" w:rsidTr="00870149">
        <w:tc>
          <w:tcPr>
            <w:tcW w:w="3096" w:type="dxa"/>
          </w:tcPr>
          <w:p w14:paraId="1CBF7123"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77641EA8" w14:textId="2CEC8954"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shd w:val="clear" w:color="auto" w:fill="D2EDFF" w:themeFill="accent1" w:themeFillTint="1A"/>
          </w:tcPr>
          <w:p w14:paraId="56F91628" w14:textId="5695A416"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2CD3D194" w14:textId="269897DF" w:rsidR="003F4980" w:rsidRPr="00E20618" w:rsidRDefault="003F4980" w:rsidP="000649FA">
            <w:pPr>
              <w:pStyle w:val="TableTextLeft"/>
              <w:jc w:val="right"/>
              <w:rPr>
                <w:rFonts w:cstheme="minorHAnsi"/>
              </w:rPr>
            </w:pPr>
            <w:r w:rsidRPr="00E20618">
              <w:rPr>
                <w:rFonts w:cstheme="minorHAnsi"/>
              </w:rPr>
              <w:t>1.9</w:t>
            </w:r>
          </w:p>
        </w:tc>
        <w:tc>
          <w:tcPr>
            <w:tcW w:w="996" w:type="dxa"/>
            <w:tcBorders>
              <w:top w:val="nil"/>
              <w:left w:val="nil"/>
              <w:bottom w:val="nil"/>
              <w:right w:val="nil"/>
            </w:tcBorders>
          </w:tcPr>
          <w:p w14:paraId="551BD476" w14:textId="76582BA2"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27B28777" w14:textId="16C0A88F"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0703967B" w14:textId="7AB7951E" w:rsidR="003F4980" w:rsidRPr="00E20618" w:rsidRDefault="003F4980" w:rsidP="000649FA">
            <w:pPr>
              <w:pStyle w:val="TableTextLeft"/>
              <w:jc w:val="right"/>
              <w:rPr>
                <w:rFonts w:cstheme="minorHAnsi"/>
              </w:rPr>
            </w:pPr>
            <w:r w:rsidRPr="00E20618">
              <w:rPr>
                <w:rFonts w:cstheme="minorHAnsi"/>
              </w:rPr>
              <w:t>1.3</w:t>
            </w:r>
          </w:p>
        </w:tc>
      </w:tr>
      <w:tr w:rsidR="003F4980" w:rsidRPr="0080495D" w14:paraId="56DC79A5" w14:textId="77777777" w:rsidTr="00870149">
        <w:tc>
          <w:tcPr>
            <w:tcW w:w="3096" w:type="dxa"/>
          </w:tcPr>
          <w:p w14:paraId="28E874F2"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78DB1DA2" w14:textId="160C26F9"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090CD920" w14:textId="0BFDBD23"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4CF24B1C" w14:textId="5AC08A0F"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06384AA4" w14:textId="0DC7EFFC"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single" w:sz="4" w:space="0" w:color="auto"/>
            </w:tcBorders>
          </w:tcPr>
          <w:p w14:paraId="38942469" w14:textId="39271218"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single" w:sz="4" w:space="0" w:color="auto"/>
              <w:bottom w:val="nil"/>
              <w:right w:val="nil"/>
            </w:tcBorders>
          </w:tcPr>
          <w:p w14:paraId="264597C7" w14:textId="045E29E3" w:rsidR="003F4980" w:rsidRPr="00E20618" w:rsidRDefault="003F4980" w:rsidP="000649FA">
            <w:pPr>
              <w:pStyle w:val="TableTextLeft"/>
              <w:jc w:val="right"/>
              <w:rPr>
                <w:rFonts w:cstheme="minorHAnsi"/>
              </w:rPr>
            </w:pPr>
            <w:r w:rsidRPr="00E20618">
              <w:rPr>
                <w:rFonts w:cstheme="minorHAnsi"/>
              </w:rPr>
              <w:t>1.2</w:t>
            </w:r>
          </w:p>
        </w:tc>
      </w:tr>
      <w:tr w:rsidR="003F4980" w:rsidRPr="0080495D" w14:paraId="1B8D2D67" w14:textId="77777777" w:rsidTr="00870149">
        <w:tc>
          <w:tcPr>
            <w:tcW w:w="3096" w:type="dxa"/>
          </w:tcPr>
          <w:p w14:paraId="63338C4D" w14:textId="77777777" w:rsidR="003F4980" w:rsidRPr="00363EFE" w:rsidRDefault="003F4980"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B9A4C4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796C0AC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0E5E10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DF6FC65"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173D9EA3"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31FB94EE" w14:textId="77777777" w:rsidR="003F4980" w:rsidRPr="00E20618" w:rsidRDefault="003F4980" w:rsidP="000649FA">
            <w:pPr>
              <w:pStyle w:val="TableTextLeft"/>
              <w:jc w:val="right"/>
              <w:rPr>
                <w:rFonts w:cstheme="minorHAnsi"/>
              </w:rPr>
            </w:pPr>
          </w:p>
        </w:tc>
      </w:tr>
      <w:tr w:rsidR="003F4980" w:rsidRPr="0080495D" w14:paraId="4264F381" w14:textId="77777777" w:rsidTr="00870149">
        <w:tc>
          <w:tcPr>
            <w:tcW w:w="3096" w:type="dxa"/>
          </w:tcPr>
          <w:p w14:paraId="1213921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3D7AB96" w14:textId="743E92F1" w:rsidR="003F4980" w:rsidRPr="00E20618" w:rsidRDefault="003F4980" w:rsidP="000649FA">
            <w:pPr>
              <w:pStyle w:val="TableTextLeft"/>
              <w:jc w:val="right"/>
              <w:rPr>
                <w:rFonts w:cstheme="minorHAnsi"/>
              </w:rPr>
            </w:pPr>
            <w:r w:rsidRPr="00E20618">
              <w:rPr>
                <w:rFonts w:cstheme="minorHAnsi"/>
              </w:rPr>
              <w:t>42.6</w:t>
            </w:r>
          </w:p>
        </w:tc>
        <w:tc>
          <w:tcPr>
            <w:tcW w:w="996" w:type="dxa"/>
            <w:tcBorders>
              <w:top w:val="nil"/>
              <w:left w:val="nil"/>
              <w:bottom w:val="nil"/>
              <w:right w:val="nil"/>
            </w:tcBorders>
            <w:shd w:val="clear" w:color="auto" w:fill="D2EDFF" w:themeFill="accent1" w:themeFillTint="1A"/>
          </w:tcPr>
          <w:p w14:paraId="53DE544F" w14:textId="2BE0A15C"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nil"/>
            </w:tcBorders>
          </w:tcPr>
          <w:p w14:paraId="13554B18" w14:textId="50D86005" w:rsidR="003F4980" w:rsidRPr="00E20618" w:rsidRDefault="003F4980" w:rsidP="000649FA">
            <w:pPr>
              <w:pStyle w:val="TableTextLeft"/>
              <w:jc w:val="right"/>
              <w:rPr>
                <w:rFonts w:cstheme="minorHAnsi"/>
              </w:rPr>
            </w:pPr>
            <w:r w:rsidRPr="00E20618">
              <w:rPr>
                <w:rFonts w:cstheme="minorHAnsi"/>
              </w:rPr>
              <w:t>88.1</w:t>
            </w:r>
          </w:p>
        </w:tc>
        <w:tc>
          <w:tcPr>
            <w:tcW w:w="996" w:type="dxa"/>
            <w:tcBorders>
              <w:top w:val="nil"/>
              <w:left w:val="nil"/>
              <w:bottom w:val="nil"/>
              <w:right w:val="nil"/>
            </w:tcBorders>
          </w:tcPr>
          <w:p w14:paraId="4A2E9CE1" w14:textId="4E647E9F" w:rsidR="003F4980" w:rsidRPr="00E20618" w:rsidRDefault="003F4980" w:rsidP="000649FA">
            <w:pPr>
              <w:pStyle w:val="TableTextLeft"/>
              <w:jc w:val="right"/>
              <w:rPr>
                <w:rFonts w:cstheme="minorHAnsi"/>
              </w:rPr>
            </w:pPr>
            <w:r w:rsidRPr="00E20618">
              <w:rPr>
                <w:rFonts w:cstheme="minorHAnsi"/>
              </w:rPr>
              <w:t>77.4</w:t>
            </w:r>
          </w:p>
        </w:tc>
        <w:tc>
          <w:tcPr>
            <w:tcW w:w="996" w:type="dxa"/>
            <w:tcBorders>
              <w:top w:val="nil"/>
              <w:left w:val="nil"/>
              <w:bottom w:val="nil"/>
              <w:right w:val="single" w:sz="4" w:space="0" w:color="auto"/>
            </w:tcBorders>
          </w:tcPr>
          <w:p w14:paraId="79453050" w14:textId="2BD1ECEF" w:rsidR="003F4980" w:rsidRPr="00E20618" w:rsidRDefault="003F4980" w:rsidP="000649FA">
            <w:pPr>
              <w:pStyle w:val="TableTextLeft"/>
              <w:jc w:val="right"/>
              <w:rPr>
                <w:rFonts w:cstheme="minorHAnsi"/>
              </w:rPr>
            </w:pPr>
            <w:r w:rsidRPr="00E20618">
              <w:rPr>
                <w:rFonts w:cstheme="minorHAnsi"/>
              </w:rPr>
              <w:t>78.3</w:t>
            </w:r>
          </w:p>
        </w:tc>
        <w:tc>
          <w:tcPr>
            <w:tcW w:w="996" w:type="dxa"/>
            <w:tcBorders>
              <w:top w:val="nil"/>
              <w:left w:val="single" w:sz="4" w:space="0" w:color="auto"/>
              <w:bottom w:val="nil"/>
              <w:right w:val="nil"/>
            </w:tcBorders>
          </w:tcPr>
          <w:p w14:paraId="6E5B5F53" w14:textId="2A389DAC" w:rsidR="003F4980" w:rsidRPr="00E20618" w:rsidRDefault="003F4980" w:rsidP="000649FA">
            <w:pPr>
              <w:pStyle w:val="TableTextLeft"/>
              <w:jc w:val="right"/>
              <w:rPr>
                <w:rFonts w:cstheme="minorHAnsi"/>
              </w:rPr>
            </w:pPr>
            <w:r w:rsidRPr="00E20618">
              <w:rPr>
                <w:rFonts w:cstheme="minorHAnsi"/>
              </w:rPr>
              <w:t>74.9</w:t>
            </w:r>
          </w:p>
        </w:tc>
      </w:tr>
      <w:tr w:rsidR="003F4980" w:rsidRPr="0080495D" w14:paraId="7849112C" w14:textId="77777777" w:rsidTr="00870149">
        <w:tc>
          <w:tcPr>
            <w:tcW w:w="3096" w:type="dxa"/>
          </w:tcPr>
          <w:p w14:paraId="35DE7B8C"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333681FA" w14:textId="495785A9" w:rsidR="003F4980" w:rsidRPr="00E20618" w:rsidRDefault="003F4980" w:rsidP="000649FA">
            <w:pPr>
              <w:pStyle w:val="TableTextLeft"/>
              <w:jc w:val="right"/>
              <w:rPr>
                <w:rFonts w:cstheme="minorHAnsi"/>
              </w:rPr>
            </w:pPr>
            <w:r w:rsidRPr="00E20618">
              <w:rPr>
                <w:rFonts w:cstheme="minorHAnsi"/>
              </w:rPr>
              <w:t>18.7</w:t>
            </w:r>
          </w:p>
        </w:tc>
        <w:tc>
          <w:tcPr>
            <w:tcW w:w="996" w:type="dxa"/>
            <w:tcBorders>
              <w:top w:val="nil"/>
              <w:left w:val="nil"/>
              <w:bottom w:val="nil"/>
              <w:right w:val="nil"/>
            </w:tcBorders>
            <w:shd w:val="clear" w:color="auto" w:fill="D2EDFF" w:themeFill="accent1" w:themeFillTint="1A"/>
          </w:tcPr>
          <w:p w14:paraId="4D251EAC" w14:textId="10AA340D" w:rsidR="003F4980" w:rsidRPr="00E20618" w:rsidRDefault="003F4980" w:rsidP="000649FA">
            <w:pPr>
              <w:pStyle w:val="TableTextLeft"/>
              <w:jc w:val="right"/>
              <w:rPr>
                <w:rFonts w:cstheme="minorHAnsi"/>
              </w:rPr>
            </w:pPr>
            <w:r w:rsidRPr="00E20618">
              <w:rPr>
                <w:rFonts w:cstheme="minorHAnsi"/>
              </w:rPr>
              <w:t>46.8</w:t>
            </w:r>
          </w:p>
        </w:tc>
        <w:tc>
          <w:tcPr>
            <w:tcW w:w="996" w:type="dxa"/>
            <w:tcBorders>
              <w:top w:val="nil"/>
              <w:left w:val="nil"/>
              <w:bottom w:val="nil"/>
              <w:right w:val="nil"/>
            </w:tcBorders>
          </w:tcPr>
          <w:p w14:paraId="241697EF" w14:textId="24F50501" w:rsidR="003F4980" w:rsidRPr="00E20618" w:rsidRDefault="003F4980" w:rsidP="000649FA">
            <w:pPr>
              <w:pStyle w:val="TableTextLeft"/>
              <w:jc w:val="right"/>
              <w:rPr>
                <w:rFonts w:cstheme="minorHAnsi"/>
              </w:rPr>
            </w:pPr>
            <w:r w:rsidRPr="00E20618">
              <w:rPr>
                <w:rFonts w:cstheme="minorHAnsi"/>
              </w:rPr>
              <w:t>49.5</w:t>
            </w:r>
          </w:p>
        </w:tc>
        <w:tc>
          <w:tcPr>
            <w:tcW w:w="996" w:type="dxa"/>
            <w:tcBorders>
              <w:top w:val="nil"/>
              <w:left w:val="nil"/>
              <w:bottom w:val="nil"/>
              <w:right w:val="nil"/>
            </w:tcBorders>
          </w:tcPr>
          <w:p w14:paraId="11CF7170" w14:textId="7EB7A264" w:rsidR="003F4980" w:rsidRPr="00E20618" w:rsidRDefault="003F4980" w:rsidP="000649FA">
            <w:pPr>
              <w:pStyle w:val="TableTextLeft"/>
              <w:jc w:val="right"/>
              <w:rPr>
                <w:rFonts w:cstheme="minorHAnsi"/>
              </w:rPr>
            </w:pPr>
            <w:r w:rsidRPr="00E20618">
              <w:rPr>
                <w:rFonts w:cstheme="minorHAnsi"/>
              </w:rPr>
              <w:t>42.6</w:t>
            </w:r>
          </w:p>
        </w:tc>
        <w:tc>
          <w:tcPr>
            <w:tcW w:w="996" w:type="dxa"/>
            <w:tcBorders>
              <w:top w:val="nil"/>
              <w:left w:val="nil"/>
              <w:bottom w:val="nil"/>
              <w:right w:val="single" w:sz="4" w:space="0" w:color="auto"/>
            </w:tcBorders>
          </w:tcPr>
          <w:p w14:paraId="5E3F7F59" w14:textId="0842CAC3" w:rsidR="003F4980" w:rsidRPr="00E20618" w:rsidRDefault="003F4980" w:rsidP="000649FA">
            <w:pPr>
              <w:pStyle w:val="TableTextLeft"/>
              <w:jc w:val="right"/>
              <w:rPr>
                <w:rFonts w:cstheme="minorHAnsi"/>
              </w:rPr>
            </w:pPr>
            <w:r w:rsidRPr="00E20618">
              <w:rPr>
                <w:rFonts w:cstheme="minorHAnsi"/>
              </w:rPr>
              <w:t>43.1</w:t>
            </w:r>
          </w:p>
        </w:tc>
        <w:tc>
          <w:tcPr>
            <w:tcW w:w="996" w:type="dxa"/>
            <w:tcBorders>
              <w:top w:val="nil"/>
              <w:left w:val="single" w:sz="4" w:space="0" w:color="auto"/>
              <w:bottom w:val="nil"/>
              <w:right w:val="nil"/>
            </w:tcBorders>
          </w:tcPr>
          <w:p w14:paraId="450552DF" w14:textId="36750E00" w:rsidR="003F4980" w:rsidRPr="00E20618" w:rsidRDefault="003F4980" w:rsidP="000649FA">
            <w:pPr>
              <w:pStyle w:val="TableTextLeft"/>
              <w:jc w:val="right"/>
              <w:rPr>
                <w:rFonts w:cstheme="minorHAnsi"/>
              </w:rPr>
            </w:pPr>
            <w:r w:rsidRPr="00E20618">
              <w:rPr>
                <w:rFonts w:cstheme="minorHAnsi"/>
              </w:rPr>
              <w:t>39.9</w:t>
            </w:r>
          </w:p>
        </w:tc>
      </w:tr>
      <w:tr w:rsidR="003F4980" w:rsidRPr="0080495D" w14:paraId="36A39F6A" w14:textId="77777777" w:rsidTr="00870149">
        <w:tc>
          <w:tcPr>
            <w:tcW w:w="3096" w:type="dxa"/>
            <w:tcBorders>
              <w:bottom w:val="single" w:sz="4" w:space="0" w:color="auto"/>
            </w:tcBorders>
          </w:tcPr>
          <w:p w14:paraId="2624AEDC"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6854FAB9" w14:textId="754088CD"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single" w:sz="4" w:space="0" w:color="auto"/>
              <w:right w:val="nil"/>
            </w:tcBorders>
            <w:shd w:val="clear" w:color="auto" w:fill="D2EDFF" w:themeFill="accent1" w:themeFillTint="1A"/>
          </w:tcPr>
          <w:p w14:paraId="1F236C04" w14:textId="234BBFF2" w:rsidR="003F4980" w:rsidRPr="00E20618" w:rsidRDefault="003F4980" w:rsidP="000649FA">
            <w:pPr>
              <w:pStyle w:val="TableTextLeft"/>
              <w:jc w:val="right"/>
              <w:rPr>
                <w:rFonts w:cstheme="minorHAnsi"/>
              </w:rPr>
            </w:pPr>
            <w:r w:rsidRPr="00E20618">
              <w:rPr>
                <w:rFonts w:cstheme="minorHAnsi"/>
              </w:rPr>
              <w:t>37.2</w:t>
            </w:r>
          </w:p>
        </w:tc>
        <w:tc>
          <w:tcPr>
            <w:tcW w:w="996" w:type="dxa"/>
            <w:tcBorders>
              <w:top w:val="nil"/>
              <w:left w:val="nil"/>
              <w:bottom w:val="single" w:sz="4" w:space="0" w:color="auto"/>
              <w:right w:val="nil"/>
            </w:tcBorders>
          </w:tcPr>
          <w:p w14:paraId="2CF3A301" w14:textId="650594BF"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single" w:sz="4" w:space="0" w:color="auto"/>
              <w:right w:val="nil"/>
            </w:tcBorders>
          </w:tcPr>
          <w:p w14:paraId="19C13721" w14:textId="00736133" w:rsidR="003F4980" w:rsidRPr="00E20618" w:rsidRDefault="003F4980" w:rsidP="000649FA">
            <w:pPr>
              <w:pStyle w:val="TableTextLeft"/>
              <w:jc w:val="right"/>
              <w:rPr>
                <w:rFonts w:cstheme="minorHAnsi"/>
              </w:rPr>
            </w:pPr>
            <w:r w:rsidRPr="00E20618">
              <w:rPr>
                <w:rFonts w:cstheme="minorHAnsi"/>
              </w:rPr>
              <w:t>34.8</w:t>
            </w:r>
          </w:p>
        </w:tc>
        <w:tc>
          <w:tcPr>
            <w:tcW w:w="996" w:type="dxa"/>
            <w:tcBorders>
              <w:top w:val="nil"/>
              <w:left w:val="nil"/>
              <w:bottom w:val="single" w:sz="4" w:space="0" w:color="auto"/>
              <w:right w:val="single" w:sz="4" w:space="0" w:color="auto"/>
            </w:tcBorders>
          </w:tcPr>
          <w:p w14:paraId="246CB7B2" w14:textId="5CACD071" w:rsidR="003F4980" w:rsidRPr="00E20618" w:rsidRDefault="003F4980" w:rsidP="000649FA">
            <w:pPr>
              <w:pStyle w:val="TableTextLeft"/>
              <w:jc w:val="right"/>
              <w:rPr>
                <w:rFonts w:cstheme="minorHAnsi"/>
              </w:rPr>
            </w:pPr>
            <w:r w:rsidRPr="00E20618">
              <w:rPr>
                <w:rFonts w:cstheme="minorHAnsi"/>
              </w:rPr>
              <w:t>35.2</w:t>
            </w:r>
          </w:p>
        </w:tc>
        <w:tc>
          <w:tcPr>
            <w:tcW w:w="996" w:type="dxa"/>
            <w:tcBorders>
              <w:top w:val="nil"/>
              <w:left w:val="single" w:sz="4" w:space="0" w:color="auto"/>
              <w:bottom w:val="single" w:sz="4" w:space="0" w:color="auto"/>
              <w:right w:val="nil"/>
            </w:tcBorders>
          </w:tcPr>
          <w:p w14:paraId="79CFDECF" w14:textId="6E230421" w:rsidR="003F4980" w:rsidRPr="00E20618" w:rsidRDefault="003F4980" w:rsidP="000649FA">
            <w:pPr>
              <w:pStyle w:val="TableTextLeft"/>
              <w:jc w:val="right"/>
              <w:rPr>
                <w:rFonts w:cstheme="minorHAnsi"/>
              </w:rPr>
            </w:pPr>
            <w:r w:rsidRPr="00E20618">
              <w:rPr>
                <w:rFonts w:cstheme="minorHAnsi"/>
              </w:rPr>
              <w:t>35</w:t>
            </w:r>
          </w:p>
        </w:tc>
      </w:tr>
      <w:tr w:rsidR="003F4980" w:rsidRPr="0080495D" w14:paraId="0467858D" w14:textId="77777777" w:rsidTr="00870149">
        <w:tc>
          <w:tcPr>
            <w:tcW w:w="3096" w:type="dxa"/>
            <w:tcBorders>
              <w:top w:val="single" w:sz="4" w:space="0" w:color="auto"/>
              <w:bottom w:val="nil"/>
            </w:tcBorders>
          </w:tcPr>
          <w:p w14:paraId="3E2774DB" w14:textId="04E753A9" w:rsidR="003F4980" w:rsidRPr="00363EFE" w:rsidRDefault="003F4980"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ABADD1D"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DC1560F"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3D0F63F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127A4DB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79039F7F"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1B0AB251" w14:textId="77777777" w:rsidR="003F4980" w:rsidRPr="00E20618" w:rsidRDefault="003F4980" w:rsidP="000649FA">
            <w:pPr>
              <w:pStyle w:val="TableTextLeft"/>
              <w:jc w:val="right"/>
              <w:rPr>
                <w:rFonts w:cstheme="minorHAnsi"/>
              </w:rPr>
            </w:pPr>
          </w:p>
        </w:tc>
      </w:tr>
      <w:tr w:rsidR="003F4980" w:rsidRPr="0080495D" w14:paraId="37B4652B" w14:textId="77777777" w:rsidTr="00870149">
        <w:tc>
          <w:tcPr>
            <w:tcW w:w="3096" w:type="dxa"/>
            <w:tcBorders>
              <w:top w:val="nil"/>
            </w:tcBorders>
          </w:tcPr>
          <w:p w14:paraId="127B279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9A9F278" w14:textId="68E343F6" w:rsidR="003F4980" w:rsidRPr="00E20618" w:rsidRDefault="003F4980" w:rsidP="000649FA">
            <w:pPr>
              <w:pStyle w:val="TableTextLeft"/>
              <w:jc w:val="right"/>
              <w:rPr>
                <w:rFonts w:cstheme="minorHAnsi"/>
              </w:rPr>
            </w:pPr>
            <w:r w:rsidRPr="00E20618">
              <w:rPr>
                <w:rFonts w:cstheme="minorHAnsi"/>
              </w:rPr>
              <w:t>29.5</w:t>
            </w:r>
          </w:p>
        </w:tc>
        <w:tc>
          <w:tcPr>
            <w:tcW w:w="996" w:type="dxa"/>
            <w:tcBorders>
              <w:top w:val="nil"/>
              <w:left w:val="nil"/>
              <w:bottom w:val="nil"/>
              <w:right w:val="nil"/>
            </w:tcBorders>
            <w:shd w:val="clear" w:color="auto" w:fill="D2EDFF" w:themeFill="accent1" w:themeFillTint="1A"/>
          </w:tcPr>
          <w:p w14:paraId="27C7A4AF" w14:textId="7FFAD8FB" w:rsidR="003F4980" w:rsidRPr="00E20618" w:rsidRDefault="003F4980" w:rsidP="000649FA">
            <w:pPr>
              <w:pStyle w:val="TableTextLeft"/>
              <w:jc w:val="right"/>
              <w:rPr>
                <w:rFonts w:cstheme="minorHAnsi"/>
              </w:rPr>
            </w:pPr>
            <w:r w:rsidRPr="00E20618">
              <w:rPr>
                <w:rFonts w:cstheme="minorHAnsi"/>
              </w:rPr>
              <w:t>25.7</w:t>
            </w:r>
          </w:p>
        </w:tc>
        <w:tc>
          <w:tcPr>
            <w:tcW w:w="996" w:type="dxa"/>
            <w:tcBorders>
              <w:top w:val="nil"/>
              <w:left w:val="nil"/>
              <w:bottom w:val="nil"/>
              <w:right w:val="nil"/>
            </w:tcBorders>
          </w:tcPr>
          <w:p w14:paraId="3105A52B" w14:textId="52192CAA" w:rsidR="003F4980" w:rsidRPr="00E20618" w:rsidRDefault="003F4980" w:rsidP="000649FA">
            <w:pPr>
              <w:pStyle w:val="TableTextLeft"/>
              <w:jc w:val="right"/>
              <w:rPr>
                <w:rFonts w:cstheme="minorHAnsi"/>
              </w:rPr>
            </w:pPr>
            <w:r w:rsidRPr="00E20618">
              <w:rPr>
                <w:rFonts w:cstheme="minorHAnsi"/>
              </w:rPr>
              <w:t>25.5</w:t>
            </w:r>
          </w:p>
        </w:tc>
        <w:tc>
          <w:tcPr>
            <w:tcW w:w="996" w:type="dxa"/>
            <w:tcBorders>
              <w:top w:val="nil"/>
              <w:left w:val="nil"/>
              <w:bottom w:val="nil"/>
              <w:right w:val="nil"/>
            </w:tcBorders>
          </w:tcPr>
          <w:p w14:paraId="409E230F" w14:textId="07D2500F" w:rsidR="003F4980" w:rsidRPr="00E20618" w:rsidRDefault="003F4980" w:rsidP="000649FA">
            <w:pPr>
              <w:pStyle w:val="TableTextLeft"/>
              <w:jc w:val="right"/>
              <w:rPr>
                <w:rFonts w:cstheme="minorHAnsi"/>
              </w:rPr>
            </w:pPr>
            <w:r w:rsidRPr="00E20618">
              <w:rPr>
                <w:rFonts w:cstheme="minorHAnsi"/>
              </w:rPr>
              <w:t>27.8</w:t>
            </w:r>
          </w:p>
        </w:tc>
        <w:tc>
          <w:tcPr>
            <w:tcW w:w="996" w:type="dxa"/>
            <w:tcBorders>
              <w:top w:val="nil"/>
              <w:left w:val="nil"/>
              <w:bottom w:val="nil"/>
              <w:right w:val="single" w:sz="4" w:space="0" w:color="auto"/>
            </w:tcBorders>
          </w:tcPr>
          <w:p w14:paraId="0DB3D862" w14:textId="41A9A509" w:rsidR="003F4980" w:rsidRPr="00E20618" w:rsidRDefault="003F4980" w:rsidP="000649FA">
            <w:pPr>
              <w:pStyle w:val="TableTextLeft"/>
              <w:jc w:val="right"/>
              <w:rPr>
                <w:rFonts w:cstheme="minorHAnsi"/>
              </w:rPr>
            </w:pPr>
            <w:r w:rsidRPr="00E20618">
              <w:rPr>
                <w:rFonts w:cstheme="minorHAnsi"/>
              </w:rPr>
              <w:t>27.2</w:t>
            </w:r>
          </w:p>
        </w:tc>
        <w:tc>
          <w:tcPr>
            <w:tcW w:w="996" w:type="dxa"/>
            <w:tcBorders>
              <w:top w:val="nil"/>
              <w:left w:val="single" w:sz="4" w:space="0" w:color="auto"/>
              <w:bottom w:val="nil"/>
              <w:right w:val="nil"/>
            </w:tcBorders>
          </w:tcPr>
          <w:p w14:paraId="4780EA96" w14:textId="7339730E" w:rsidR="003F4980" w:rsidRPr="00E20618" w:rsidRDefault="003F4980" w:rsidP="000649FA">
            <w:pPr>
              <w:pStyle w:val="TableTextLeft"/>
              <w:jc w:val="right"/>
              <w:rPr>
                <w:rFonts w:cstheme="minorHAnsi"/>
              </w:rPr>
            </w:pPr>
            <w:r w:rsidRPr="00E20618">
              <w:rPr>
                <w:rFonts w:cstheme="minorHAnsi"/>
              </w:rPr>
              <w:t>22.5</w:t>
            </w:r>
          </w:p>
        </w:tc>
      </w:tr>
      <w:tr w:rsidR="003F4980" w:rsidRPr="0080495D" w14:paraId="2DC8CD33" w14:textId="77777777" w:rsidTr="00870149">
        <w:tc>
          <w:tcPr>
            <w:tcW w:w="3096" w:type="dxa"/>
          </w:tcPr>
          <w:p w14:paraId="1E99F2F2"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1309FCF7" w14:textId="5C6067CC" w:rsidR="003F4980" w:rsidRPr="00E20618" w:rsidRDefault="003F4980" w:rsidP="000649FA">
            <w:pPr>
              <w:pStyle w:val="TableTextLeft"/>
              <w:jc w:val="right"/>
              <w:rPr>
                <w:rFonts w:cstheme="minorHAnsi"/>
              </w:rPr>
            </w:pPr>
            <w:r w:rsidRPr="00E20618">
              <w:rPr>
                <w:rFonts w:cstheme="minorHAnsi"/>
              </w:rPr>
              <w:t>17.5</w:t>
            </w:r>
          </w:p>
        </w:tc>
        <w:tc>
          <w:tcPr>
            <w:tcW w:w="996" w:type="dxa"/>
            <w:tcBorders>
              <w:top w:val="nil"/>
              <w:left w:val="nil"/>
              <w:bottom w:val="nil"/>
              <w:right w:val="nil"/>
            </w:tcBorders>
            <w:shd w:val="clear" w:color="auto" w:fill="D2EDFF" w:themeFill="accent1" w:themeFillTint="1A"/>
          </w:tcPr>
          <w:p w14:paraId="013A5B6A" w14:textId="7C0A521D" w:rsidR="003F4980" w:rsidRPr="00E20618" w:rsidRDefault="003F4980" w:rsidP="000649FA">
            <w:pPr>
              <w:pStyle w:val="TableTextLeft"/>
              <w:jc w:val="right"/>
              <w:rPr>
                <w:rFonts w:cstheme="minorHAnsi"/>
              </w:rPr>
            </w:pPr>
            <w:r w:rsidRPr="00E20618">
              <w:rPr>
                <w:rFonts w:cstheme="minorHAnsi"/>
              </w:rPr>
              <w:t>16.4</w:t>
            </w:r>
          </w:p>
        </w:tc>
        <w:tc>
          <w:tcPr>
            <w:tcW w:w="996" w:type="dxa"/>
            <w:tcBorders>
              <w:top w:val="nil"/>
              <w:left w:val="nil"/>
              <w:bottom w:val="nil"/>
              <w:right w:val="nil"/>
            </w:tcBorders>
          </w:tcPr>
          <w:p w14:paraId="36D19028" w14:textId="33A0849E" w:rsidR="003F4980" w:rsidRPr="00E20618" w:rsidRDefault="003F4980" w:rsidP="000649FA">
            <w:pPr>
              <w:pStyle w:val="TableTextLeft"/>
              <w:jc w:val="right"/>
              <w:rPr>
                <w:rFonts w:cstheme="minorHAnsi"/>
              </w:rPr>
            </w:pPr>
            <w:r w:rsidRPr="00E20618">
              <w:rPr>
                <w:rFonts w:cstheme="minorHAnsi"/>
              </w:rPr>
              <w:t>16.4</w:t>
            </w:r>
          </w:p>
        </w:tc>
        <w:tc>
          <w:tcPr>
            <w:tcW w:w="996" w:type="dxa"/>
            <w:tcBorders>
              <w:top w:val="nil"/>
              <w:left w:val="nil"/>
              <w:bottom w:val="nil"/>
              <w:right w:val="nil"/>
            </w:tcBorders>
          </w:tcPr>
          <w:p w14:paraId="20940D2D" w14:textId="6600F173" w:rsidR="003F4980" w:rsidRPr="00E20618" w:rsidRDefault="003F4980" w:rsidP="000649FA">
            <w:pPr>
              <w:pStyle w:val="TableTextLeft"/>
              <w:jc w:val="right"/>
              <w:rPr>
                <w:rFonts w:cstheme="minorHAnsi"/>
              </w:rPr>
            </w:pPr>
            <w:r w:rsidRPr="00E20618">
              <w:rPr>
                <w:rFonts w:cstheme="minorHAnsi"/>
              </w:rPr>
              <w:t>17.4</w:t>
            </w:r>
          </w:p>
        </w:tc>
        <w:tc>
          <w:tcPr>
            <w:tcW w:w="996" w:type="dxa"/>
            <w:tcBorders>
              <w:top w:val="nil"/>
              <w:left w:val="nil"/>
              <w:bottom w:val="nil"/>
              <w:right w:val="single" w:sz="4" w:space="0" w:color="auto"/>
            </w:tcBorders>
          </w:tcPr>
          <w:p w14:paraId="6ACA3097" w14:textId="042235D7" w:rsidR="003F4980" w:rsidRPr="00E20618" w:rsidRDefault="003F4980" w:rsidP="000649FA">
            <w:pPr>
              <w:pStyle w:val="TableTextLeft"/>
              <w:jc w:val="right"/>
              <w:rPr>
                <w:rFonts w:cstheme="minorHAnsi"/>
              </w:rPr>
            </w:pPr>
            <w:r w:rsidRPr="00E20618">
              <w:rPr>
                <w:rFonts w:cstheme="minorHAnsi"/>
              </w:rPr>
              <w:t>17.2</w:t>
            </w:r>
          </w:p>
        </w:tc>
        <w:tc>
          <w:tcPr>
            <w:tcW w:w="996" w:type="dxa"/>
            <w:tcBorders>
              <w:top w:val="nil"/>
              <w:left w:val="single" w:sz="4" w:space="0" w:color="auto"/>
              <w:bottom w:val="nil"/>
              <w:right w:val="nil"/>
            </w:tcBorders>
          </w:tcPr>
          <w:p w14:paraId="69B7085D" w14:textId="3210ADC2" w:rsidR="003F4980" w:rsidRPr="00E20618" w:rsidRDefault="003F4980" w:rsidP="000649FA">
            <w:pPr>
              <w:pStyle w:val="TableTextLeft"/>
              <w:jc w:val="right"/>
              <w:rPr>
                <w:rFonts w:cstheme="minorHAnsi"/>
              </w:rPr>
            </w:pPr>
            <w:r w:rsidRPr="00E20618">
              <w:rPr>
                <w:rFonts w:cstheme="minorHAnsi"/>
              </w:rPr>
              <w:t>15.5</w:t>
            </w:r>
          </w:p>
        </w:tc>
      </w:tr>
      <w:tr w:rsidR="003F4980" w:rsidRPr="0080495D" w14:paraId="354BCFA7" w14:textId="77777777" w:rsidTr="00870149">
        <w:tc>
          <w:tcPr>
            <w:tcW w:w="3096" w:type="dxa"/>
          </w:tcPr>
          <w:p w14:paraId="0B74E935"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1F235B44" w14:textId="605E11F0"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2A70FE58" w14:textId="088B2973" w:rsidR="003F4980" w:rsidRPr="00E20618" w:rsidRDefault="003F4980" w:rsidP="000649FA">
            <w:pPr>
              <w:pStyle w:val="TableTextLeft"/>
              <w:jc w:val="right"/>
              <w:rPr>
                <w:rFonts w:cstheme="minorHAnsi"/>
              </w:rPr>
            </w:pPr>
            <w:r w:rsidRPr="00E20618">
              <w:rPr>
                <w:rFonts w:cstheme="minorHAnsi"/>
              </w:rPr>
              <w:t>9.3</w:t>
            </w:r>
          </w:p>
        </w:tc>
        <w:tc>
          <w:tcPr>
            <w:tcW w:w="996" w:type="dxa"/>
            <w:tcBorders>
              <w:top w:val="nil"/>
              <w:left w:val="nil"/>
              <w:bottom w:val="nil"/>
              <w:right w:val="nil"/>
            </w:tcBorders>
          </w:tcPr>
          <w:p w14:paraId="4BDA4A1D" w14:textId="6E8B83B5" w:rsidR="003F4980" w:rsidRPr="00E20618" w:rsidRDefault="003F4980" w:rsidP="000649FA">
            <w:pPr>
              <w:pStyle w:val="TableTextLeft"/>
              <w:jc w:val="right"/>
              <w:rPr>
                <w:rFonts w:cstheme="minorHAnsi"/>
              </w:rPr>
            </w:pPr>
            <w:r w:rsidRPr="00E20618">
              <w:rPr>
                <w:rFonts w:cstheme="minorHAnsi"/>
              </w:rPr>
              <w:t>9.2</w:t>
            </w:r>
          </w:p>
        </w:tc>
        <w:tc>
          <w:tcPr>
            <w:tcW w:w="996" w:type="dxa"/>
            <w:tcBorders>
              <w:top w:val="nil"/>
              <w:left w:val="nil"/>
              <w:bottom w:val="nil"/>
              <w:right w:val="nil"/>
            </w:tcBorders>
          </w:tcPr>
          <w:p w14:paraId="105A13B4" w14:textId="73805F44" w:rsidR="003F4980" w:rsidRPr="00E20618" w:rsidRDefault="003F4980" w:rsidP="000649FA">
            <w:pPr>
              <w:pStyle w:val="TableTextLeft"/>
              <w:jc w:val="right"/>
              <w:rPr>
                <w:rFonts w:cstheme="minorHAnsi"/>
              </w:rPr>
            </w:pPr>
            <w:r w:rsidRPr="00E20618">
              <w:rPr>
                <w:rFonts w:cstheme="minorHAnsi"/>
              </w:rPr>
              <w:t>10.4</w:t>
            </w:r>
          </w:p>
        </w:tc>
        <w:tc>
          <w:tcPr>
            <w:tcW w:w="996" w:type="dxa"/>
            <w:tcBorders>
              <w:top w:val="nil"/>
              <w:left w:val="nil"/>
              <w:bottom w:val="nil"/>
              <w:right w:val="single" w:sz="4" w:space="0" w:color="auto"/>
            </w:tcBorders>
          </w:tcPr>
          <w:p w14:paraId="6AB299B5" w14:textId="38AFB3CA" w:rsidR="003F4980" w:rsidRPr="00E20618" w:rsidRDefault="003F4980" w:rsidP="000649FA">
            <w:pPr>
              <w:pStyle w:val="TableTextLeft"/>
              <w:jc w:val="right"/>
              <w:rPr>
                <w:rFonts w:cstheme="minorHAnsi"/>
              </w:rPr>
            </w:pPr>
            <w:r w:rsidRPr="00E20618">
              <w:rPr>
                <w:rFonts w:cstheme="minorHAnsi"/>
              </w:rPr>
              <w:t>10</w:t>
            </w:r>
          </w:p>
        </w:tc>
        <w:tc>
          <w:tcPr>
            <w:tcW w:w="996" w:type="dxa"/>
            <w:tcBorders>
              <w:top w:val="nil"/>
              <w:left w:val="single" w:sz="4" w:space="0" w:color="auto"/>
              <w:bottom w:val="nil"/>
              <w:right w:val="nil"/>
            </w:tcBorders>
          </w:tcPr>
          <w:p w14:paraId="60BFB33B" w14:textId="26E44556" w:rsidR="003F4980" w:rsidRPr="00E20618" w:rsidRDefault="003F4980" w:rsidP="000649FA">
            <w:pPr>
              <w:pStyle w:val="TableTextLeft"/>
              <w:jc w:val="right"/>
              <w:rPr>
                <w:rFonts w:cstheme="minorHAnsi"/>
              </w:rPr>
            </w:pPr>
            <w:r w:rsidRPr="00E20618">
              <w:rPr>
                <w:rFonts w:cstheme="minorHAnsi"/>
              </w:rPr>
              <w:t>6.9</w:t>
            </w:r>
          </w:p>
        </w:tc>
      </w:tr>
      <w:tr w:rsidR="003F4980" w:rsidRPr="0080495D" w14:paraId="11B2C960" w14:textId="77777777" w:rsidTr="00870149">
        <w:tc>
          <w:tcPr>
            <w:tcW w:w="3096" w:type="dxa"/>
          </w:tcPr>
          <w:p w14:paraId="3869FEC1" w14:textId="77777777" w:rsidR="003F4980" w:rsidRPr="00363EFE" w:rsidRDefault="003F4980"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555EF7B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752443B"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A1064F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11FE809F"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B991745"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6B1EA527" w14:textId="77777777" w:rsidR="003F4980" w:rsidRPr="00E20618" w:rsidRDefault="003F4980" w:rsidP="000649FA">
            <w:pPr>
              <w:pStyle w:val="TableTextLeft"/>
              <w:jc w:val="right"/>
              <w:rPr>
                <w:rFonts w:cstheme="minorHAnsi"/>
              </w:rPr>
            </w:pPr>
          </w:p>
        </w:tc>
      </w:tr>
      <w:tr w:rsidR="003F4980" w:rsidRPr="0080495D" w14:paraId="377A3E18" w14:textId="77777777" w:rsidTr="00870149">
        <w:tc>
          <w:tcPr>
            <w:tcW w:w="3096" w:type="dxa"/>
          </w:tcPr>
          <w:p w14:paraId="12E41343"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52C3AB55" w14:textId="4F7ABA9F" w:rsidR="003F4980" w:rsidRPr="00E20618" w:rsidRDefault="003F4980" w:rsidP="000649FA">
            <w:pPr>
              <w:pStyle w:val="TableTextLeft"/>
              <w:jc w:val="right"/>
              <w:rPr>
                <w:rFonts w:cstheme="minorHAnsi"/>
              </w:rPr>
            </w:pPr>
            <w:r w:rsidRPr="00E20618">
              <w:rPr>
                <w:rFonts w:cstheme="minorHAnsi"/>
              </w:rPr>
              <w:t>-13.1</w:t>
            </w:r>
          </w:p>
        </w:tc>
        <w:tc>
          <w:tcPr>
            <w:tcW w:w="996" w:type="dxa"/>
            <w:tcBorders>
              <w:top w:val="nil"/>
              <w:left w:val="nil"/>
              <w:bottom w:val="nil"/>
              <w:right w:val="nil"/>
            </w:tcBorders>
            <w:shd w:val="clear" w:color="auto" w:fill="D2EDFF" w:themeFill="accent1" w:themeFillTint="1A"/>
          </w:tcPr>
          <w:p w14:paraId="3790CC59" w14:textId="32206520" w:rsidR="003F4980" w:rsidRPr="00E20618" w:rsidRDefault="003F4980" w:rsidP="000649FA">
            <w:pPr>
              <w:pStyle w:val="TableTextLeft"/>
              <w:jc w:val="right"/>
              <w:rPr>
                <w:rFonts w:cstheme="minorHAnsi"/>
              </w:rPr>
            </w:pPr>
            <w:r w:rsidRPr="00E20618">
              <w:rPr>
                <w:rFonts w:cstheme="minorHAnsi"/>
              </w:rPr>
              <w:t>17.9</w:t>
            </w:r>
          </w:p>
        </w:tc>
        <w:tc>
          <w:tcPr>
            <w:tcW w:w="996" w:type="dxa"/>
            <w:tcBorders>
              <w:top w:val="nil"/>
              <w:left w:val="nil"/>
              <w:bottom w:val="nil"/>
              <w:right w:val="nil"/>
            </w:tcBorders>
          </w:tcPr>
          <w:p w14:paraId="48FC3E75" w14:textId="30873F15" w:rsidR="003F4980" w:rsidRPr="00E20618" w:rsidRDefault="003F4980" w:rsidP="000649FA">
            <w:pPr>
              <w:pStyle w:val="TableTextLeft"/>
              <w:jc w:val="right"/>
              <w:rPr>
                <w:rFonts w:cstheme="minorHAnsi"/>
              </w:rPr>
            </w:pPr>
            <w:r w:rsidRPr="00E20618">
              <w:rPr>
                <w:rFonts w:cstheme="minorHAnsi"/>
              </w:rPr>
              <w:t>32</w:t>
            </w:r>
          </w:p>
        </w:tc>
        <w:tc>
          <w:tcPr>
            <w:tcW w:w="996" w:type="dxa"/>
            <w:tcBorders>
              <w:top w:val="nil"/>
              <w:left w:val="nil"/>
              <w:bottom w:val="nil"/>
              <w:right w:val="nil"/>
            </w:tcBorders>
          </w:tcPr>
          <w:p w14:paraId="0FF4FD53" w14:textId="455EFD0D" w:rsidR="003F4980" w:rsidRPr="00E20618" w:rsidRDefault="003F4980" w:rsidP="000649FA">
            <w:pPr>
              <w:pStyle w:val="TableTextLeft"/>
              <w:jc w:val="right"/>
              <w:rPr>
                <w:rFonts w:cstheme="minorHAnsi"/>
              </w:rPr>
            </w:pPr>
            <w:r w:rsidRPr="00E20618">
              <w:rPr>
                <w:rFonts w:cstheme="minorHAnsi"/>
              </w:rPr>
              <w:t>28.7</w:t>
            </w:r>
          </w:p>
        </w:tc>
        <w:tc>
          <w:tcPr>
            <w:tcW w:w="996" w:type="dxa"/>
            <w:tcBorders>
              <w:top w:val="nil"/>
              <w:left w:val="nil"/>
              <w:bottom w:val="nil"/>
              <w:right w:val="single" w:sz="4" w:space="0" w:color="auto"/>
            </w:tcBorders>
          </w:tcPr>
          <w:p w14:paraId="44A7256E" w14:textId="7A4B27F6" w:rsidR="003F4980" w:rsidRPr="00E20618" w:rsidRDefault="003F4980" w:rsidP="000649FA">
            <w:pPr>
              <w:pStyle w:val="TableTextLeft"/>
              <w:jc w:val="right"/>
              <w:rPr>
                <w:rFonts w:cstheme="minorHAnsi"/>
              </w:rPr>
            </w:pPr>
            <w:r w:rsidRPr="00E20618">
              <w:rPr>
                <w:rFonts w:cstheme="minorHAnsi"/>
              </w:rPr>
              <w:t>29.8</w:t>
            </w:r>
          </w:p>
        </w:tc>
        <w:tc>
          <w:tcPr>
            <w:tcW w:w="996" w:type="dxa"/>
            <w:tcBorders>
              <w:top w:val="nil"/>
              <w:left w:val="single" w:sz="4" w:space="0" w:color="auto"/>
              <w:bottom w:val="nil"/>
              <w:right w:val="nil"/>
            </w:tcBorders>
          </w:tcPr>
          <w:p w14:paraId="5B53C35A" w14:textId="794B63DB" w:rsidR="003F4980" w:rsidRPr="00E20618" w:rsidRDefault="003F4980" w:rsidP="000649FA">
            <w:pPr>
              <w:pStyle w:val="TableTextLeft"/>
              <w:jc w:val="right"/>
              <w:rPr>
                <w:rFonts w:cstheme="minorHAnsi"/>
              </w:rPr>
            </w:pPr>
            <w:r w:rsidRPr="00E20618">
              <w:rPr>
                <w:rFonts w:cstheme="minorHAnsi"/>
              </w:rPr>
              <w:t>29.9</w:t>
            </w:r>
          </w:p>
        </w:tc>
      </w:tr>
      <w:tr w:rsidR="003F4980" w:rsidRPr="0080495D" w14:paraId="62C13846" w14:textId="77777777" w:rsidTr="00870149">
        <w:tc>
          <w:tcPr>
            <w:tcW w:w="3096" w:type="dxa"/>
          </w:tcPr>
          <w:p w14:paraId="67ACF5DC"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7160DC46" w14:textId="05AFFA1C" w:rsidR="003F4980" w:rsidRPr="00E20618" w:rsidRDefault="003F4980" w:rsidP="000649FA">
            <w:pPr>
              <w:pStyle w:val="TableTextLeft"/>
              <w:jc w:val="right"/>
              <w:rPr>
                <w:rFonts w:cstheme="minorHAnsi"/>
              </w:rPr>
            </w:pPr>
            <w:r w:rsidRPr="00E20618">
              <w:rPr>
                <w:rFonts w:cstheme="minorHAnsi"/>
              </w:rPr>
              <w:t>-9.6</w:t>
            </w:r>
          </w:p>
        </w:tc>
        <w:tc>
          <w:tcPr>
            <w:tcW w:w="996" w:type="dxa"/>
            <w:tcBorders>
              <w:top w:val="nil"/>
              <w:left w:val="nil"/>
              <w:bottom w:val="nil"/>
              <w:right w:val="nil"/>
            </w:tcBorders>
            <w:shd w:val="clear" w:color="auto" w:fill="D2EDFF" w:themeFill="accent1" w:themeFillTint="1A"/>
          </w:tcPr>
          <w:p w14:paraId="2BEF6417" w14:textId="5BADC558" w:rsidR="003F4980" w:rsidRPr="00E20618" w:rsidRDefault="003F4980" w:rsidP="000649FA">
            <w:pPr>
              <w:pStyle w:val="TableTextLeft"/>
              <w:jc w:val="right"/>
              <w:rPr>
                <w:rFonts w:cstheme="minorHAnsi"/>
              </w:rPr>
            </w:pPr>
            <w:r w:rsidRPr="00E20618">
              <w:rPr>
                <w:rFonts w:cstheme="minorHAnsi"/>
              </w:rPr>
              <w:t>10.5</w:t>
            </w:r>
          </w:p>
        </w:tc>
        <w:tc>
          <w:tcPr>
            <w:tcW w:w="996" w:type="dxa"/>
            <w:tcBorders>
              <w:top w:val="nil"/>
              <w:left w:val="nil"/>
              <w:bottom w:val="nil"/>
              <w:right w:val="nil"/>
            </w:tcBorders>
          </w:tcPr>
          <w:p w14:paraId="19DF872C" w14:textId="1594FDCF" w:rsidR="003F4980" w:rsidRPr="00E20618" w:rsidRDefault="003F4980" w:rsidP="000649FA">
            <w:pPr>
              <w:pStyle w:val="TableTextLeft"/>
              <w:jc w:val="right"/>
              <w:rPr>
                <w:rFonts w:cstheme="minorHAnsi"/>
              </w:rPr>
            </w:pPr>
            <w:r w:rsidRPr="00E20618">
              <w:rPr>
                <w:rFonts w:cstheme="minorHAnsi"/>
              </w:rPr>
              <w:t>19</w:t>
            </w:r>
          </w:p>
        </w:tc>
        <w:tc>
          <w:tcPr>
            <w:tcW w:w="996" w:type="dxa"/>
            <w:tcBorders>
              <w:top w:val="nil"/>
              <w:left w:val="nil"/>
              <w:bottom w:val="nil"/>
              <w:right w:val="nil"/>
            </w:tcBorders>
          </w:tcPr>
          <w:p w14:paraId="2F515B08" w14:textId="2C5B4D2A" w:rsidR="003F4980" w:rsidRPr="00E20618" w:rsidRDefault="003F4980" w:rsidP="000649FA">
            <w:pPr>
              <w:pStyle w:val="TableTextLeft"/>
              <w:jc w:val="right"/>
              <w:rPr>
                <w:rFonts w:cstheme="minorHAnsi"/>
              </w:rPr>
            </w:pPr>
            <w:r w:rsidRPr="00E20618">
              <w:rPr>
                <w:rFonts w:cstheme="minorHAnsi"/>
              </w:rPr>
              <w:t>16.8</w:t>
            </w:r>
          </w:p>
        </w:tc>
        <w:tc>
          <w:tcPr>
            <w:tcW w:w="996" w:type="dxa"/>
            <w:tcBorders>
              <w:top w:val="nil"/>
              <w:left w:val="nil"/>
              <w:bottom w:val="nil"/>
              <w:right w:val="single" w:sz="4" w:space="0" w:color="auto"/>
            </w:tcBorders>
          </w:tcPr>
          <w:p w14:paraId="5F1E16A6" w14:textId="776A527C" w:rsidR="003F4980" w:rsidRPr="00E20618" w:rsidRDefault="003F4980" w:rsidP="000649FA">
            <w:pPr>
              <w:pStyle w:val="TableTextLeft"/>
              <w:jc w:val="right"/>
              <w:rPr>
                <w:rFonts w:cstheme="minorHAnsi"/>
              </w:rPr>
            </w:pPr>
            <w:r w:rsidRPr="00E20618">
              <w:rPr>
                <w:rFonts w:cstheme="minorHAnsi"/>
              </w:rPr>
              <w:t>17.4</w:t>
            </w:r>
          </w:p>
        </w:tc>
        <w:tc>
          <w:tcPr>
            <w:tcW w:w="996" w:type="dxa"/>
            <w:tcBorders>
              <w:top w:val="nil"/>
              <w:left w:val="single" w:sz="4" w:space="0" w:color="auto"/>
              <w:bottom w:val="nil"/>
              <w:right w:val="nil"/>
            </w:tcBorders>
          </w:tcPr>
          <w:p w14:paraId="2057C8DB" w14:textId="117EB0EF" w:rsidR="003F4980" w:rsidRPr="00E20618" w:rsidRDefault="003F4980" w:rsidP="000649FA">
            <w:pPr>
              <w:pStyle w:val="TableTextLeft"/>
              <w:jc w:val="right"/>
              <w:rPr>
                <w:rFonts w:cstheme="minorHAnsi"/>
              </w:rPr>
            </w:pPr>
            <w:r w:rsidRPr="00E20618">
              <w:rPr>
                <w:rFonts w:cstheme="minorHAnsi"/>
              </w:rPr>
              <w:t>17.4</w:t>
            </w:r>
          </w:p>
        </w:tc>
      </w:tr>
      <w:tr w:rsidR="003F4980" w:rsidRPr="0080495D" w14:paraId="0D1A34B5" w14:textId="77777777" w:rsidTr="00870149">
        <w:tc>
          <w:tcPr>
            <w:tcW w:w="3096" w:type="dxa"/>
          </w:tcPr>
          <w:p w14:paraId="2998B08B"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nil"/>
              <w:right w:val="nil"/>
            </w:tcBorders>
          </w:tcPr>
          <w:p w14:paraId="61B9998A" w14:textId="4387A1D8" w:rsidR="003F4980" w:rsidRPr="00E20618" w:rsidRDefault="003F4980" w:rsidP="000649FA">
            <w:pPr>
              <w:pStyle w:val="TableTextLeft"/>
              <w:jc w:val="right"/>
              <w:rPr>
                <w:rFonts w:cstheme="minorHAnsi"/>
              </w:rPr>
            </w:pPr>
            <w:r w:rsidRPr="00E20618">
              <w:rPr>
                <w:rFonts w:cstheme="minorHAnsi"/>
              </w:rPr>
              <w:t>-3.5</w:t>
            </w:r>
          </w:p>
        </w:tc>
        <w:tc>
          <w:tcPr>
            <w:tcW w:w="996" w:type="dxa"/>
            <w:tcBorders>
              <w:top w:val="nil"/>
              <w:left w:val="nil"/>
              <w:bottom w:val="nil"/>
              <w:right w:val="nil"/>
            </w:tcBorders>
            <w:shd w:val="clear" w:color="auto" w:fill="D2EDFF" w:themeFill="accent1" w:themeFillTint="1A"/>
          </w:tcPr>
          <w:p w14:paraId="28442331" w14:textId="761F55A7" w:rsidR="003F4980" w:rsidRPr="00E20618" w:rsidRDefault="003F4980" w:rsidP="000649FA">
            <w:pPr>
              <w:pStyle w:val="TableTextLeft"/>
              <w:jc w:val="right"/>
              <w:rPr>
                <w:rFonts w:cstheme="minorHAnsi"/>
              </w:rPr>
            </w:pPr>
            <w:r w:rsidRPr="00E20618">
              <w:rPr>
                <w:rFonts w:cstheme="minorHAnsi"/>
              </w:rPr>
              <w:t>7.4</w:t>
            </w:r>
          </w:p>
        </w:tc>
        <w:tc>
          <w:tcPr>
            <w:tcW w:w="996" w:type="dxa"/>
            <w:tcBorders>
              <w:top w:val="nil"/>
              <w:left w:val="nil"/>
              <w:bottom w:val="nil"/>
              <w:right w:val="nil"/>
            </w:tcBorders>
          </w:tcPr>
          <w:p w14:paraId="5906E365" w14:textId="6959BB07"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784E764D" w14:textId="7EEDD2CF" w:rsidR="003F4980" w:rsidRPr="00E20618" w:rsidRDefault="003F4980" w:rsidP="000649FA">
            <w:pPr>
              <w:pStyle w:val="TableTextLeft"/>
              <w:jc w:val="right"/>
              <w:rPr>
                <w:rFonts w:cstheme="minorHAnsi"/>
              </w:rPr>
            </w:pPr>
            <w:r w:rsidRPr="00E20618">
              <w:rPr>
                <w:rFonts w:cstheme="minorHAnsi"/>
              </w:rPr>
              <w:t>11.9</w:t>
            </w:r>
          </w:p>
        </w:tc>
        <w:tc>
          <w:tcPr>
            <w:tcW w:w="996" w:type="dxa"/>
            <w:tcBorders>
              <w:top w:val="nil"/>
              <w:left w:val="nil"/>
              <w:bottom w:val="nil"/>
              <w:right w:val="single" w:sz="4" w:space="0" w:color="auto"/>
            </w:tcBorders>
          </w:tcPr>
          <w:p w14:paraId="751D554A" w14:textId="6B1AF0ED" w:rsidR="003F4980" w:rsidRPr="00E20618" w:rsidRDefault="003F4980" w:rsidP="000649FA">
            <w:pPr>
              <w:pStyle w:val="TableTextLeft"/>
              <w:jc w:val="right"/>
              <w:rPr>
                <w:rFonts w:cstheme="minorHAnsi"/>
              </w:rPr>
            </w:pPr>
            <w:r w:rsidRPr="00E20618">
              <w:rPr>
                <w:rFonts w:cstheme="minorHAnsi"/>
              </w:rPr>
              <w:t>12.4</w:t>
            </w:r>
          </w:p>
        </w:tc>
        <w:tc>
          <w:tcPr>
            <w:tcW w:w="996" w:type="dxa"/>
            <w:tcBorders>
              <w:top w:val="nil"/>
              <w:left w:val="single" w:sz="4" w:space="0" w:color="auto"/>
              <w:bottom w:val="nil"/>
              <w:right w:val="nil"/>
            </w:tcBorders>
          </w:tcPr>
          <w:p w14:paraId="015DF8B0" w14:textId="3A53638C" w:rsidR="003F4980" w:rsidRPr="00E20618" w:rsidRDefault="003F4980" w:rsidP="000649FA">
            <w:pPr>
              <w:pStyle w:val="TableTextLeft"/>
              <w:jc w:val="right"/>
              <w:rPr>
                <w:rFonts w:cstheme="minorHAnsi"/>
              </w:rPr>
            </w:pPr>
            <w:r w:rsidRPr="00E20618">
              <w:rPr>
                <w:rFonts w:cstheme="minorHAnsi"/>
              </w:rPr>
              <w:t>12.5</w:t>
            </w:r>
          </w:p>
        </w:tc>
      </w:tr>
      <w:tr w:rsidR="003F4980" w:rsidRPr="0080495D" w14:paraId="6C1F2A2E" w14:textId="77777777" w:rsidTr="00870149">
        <w:tc>
          <w:tcPr>
            <w:tcW w:w="3096" w:type="dxa"/>
          </w:tcPr>
          <w:p w14:paraId="4164C325" w14:textId="77777777" w:rsidR="003F4980" w:rsidRPr="00363EFE" w:rsidRDefault="003F4980"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519F3B0B"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4A8F9FF"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18BA62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571B29C"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15DDC3F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77B4BF63" w14:textId="77777777" w:rsidR="003F4980" w:rsidRPr="00E20618" w:rsidRDefault="003F4980" w:rsidP="000649FA">
            <w:pPr>
              <w:pStyle w:val="TableTextLeft"/>
              <w:jc w:val="right"/>
              <w:rPr>
                <w:rFonts w:cstheme="minorHAnsi"/>
              </w:rPr>
            </w:pPr>
          </w:p>
        </w:tc>
      </w:tr>
      <w:tr w:rsidR="003F4980" w:rsidRPr="0080495D" w14:paraId="7996964C" w14:textId="77777777" w:rsidTr="00870149">
        <w:tc>
          <w:tcPr>
            <w:tcW w:w="3096" w:type="dxa"/>
          </w:tcPr>
          <w:p w14:paraId="02A2123D" w14:textId="77777777" w:rsidR="003F4980" w:rsidRPr="00363EFE" w:rsidRDefault="003F4980" w:rsidP="00CF6797">
            <w:pPr>
              <w:pStyle w:val="TableTextLeft"/>
              <w:rPr>
                <w:color w:val="002C47" w:themeColor="accent1"/>
              </w:rPr>
            </w:pPr>
            <w:r w:rsidRPr="00363EFE">
              <w:rPr>
                <w:color w:val="002C47" w:themeColor="accent1"/>
              </w:rPr>
              <w:t>Queensland</w:t>
            </w:r>
          </w:p>
        </w:tc>
        <w:tc>
          <w:tcPr>
            <w:tcW w:w="996" w:type="dxa"/>
            <w:tcBorders>
              <w:top w:val="nil"/>
              <w:left w:val="nil"/>
              <w:bottom w:val="nil"/>
              <w:right w:val="nil"/>
            </w:tcBorders>
          </w:tcPr>
          <w:p w14:paraId="1EA25473" w14:textId="3168A702" w:rsidR="003F4980" w:rsidRPr="00E20618" w:rsidRDefault="003F4980" w:rsidP="000649FA">
            <w:pPr>
              <w:pStyle w:val="TableTextLeft"/>
              <w:jc w:val="right"/>
              <w:rPr>
                <w:rFonts w:cstheme="minorHAnsi"/>
              </w:rPr>
            </w:pPr>
            <w:r w:rsidRPr="00E20618">
              <w:rPr>
                <w:rFonts w:cstheme="minorHAnsi"/>
              </w:rPr>
              <w:t>31.2</w:t>
            </w:r>
          </w:p>
        </w:tc>
        <w:tc>
          <w:tcPr>
            <w:tcW w:w="996" w:type="dxa"/>
            <w:tcBorders>
              <w:top w:val="nil"/>
              <w:left w:val="nil"/>
              <w:bottom w:val="nil"/>
              <w:right w:val="nil"/>
            </w:tcBorders>
            <w:shd w:val="clear" w:color="auto" w:fill="D2EDFF" w:themeFill="accent1" w:themeFillTint="1A"/>
          </w:tcPr>
          <w:p w14:paraId="548E92A6" w14:textId="061286BF" w:rsidR="003F4980" w:rsidRPr="00E20618" w:rsidRDefault="003F4980" w:rsidP="000649FA">
            <w:pPr>
              <w:pStyle w:val="TableTextLeft"/>
              <w:jc w:val="right"/>
              <w:rPr>
                <w:rFonts w:cstheme="minorHAnsi"/>
              </w:rPr>
            </w:pPr>
            <w:r w:rsidRPr="00E20618">
              <w:rPr>
                <w:rFonts w:cstheme="minorHAnsi"/>
              </w:rPr>
              <w:t>40.4</w:t>
            </w:r>
          </w:p>
        </w:tc>
        <w:tc>
          <w:tcPr>
            <w:tcW w:w="996" w:type="dxa"/>
            <w:tcBorders>
              <w:top w:val="nil"/>
              <w:left w:val="nil"/>
              <w:bottom w:val="nil"/>
              <w:right w:val="nil"/>
            </w:tcBorders>
          </w:tcPr>
          <w:p w14:paraId="7C9CD719" w14:textId="0512A444" w:rsidR="003F4980" w:rsidRPr="00E20618" w:rsidRDefault="003F4980" w:rsidP="000649FA">
            <w:pPr>
              <w:pStyle w:val="TableTextLeft"/>
              <w:jc w:val="right"/>
              <w:rPr>
                <w:rFonts w:cstheme="minorHAnsi"/>
              </w:rPr>
            </w:pPr>
            <w:r w:rsidRPr="00E20618">
              <w:rPr>
                <w:rFonts w:cstheme="minorHAnsi"/>
              </w:rPr>
              <w:t>30.6</w:t>
            </w:r>
          </w:p>
        </w:tc>
        <w:tc>
          <w:tcPr>
            <w:tcW w:w="996" w:type="dxa"/>
            <w:tcBorders>
              <w:top w:val="nil"/>
              <w:left w:val="nil"/>
              <w:bottom w:val="nil"/>
              <w:right w:val="nil"/>
            </w:tcBorders>
          </w:tcPr>
          <w:p w14:paraId="27F4D065" w14:textId="721BB814"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single" w:sz="4" w:space="0" w:color="auto"/>
            </w:tcBorders>
          </w:tcPr>
          <w:p w14:paraId="75EB8556" w14:textId="26A60571" w:rsidR="003F4980" w:rsidRPr="00E20618" w:rsidRDefault="003F4980" w:rsidP="000649FA">
            <w:pPr>
              <w:pStyle w:val="TableTextLeft"/>
              <w:jc w:val="right"/>
              <w:rPr>
                <w:rFonts w:cstheme="minorHAnsi"/>
              </w:rPr>
            </w:pPr>
            <w:r w:rsidRPr="00E20618">
              <w:rPr>
                <w:rFonts w:cstheme="minorHAnsi"/>
              </w:rPr>
              <w:t>21.2</w:t>
            </w:r>
          </w:p>
        </w:tc>
        <w:tc>
          <w:tcPr>
            <w:tcW w:w="996" w:type="dxa"/>
            <w:tcBorders>
              <w:top w:val="nil"/>
              <w:left w:val="single" w:sz="4" w:space="0" w:color="auto"/>
              <w:bottom w:val="nil"/>
              <w:right w:val="nil"/>
            </w:tcBorders>
          </w:tcPr>
          <w:p w14:paraId="67671B7E" w14:textId="050C3965" w:rsidR="003F4980" w:rsidRPr="00E20618" w:rsidRDefault="003F4980" w:rsidP="000649FA">
            <w:pPr>
              <w:pStyle w:val="TableTextLeft"/>
              <w:jc w:val="right"/>
              <w:rPr>
                <w:rFonts w:cstheme="minorHAnsi"/>
              </w:rPr>
            </w:pPr>
            <w:r w:rsidRPr="00E20618">
              <w:rPr>
                <w:rFonts w:cstheme="minorHAnsi"/>
              </w:rPr>
              <w:t>22.5</w:t>
            </w:r>
          </w:p>
        </w:tc>
      </w:tr>
      <w:tr w:rsidR="003F4980" w:rsidRPr="0080495D" w14:paraId="70534222" w14:textId="77777777" w:rsidTr="00870149">
        <w:tc>
          <w:tcPr>
            <w:tcW w:w="3096" w:type="dxa"/>
          </w:tcPr>
          <w:p w14:paraId="2110E689"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2068D23D" w14:textId="16FE40B0"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shd w:val="clear" w:color="auto" w:fill="D2EDFF" w:themeFill="accent1" w:themeFillTint="1A"/>
          </w:tcPr>
          <w:p w14:paraId="70563809" w14:textId="4956EBCA" w:rsidR="003F4980" w:rsidRPr="00E20618" w:rsidRDefault="003F4980" w:rsidP="000649FA">
            <w:pPr>
              <w:pStyle w:val="TableTextLeft"/>
              <w:jc w:val="right"/>
              <w:rPr>
                <w:rFonts w:cstheme="minorHAnsi"/>
              </w:rPr>
            </w:pPr>
            <w:r w:rsidRPr="00E20618">
              <w:rPr>
                <w:rFonts w:cstheme="minorHAnsi"/>
              </w:rPr>
              <w:t>19.9</w:t>
            </w:r>
          </w:p>
        </w:tc>
        <w:tc>
          <w:tcPr>
            <w:tcW w:w="996" w:type="dxa"/>
            <w:tcBorders>
              <w:top w:val="nil"/>
              <w:left w:val="nil"/>
              <w:bottom w:val="nil"/>
              <w:right w:val="nil"/>
            </w:tcBorders>
          </w:tcPr>
          <w:p w14:paraId="36B0B538" w14:textId="7744F4CC" w:rsidR="003F4980" w:rsidRPr="00E20618" w:rsidRDefault="003F4980" w:rsidP="000649FA">
            <w:pPr>
              <w:pStyle w:val="TableTextLeft"/>
              <w:jc w:val="right"/>
              <w:rPr>
                <w:rFonts w:cstheme="minorHAnsi"/>
              </w:rPr>
            </w:pPr>
            <w:r w:rsidRPr="00E20618">
              <w:rPr>
                <w:rFonts w:cstheme="minorHAnsi"/>
              </w:rPr>
              <w:t>14.2</w:t>
            </w:r>
          </w:p>
        </w:tc>
        <w:tc>
          <w:tcPr>
            <w:tcW w:w="996" w:type="dxa"/>
            <w:tcBorders>
              <w:top w:val="nil"/>
              <w:left w:val="nil"/>
              <w:bottom w:val="nil"/>
              <w:right w:val="nil"/>
            </w:tcBorders>
          </w:tcPr>
          <w:p w14:paraId="3424FA3D" w14:textId="09342028"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single" w:sz="4" w:space="0" w:color="auto"/>
            </w:tcBorders>
          </w:tcPr>
          <w:p w14:paraId="09A0C849" w14:textId="4EDEF0BB"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single" w:sz="4" w:space="0" w:color="auto"/>
              <w:bottom w:val="nil"/>
              <w:right w:val="nil"/>
            </w:tcBorders>
          </w:tcPr>
          <w:p w14:paraId="78304EFD" w14:textId="203DBABF" w:rsidR="003F4980" w:rsidRPr="00E20618" w:rsidRDefault="003F4980" w:rsidP="000649FA">
            <w:pPr>
              <w:pStyle w:val="TableTextLeft"/>
              <w:jc w:val="right"/>
              <w:rPr>
                <w:rFonts w:cstheme="minorHAnsi"/>
              </w:rPr>
            </w:pPr>
            <w:r w:rsidRPr="00E20618">
              <w:rPr>
                <w:rFonts w:cstheme="minorHAnsi"/>
              </w:rPr>
              <w:t>7</w:t>
            </w:r>
          </w:p>
        </w:tc>
      </w:tr>
      <w:tr w:rsidR="003F4980" w:rsidRPr="0080495D" w14:paraId="43E03568" w14:textId="77777777" w:rsidTr="00870149">
        <w:tc>
          <w:tcPr>
            <w:tcW w:w="3096" w:type="dxa"/>
            <w:tcBorders>
              <w:bottom w:val="single" w:sz="4" w:space="0" w:color="auto"/>
            </w:tcBorders>
          </w:tcPr>
          <w:p w14:paraId="451D06DD"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059D3783" w14:textId="48F12CBC" w:rsidR="003F4980" w:rsidRPr="00E20618" w:rsidRDefault="003F4980" w:rsidP="000649FA">
            <w:pPr>
              <w:pStyle w:val="TableTextLeft"/>
              <w:jc w:val="right"/>
              <w:rPr>
                <w:rFonts w:cstheme="minorHAnsi"/>
              </w:rPr>
            </w:pPr>
            <w:r w:rsidRPr="00E20618">
              <w:rPr>
                <w:rFonts w:cstheme="minorHAnsi"/>
              </w:rPr>
              <w:t>16.1</w:t>
            </w:r>
          </w:p>
        </w:tc>
        <w:tc>
          <w:tcPr>
            <w:tcW w:w="996" w:type="dxa"/>
            <w:tcBorders>
              <w:top w:val="nil"/>
              <w:left w:val="nil"/>
              <w:bottom w:val="single" w:sz="4" w:space="0" w:color="auto"/>
              <w:right w:val="nil"/>
            </w:tcBorders>
            <w:shd w:val="clear" w:color="auto" w:fill="D2EDFF" w:themeFill="accent1" w:themeFillTint="1A"/>
          </w:tcPr>
          <w:p w14:paraId="7B674D4A" w14:textId="3767025F" w:rsidR="003F4980" w:rsidRPr="00E20618" w:rsidRDefault="003F4980" w:rsidP="000649FA">
            <w:pPr>
              <w:pStyle w:val="TableTextLeft"/>
              <w:jc w:val="right"/>
              <w:rPr>
                <w:rFonts w:cstheme="minorHAnsi"/>
              </w:rPr>
            </w:pPr>
            <w:r w:rsidRPr="00E20618">
              <w:rPr>
                <w:rFonts w:cstheme="minorHAnsi"/>
              </w:rPr>
              <w:t>20.4</w:t>
            </w:r>
          </w:p>
        </w:tc>
        <w:tc>
          <w:tcPr>
            <w:tcW w:w="996" w:type="dxa"/>
            <w:tcBorders>
              <w:top w:val="nil"/>
              <w:left w:val="nil"/>
              <w:bottom w:val="single" w:sz="4" w:space="0" w:color="auto"/>
              <w:right w:val="nil"/>
            </w:tcBorders>
          </w:tcPr>
          <w:p w14:paraId="450D12A2" w14:textId="7FB30ADA" w:rsidR="003F4980" w:rsidRPr="00E20618" w:rsidRDefault="003F4980" w:rsidP="000649FA">
            <w:pPr>
              <w:pStyle w:val="TableTextLeft"/>
              <w:jc w:val="right"/>
              <w:rPr>
                <w:rFonts w:cstheme="minorHAnsi"/>
              </w:rPr>
            </w:pPr>
            <w:r w:rsidRPr="00E20618">
              <w:rPr>
                <w:rFonts w:cstheme="minorHAnsi"/>
              </w:rPr>
              <w:t>16.5</w:t>
            </w:r>
          </w:p>
        </w:tc>
        <w:tc>
          <w:tcPr>
            <w:tcW w:w="996" w:type="dxa"/>
            <w:tcBorders>
              <w:top w:val="nil"/>
              <w:left w:val="nil"/>
              <w:bottom w:val="single" w:sz="4" w:space="0" w:color="auto"/>
              <w:right w:val="nil"/>
            </w:tcBorders>
          </w:tcPr>
          <w:p w14:paraId="2190A958" w14:textId="29B3D7AF" w:rsidR="003F4980" w:rsidRPr="00E20618" w:rsidRDefault="003F4980" w:rsidP="000649FA">
            <w:pPr>
              <w:pStyle w:val="TableTextLeft"/>
              <w:jc w:val="right"/>
              <w:rPr>
                <w:rFonts w:cstheme="minorHAnsi"/>
              </w:rPr>
            </w:pPr>
            <w:r w:rsidRPr="00E20618">
              <w:rPr>
                <w:rFonts w:cstheme="minorHAnsi"/>
              </w:rPr>
              <w:t>12.5</w:t>
            </w:r>
          </w:p>
        </w:tc>
        <w:tc>
          <w:tcPr>
            <w:tcW w:w="996" w:type="dxa"/>
            <w:tcBorders>
              <w:top w:val="nil"/>
              <w:left w:val="nil"/>
              <w:bottom w:val="single" w:sz="4" w:space="0" w:color="auto"/>
              <w:right w:val="single" w:sz="4" w:space="0" w:color="auto"/>
            </w:tcBorders>
          </w:tcPr>
          <w:p w14:paraId="45BD5C4D" w14:textId="2E917267" w:rsidR="003F4980" w:rsidRPr="00E20618" w:rsidRDefault="003F4980" w:rsidP="000649FA">
            <w:pPr>
              <w:pStyle w:val="TableTextLeft"/>
              <w:jc w:val="right"/>
              <w:rPr>
                <w:rFonts w:cstheme="minorHAnsi"/>
              </w:rPr>
            </w:pPr>
            <w:r w:rsidRPr="00E20618">
              <w:rPr>
                <w:rFonts w:cstheme="minorHAnsi"/>
              </w:rPr>
              <w:t>12.8</w:t>
            </w:r>
          </w:p>
        </w:tc>
        <w:tc>
          <w:tcPr>
            <w:tcW w:w="996" w:type="dxa"/>
            <w:tcBorders>
              <w:top w:val="nil"/>
              <w:left w:val="single" w:sz="4" w:space="0" w:color="auto"/>
              <w:bottom w:val="single" w:sz="4" w:space="0" w:color="auto"/>
              <w:right w:val="nil"/>
            </w:tcBorders>
          </w:tcPr>
          <w:p w14:paraId="0C8ACCD1" w14:textId="231A647C" w:rsidR="003F4980" w:rsidRPr="00E20618" w:rsidRDefault="003F4980" w:rsidP="000649FA">
            <w:pPr>
              <w:pStyle w:val="TableTextLeft"/>
              <w:jc w:val="right"/>
              <w:rPr>
                <w:rFonts w:cstheme="minorHAnsi"/>
              </w:rPr>
            </w:pPr>
            <w:r w:rsidRPr="00E20618">
              <w:rPr>
                <w:rFonts w:cstheme="minorHAnsi"/>
              </w:rPr>
              <w:t>15.5</w:t>
            </w:r>
          </w:p>
        </w:tc>
      </w:tr>
      <w:tr w:rsidR="003F4980" w:rsidRPr="0080495D" w14:paraId="38E15A39" w14:textId="77777777" w:rsidTr="00870149">
        <w:tc>
          <w:tcPr>
            <w:tcW w:w="3096" w:type="dxa"/>
            <w:tcBorders>
              <w:top w:val="single" w:sz="4" w:space="0" w:color="auto"/>
              <w:bottom w:val="nil"/>
            </w:tcBorders>
          </w:tcPr>
          <w:p w14:paraId="0B6DBB90" w14:textId="77777777" w:rsidR="003F4980" w:rsidRPr="00363EFE" w:rsidRDefault="003F4980"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0BC1428E"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102300C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9E0A45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A0C4D62"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3501648C"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117B0E54" w14:textId="77777777" w:rsidR="003F4980" w:rsidRPr="00E20618" w:rsidRDefault="003F4980" w:rsidP="000649FA">
            <w:pPr>
              <w:pStyle w:val="TableTextLeft"/>
              <w:jc w:val="right"/>
              <w:rPr>
                <w:rFonts w:cstheme="minorHAnsi"/>
              </w:rPr>
            </w:pPr>
          </w:p>
        </w:tc>
      </w:tr>
      <w:tr w:rsidR="003F4980" w:rsidRPr="0080495D" w14:paraId="2A2354BC" w14:textId="77777777" w:rsidTr="00870149">
        <w:tc>
          <w:tcPr>
            <w:tcW w:w="3096" w:type="dxa"/>
            <w:tcBorders>
              <w:bottom w:val="nil"/>
            </w:tcBorders>
          </w:tcPr>
          <w:p w14:paraId="384F0EE7" w14:textId="77777777" w:rsidR="003F4980" w:rsidRPr="00363EFE" w:rsidRDefault="003F4980" w:rsidP="00CF6797">
            <w:pPr>
              <w:pStyle w:val="TableTextLeft"/>
              <w:rPr>
                <w:i/>
                <w:iCs/>
                <w:color w:val="002C47" w:themeColor="accent1"/>
              </w:rPr>
            </w:pPr>
            <w:r w:rsidRPr="00363EFE">
              <w:rPr>
                <w:color w:val="002C47" w:themeColor="accent1"/>
              </w:rPr>
              <w:t>Queensland</w:t>
            </w:r>
          </w:p>
        </w:tc>
        <w:tc>
          <w:tcPr>
            <w:tcW w:w="996" w:type="dxa"/>
            <w:tcBorders>
              <w:top w:val="nil"/>
              <w:left w:val="nil"/>
              <w:bottom w:val="nil"/>
              <w:right w:val="nil"/>
            </w:tcBorders>
          </w:tcPr>
          <w:p w14:paraId="4BFB97B9" w14:textId="4227CD70" w:rsidR="003F4980" w:rsidRPr="00E20618" w:rsidRDefault="003F4980" w:rsidP="000649FA">
            <w:pPr>
              <w:pStyle w:val="TableTextLeft"/>
              <w:jc w:val="right"/>
              <w:rPr>
                <w:rFonts w:cstheme="minorHAnsi"/>
              </w:rPr>
            </w:pPr>
            <w:r w:rsidRPr="00E20618">
              <w:rPr>
                <w:rFonts w:cstheme="minorHAnsi"/>
              </w:rPr>
              <w:t>38.4</w:t>
            </w:r>
          </w:p>
        </w:tc>
        <w:tc>
          <w:tcPr>
            <w:tcW w:w="996" w:type="dxa"/>
            <w:tcBorders>
              <w:top w:val="nil"/>
              <w:left w:val="nil"/>
              <w:bottom w:val="nil"/>
              <w:right w:val="nil"/>
            </w:tcBorders>
            <w:shd w:val="clear" w:color="auto" w:fill="D2EDFF" w:themeFill="accent1" w:themeFillTint="1A"/>
          </w:tcPr>
          <w:p w14:paraId="0DF86BF4" w14:textId="20FFE1ED"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nil"/>
            </w:tcBorders>
          </w:tcPr>
          <w:p w14:paraId="0E5217A8" w14:textId="55AA3381" w:rsidR="003F4980" w:rsidRPr="00E20618" w:rsidRDefault="003F4980" w:rsidP="000649FA">
            <w:pPr>
              <w:pStyle w:val="TableTextLeft"/>
              <w:jc w:val="right"/>
              <w:rPr>
                <w:rFonts w:cstheme="minorHAnsi"/>
              </w:rPr>
            </w:pPr>
            <w:r w:rsidRPr="00E20618">
              <w:rPr>
                <w:rFonts w:cstheme="minorHAnsi"/>
              </w:rPr>
              <w:t>38.7</w:t>
            </w:r>
          </w:p>
        </w:tc>
        <w:tc>
          <w:tcPr>
            <w:tcW w:w="996" w:type="dxa"/>
            <w:tcBorders>
              <w:top w:val="nil"/>
              <w:left w:val="nil"/>
              <w:bottom w:val="nil"/>
              <w:right w:val="nil"/>
            </w:tcBorders>
          </w:tcPr>
          <w:p w14:paraId="7E623B5B" w14:textId="342F097A" w:rsidR="003F4980" w:rsidRPr="00E20618" w:rsidRDefault="003F4980" w:rsidP="000649FA">
            <w:pPr>
              <w:pStyle w:val="TableTextLeft"/>
              <w:jc w:val="right"/>
              <w:rPr>
                <w:rFonts w:cstheme="minorHAnsi"/>
              </w:rPr>
            </w:pPr>
            <w:r w:rsidRPr="00E20618">
              <w:rPr>
                <w:rFonts w:cstheme="minorHAnsi"/>
              </w:rPr>
              <w:t>38.9</w:t>
            </w:r>
          </w:p>
        </w:tc>
        <w:tc>
          <w:tcPr>
            <w:tcW w:w="996" w:type="dxa"/>
            <w:tcBorders>
              <w:top w:val="nil"/>
              <w:left w:val="nil"/>
              <w:bottom w:val="nil"/>
              <w:right w:val="single" w:sz="4" w:space="0" w:color="auto"/>
            </w:tcBorders>
          </w:tcPr>
          <w:p w14:paraId="198BFC29" w14:textId="7D1B6BE9" w:rsidR="003F4980" w:rsidRPr="00E20618" w:rsidRDefault="003F4980" w:rsidP="000649FA">
            <w:pPr>
              <w:pStyle w:val="TableTextLeft"/>
              <w:jc w:val="right"/>
              <w:rPr>
                <w:rFonts w:cstheme="minorHAnsi"/>
              </w:rPr>
            </w:pPr>
            <w:r w:rsidRPr="00E20618">
              <w:rPr>
                <w:rFonts w:cstheme="minorHAnsi"/>
              </w:rPr>
              <w:t>39.1</w:t>
            </w:r>
          </w:p>
        </w:tc>
        <w:tc>
          <w:tcPr>
            <w:tcW w:w="996" w:type="dxa"/>
            <w:tcBorders>
              <w:top w:val="nil"/>
              <w:left w:val="single" w:sz="4" w:space="0" w:color="auto"/>
              <w:bottom w:val="nil"/>
              <w:right w:val="nil"/>
            </w:tcBorders>
          </w:tcPr>
          <w:p w14:paraId="2A556C2A" w14:textId="63703741" w:rsidR="003F4980" w:rsidRPr="00E20618" w:rsidRDefault="003F4980" w:rsidP="000649FA">
            <w:pPr>
              <w:pStyle w:val="TableTextLeft"/>
              <w:jc w:val="right"/>
              <w:rPr>
                <w:rFonts w:cstheme="minorHAnsi"/>
              </w:rPr>
            </w:pPr>
            <w:r w:rsidRPr="00E20618">
              <w:rPr>
                <w:rFonts w:cstheme="minorHAnsi"/>
              </w:rPr>
              <w:t>40.5</w:t>
            </w:r>
          </w:p>
        </w:tc>
      </w:tr>
      <w:tr w:rsidR="003F4980" w:rsidRPr="0080495D" w14:paraId="5D08D081" w14:textId="77777777" w:rsidTr="00870149">
        <w:tc>
          <w:tcPr>
            <w:tcW w:w="3096" w:type="dxa"/>
            <w:tcBorders>
              <w:bottom w:val="nil"/>
            </w:tcBorders>
          </w:tcPr>
          <w:p w14:paraId="28768318" w14:textId="77777777" w:rsidR="003F4980" w:rsidRPr="00363EFE" w:rsidRDefault="003F4980" w:rsidP="00CF6797">
            <w:pPr>
              <w:pStyle w:val="Tabletextleftindent"/>
              <w:rPr>
                <w:color w:val="002C47" w:themeColor="accent1"/>
              </w:rPr>
            </w:pPr>
            <w:r w:rsidRPr="00363EFE">
              <w:rPr>
                <w:color w:val="002C47" w:themeColor="accent1"/>
              </w:rPr>
              <w:t>Greater Brisbane</w:t>
            </w:r>
          </w:p>
        </w:tc>
        <w:tc>
          <w:tcPr>
            <w:tcW w:w="996" w:type="dxa"/>
            <w:tcBorders>
              <w:top w:val="nil"/>
              <w:left w:val="nil"/>
              <w:bottom w:val="nil"/>
              <w:right w:val="nil"/>
            </w:tcBorders>
          </w:tcPr>
          <w:p w14:paraId="658FFE8B" w14:textId="425C1356" w:rsidR="003F4980" w:rsidRPr="00E20618" w:rsidRDefault="003F4980" w:rsidP="000649FA">
            <w:pPr>
              <w:pStyle w:val="TableTextLeft"/>
              <w:jc w:val="right"/>
              <w:rPr>
                <w:rFonts w:cstheme="minorHAnsi"/>
              </w:rPr>
            </w:pPr>
            <w:r w:rsidRPr="00E20618">
              <w:rPr>
                <w:rFonts w:cstheme="minorHAnsi"/>
              </w:rPr>
              <w:t>36.5</w:t>
            </w:r>
          </w:p>
        </w:tc>
        <w:tc>
          <w:tcPr>
            <w:tcW w:w="996" w:type="dxa"/>
            <w:tcBorders>
              <w:top w:val="nil"/>
              <w:left w:val="nil"/>
              <w:bottom w:val="nil"/>
              <w:right w:val="nil"/>
            </w:tcBorders>
            <w:shd w:val="clear" w:color="auto" w:fill="D2EDFF" w:themeFill="accent1" w:themeFillTint="1A"/>
          </w:tcPr>
          <w:p w14:paraId="6024F7A1" w14:textId="0870184B" w:rsidR="003F4980" w:rsidRPr="00E20618" w:rsidRDefault="003F4980" w:rsidP="000649FA">
            <w:pPr>
              <w:pStyle w:val="TableTextLeft"/>
              <w:jc w:val="right"/>
              <w:rPr>
                <w:rFonts w:cstheme="minorHAnsi"/>
              </w:rPr>
            </w:pPr>
            <w:r w:rsidRPr="00E20618">
              <w:rPr>
                <w:rFonts w:cstheme="minorHAnsi"/>
              </w:rPr>
              <w:t>36.7</w:t>
            </w:r>
          </w:p>
        </w:tc>
        <w:tc>
          <w:tcPr>
            <w:tcW w:w="996" w:type="dxa"/>
            <w:tcBorders>
              <w:top w:val="nil"/>
              <w:left w:val="nil"/>
              <w:bottom w:val="nil"/>
              <w:right w:val="nil"/>
            </w:tcBorders>
          </w:tcPr>
          <w:p w14:paraId="053CD33A" w14:textId="4B57E5D1" w:rsidR="003F4980" w:rsidRPr="00E20618" w:rsidRDefault="003F4980" w:rsidP="000649FA">
            <w:pPr>
              <w:pStyle w:val="TableTextLeft"/>
              <w:jc w:val="right"/>
              <w:rPr>
                <w:rFonts w:cstheme="minorHAnsi"/>
              </w:rPr>
            </w:pPr>
            <w:r w:rsidRPr="00E20618">
              <w:rPr>
                <w:rFonts w:cstheme="minorHAnsi"/>
              </w:rPr>
              <w:t>36.8</w:t>
            </w:r>
          </w:p>
        </w:tc>
        <w:tc>
          <w:tcPr>
            <w:tcW w:w="996" w:type="dxa"/>
            <w:tcBorders>
              <w:top w:val="nil"/>
              <w:left w:val="nil"/>
              <w:bottom w:val="nil"/>
              <w:right w:val="nil"/>
            </w:tcBorders>
          </w:tcPr>
          <w:p w14:paraId="09801597" w14:textId="7077B3B1"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single" w:sz="4" w:space="0" w:color="auto"/>
            </w:tcBorders>
          </w:tcPr>
          <w:p w14:paraId="11C8FA34" w14:textId="0CD669D4" w:rsidR="003F4980" w:rsidRPr="00E20618" w:rsidRDefault="003F4980" w:rsidP="000649FA">
            <w:pPr>
              <w:pStyle w:val="TableTextLeft"/>
              <w:jc w:val="right"/>
              <w:rPr>
                <w:rFonts w:cstheme="minorHAnsi"/>
              </w:rPr>
            </w:pPr>
            <w:r w:rsidRPr="00E20618">
              <w:rPr>
                <w:rFonts w:cstheme="minorHAnsi"/>
              </w:rPr>
              <w:t>37.1</w:t>
            </w:r>
          </w:p>
        </w:tc>
        <w:tc>
          <w:tcPr>
            <w:tcW w:w="996" w:type="dxa"/>
            <w:tcBorders>
              <w:top w:val="nil"/>
              <w:left w:val="single" w:sz="4" w:space="0" w:color="auto"/>
              <w:bottom w:val="nil"/>
              <w:right w:val="nil"/>
            </w:tcBorders>
          </w:tcPr>
          <w:p w14:paraId="66336724" w14:textId="4B9E54D1" w:rsidR="003F4980" w:rsidRPr="00E20618" w:rsidRDefault="003F4980" w:rsidP="000649FA">
            <w:pPr>
              <w:pStyle w:val="TableTextLeft"/>
              <w:jc w:val="right"/>
              <w:rPr>
                <w:rFonts w:cstheme="minorHAnsi"/>
              </w:rPr>
            </w:pPr>
            <w:r w:rsidRPr="00E20618">
              <w:rPr>
                <w:rFonts w:cstheme="minorHAnsi"/>
              </w:rPr>
              <w:t>38.3</w:t>
            </w:r>
          </w:p>
        </w:tc>
      </w:tr>
      <w:tr w:rsidR="003F4980" w:rsidRPr="0080495D" w14:paraId="51120A78" w14:textId="77777777" w:rsidTr="00870149">
        <w:tc>
          <w:tcPr>
            <w:tcW w:w="3096" w:type="dxa"/>
            <w:tcBorders>
              <w:bottom w:val="single" w:sz="4" w:space="0" w:color="auto"/>
            </w:tcBorders>
          </w:tcPr>
          <w:p w14:paraId="3633CB71" w14:textId="77777777" w:rsidR="003F4980" w:rsidRPr="00363EFE" w:rsidRDefault="003F4980" w:rsidP="00CF6797">
            <w:pPr>
              <w:pStyle w:val="Tabletextleftindent"/>
              <w:rPr>
                <w:color w:val="002C47" w:themeColor="accent1"/>
              </w:rPr>
            </w:pPr>
            <w:r w:rsidRPr="00363EFE">
              <w:rPr>
                <w:color w:val="002C47" w:themeColor="accent1"/>
              </w:rPr>
              <w:t>Rest of Queensland</w:t>
            </w:r>
          </w:p>
        </w:tc>
        <w:tc>
          <w:tcPr>
            <w:tcW w:w="996" w:type="dxa"/>
            <w:tcBorders>
              <w:top w:val="nil"/>
              <w:left w:val="nil"/>
              <w:bottom w:val="single" w:sz="4" w:space="0" w:color="auto"/>
              <w:right w:val="nil"/>
            </w:tcBorders>
          </w:tcPr>
          <w:p w14:paraId="7C107B13" w14:textId="75E93B05" w:rsidR="003F4980" w:rsidRPr="00E20618" w:rsidRDefault="003F4980" w:rsidP="000649FA">
            <w:pPr>
              <w:pStyle w:val="TableTextLeft"/>
              <w:jc w:val="right"/>
              <w:rPr>
                <w:rFonts w:cstheme="minorHAnsi"/>
              </w:rPr>
            </w:pPr>
            <w:r w:rsidRPr="00E20618">
              <w:rPr>
                <w:rFonts w:cstheme="minorHAnsi"/>
              </w:rPr>
              <w:t>40.5</w:t>
            </w:r>
          </w:p>
        </w:tc>
        <w:tc>
          <w:tcPr>
            <w:tcW w:w="996" w:type="dxa"/>
            <w:tcBorders>
              <w:top w:val="nil"/>
              <w:left w:val="nil"/>
              <w:bottom w:val="single" w:sz="4" w:space="0" w:color="auto"/>
              <w:right w:val="nil"/>
            </w:tcBorders>
            <w:shd w:val="clear" w:color="auto" w:fill="D2EDFF" w:themeFill="accent1" w:themeFillTint="1A"/>
          </w:tcPr>
          <w:p w14:paraId="1F4E7D9E" w14:textId="4479B648" w:rsidR="003F4980" w:rsidRPr="00E20618" w:rsidRDefault="003F4980" w:rsidP="000649FA">
            <w:pPr>
              <w:pStyle w:val="TableTextLeft"/>
              <w:jc w:val="right"/>
              <w:rPr>
                <w:rFonts w:cstheme="minorHAnsi"/>
              </w:rPr>
            </w:pPr>
            <w:r w:rsidRPr="00E20618">
              <w:rPr>
                <w:rFonts w:cstheme="minorHAnsi"/>
              </w:rPr>
              <w:t>40.7</w:t>
            </w:r>
          </w:p>
        </w:tc>
        <w:tc>
          <w:tcPr>
            <w:tcW w:w="996" w:type="dxa"/>
            <w:tcBorders>
              <w:top w:val="nil"/>
              <w:left w:val="nil"/>
              <w:bottom w:val="single" w:sz="4" w:space="0" w:color="auto"/>
              <w:right w:val="nil"/>
            </w:tcBorders>
          </w:tcPr>
          <w:p w14:paraId="2135D7AA" w14:textId="605EA8FC" w:rsidR="003F4980" w:rsidRPr="00E20618" w:rsidRDefault="003F4980" w:rsidP="000649FA">
            <w:pPr>
              <w:pStyle w:val="TableTextLeft"/>
              <w:jc w:val="right"/>
              <w:rPr>
                <w:rFonts w:cstheme="minorHAnsi"/>
              </w:rPr>
            </w:pPr>
            <w:r w:rsidRPr="00E20618">
              <w:rPr>
                <w:rFonts w:cstheme="minorHAnsi"/>
              </w:rPr>
              <w:t>40.9</w:t>
            </w:r>
          </w:p>
        </w:tc>
        <w:tc>
          <w:tcPr>
            <w:tcW w:w="996" w:type="dxa"/>
            <w:tcBorders>
              <w:top w:val="nil"/>
              <w:left w:val="nil"/>
              <w:bottom w:val="single" w:sz="4" w:space="0" w:color="auto"/>
              <w:right w:val="nil"/>
            </w:tcBorders>
          </w:tcPr>
          <w:p w14:paraId="299F5041" w14:textId="66CFD9FC" w:rsidR="003F4980" w:rsidRPr="00E20618" w:rsidRDefault="003F4980" w:rsidP="000649FA">
            <w:pPr>
              <w:pStyle w:val="TableTextLeft"/>
              <w:jc w:val="right"/>
              <w:rPr>
                <w:rFonts w:cstheme="minorHAnsi"/>
              </w:rPr>
            </w:pPr>
            <w:r w:rsidRPr="00E20618">
              <w:rPr>
                <w:rFonts w:cstheme="minorHAnsi"/>
              </w:rPr>
              <w:t>41.1</w:t>
            </w:r>
          </w:p>
        </w:tc>
        <w:tc>
          <w:tcPr>
            <w:tcW w:w="996" w:type="dxa"/>
            <w:tcBorders>
              <w:top w:val="nil"/>
              <w:left w:val="nil"/>
              <w:bottom w:val="single" w:sz="4" w:space="0" w:color="auto"/>
              <w:right w:val="single" w:sz="4" w:space="0" w:color="auto"/>
            </w:tcBorders>
          </w:tcPr>
          <w:p w14:paraId="5FD689A1" w14:textId="163E0E98" w:rsidR="003F4980" w:rsidRPr="00E20618" w:rsidRDefault="003F4980" w:rsidP="000649FA">
            <w:pPr>
              <w:pStyle w:val="TableTextLeft"/>
              <w:jc w:val="right"/>
              <w:rPr>
                <w:rFonts w:cstheme="minorHAnsi"/>
              </w:rPr>
            </w:pPr>
            <w:r w:rsidRPr="00E20618">
              <w:rPr>
                <w:rFonts w:cstheme="minorHAnsi"/>
              </w:rPr>
              <w:t>41.3</w:t>
            </w:r>
          </w:p>
        </w:tc>
        <w:tc>
          <w:tcPr>
            <w:tcW w:w="996" w:type="dxa"/>
            <w:tcBorders>
              <w:top w:val="nil"/>
              <w:left w:val="single" w:sz="4" w:space="0" w:color="auto"/>
              <w:bottom w:val="single" w:sz="4" w:space="0" w:color="auto"/>
              <w:right w:val="nil"/>
            </w:tcBorders>
          </w:tcPr>
          <w:p w14:paraId="446AD249" w14:textId="7380B67B" w:rsidR="003F4980" w:rsidRPr="00E20618" w:rsidRDefault="003F4980" w:rsidP="000649FA">
            <w:pPr>
              <w:pStyle w:val="TableTextLeft"/>
              <w:jc w:val="right"/>
              <w:rPr>
                <w:rFonts w:cstheme="minorHAnsi"/>
              </w:rPr>
            </w:pPr>
            <w:r w:rsidRPr="00E20618">
              <w:rPr>
                <w:rFonts w:cstheme="minorHAnsi"/>
              </w:rPr>
              <w:t>42.7</w:t>
            </w:r>
          </w:p>
        </w:tc>
      </w:tr>
    </w:tbl>
    <w:p w14:paraId="3C28702A" w14:textId="3343CD7E" w:rsidR="00CD158B" w:rsidRDefault="00CD158B" w:rsidP="00CD158B">
      <w:pPr>
        <w:pStyle w:val="Source"/>
      </w:pPr>
      <w:r w:rsidRPr="0080495D">
        <w:t xml:space="preserve">Source: </w:t>
      </w:r>
      <w:r w:rsidR="00CE4CA4">
        <w:rPr>
          <w:noProof/>
        </w:rPr>
        <w:t>Australian Bureau of Statistics, National, state and territory population, March 2022, 202</w:t>
      </w:r>
      <w:r w:rsidR="00837FB0">
        <w:t>2;</w:t>
      </w:r>
      <w:r w:rsidR="00CE4CA4">
        <w:rPr>
          <w:noProof/>
        </w:rPr>
        <w:t xml:space="preserve"> Australian Bureau of Statistics, Regional population, 2022</w:t>
      </w:r>
      <w:r w:rsidRPr="0080495D">
        <w:t xml:space="preserve"> and Centre for Population projections.</w:t>
      </w:r>
    </w:p>
    <w:p w14:paraId="72BFFC16" w14:textId="77777777" w:rsidR="00CD158B" w:rsidRPr="00194A5D" w:rsidRDefault="00CD158B" w:rsidP="007D55C1">
      <w:pPr>
        <w:rPr>
          <w:rStyle w:val="Hyperlink"/>
          <w:color w:val="auto"/>
        </w:rPr>
      </w:pPr>
    </w:p>
    <w:p w14:paraId="0E024E97" w14:textId="77777777" w:rsidR="002E63E3" w:rsidRDefault="002E63E3">
      <w:pPr>
        <w:spacing w:before="0" w:after="160" w:line="259" w:lineRule="auto"/>
        <w:rPr>
          <w:b/>
          <w:i/>
          <w:smallCaps/>
          <w:color w:val="FFFFFF" w:themeColor="background1"/>
          <w:spacing w:val="15"/>
        </w:rPr>
      </w:pPr>
      <w:r>
        <w:br w:type="page"/>
      </w:r>
    </w:p>
    <w:p w14:paraId="38A754A6" w14:textId="593068E9" w:rsidR="00044410" w:rsidRDefault="00E47BB8" w:rsidP="0039767A">
      <w:pPr>
        <w:pStyle w:val="Heading2Numbered"/>
        <w:rPr>
          <w:lang w:eastAsia="en-AU"/>
        </w:rPr>
      </w:pPr>
      <w:bookmarkStart w:id="162" w:name="_Toc122618379"/>
      <w:r>
        <w:lastRenderedPageBreak/>
        <w:t>South Australia</w:t>
      </w:r>
      <w:bookmarkEnd w:id="162"/>
    </w:p>
    <w:p w14:paraId="29944410" w14:textId="2A584E5A" w:rsidR="003F4980" w:rsidRPr="0080495D" w:rsidRDefault="003F4980" w:rsidP="0039767A">
      <w:bookmarkStart w:id="163" w:name="_Hlk116581013"/>
      <w:r w:rsidRPr="00CA39CC">
        <w:t>South Australia’s population on 30 June 2021 was 1.8 million. Its population is projected to reach 2.0 million by 2032–33. South Australia generally relies on overseas migration to offset outflows of interstate migration, but this reversed during the pandemic. South Australia experienced reduced overseas migration during the pandemic but received stronger net interstate migration. Annual population growth declined to 0.5 per cent in 2020–21</w:t>
      </w:r>
      <w:r w:rsidR="00912011">
        <w:t>,</w:t>
      </w:r>
      <w:r w:rsidRPr="00CA39CC">
        <w:t xml:space="preserve"> but is projected to recover to 1.2 per cent in 2022–23 before slowly declining to 0.9 per cent in 2032</w:t>
      </w:r>
      <w:r w:rsidR="005715CE">
        <w:sym w:font="Symbol" w:char="F02D"/>
      </w:r>
      <w:r w:rsidRPr="00CA39CC">
        <w:t>33 (</w:t>
      </w:r>
      <w:r w:rsidR="002C2CC1">
        <w:t>Chart 31</w:t>
      </w:r>
      <w:r w:rsidRPr="00CA39CC">
        <w:t>).</w:t>
      </w:r>
    </w:p>
    <w:p w14:paraId="4558F4FF" w14:textId="4D66DAE0" w:rsidR="001F4193" w:rsidRPr="008B1ABE" w:rsidRDefault="001F4193" w:rsidP="0039767A">
      <w:bookmarkStart w:id="164" w:name="_Ref115340965"/>
      <w:bookmarkEnd w:id="163"/>
      <w:r w:rsidRPr="008B1ABE">
        <w:t>Net overseas migration to South Australia</w:t>
      </w:r>
      <w:r w:rsidRPr="008B1ABE" w:rsidDel="00827C65">
        <w:t xml:space="preserve"> </w:t>
      </w:r>
      <w:r w:rsidRPr="008B1ABE">
        <w:t>is forecast to increase from -</w:t>
      </w:r>
      <w:r w:rsidR="007E1266">
        <w:t>2</w:t>
      </w:r>
      <w:r w:rsidRPr="008B1ABE">
        <w:t>,</w:t>
      </w:r>
      <w:r w:rsidR="007E1266">
        <w:t>9</w:t>
      </w:r>
      <w:r w:rsidRPr="008B1ABE">
        <w:t xml:space="preserve">00 in 2020–21 to 16,000 in 2025–26. </w:t>
      </w:r>
      <w:bookmarkStart w:id="165" w:name="_Hlk118110582"/>
      <w:r w:rsidRPr="008B1ABE">
        <w:t>More than a quarter of migrant arrivals to South Australia are from permanent visa holders, a larger proportion than in any other state. The resumption of significant numbers of permanent visa grants to individuals outside Australia, alongside a recovery in international student</w:t>
      </w:r>
      <w:r w:rsidR="00CE71EF">
        <w:t xml:space="preserve"> arrival</w:t>
      </w:r>
      <w:r w:rsidRPr="008B1ABE">
        <w:t>s, is expected</w:t>
      </w:r>
      <w:bookmarkEnd w:id="165"/>
      <w:r w:rsidRPr="008B1ABE">
        <w:t xml:space="preserve"> to drive a recovery to pre</w:t>
      </w:r>
      <w:r w:rsidR="009B78C6" w:rsidRPr="008B1ABE">
        <w:t>-</w:t>
      </w:r>
      <w:r w:rsidRPr="008B1ABE">
        <w:t>pandemic trends. Net overseas migration is forecast to contribute 0.9 percent</w:t>
      </w:r>
      <w:r w:rsidR="00FA6B76">
        <w:t>age points</w:t>
      </w:r>
      <w:r w:rsidRPr="008B1ABE">
        <w:t xml:space="preserve"> to South Australia’s</w:t>
      </w:r>
      <w:r w:rsidRPr="0080495D">
        <w:t xml:space="preserve"> population growth rate</w:t>
      </w:r>
      <w:r w:rsidRPr="0080495D">
        <w:rPr>
          <w:b/>
          <w:bCs/>
        </w:rPr>
        <w:t xml:space="preserve"> </w:t>
      </w:r>
      <w:r w:rsidRPr="0080495D">
        <w:t>in 2025</w:t>
      </w:r>
      <w:r>
        <w:t>–</w:t>
      </w:r>
      <w:r w:rsidRPr="0080495D">
        <w:t xml:space="preserve">26, up from </w:t>
      </w:r>
      <w:r>
        <w:t>-</w:t>
      </w:r>
      <w:r w:rsidRPr="0080495D">
        <w:t>0.2</w:t>
      </w:r>
      <w:r w:rsidRPr="0080495D">
        <w:rPr>
          <w:b/>
          <w:bCs/>
        </w:rPr>
        <w:t xml:space="preserve"> </w:t>
      </w:r>
      <w:r w:rsidRPr="0080495D">
        <w:t>in 2020</w:t>
      </w:r>
      <w:r>
        <w:t>–</w:t>
      </w:r>
      <w:r w:rsidRPr="0080495D">
        <w:t xml:space="preserve">21. South Australia is expected to attract </w:t>
      </w:r>
      <w:r w:rsidR="002477E9">
        <w:t>7</w:t>
      </w:r>
      <w:r w:rsidRPr="0080495D">
        <w:t xml:space="preserve"> per cent of national net overseas migration</w:t>
      </w:r>
      <w:r>
        <w:t xml:space="preserve"> over the next decade. </w:t>
      </w:r>
      <w:r w:rsidR="002C7189">
        <w:t>This</w:t>
      </w:r>
      <w:r w:rsidR="002C7189" w:rsidRPr="0080495D">
        <w:t xml:space="preserve"> </w:t>
      </w:r>
      <w:r w:rsidR="00742DAA">
        <w:t>is in line with</w:t>
      </w:r>
      <w:r w:rsidR="002C7189" w:rsidRPr="0080495D">
        <w:t xml:space="preserve"> a </w:t>
      </w:r>
      <w:r w:rsidR="002C7189">
        <w:t>small</w:t>
      </w:r>
      <w:r w:rsidR="002C7189" w:rsidRPr="0080495D">
        <w:t xml:space="preserve"> increase in South Australia’s share tha</w:t>
      </w:r>
      <w:r w:rsidR="002477E9">
        <w:t>t</w:t>
      </w:r>
      <w:r w:rsidR="002C7189" w:rsidRPr="0080495D">
        <w:t xml:space="preserve"> was </w:t>
      </w:r>
      <w:r w:rsidR="002C7189" w:rsidRPr="008B1ABE">
        <w:t xml:space="preserve">apparent in the year before </w:t>
      </w:r>
      <w:r w:rsidR="002C7189">
        <w:t xml:space="preserve">the </w:t>
      </w:r>
      <w:r w:rsidR="002C7189" w:rsidRPr="008B1ABE">
        <w:t>COVID-19</w:t>
      </w:r>
      <w:r w:rsidR="002C7189">
        <w:t xml:space="preserve"> pandemic</w:t>
      </w:r>
      <w:r w:rsidR="002C7189" w:rsidRPr="008B1ABE">
        <w:t>.</w:t>
      </w:r>
    </w:p>
    <w:p w14:paraId="47227931" w14:textId="15CE03AB" w:rsidR="00027AC6" w:rsidRPr="00141E6F" w:rsidRDefault="00027AC6" w:rsidP="0039767A">
      <w:r w:rsidRPr="008B1ABE">
        <w:t>Natural increase is usually a smaller contributor to population growth in South Australia than in other states, reflecting the state’s older age structure. However, in 2020–21 natural increase was the largest contributor to population growth, due to negative overseas migration. In 2021–22, natural increase is expected to decline by 28</w:t>
      </w:r>
      <w:r w:rsidR="00B4343B">
        <w:t>.1</w:t>
      </w:r>
      <w:r w:rsidRPr="008B1ABE">
        <w:t xml:space="preserve"> per cent, driven by a large increase in the number of deaths. As in other states and territories, deaths are projected to remain high in 2022–23, leading natural increase to remain lower than pre</w:t>
      </w:r>
      <w:r w:rsidR="009B78C6" w:rsidRPr="008B1ABE">
        <w:t>-</w:t>
      </w:r>
      <w:r w:rsidRPr="008B1ABE">
        <w:t xml:space="preserve">pandemic levels. Natural increase is forecast to recover in 2023–24, driven by fewer deaths. Natural increase is projected to </w:t>
      </w:r>
      <w:r w:rsidRPr="00141E6F">
        <w:t xml:space="preserve">decline steadily over the remainder of the projection period due to the state’s older population age structure. </w:t>
      </w:r>
    </w:p>
    <w:p w14:paraId="1E00A858" w14:textId="5B598EB5" w:rsidR="00F167CB" w:rsidRPr="0080495D" w:rsidRDefault="00F167CB" w:rsidP="0039767A">
      <w:bookmarkStart w:id="166" w:name="_Ref118134664"/>
      <w:r w:rsidRPr="00F167CB">
        <w:t xml:space="preserve">South Australia has generally experienced a net outflow of interstate migrants. This changed in 2020–21, with South Australia experiencing positive net interstate migration </w:t>
      </w:r>
      <w:r w:rsidR="00920AAB">
        <w:t>(</w:t>
      </w:r>
      <w:r w:rsidRPr="00F167CB">
        <w:t>900 people</w:t>
      </w:r>
      <w:r w:rsidR="00920AAB">
        <w:t>)</w:t>
      </w:r>
      <w:r w:rsidRPr="00F167CB">
        <w:t xml:space="preserve"> for the first time since 1990</w:t>
      </w:r>
      <w:r w:rsidR="00770F20">
        <w:t>–</w:t>
      </w:r>
      <w:r w:rsidRPr="00F167CB">
        <w:t>91. Net</w:t>
      </w:r>
      <w:r w:rsidR="00456233">
        <w:t> </w:t>
      </w:r>
      <w:r w:rsidRPr="00F167CB">
        <w:t>interstate migration is projected to be positive for South Australia again in 2021–22 at 4,400 and in 2022</w:t>
      </w:r>
      <w:r w:rsidRPr="00F167CB">
        <w:sym w:font="Symbol" w:char="F02D"/>
      </w:r>
      <w:r w:rsidRPr="00F167CB">
        <w:t>23 at 500. Pre-pandemic trends are then expected to return with net interstate migration of -3,500 in 2023–24. Net interstate migration is</w:t>
      </w:r>
      <w:r w:rsidR="00920AAB">
        <w:t xml:space="preserve"> then</w:t>
      </w:r>
      <w:r w:rsidRPr="00F167CB">
        <w:t xml:space="preserve"> forecast to slowly increase reaching -2,800 in 2032–33.</w:t>
      </w:r>
    </w:p>
    <w:p w14:paraId="7A232FA5" w14:textId="77777777" w:rsidR="00CD158B" w:rsidRPr="0080495D" w:rsidRDefault="00CD158B" w:rsidP="00CD158B">
      <w:pPr>
        <w:pStyle w:val="Heading9"/>
      </w:pPr>
      <w:bookmarkStart w:id="167" w:name="_Ref120712787"/>
      <w:r w:rsidRPr="0080495D">
        <w:t>Population growth and components, South Australia</w:t>
      </w:r>
      <w:bookmarkEnd w:id="164"/>
      <w:bookmarkEnd w:id="166"/>
      <w:bookmarkEnd w:id="167"/>
    </w:p>
    <w:p w14:paraId="32E7BA43" w14:textId="3EEA1941" w:rsidR="00CD158B" w:rsidRPr="0080495D" w:rsidRDefault="00EE5CED" w:rsidP="003073C3">
      <w:pPr>
        <w:spacing w:before="0" w:after="0"/>
        <w:jc w:val="center"/>
      </w:pPr>
      <w:r w:rsidRPr="00EE5CED">
        <w:rPr>
          <w:noProof/>
        </w:rPr>
        <w:drawing>
          <wp:inline distT="0" distB="0" distL="0" distR="0" wp14:anchorId="44959329" wp14:editId="458674E5">
            <wp:extent cx="5581650" cy="2524125"/>
            <wp:effectExtent l="0" t="0" r="0" b="0"/>
            <wp:docPr id="90" name="Picture 90" descr="A chart showing total population growth in South Australia, disaggregated into its components: natural increase, net overseas migration, and net interstate migration. Intercensal difference is also shown. Population growth declined in 2020-21 as overseas migration dropped. Population growth is forecast to recover and peak at 1.2 per cent in 2022-23, after which population growth is forecast to slowly decline to 0.9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hart showing total population growth in South Australia, disaggregated into its components: natural increase, net overseas migration, and net interstate migration. Intercensal difference is also shown. Population growth declined in 2020-21 as overseas migration dropped. Population growth is forecast to recover and peak at 1.2 per cent in 2022-23, after which population growth is forecast to slowly decline to 0.9 per cent in 2032-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EE176C6" w14:textId="43E14CDC" w:rsidR="00CD158B" w:rsidRPr="0080495D" w:rsidRDefault="00CD158B" w:rsidP="00CD158B">
      <w:pPr>
        <w:pStyle w:val="Source"/>
      </w:pPr>
      <w:r w:rsidRPr="0080495D">
        <w:t xml:space="preserve">Source: </w:t>
      </w:r>
      <w:r w:rsidR="00FF57DD">
        <w:rPr>
          <w:noProof/>
        </w:rPr>
        <w:t>Australian Bureau of Statistics, National, state and territory population, March 2022, 2022</w:t>
      </w:r>
      <w:r w:rsidRPr="0080495D">
        <w:t xml:space="preserve"> and Centre for Population projections.</w:t>
      </w:r>
      <w:r w:rsidR="00060AF3" w:rsidRPr="0080495D" w:rsidDel="00060AF3">
        <w:t xml:space="preserve"> </w:t>
      </w:r>
    </w:p>
    <w:p w14:paraId="00CF1053" w14:textId="77777777" w:rsidR="00CD158B" w:rsidRPr="0080495D" w:rsidRDefault="00CD158B" w:rsidP="009D5E0B">
      <w:pPr>
        <w:pStyle w:val="Heading3"/>
      </w:pPr>
      <w:bookmarkStart w:id="168" w:name="_Toc120635120"/>
      <w:bookmarkStart w:id="169" w:name="_Toc122617953"/>
      <w:bookmarkStart w:id="170" w:name="_Toc122618380"/>
      <w:r w:rsidRPr="0080495D">
        <w:lastRenderedPageBreak/>
        <w:t>Greater Adelaide and the Rest of South Australia</w:t>
      </w:r>
      <w:bookmarkEnd w:id="168"/>
      <w:bookmarkEnd w:id="169"/>
      <w:bookmarkEnd w:id="170"/>
    </w:p>
    <w:p w14:paraId="22B1F488" w14:textId="566EFE99" w:rsidR="00CD158B" w:rsidRPr="0080495D" w:rsidRDefault="00DB4705" w:rsidP="0039767A">
      <w:r>
        <w:t>T</w:t>
      </w:r>
      <w:r w:rsidR="00CD158B" w:rsidRPr="0080495D">
        <w:t xml:space="preserve">he population of </w:t>
      </w:r>
      <w:r w:rsidR="000F337F">
        <w:t xml:space="preserve">Greater </w:t>
      </w:r>
      <w:r w:rsidR="00CD158B" w:rsidRPr="0080495D">
        <w:t>Adelaide</w:t>
      </w:r>
      <w:r>
        <w:t xml:space="preserve"> on 30 June 2021</w:t>
      </w:r>
      <w:r w:rsidR="00CD158B" w:rsidRPr="0080495D">
        <w:t xml:space="preserve"> was 1.4 million, accounting for 78 per cent of the state’s population. In 2020</w:t>
      </w:r>
      <w:r w:rsidR="0033101B">
        <w:t>–</w:t>
      </w:r>
      <w:r w:rsidR="00CD158B" w:rsidRPr="0080495D">
        <w:t>21, relatively strong net internal migration helped offset the losses from lower overseas migration. Population growth in Adelaide fell to 0.5 per cent in 2020</w:t>
      </w:r>
      <w:r w:rsidR="0033101B">
        <w:t>–</w:t>
      </w:r>
      <w:r w:rsidR="00CD158B" w:rsidRPr="0080495D">
        <w:t>21 and is projected to recover to 1.4</w:t>
      </w:r>
      <w:r w:rsidR="008344C2">
        <w:t> </w:t>
      </w:r>
      <w:r w:rsidR="00CD158B" w:rsidRPr="0080495D">
        <w:t>per</w:t>
      </w:r>
      <w:r w:rsidR="008344C2">
        <w:t> </w:t>
      </w:r>
      <w:r w:rsidR="00CD158B" w:rsidRPr="0080495D">
        <w:t>cent in 2022</w:t>
      </w:r>
      <w:r w:rsidR="0033101B">
        <w:t>–</w:t>
      </w:r>
      <w:r w:rsidR="00CD158B" w:rsidRPr="0080495D">
        <w:t xml:space="preserve">23. Population growth is forecast to then slow to 0.9 per cent </w:t>
      </w:r>
      <w:r w:rsidR="00E65FDF">
        <w:t>in</w:t>
      </w:r>
      <w:r w:rsidR="00CD158B" w:rsidRPr="0080495D">
        <w:t xml:space="preserve"> 2032</w:t>
      </w:r>
      <w:r w:rsidR="0033101B">
        <w:t>–</w:t>
      </w:r>
      <w:r w:rsidR="00CD158B" w:rsidRPr="0080495D">
        <w:t>33, by which time Adelaide’s population is projected to be 1.6 million.</w:t>
      </w:r>
    </w:p>
    <w:p w14:paraId="5D4C8A9B" w14:textId="77777777" w:rsidR="003F4980" w:rsidRPr="0080495D" w:rsidRDefault="003F4980" w:rsidP="0039767A">
      <w:r w:rsidRPr="000F337F">
        <w:t>The rest of South Australia has historically experienced relatively slow growth. The population of the rest of South Australia on 30 June 2021 was 401,000. Population growth in the rest of South Australia remained relatively steady throughout the pandemic, recording 0.7 per cent growth in 2019–20 and 0.6 per cent in 2020</w:t>
      </w:r>
      <w:r w:rsidRPr="000F337F">
        <w:sym w:font="Symbol" w:char="F02D"/>
      </w:r>
      <w:r w:rsidRPr="000F337F">
        <w:t>21. Annual population growth is projected to return to 0.7 per cent by 2021–22 and remain relatively stable between 0.5 and 0.6 per cent through to 2032–33, when the population is projected to be 428,000.</w:t>
      </w:r>
    </w:p>
    <w:p w14:paraId="5FF9726C" w14:textId="7DE7A767" w:rsidR="00027AC6" w:rsidRPr="0080495D" w:rsidRDefault="00027AC6" w:rsidP="0039767A">
      <w:r w:rsidRPr="00904B92">
        <w:t>The rest of South Australia will experience negative natural increase from 2021–22 onwards. The increase in deaths in 2021–22 and 2022–23 brings forward what would otherwise have been a more gradual transition to negative natural increase for the rest of South Australia. Negative natural increase is expected to be offset by gradual increases in internal migration.</w:t>
      </w:r>
    </w:p>
    <w:p w14:paraId="6F71B200" w14:textId="24010D1F" w:rsidR="00CD158B" w:rsidRPr="0080495D" w:rsidRDefault="00CD158B" w:rsidP="00FC0158">
      <w:pPr>
        <w:pStyle w:val="Heading9"/>
        <w:ind w:left="964" w:hanging="964"/>
      </w:pPr>
      <w:r w:rsidRPr="0080495D">
        <w:t>Population growth in South Australia, Greater Adelaide and the Rest of South Australia</w:t>
      </w:r>
    </w:p>
    <w:p w14:paraId="77C69BF6" w14:textId="0D2BB4C5" w:rsidR="00CD158B" w:rsidRPr="0080495D" w:rsidRDefault="00844AD8" w:rsidP="003073C3">
      <w:pPr>
        <w:spacing w:before="0" w:after="0"/>
        <w:jc w:val="center"/>
      </w:pPr>
      <w:r w:rsidRPr="00844AD8">
        <w:rPr>
          <w:noProof/>
        </w:rPr>
        <w:drawing>
          <wp:inline distT="0" distB="0" distL="0" distR="0" wp14:anchorId="08AE25BB" wp14:editId="6556F651">
            <wp:extent cx="5581650" cy="2524125"/>
            <wp:effectExtent l="0" t="0" r="0" b="0"/>
            <wp:docPr id="94" name="Picture 94" descr="A line chart comparing population growth in South Australia, Adelaide, and the rest of South Australia. Population growth in Adelaide declined significantly in 2020-21, driving a decline in South Australia's population growth. Population growth in these areas is forecast to recover to a peak in 2022-23, before declining thereafter. Population growth in the rest of South Australia remained relatively stable between 2018-19 and 2020-21 and is forecast to remain stable to 2021-22. After this it is forecast to decline through to 2023-24 before slowly increasing from there until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line chart comparing population growth in South Australia, Adelaide, and the rest of South Australia. Population growth in Adelaide declined significantly in 2020-21, driving a decline in South Australia's population growth. Population growth in these areas is forecast to recover to a peak in 2022-23, before declining thereafter. Population growth in the rest of South Australia remained relatively stable between 2018-19 and 2020-21 and is forecast to remain stable to 2021-22. After this it is forecast to decline through to 2023-24 before slowly increasing from there until 2032-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195A3736" w14:textId="1A37E1A6" w:rsidR="00CD158B" w:rsidRDefault="00CD158B" w:rsidP="00CD158B">
      <w:pPr>
        <w:pStyle w:val="Source"/>
      </w:pPr>
      <w:r w:rsidRPr="0080495D">
        <w:t xml:space="preserve">Source: </w:t>
      </w:r>
      <w:r w:rsidR="00C86B71">
        <w:rPr>
          <w:noProof/>
        </w:rPr>
        <w:t>Australian Bureau of Statistics, Regional population, 2022</w:t>
      </w:r>
      <w:r w:rsidR="00837FB0">
        <w:t>;</w:t>
      </w:r>
      <w:r w:rsidRPr="0080495D">
        <w:t xml:space="preserve"> </w:t>
      </w:r>
      <w:r w:rsidR="00C86B71">
        <w:rPr>
          <w:noProof/>
        </w:rPr>
        <w:t>Australian Bureau of Statistics, National, state and territory population, March 2022, 2022</w:t>
      </w:r>
      <w:r w:rsidRPr="0080495D">
        <w:t xml:space="preserve"> and Centre for Population projections.</w:t>
      </w:r>
      <w:r w:rsidR="00B729B2" w:rsidRPr="0080495D" w:rsidDel="00B729B2">
        <w:t xml:space="preserve"> </w:t>
      </w:r>
    </w:p>
    <w:p w14:paraId="6DD433AB" w14:textId="77777777" w:rsidR="00CD158B" w:rsidRDefault="00CD158B" w:rsidP="00584010"/>
    <w:p w14:paraId="1A725B13" w14:textId="20C26CBF" w:rsidR="00556C48" w:rsidRDefault="00556C48" w:rsidP="00A022F7">
      <w:pPr>
        <w:pStyle w:val="Dash"/>
        <w:numPr>
          <w:ilvl w:val="0"/>
          <w:numId w:val="0"/>
        </w:numPr>
        <w:rPr>
          <w:b/>
          <w:iCs/>
          <w:smallCaps/>
          <w:color w:val="FFFFFF" w:themeColor="background1"/>
          <w:spacing w:val="15"/>
        </w:rPr>
      </w:pPr>
    </w:p>
    <w:p w14:paraId="17A78AA9" w14:textId="77777777" w:rsidR="00EB0F6F" w:rsidRDefault="00EB0F6F">
      <w:pPr>
        <w:spacing w:before="0" w:after="160" w:line="259" w:lineRule="auto"/>
        <w:rPr>
          <w:b/>
          <w:bCs/>
          <w:smallCaps/>
          <w:color w:val="002C47" w:themeColor="accent1"/>
          <w:spacing w:val="15"/>
        </w:rPr>
      </w:pPr>
      <w:r>
        <w:br w:type="page"/>
      </w:r>
    </w:p>
    <w:p w14:paraId="45F22A39" w14:textId="4292DFFB" w:rsidR="00CD158B" w:rsidRDefault="00CD158B" w:rsidP="005540BC">
      <w:pPr>
        <w:pStyle w:val="TableMainHeading"/>
      </w:pPr>
      <w:r>
        <w:lastRenderedPageBreak/>
        <w:t>Population projections, South Australia</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14:paraId="391CD32A" w14:textId="77777777" w:rsidTr="00CF6797">
        <w:trPr>
          <w:cnfStyle w:val="100000000000" w:firstRow="1" w:lastRow="0" w:firstColumn="0" w:lastColumn="0" w:oddVBand="0" w:evenVBand="0" w:oddHBand="0" w:evenHBand="0" w:firstRowFirstColumn="0" w:firstRowLastColumn="0" w:lastRowFirstColumn="0" w:lastRowLastColumn="0"/>
        </w:trPr>
        <w:tc>
          <w:tcPr>
            <w:tcW w:w="3096" w:type="dxa"/>
          </w:tcPr>
          <w:p w14:paraId="764AA040" w14:textId="77777777" w:rsidR="00CD158B" w:rsidRDefault="00CD158B" w:rsidP="00676947">
            <w:pPr>
              <w:spacing w:after="0"/>
            </w:pPr>
          </w:p>
        </w:tc>
        <w:tc>
          <w:tcPr>
            <w:tcW w:w="996" w:type="dxa"/>
          </w:tcPr>
          <w:p w14:paraId="27F2A565" w14:textId="71890C93" w:rsidR="00CD158B" w:rsidRPr="00043A2D" w:rsidRDefault="00CD158B" w:rsidP="002C06DC">
            <w:pPr>
              <w:pStyle w:val="TableColumnHeadingLeft"/>
            </w:pPr>
            <w:r w:rsidRPr="00043A2D">
              <w:t>2020</w:t>
            </w:r>
            <w:r w:rsidR="0033101B">
              <w:t>–</w:t>
            </w:r>
            <w:r w:rsidRPr="00043A2D">
              <w:t>21</w:t>
            </w:r>
          </w:p>
        </w:tc>
        <w:tc>
          <w:tcPr>
            <w:tcW w:w="996" w:type="dxa"/>
            <w:shd w:val="clear" w:color="auto" w:fill="D2EDFF" w:themeFill="accent1" w:themeFillTint="1A"/>
          </w:tcPr>
          <w:p w14:paraId="22BFEE22" w14:textId="31B44F9A" w:rsidR="00CD158B" w:rsidRPr="00043A2D" w:rsidRDefault="00CD158B" w:rsidP="002C06DC">
            <w:pPr>
              <w:pStyle w:val="TableColumnHeadingLeft"/>
            </w:pPr>
            <w:r w:rsidRPr="00043A2D">
              <w:t>2021</w:t>
            </w:r>
            <w:r w:rsidR="0033101B">
              <w:t>–</w:t>
            </w:r>
            <w:r w:rsidRPr="00043A2D">
              <w:t>22</w:t>
            </w:r>
          </w:p>
        </w:tc>
        <w:tc>
          <w:tcPr>
            <w:tcW w:w="996" w:type="dxa"/>
          </w:tcPr>
          <w:p w14:paraId="381F4B0B" w14:textId="6D5E8582" w:rsidR="00CD158B" w:rsidRPr="00043A2D" w:rsidRDefault="00CD158B" w:rsidP="002C06DC">
            <w:pPr>
              <w:pStyle w:val="TableColumnHeadingLeft"/>
            </w:pPr>
            <w:r w:rsidRPr="00043A2D">
              <w:t>2022</w:t>
            </w:r>
            <w:r w:rsidR="0033101B">
              <w:t>–</w:t>
            </w:r>
            <w:r w:rsidRPr="00043A2D">
              <w:t>23</w:t>
            </w:r>
          </w:p>
        </w:tc>
        <w:tc>
          <w:tcPr>
            <w:tcW w:w="996" w:type="dxa"/>
          </w:tcPr>
          <w:p w14:paraId="238EC3C8" w14:textId="5E34BFC4" w:rsidR="00CD158B" w:rsidRPr="00043A2D" w:rsidRDefault="00CD158B" w:rsidP="002C06DC">
            <w:pPr>
              <w:pStyle w:val="TableColumnHeadingLeft"/>
            </w:pPr>
            <w:r w:rsidRPr="00043A2D">
              <w:t>2023</w:t>
            </w:r>
            <w:r w:rsidR="0033101B">
              <w:t>–</w:t>
            </w:r>
            <w:r w:rsidRPr="00043A2D">
              <w:t>24</w:t>
            </w:r>
          </w:p>
        </w:tc>
        <w:tc>
          <w:tcPr>
            <w:tcW w:w="996" w:type="dxa"/>
            <w:tcBorders>
              <w:right w:val="single" w:sz="4" w:space="0" w:color="auto"/>
            </w:tcBorders>
          </w:tcPr>
          <w:p w14:paraId="36F9A0E1" w14:textId="28AD9FA4" w:rsidR="00CD158B" w:rsidRPr="00043A2D" w:rsidRDefault="00CD158B" w:rsidP="002C06DC">
            <w:pPr>
              <w:pStyle w:val="TableColumnHeadingLeft"/>
            </w:pPr>
            <w:r w:rsidRPr="00043A2D">
              <w:t>2024</w:t>
            </w:r>
            <w:r w:rsidR="0033101B">
              <w:t>–</w:t>
            </w:r>
            <w:r w:rsidRPr="00043A2D">
              <w:t>25</w:t>
            </w:r>
          </w:p>
        </w:tc>
        <w:tc>
          <w:tcPr>
            <w:tcW w:w="996" w:type="dxa"/>
            <w:tcBorders>
              <w:left w:val="single" w:sz="4" w:space="0" w:color="auto"/>
            </w:tcBorders>
          </w:tcPr>
          <w:p w14:paraId="219DADAF" w14:textId="27D21D76" w:rsidR="00CD158B" w:rsidRPr="00043A2D" w:rsidRDefault="00CD158B" w:rsidP="002C06DC">
            <w:pPr>
              <w:pStyle w:val="TableColumnHeadingLeft"/>
            </w:pPr>
            <w:r w:rsidRPr="00043A2D">
              <w:t>2032</w:t>
            </w:r>
            <w:r w:rsidR="0033101B">
              <w:t>–</w:t>
            </w:r>
            <w:r w:rsidRPr="00043A2D">
              <w:t>33</w:t>
            </w:r>
          </w:p>
        </w:tc>
      </w:tr>
      <w:tr w:rsidR="003F4980" w14:paraId="35446139" w14:textId="77777777" w:rsidTr="00676947">
        <w:tc>
          <w:tcPr>
            <w:tcW w:w="3096" w:type="dxa"/>
          </w:tcPr>
          <w:p w14:paraId="21DDBBC4" w14:textId="77777777" w:rsidR="003F4980" w:rsidRPr="00363EFE" w:rsidRDefault="003F4980" w:rsidP="00CF6797">
            <w:pPr>
              <w:pStyle w:val="TableColumnHeadingLeft"/>
              <w:rPr>
                <w:color w:val="002C47" w:themeColor="accent1"/>
              </w:rPr>
            </w:pPr>
            <w:r w:rsidRPr="00363EFE">
              <w:rPr>
                <w:color w:val="002C47" w:themeColor="accent1"/>
              </w:rPr>
              <w:t>Population (‘000)</w:t>
            </w:r>
          </w:p>
        </w:tc>
        <w:tc>
          <w:tcPr>
            <w:tcW w:w="996" w:type="dxa"/>
          </w:tcPr>
          <w:p w14:paraId="527908F2" w14:textId="77777777" w:rsidR="003F4980" w:rsidRPr="00E20618" w:rsidRDefault="003F4980" w:rsidP="00CF6797">
            <w:pPr>
              <w:pStyle w:val="TableTextLeft"/>
            </w:pPr>
          </w:p>
        </w:tc>
        <w:tc>
          <w:tcPr>
            <w:tcW w:w="996" w:type="dxa"/>
            <w:shd w:val="clear" w:color="auto" w:fill="D2EDFF" w:themeFill="accent1" w:themeFillTint="1A"/>
          </w:tcPr>
          <w:p w14:paraId="08591558" w14:textId="77777777" w:rsidR="003F4980" w:rsidRPr="00E20618" w:rsidRDefault="003F4980" w:rsidP="00CF6797">
            <w:pPr>
              <w:pStyle w:val="TableTextLeft"/>
            </w:pPr>
          </w:p>
        </w:tc>
        <w:tc>
          <w:tcPr>
            <w:tcW w:w="996" w:type="dxa"/>
          </w:tcPr>
          <w:p w14:paraId="5C9473E2" w14:textId="77777777" w:rsidR="003F4980" w:rsidRPr="00E20618" w:rsidRDefault="003F4980" w:rsidP="00CF6797">
            <w:pPr>
              <w:pStyle w:val="TableTextLeft"/>
            </w:pPr>
          </w:p>
        </w:tc>
        <w:tc>
          <w:tcPr>
            <w:tcW w:w="996" w:type="dxa"/>
          </w:tcPr>
          <w:p w14:paraId="462E97AB" w14:textId="77777777" w:rsidR="003F4980" w:rsidRPr="00E20618" w:rsidRDefault="003F4980" w:rsidP="00CF6797">
            <w:pPr>
              <w:pStyle w:val="TableTextLeft"/>
            </w:pPr>
          </w:p>
        </w:tc>
        <w:tc>
          <w:tcPr>
            <w:tcW w:w="996" w:type="dxa"/>
            <w:tcBorders>
              <w:right w:val="single" w:sz="4" w:space="0" w:color="auto"/>
            </w:tcBorders>
          </w:tcPr>
          <w:p w14:paraId="047D4A8D" w14:textId="77777777" w:rsidR="003F4980" w:rsidRPr="00E20618" w:rsidRDefault="003F4980" w:rsidP="00CF6797">
            <w:pPr>
              <w:pStyle w:val="TableTextLeft"/>
            </w:pPr>
          </w:p>
        </w:tc>
        <w:tc>
          <w:tcPr>
            <w:tcW w:w="996" w:type="dxa"/>
            <w:tcBorders>
              <w:top w:val="single" w:sz="4" w:space="0" w:color="000000" w:themeColor="text1"/>
              <w:left w:val="single" w:sz="4" w:space="0" w:color="auto"/>
            </w:tcBorders>
          </w:tcPr>
          <w:p w14:paraId="55A1A504" w14:textId="77777777" w:rsidR="003F4980" w:rsidRPr="00E20618" w:rsidRDefault="003F4980" w:rsidP="00CF6797">
            <w:pPr>
              <w:pStyle w:val="TableTextLeft"/>
            </w:pPr>
          </w:p>
        </w:tc>
      </w:tr>
      <w:tr w:rsidR="003F4980" w14:paraId="3577F24A" w14:textId="77777777" w:rsidTr="00870149">
        <w:tc>
          <w:tcPr>
            <w:tcW w:w="3096" w:type="dxa"/>
          </w:tcPr>
          <w:p w14:paraId="1B528839"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4840B53E" w14:textId="2D4929CD" w:rsidR="003F4980" w:rsidRPr="00E20618" w:rsidRDefault="003F4980" w:rsidP="000649FA">
            <w:pPr>
              <w:pStyle w:val="TableTextLeft"/>
              <w:jc w:val="right"/>
            </w:pPr>
            <w:r w:rsidRPr="00E20618">
              <w:rPr>
                <w:rFonts w:cstheme="minorHAnsi"/>
              </w:rPr>
              <w:t>1,803</w:t>
            </w:r>
          </w:p>
        </w:tc>
        <w:tc>
          <w:tcPr>
            <w:tcW w:w="996" w:type="dxa"/>
            <w:tcBorders>
              <w:top w:val="nil"/>
              <w:left w:val="nil"/>
              <w:bottom w:val="nil"/>
              <w:right w:val="nil"/>
            </w:tcBorders>
            <w:shd w:val="clear" w:color="auto" w:fill="D2EDFF" w:themeFill="accent1" w:themeFillTint="1A"/>
          </w:tcPr>
          <w:p w14:paraId="7575F0C0" w14:textId="179D28C6" w:rsidR="003F4980" w:rsidRPr="00E20618" w:rsidRDefault="003F4980" w:rsidP="000649FA">
            <w:pPr>
              <w:pStyle w:val="TableTextLeft"/>
              <w:jc w:val="right"/>
            </w:pPr>
            <w:r w:rsidRPr="00E20618">
              <w:rPr>
                <w:rFonts w:cstheme="minorHAnsi"/>
              </w:rPr>
              <w:t>1,822</w:t>
            </w:r>
          </w:p>
        </w:tc>
        <w:tc>
          <w:tcPr>
            <w:tcW w:w="996" w:type="dxa"/>
            <w:tcBorders>
              <w:top w:val="nil"/>
              <w:left w:val="nil"/>
              <w:bottom w:val="nil"/>
              <w:right w:val="nil"/>
            </w:tcBorders>
          </w:tcPr>
          <w:p w14:paraId="48A1DECD" w14:textId="30F99F3E" w:rsidR="003F4980" w:rsidRPr="00E20618" w:rsidRDefault="003F4980" w:rsidP="000649FA">
            <w:pPr>
              <w:pStyle w:val="TableTextLeft"/>
              <w:jc w:val="right"/>
            </w:pPr>
            <w:r w:rsidRPr="00E20618">
              <w:rPr>
                <w:rFonts w:cstheme="minorHAnsi"/>
              </w:rPr>
              <w:t>1,845</w:t>
            </w:r>
          </w:p>
        </w:tc>
        <w:tc>
          <w:tcPr>
            <w:tcW w:w="996" w:type="dxa"/>
            <w:tcBorders>
              <w:top w:val="nil"/>
              <w:left w:val="nil"/>
              <w:bottom w:val="nil"/>
              <w:right w:val="nil"/>
            </w:tcBorders>
          </w:tcPr>
          <w:p w14:paraId="04ED2B6E" w14:textId="17B427EF" w:rsidR="003F4980" w:rsidRPr="00E20618" w:rsidRDefault="003F4980" w:rsidP="000649FA">
            <w:pPr>
              <w:pStyle w:val="TableTextLeft"/>
              <w:jc w:val="right"/>
            </w:pPr>
            <w:r w:rsidRPr="00E20618">
              <w:rPr>
                <w:rFonts w:cstheme="minorHAnsi"/>
              </w:rPr>
              <w:t>1,865</w:t>
            </w:r>
          </w:p>
        </w:tc>
        <w:tc>
          <w:tcPr>
            <w:tcW w:w="996" w:type="dxa"/>
            <w:tcBorders>
              <w:top w:val="nil"/>
              <w:left w:val="nil"/>
              <w:bottom w:val="nil"/>
              <w:right w:val="single" w:sz="4" w:space="0" w:color="auto"/>
            </w:tcBorders>
          </w:tcPr>
          <w:p w14:paraId="19A7BCFB" w14:textId="65D2EB8A" w:rsidR="003F4980" w:rsidRPr="00E20618" w:rsidRDefault="003F4980" w:rsidP="000649FA">
            <w:pPr>
              <w:pStyle w:val="TableTextLeft"/>
              <w:jc w:val="right"/>
            </w:pPr>
            <w:r w:rsidRPr="00E20618">
              <w:rPr>
                <w:rFonts w:cstheme="minorHAnsi"/>
              </w:rPr>
              <w:t>1,883</w:t>
            </w:r>
          </w:p>
        </w:tc>
        <w:tc>
          <w:tcPr>
            <w:tcW w:w="996" w:type="dxa"/>
            <w:tcBorders>
              <w:top w:val="nil"/>
              <w:left w:val="single" w:sz="4" w:space="0" w:color="auto"/>
              <w:bottom w:val="nil"/>
              <w:right w:val="nil"/>
            </w:tcBorders>
          </w:tcPr>
          <w:p w14:paraId="5309AE7E" w14:textId="71E514B6" w:rsidR="003F4980" w:rsidRPr="00E20618" w:rsidRDefault="003F4980" w:rsidP="000649FA">
            <w:pPr>
              <w:pStyle w:val="TableTextLeft"/>
              <w:jc w:val="right"/>
            </w:pPr>
            <w:r w:rsidRPr="00E20618">
              <w:rPr>
                <w:rFonts w:cstheme="minorHAnsi"/>
              </w:rPr>
              <w:t>2,025</w:t>
            </w:r>
          </w:p>
        </w:tc>
      </w:tr>
      <w:tr w:rsidR="003F4980" w14:paraId="0E75AE3D" w14:textId="77777777" w:rsidTr="00870149">
        <w:tc>
          <w:tcPr>
            <w:tcW w:w="3096" w:type="dxa"/>
          </w:tcPr>
          <w:p w14:paraId="5596C48B"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13FEE32A" w14:textId="673BB186" w:rsidR="003F4980" w:rsidRPr="00E20618" w:rsidRDefault="003F4980" w:rsidP="000649FA">
            <w:pPr>
              <w:pStyle w:val="TableTextLeft"/>
              <w:jc w:val="right"/>
            </w:pPr>
            <w:r w:rsidRPr="00E20618">
              <w:rPr>
                <w:rFonts w:cstheme="minorHAnsi"/>
              </w:rPr>
              <w:t>1,402</w:t>
            </w:r>
          </w:p>
        </w:tc>
        <w:tc>
          <w:tcPr>
            <w:tcW w:w="996" w:type="dxa"/>
            <w:tcBorders>
              <w:top w:val="nil"/>
              <w:left w:val="nil"/>
              <w:bottom w:val="nil"/>
              <w:right w:val="nil"/>
            </w:tcBorders>
            <w:shd w:val="clear" w:color="auto" w:fill="D2EDFF" w:themeFill="accent1" w:themeFillTint="1A"/>
          </w:tcPr>
          <w:p w14:paraId="345D6D7E" w14:textId="0A015774" w:rsidR="003F4980" w:rsidRPr="00E20618" w:rsidRDefault="003F4980" w:rsidP="000649FA">
            <w:pPr>
              <w:pStyle w:val="TableTextLeft"/>
              <w:jc w:val="right"/>
            </w:pPr>
            <w:r w:rsidRPr="00E20618">
              <w:rPr>
                <w:rFonts w:cstheme="minorHAnsi"/>
              </w:rPr>
              <w:t>1,419</w:t>
            </w:r>
          </w:p>
        </w:tc>
        <w:tc>
          <w:tcPr>
            <w:tcW w:w="996" w:type="dxa"/>
            <w:tcBorders>
              <w:top w:val="nil"/>
              <w:left w:val="nil"/>
              <w:bottom w:val="nil"/>
              <w:right w:val="nil"/>
            </w:tcBorders>
          </w:tcPr>
          <w:p w14:paraId="7F3E4D31" w14:textId="2FFC521A" w:rsidR="003F4980" w:rsidRPr="00E20618" w:rsidRDefault="003F4980" w:rsidP="000649FA">
            <w:pPr>
              <w:pStyle w:val="TableTextLeft"/>
              <w:jc w:val="right"/>
            </w:pPr>
            <w:r w:rsidRPr="00E20618">
              <w:rPr>
                <w:rFonts w:cstheme="minorHAnsi"/>
              </w:rPr>
              <w:t>1,439</w:t>
            </w:r>
          </w:p>
        </w:tc>
        <w:tc>
          <w:tcPr>
            <w:tcW w:w="996" w:type="dxa"/>
            <w:tcBorders>
              <w:top w:val="nil"/>
              <w:left w:val="nil"/>
              <w:bottom w:val="nil"/>
              <w:right w:val="nil"/>
            </w:tcBorders>
          </w:tcPr>
          <w:p w14:paraId="14244983" w14:textId="0FC60BDA" w:rsidR="003F4980" w:rsidRPr="00E20618" w:rsidRDefault="003F4980" w:rsidP="000649FA">
            <w:pPr>
              <w:pStyle w:val="TableTextLeft"/>
              <w:jc w:val="right"/>
            </w:pPr>
            <w:r w:rsidRPr="00E20618">
              <w:rPr>
                <w:rFonts w:cstheme="minorHAnsi"/>
              </w:rPr>
              <w:t>1,457</w:t>
            </w:r>
          </w:p>
        </w:tc>
        <w:tc>
          <w:tcPr>
            <w:tcW w:w="996" w:type="dxa"/>
            <w:tcBorders>
              <w:top w:val="nil"/>
              <w:left w:val="nil"/>
              <w:bottom w:val="nil"/>
              <w:right w:val="single" w:sz="4" w:space="0" w:color="auto"/>
            </w:tcBorders>
          </w:tcPr>
          <w:p w14:paraId="4F24F20B" w14:textId="03646A79" w:rsidR="003F4980" w:rsidRPr="00E20618" w:rsidRDefault="003F4980" w:rsidP="000649FA">
            <w:pPr>
              <w:pStyle w:val="TableTextLeft"/>
              <w:jc w:val="right"/>
            </w:pPr>
            <w:r w:rsidRPr="00E20618">
              <w:rPr>
                <w:rFonts w:cstheme="minorHAnsi"/>
              </w:rPr>
              <w:t>1,473</w:t>
            </w:r>
          </w:p>
        </w:tc>
        <w:tc>
          <w:tcPr>
            <w:tcW w:w="996" w:type="dxa"/>
            <w:tcBorders>
              <w:top w:val="nil"/>
              <w:left w:val="single" w:sz="4" w:space="0" w:color="auto"/>
              <w:bottom w:val="nil"/>
              <w:right w:val="nil"/>
            </w:tcBorders>
          </w:tcPr>
          <w:p w14:paraId="57666676" w14:textId="696FE15C" w:rsidR="003F4980" w:rsidRPr="00E20618" w:rsidRDefault="003F4980" w:rsidP="000649FA">
            <w:pPr>
              <w:pStyle w:val="TableTextLeft"/>
              <w:jc w:val="right"/>
            </w:pPr>
            <w:r w:rsidRPr="00E20618">
              <w:rPr>
                <w:rFonts w:cstheme="minorHAnsi"/>
              </w:rPr>
              <w:t>1,597</w:t>
            </w:r>
          </w:p>
        </w:tc>
      </w:tr>
      <w:tr w:rsidR="003F4980" w14:paraId="6F0620C6" w14:textId="77777777" w:rsidTr="00870149">
        <w:tc>
          <w:tcPr>
            <w:tcW w:w="3096" w:type="dxa"/>
          </w:tcPr>
          <w:p w14:paraId="53AA06D1"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3CD463A8" w14:textId="2A4F2BFA" w:rsidR="003F4980" w:rsidRPr="00E20618" w:rsidRDefault="003F4980" w:rsidP="000649FA">
            <w:pPr>
              <w:pStyle w:val="TableTextLeft"/>
              <w:jc w:val="right"/>
            </w:pPr>
            <w:r w:rsidRPr="00E20618">
              <w:rPr>
                <w:rFonts w:cstheme="minorHAnsi"/>
              </w:rPr>
              <w:t>401</w:t>
            </w:r>
          </w:p>
        </w:tc>
        <w:tc>
          <w:tcPr>
            <w:tcW w:w="996" w:type="dxa"/>
            <w:tcBorders>
              <w:top w:val="nil"/>
              <w:left w:val="nil"/>
              <w:bottom w:val="nil"/>
              <w:right w:val="nil"/>
            </w:tcBorders>
            <w:shd w:val="clear" w:color="auto" w:fill="D2EDFF" w:themeFill="accent1" w:themeFillTint="1A"/>
          </w:tcPr>
          <w:p w14:paraId="3AFFF4CE" w14:textId="324C4E0E" w:rsidR="003F4980" w:rsidRPr="00E20618" w:rsidRDefault="003F4980" w:rsidP="000649FA">
            <w:pPr>
              <w:pStyle w:val="TableTextLeft"/>
              <w:jc w:val="right"/>
            </w:pPr>
            <w:r w:rsidRPr="00E20618">
              <w:rPr>
                <w:rFonts w:cstheme="minorHAnsi"/>
              </w:rPr>
              <w:t>403</w:t>
            </w:r>
          </w:p>
        </w:tc>
        <w:tc>
          <w:tcPr>
            <w:tcW w:w="996" w:type="dxa"/>
            <w:tcBorders>
              <w:top w:val="nil"/>
              <w:left w:val="nil"/>
              <w:bottom w:val="nil"/>
              <w:right w:val="nil"/>
            </w:tcBorders>
          </w:tcPr>
          <w:p w14:paraId="085F5556" w14:textId="28B9AF6F" w:rsidR="003F4980" w:rsidRPr="00E20618" w:rsidRDefault="003F4980" w:rsidP="000649FA">
            <w:pPr>
              <w:pStyle w:val="TableTextLeft"/>
              <w:jc w:val="right"/>
            </w:pPr>
            <w:r w:rsidRPr="00E20618">
              <w:rPr>
                <w:rFonts w:cstheme="minorHAnsi"/>
              </w:rPr>
              <w:t>406</w:t>
            </w:r>
          </w:p>
        </w:tc>
        <w:tc>
          <w:tcPr>
            <w:tcW w:w="996" w:type="dxa"/>
            <w:tcBorders>
              <w:top w:val="nil"/>
              <w:left w:val="nil"/>
              <w:bottom w:val="nil"/>
              <w:right w:val="nil"/>
            </w:tcBorders>
          </w:tcPr>
          <w:p w14:paraId="4C597731" w14:textId="71CD825D" w:rsidR="003F4980" w:rsidRPr="00E20618" w:rsidRDefault="003F4980" w:rsidP="000649FA">
            <w:pPr>
              <w:pStyle w:val="TableTextLeft"/>
              <w:jc w:val="right"/>
            </w:pPr>
            <w:r w:rsidRPr="00E20618">
              <w:rPr>
                <w:rFonts w:cstheme="minorHAnsi"/>
              </w:rPr>
              <w:t>408</w:t>
            </w:r>
          </w:p>
        </w:tc>
        <w:tc>
          <w:tcPr>
            <w:tcW w:w="996" w:type="dxa"/>
            <w:tcBorders>
              <w:top w:val="nil"/>
              <w:left w:val="nil"/>
              <w:bottom w:val="nil"/>
              <w:right w:val="single" w:sz="4" w:space="0" w:color="auto"/>
            </w:tcBorders>
          </w:tcPr>
          <w:p w14:paraId="1F3E806C" w14:textId="041E286C" w:rsidR="003F4980" w:rsidRPr="00E20618" w:rsidRDefault="003F4980" w:rsidP="000649FA">
            <w:pPr>
              <w:pStyle w:val="TableTextLeft"/>
              <w:jc w:val="right"/>
            </w:pPr>
            <w:r w:rsidRPr="00E20618">
              <w:rPr>
                <w:rFonts w:cstheme="minorHAnsi"/>
              </w:rPr>
              <w:t>410</w:t>
            </w:r>
          </w:p>
        </w:tc>
        <w:tc>
          <w:tcPr>
            <w:tcW w:w="996" w:type="dxa"/>
            <w:tcBorders>
              <w:top w:val="nil"/>
              <w:left w:val="single" w:sz="4" w:space="0" w:color="auto"/>
              <w:bottom w:val="nil"/>
              <w:right w:val="nil"/>
            </w:tcBorders>
          </w:tcPr>
          <w:p w14:paraId="3BD17F1C" w14:textId="13343324" w:rsidR="003F4980" w:rsidRPr="00E20618" w:rsidRDefault="003F4980" w:rsidP="000649FA">
            <w:pPr>
              <w:pStyle w:val="TableTextLeft"/>
              <w:jc w:val="right"/>
            </w:pPr>
            <w:r w:rsidRPr="00E20618">
              <w:rPr>
                <w:rFonts w:cstheme="minorHAnsi"/>
              </w:rPr>
              <w:t>428</w:t>
            </w:r>
          </w:p>
        </w:tc>
      </w:tr>
      <w:tr w:rsidR="003F4980" w14:paraId="18B14FBA" w14:textId="77777777" w:rsidTr="00870149">
        <w:tc>
          <w:tcPr>
            <w:tcW w:w="3096" w:type="dxa"/>
          </w:tcPr>
          <w:p w14:paraId="59243055" w14:textId="77777777" w:rsidR="003F4980" w:rsidRPr="00363EFE" w:rsidRDefault="003F4980" w:rsidP="00CF6797">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5C5F1600"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46DBF822" w14:textId="77777777" w:rsidR="003F4980" w:rsidRPr="00E20618" w:rsidRDefault="003F4980" w:rsidP="000649FA">
            <w:pPr>
              <w:pStyle w:val="TableTextLeft"/>
              <w:jc w:val="right"/>
            </w:pPr>
          </w:p>
        </w:tc>
        <w:tc>
          <w:tcPr>
            <w:tcW w:w="996" w:type="dxa"/>
            <w:tcBorders>
              <w:top w:val="nil"/>
              <w:left w:val="nil"/>
              <w:bottom w:val="nil"/>
              <w:right w:val="nil"/>
            </w:tcBorders>
          </w:tcPr>
          <w:p w14:paraId="7FCB0D09" w14:textId="77777777" w:rsidR="003F4980" w:rsidRPr="00E20618" w:rsidRDefault="003F4980" w:rsidP="000649FA">
            <w:pPr>
              <w:pStyle w:val="TableTextLeft"/>
              <w:jc w:val="right"/>
            </w:pPr>
          </w:p>
        </w:tc>
        <w:tc>
          <w:tcPr>
            <w:tcW w:w="996" w:type="dxa"/>
            <w:tcBorders>
              <w:top w:val="nil"/>
              <w:left w:val="nil"/>
              <w:bottom w:val="nil"/>
              <w:right w:val="nil"/>
            </w:tcBorders>
          </w:tcPr>
          <w:p w14:paraId="2BC0068F"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0C87232"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24D19E44" w14:textId="77777777" w:rsidR="003F4980" w:rsidRPr="00E20618" w:rsidRDefault="003F4980" w:rsidP="000649FA">
            <w:pPr>
              <w:pStyle w:val="TableTextLeft"/>
              <w:jc w:val="right"/>
            </w:pPr>
          </w:p>
        </w:tc>
      </w:tr>
      <w:tr w:rsidR="003F4980" w14:paraId="359FCD53" w14:textId="77777777" w:rsidTr="00870149">
        <w:tc>
          <w:tcPr>
            <w:tcW w:w="3096" w:type="dxa"/>
          </w:tcPr>
          <w:p w14:paraId="654C5A50"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3D31990D" w14:textId="4B27196A"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32C94BC2" w14:textId="3C722DD6" w:rsidR="003F4980" w:rsidRPr="00E20618" w:rsidRDefault="003F4980" w:rsidP="000649FA">
            <w:pPr>
              <w:pStyle w:val="TableTextLeft"/>
              <w:jc w:val="right"/>
            </w:pPr>
            <w:r w:rsidRPr="00E20618">
              <w:rPr>
                <w:rFonts w:cstheme="minorHAnsi"/>
              </w:rPr>
              <w:t>1.1</w:t>
            </w:r>
          </w:p>
        </w:tc>
        <w:tc>
          <w:tcPr>
            <w:tcW w:w="996" w:type="dxa"/>
            <w:tcBorders>
              <w:top w:val="nil"/>
              <w:left w:val="nil"/>
              <w:bottom w:val="nil"/>
              <w:right w:val="nil"/>
            </w:tcBorders>
          </w:tcPr>
          <w:p w14:paraId="6F6C289E" w14:textId="76FBB367"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nil"/>
            </w:tcBorders>
          </w:tcPr>
          <w:p w14:paraId="235F18C1" w14:textId="7A35095D" w:rsidR="003F4980" w:rsidRPr="00E20618" w:rsidRDefault="003F4980" w:rsidP="000649FA">
            <w:pPr>
              <w:pStyle w:val="TableTextLeft"/>
              <w:jc w:val="right"/>
            </w:pPr>
            <w:r w:rsidRPr="00E20618">
              <w:rPr>
                <w:rFonts w:cstheme="minorHAnsi"/>
              </w:rPr>
              <w:t>1.1</w:t>
            </w:r>
          </w:p>
        </w:tc>
        <w:tc>
          <w:tcPr>
            <w:tcW w:w="996" w:type="dxa"/>
            <w:tcBorders>
              <w:top w:val="nil"/>
              <w:left w:val="nil"/>
              <w:bottom w:val="nil"/>
              <w:right w:val="single" w:sz="4" w:space="0" w:color="auto"/>
            </w:tcBorders>
          </w:tcPr>
          <w:p w14:paraId="12457890" w14:textId="43491BE8" w:rsidR="003F4980" w:rsidRPr="00E20618" w:rsidRDefault="003F4980"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0E2ED4A1" w14:textId="7C5B5022" w:rsidR="003F4980" w:rsidRPr="00E20618" w:rsidRDefault="003F4980" w:rsidP="000649FA">
            <w:pPr>
              <w:pStyle w:val="TableTextLeft"/>
              <w:jc w:val="right"/>
            </w:pPr>
            <w:r w:rsidRPr="00E20618">
              <w:rPr>
                <w:rFonts w:cstheme="minorHAnsi"/>
              </w:rPr>
              <w:t>0.9</w:t>
            </w:r>
          </w:p>
        </w:tc>
      </w:tr>
      <w:tr w:rsidR="003F4980" w14:paraId="3E9283E8" w14:textId="77777777" w:rsidTr="00870149">
        <w:tc>
          <w:tcPr>
            <w:tcW w:w="3096" w:type="dxa"/>
          </w:tcPr>
          <w:p w14:paraId="4E94C2C4"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3C00BC55" w14:textId="5C8292B7"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shd w:val="clear" w:color="auto" w:fill="D2EDFF" w:themeFill="accent1" w:themeFillTint="1A"/>
          </w:tcPr>
          <w:p w14:paraId="0345EEA3" w14:textId="6C3EAAFF"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nil"/>
            </w:tcBorders>
          </w:tcPr>
          <w:p w14:paraId="2CE089F4" w14:textId="2DA68019" w:rsidR="003F4980" w:rsidRPr="00E20618" w:rsidRDefault="003F4980" w:rsidP="000649FA">
            <w:pPr>
              <w:pStyle w:val="TableTextLeft"/>
              <w:jc w:val="right"/>
            </w:pPr>
            <w:r w:rsidRPr="00E20618">
              <w:rPr>
                <w:rFonts w:cstheme="minorHAnsi"/>
              </w:rPr>
              <w:t>1.4</w:t>
            </w:r>
          </w:p>
        </w:tc>
        <w:tc>
          <w:tcPr>
            <w:tcW w:w="996" w:type="dxa"/>
            <w:tcBorders>
              <w:top w:val="nil"/>
              <w:left w:val="nil"/>
              <w:bottom w:val="nil"/>
              <w:right w:val="nil"/>
            </w:tcBorders>
          </w:tcPr>
          <w:p w14:paraId="3D192BF6" w14:textId="28A92270" w:rsidR="003F4980" w:rsidRPr="00E20618" w:rsidRDefault="003F4980" w:rsidP="000649FA">
            <w:pPr>
              <w:pStyle w:val="TableTextLeft"/>
              <w:jc w:val="right"/>
            </w:pPr>
            <w:r w:rsidRPr="00E20618">
              <w:rPr>
                <w:rFonts w:cstheme="minorHAnsi"/>
              </w:rPr>
              <w:t>1.2</w:t>
            </w:r>
          </w:p>
        </w:tc>
        <w:tc>
          <w:tcPr>
            <w:tcW w:w="996" w:type="dxa"/>
            <w:tcBorders>
              <w:top w:val="nil"/>
              <w:left w:val="nil"/>
              <w:bottom w:val="nil"/>
              <w:right w:val="single" w:sz="4" w:space="0" w:color="auto"/>
            </w:tcBorders>
          </w:tcPr>
          <w:p w14:paraId="09B85071" w14:textId="009D9DD6" w:rsidR="003F4980" w:rsidRPr="00E20618" w:rsidRDefault="003F4980" w:rsidP="000649FA">
            <w:pPr>
              <w:pStyle w:val="TableTextLeft"/>
              <w:jc w:val="right"/>
            </w:pPr>
            <w:r w:rsidRPr="00E20618">
              <w:rPr>
                <w:rFonts w:cstheme="minorHAnsi"/>
              </w:rPr>
              <w:t>1.1</w:t>
            </w:r>
          </w:p>
        </w:tc>
        <w:tc>
          <w:tcPr>
            <w:tcW w:w="996" w:type="dxa"/>
            <w:tcBorders>
              <w:top w:val="nil"/>
              <w:left w:val="single" w:sz="4" w:space="0" w:color="auto"/>
              <w:bottom w:val="nil"/>
              <w:right w:val="nil"/>
            </w:tcBorders>
          </w:tcPr>
          <w:p w14:paraId="7EF2AAE1" w14:textId="1A3797EB" w:rsidR="003F4980" w:rsidRPr="00E20618" w:rsidRDefault="003F4980" w:rsidP="000649FA">
            <w:pPr>
              <w:pStyle w:val="TableTextLeft"/>
              <w:jc w:val="right"/>
            </w:pPr>
            <w:r w:rsidRPr="00E20618">
              <w:rPr>
                <w:rFonts w:cstheme="minorHAnsi"/>
              </w:rPr>
              <w:t>0.9</w:t>
            </w:r>
          </w:p>
        </w:tc>
      </w:tr>
      <w:tr w:rsidR="003F4980" w14:paraId="598A2C89" w14:textId="77777777" w:rsidTr="00870149">
        <w:tc>
          <w:tcPr>
            <w:tcW w:w="3096" w:type="dxa"/>
          </w:tcPr>
          <w:p w14:paraId="15DB3306"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15413B8F" w14:textId="626BFC40" w:rsidR="003F4980" w:rsidRPr="00E20618" w:rsidRDefault="003F4980" w:rsidP="000649FA">
            <w:pPr>
              <w:pStyle w:val="TableTextLeft"/>
              <w:jc w:val="right"/>
            </w:pPr>
            <w:r w:rsidRPr="00E20618">
              <w:rPr>
                <w:rFonts w:cstheme="minorHAnsi"/>
              </w:rPr>
              <w:t>0.6</w:t>
            </w:r>
          </w:p>
        </w:tc>
        <w:tc>
          <w:tcPr>
            <w:tcW w:w="996" w:type="dxa"/>
            <w:tcBorders>
              <w:top w:val="nil"/>
              <w:left w:val="nil"/>
              <w:bottom w:val="nil"/>
              <w:right w:val="nil"/>
            </w:tcBorders>
            <w:shd w:val="clear" w:color="auto" w:fill="D2EDFF" w:themeFill="accent1" w:themeFillTint="1A"/>
          </w:tcPr>
          <w:p w14:paraId="02969047" w14:textId="4E83E27B" w:rsidR="003F4980" w:rsidRPr="00E20618" w:rsidRDefault="003F4980" w:rsidP="000649FA">
            <w:pPr>
              <w:pStyle w:val="TableTextLeft"/>
              <w:jc w:val="right"/>
            </w:pPr>
            <w:r w:rsidRPr="00E20618">
              <w:rPr>
                <w:rFonts w:cstheme="minorHAnsi"/>
              </w:rPr>
              <w:t>0.7</w:t>
            </w:r>
          </w:p>
        </w:tc>
        <w:tc>
          <w:tcPr>
            <w:tcW w:w="996" w:type="dxa"/>
            <w:tcBorders>
              <w:top w:val="nil"/>
              <w:left w:val="nil"/>
              <w:bottom w:val="nil"/>
              <w:right w:val="nil"/>
            </w:tcBorders>
          </w:tcPr>
          <w:p w14:paraId="6529B787" w14:textId="398C37C3" w:rsidR="003F4980" w:rsidRPr="00E20618" w:rsidRDefault="003F4980" w:rsidP="000649FA">
            <w:pPr>
              <w:pStyle w:val="TableTextLeft"/>
              <w:jc w:val="right"/>
            </w:pPr>
            <w:r w:rsidRPr="00E20618">
              <w:rPr>
                <w:rFonts w:cstheme="minorHAnsi"/>
              </w:rPr>
              <w:t>0.6</w:t>
            </w:r>
          </w:p>
        </w:tc>
        <w:tc>
          <w:tcPr>
            <w:tcW w:w="996" w:type="dxa"/>
            <w:tcBorders>
              <w:top w:val="nil"/>
              <w:left w:val="nil"/>
              <w:bottom w:val="nil"/>
              <w:right w:val="nil"/>
            </w:tcBorders>
          </w:tcPr>
          <w:p w14:paraId="0C7297AE" w14:textId="71892384"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2331AC54" w14:textId="4FDC4525" w:rsidR="003F4980" w:rsidRPr="00E20618" w:rsidRDefault="003F4980" w:rsidP="000649FA">
            <w:pPr>
              <w:pStyle w:val="TableTextLeft"/>
              <w:jc w:val="right"/>
            </w:pPr>
            <w:r w:rsidRPr="00E20618">
              <w:rPr>
                <w:rFonts w:cstheme="minorHAnsi"/>
              </w:rPr>
              <w:t>0.5</w:t>
            </w:r>
          </w:p>
        </w:tc>
        <w:tc>
          <w:tcPr>
            <w:tcW w:w="996" w:type="dxa"/>
            <w:tcBorders>
              <w:top w:val="nil"/>
              <w:left w:val="single" w:sz="4" w:space="0" w:color="auto"/>
              <w:bottom w:val="nil"/>
              <w:right w:val="nil"/>
            </w:tcBorders>
          </w:tcPr>
          <w:p w14:paraId="43ACDC3F" w14:textId="77FB2D18" w:rsidR="003F4980" w:rsidRPr="00E20618" w:rsidRDefault="003F4980" w:rsidP="000649FA">
            <w:pPr>
              <w:pStyle w:val="TableTextLeft"/>
              <w:jc w:val="right"/>
            </w:pPr>
            <w:r w:rsidRPr="00E20618">
              <w:rPr>
                <w:rFonts w:cstheme="minorHAnsi"/>
              </w:rPr>
              <w:t>0.6</w:t>
            </w:r>
          </w:p>
        </w:tc>
      </w:tr>
      <w:tr w:rsidR="003F4980" w14:paraId="5400DED4" w14:textId="77777777" w:rsidTr="00870149">
        <w:tc>
          <w:tcPr>
            <w:tcW w:w="3096" w:type="dxa"/>
          </w:tcPr>
          <w:p w14:paraId="24DB60D5" w14:textId="77777777" w:rsidR="003F4980" w:rsidRPr="00363EFE" w:rsidRDefault="003F4980" w:rsidP="00CF6797">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0F1E95C9"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236501A9" w14:textId="77777777" w:rsidR="003F4980" w:rsidRPr="00E20618" w:rsidRDefault="003F4980" w:rsidP="000649FA">
            <w:pPr>
              <w:pStyle w:val="TableTextLeft"/>
              <w:jc w:val="right"/>
            </w:pPr>
          </w:p>
        </w:tc>
        <w:tc>
          <w:tcPr>
            <w:tcW w:w="996" w:type="dxa"/>
            <w:tcBorders>
              <w:top w:val="nil"/>
              <w:left w:val="nil"/>
              <w:bottom w:val="nil"/>
              <w:right w:val="nil"/>
            </w:tcBorders>
          </w:tcPr>
          <w:p w14:paraId="74FD685D" w14:textId="77777777" w:rsidR="003F4980" w:rsidRPr="00E20618" w:rsidRDefault="003F4980" w:rsidP="000649FA">
            <w:pPr>
              <w:pStyle w:val="TableTextLeft"/>
              <w:jc w:val="right"/>
            </w:pPr>
          </w:p>
        </w:tc>
        <w:tc>
          <w:tcPr>
            <w:tcW w:w="996" w:type="dxa"/>
            <w:tcBorders>
              <w:top w:val="nil"/>
              <w:left w:val="nil"/>
              <w:bottom w:val="nil"/>
              <w:right w:val="nil"/>
            </w:tcBorders>
          </w:tcPr>
          <w:p w14:paraId="3899ABED"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7A656B8D"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1FDBF2DE" w14:textId="77777777" w:rsidR="003F4980" w:rsidRPr="00E20618" w:rsidRDefault="003F4980" w:rsidP="000649FA">
            <w:pPr>
              <w:pStyle w:val="TableTextLeft"/>
              <w:jc w:val="right"/>
            </w:pPr>
          </w:p>
        </w:tc>
      </w:tr>
      <w:tr w:rsidR="003F4980" w14:paraId="51D8CBA6" w14:textId="77777777" w:rsidTr="00870149">
        <w:tc>
          <w:tcPr>
            <w:tcW w:w="3096" w:type="dxa"/>
          </w:tcPr>
          <w:p w14:paraId="40713CFD"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533D84CF" w14:textId="1E2E1CCC" w:rsidR="003F4980" w:rsidRPr="00E20618" w:rsidRDefault="003F4980" w:rsidP="000649FA">
            <w:pPr>
              <w:pStyle w:val="TableTextLeft"/>
              <w:jc w:val="right"/>
            </w:pPr>
            <w:r w:rsidRPr="00E20618">
              <w:rPr>
                <w:rFonts w:cstheme="minorHAnsi"/>
              </w:rPr>
              <w:t>9.6</w:t>
            </w:r>
          </w:p>
        </w:tc>
        <w:tc>
          <w:tcPr>
            <w:tcW w:w="996" w:type="dxa"/>
            <w:tcBorders>
              <w:top w:val="nil"/>
              <w:left w:val="nil"/>
              <w:bottom w:val="nil"/>
              <w:right w:val="nil"/>
            </w:tcBorders>
            <w:shd w:val="clear" w:color="auto" w:fill="D2EDFF" w:themeFill="accent1" w:themeFillTint="1A"/>
          </w:tcPr>
          <w:p w14:paraId="7A1CDD4D" w14:textId="08C5447A" w:rsidR="003F4980" w:rsidRPr="00E20618" w:rsidRDefault="003F4980" w:rsidP="000649FA">
            <w:pPr>
              <w:pStyle w:val="TableTextLeft"/>
              <w:jc w:val="right"/>
            </w:pPr>
            <w:r w:rsidRPr="00E20618">
              <w:rPr>
                <w:rFonts w:cstheme="minorHAnsi"/>
              </w:rPr>
              <w:t>19.2</w:t>
            </w:r>
          </w:p>
        </w:tc>
        <w:tc>
          <w:tcPr>
            <w:tcW w:w="996" w:type="dxa"/>
            <w:tcBorders>
              <w:top w:val="nil"/>
              <w:left w:val="nil"/>
              <w:bottom w:val="nil"/>
              <w:right w:val="nil"/>
            </w:tcBorders>
          </w:tcPr>
          <w:p w14:paraId="4062C696" w14:textId="4F9FC3F9" w:rsidR="003F4980" w:rsidRPr="00E20618" w:rsidRDefault="003F4980" w:rsidP="000649FA">
            <w:pPr>
              <w:pStyle w:val="TableTextLeft"/>
              <w:jc w:val="right"/>
            </w:pPr>
            <w:r w:rsidRPr="00E20618">
              <w:rPr>
                <w:rFonts w:cstheme="minorHAnsi"/>
              </w:rPr>
              <w:t>22.6</w:t>
            </w:r>
          </w:p>
        </w:tc>
        <w:tc>
          <w:tcPr>
            <w:tcW w:w="996" w:type="dxa"/>
            <w:tcBorders>
              <w:top w:val="nil"/>
              <w:left w:val="nil"/>
              <w:bottom w:val="nil"/>
              <w:right w:val="nil"/>
            </w:tcBorders>
          </w:tcPr>
          <w:p w14:paraId="28694CD3" w14:textId="62A415E7" w:rsidR="003F4980" w:rsidRPr="00E20618" w:rsidRDefault="003F4980" w:rsidP="000649FA">
            <w:pPr>
              <w:pStyle w:val="TableTextLeft"/>
              <w:jc w:val="right"/>
            </w:pPr>
            <w:r w:rsidRPr="00E20618">
              <w:rPr>
                <w:rFonts w:cstheme="minorHAnsi"/>
              </w:rPr>
              <w:t>19.7</w:t>
            </w:r>
          </w:p>
        </w:tc>
        <w:tc>
          <w:tcPr>
            <w:tcW w:w="996" w:type="dxa"/>
            <w:tcBorders>
              <w:top w:val="nil"/>
              <w:left w:val="nil"/>
              <w:bottom w:val="nil"/>
              <w:right w:val="single" w:sz="4" w:space="0" w:color="auto"/>
            </w:tcBorders>
          </w:tcPr>
          <w:p w14:paraId="6AB4F671" w14:textId="4861DC68" w:rsidR="003F4980" w:rsidRPr="00E20618" w:rsidRDefault="003F4980" w:rsidP="000649FA">
            <w:pPr>
              <w:pStyle w:val="TableTextLeft"/>
              <w:jc w:val="right"/>
            </w:pPr>
            <w:r w:rsidRPr="00E20618">
              <w:rPr>
                <w:rFonts w:cstheme="minorHAnsi"/>
              </w:rPr>
              <w:t>18.1</w:t>
            </w:r>
          </w:p>
        </w:tc>
        <w:tc>
          <w:tcPr>
            <w:tcW w:w="996" w:type="dxa"/>
            <w:tcBorders>
              <w:top w:val="nil"/>
              <w:left w:val="single" w:sz="4" w:space="0" w:color="auto"/>
              <w:bottom w:val="nil"/>
              <w:right w:val="nil"/>
            </w:tcBorders>
          </w:tcPr>
          <w:p w14:paraId="3B5F4B4E" w14:textId="665FA6FB" w:rsidR="003F4980" w:rsidRPr="00E20618" w:rsidRDefault="003F4980" w:rsidP="000649FA">
            <w:pPr>
              <w:pStyle w:val="TableTextLeft"/>
              <w:jc w:val="right"/>
            </w:pPr>
            <w:r w:rsidRPr="00E20618">
              <w:rPr>
                <w:rFonts w:cstheme="minorHAnsi"/>
              </w:rPr>
              <w:t>17.3</w:t>
            </w:r>
          </w:p>
        </w:tc>
      </w:tr>
      <w:tr w:rsidR="003F4980" w14:paraId="47044AF2" w14:textId="77777777" w:rsidTr="00870149">
        <w:tc>
          <w:tcPr>
            <w:tcW w:w="3096" w:type="dxa"/>
          </w:tcPr>
          <w:p w14:paraId="050970C1"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56376099" w14:textId="576B9289" w:rsidR="003F4980" w:rsidRPr="00E20618" w:rsidRDefault="003F4980" w:rsidP="000649FA">
            <w:pPr>
              <w:pStyle w:val="TableTextLeft"/>
              <w:jc w:val="right"/>
            </w:pPr>
            <w:r w:rsidRPr="00E20618">
              <w:rPr>
                <w:rFonts w:cstheme="minorHAnsi"/>
              </w:rPr>
              <w:t>7.1</w:t>
            </w:r>
          </w:p>
        </w:tc>
        <w:tc>
          <w:tcPr>
            <w:tcW w:w="996" w:type="dxa"/>
            <w:tcBorders>
              <w:top w:val="nil"/>
              <w:left w:val="nil"/>
              <w:bottom w:val="nil"/>
              <w:right w:val="nil"/>
            </w:tcBorders>
            <w:shd w:val="clear" w:color="auto" w:fill="D2EDFF" w:themeFill="accent1" w:themeFillTint="1A"/>
          </w:tcPr>
          <w:p w14:paraId="2581A82C" w14:textId="6632199E" w:rsidR="003F4980" w:rsidRPr="00E20618" w:rsidRDefault="003F4980" w:rsidP="000649FA">
            <w:pPr>
              <w:pStyle w:val="TableTextLeft"/>
              <w:jc w:val="right"/>
            </w:pPr>
            <w:r w:rsidRPr="00E20618">
              <w:rPr>
                <w:rFonts w:cstheme="minorHAnsi"/>
              </w:rPr>
              <w:t>16.6</w:t>
            </w:r>
          </w:p>
        </w:tc>
        <w:tc>
          <w:tcPr>
            <w:tcW w:w="996" w:type="dxa"/>
            <w:tcBorders>
              <w:top w:val="nil"/>
              <w:left w:val="nil"/>
              <w:bottom w:val="nil"/>
              <w:right w:val="nil"/>
            </w:tcBorders>
          </w:tcPr>
          <w:p w14:paraId="7A1D6A9C" w14:textId="492628AB" w:rsidR="003F4980" w:rsidRPr="00E20618" w:rsidRDefault="003F4980" w:rsidP="000649FA">
            <w:pPr>
              <w:pStyle w:val="TableTextLeft"/>
              <w:jc w:val="right"/>
            </w:pPr>
            <w:r w:rsidRPr="00E20618">
              <w:rPr>
                <w:rFonts w:cstheme="minorHAnsi"/>
              </w:rPr>
              <w:t>20.2</w:t>
            </w:r>
          </w:p>
        </w:tc>
        <w:tc>
          <w:tcPr>
            <w:tcW w:w="996" w:type="dxa"/>
            <w:tcBorders>
              <w:top w:val="nil"/>
              <w:left w:val="nil"/>
              <w:bottom w:val="nil"/>
              <w:right w:val="nil"/>
            </w:tcBorders>
          </w:tcPr>
          <w:p w14:paraId="558FDF94" w14:textId="238A6A6B" w:rsidR="003F4980" w:rsidRPr="00E20618" w:rsidRDefault="003F4980" w:rsidP="000649FA">
            <w:pPr>
              <w:pStyle w:val="TableTextLeft"/>
              <w:jc w:val="right"/>
            </w:pPr>
            <w:r w:rsidRPr="00E20618">
              <w:rPr>
                <w:rFonts w:cstheme="minorHAnsi"/>
              </w:rPr>
              <w:t>17.8</w:t>
            </w:r>
          </w:p>
        </w:tc>
        <w:tc>
          <w:tcPr>
            <w:tcW w:w="996" w:type="dxa"/>
            <w:tcBorders>
              <w:top w:val="nil"/>
              <w:left w:val="nil"/>
              <w:bottom w:val="nil"/>
              <w:right w:val="single" w:sz="4" w:space="0" w:color="auto"/>
            </w:tcBorders>
          </w:tcPr>
          <w:p w14:paraId="0B8102D1" w14:textId="66B7EA1F" w:rsidR="003F4980" w:rsidRPr="00E20618" w:rsidRDefault="003F4980" w:rsidP="000649FA">
            <w:pPr>
              <w:pStyle w:val="TableTextLeft"/>
              <w:jc w:val="right"/>
            </w:pPr>
            <w:r w:rsidRPr="00E20618">
              <w:rPr>
                <w:rFonts w:cstheme="minorHAnsi"/>
              </w:rPr>
              <w:t>16.2</w:t>
            </w:r>
          </w:p>
        </w:tc>
        <w:tc>
          <w:tcPr>
            <w:tcW w:w="996" w:type="dxa"/>
            <w:tcBorders>
              <w:top w:val="nil"/>
              <w:left w:val="single" w:sz="4" w:space="0" w:color="auto"/>
              <w:bottom w:val="nil"/>
              <w:right w:val="nil"/>
            </w:tcBorders>
          </w:tcPr>
          <w:p w14:paraId="6F55BB6E" w14:textId="11D5616D" w:rsidR="003F4980" w:rsidRPr="00E20618" w:rsidRDefault="003F4980" w:rsidP="000649FA">
            <w:pPr>
              <w:pStyle w:val="TableTextLeft"/>
              <w:jc w:val="right"/>
            </w:pPr>
            <w:r w:rsidRPr="00E20618">
              <w:rPr>
                <w:rFonts w:cstheme="minorHAnsi"/>
              </w:rPr>
              <w:t>14.7</w:t>
            </w:r>
          </w:p>
        </w:tc>
      </w:tr>
      <w:tr w:rsidR="003F4980" w:rsidRPr="00A1737D" w14:paraId="08DD49B3" w14:textId="77777777" w:rsidTr="00870149">
        <w:tc>
          <w:tcPr>
            <w:tcW w:w="3096" w:type="dxa"/>
            <w:tcBorders>
              <w:bottom w:val="single" w:sz="4" w:space="0" w:color="auto"/>
            </w:tcBorders>
          </w:tcPr>
          <w:p w14:paraId="0ABBF39E"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677DB5BC" w14:textId="2B65E098" w:rsidR="003F4980" w:rsidRPr="00E20618" w:rsidRDefault="003F4980" w:rsidP="000649FA">
            <w:pPr>
              <w:pStyle w:val="TableTextLeft"/>
              <w:jc w:val="right"/>
            </w:pPr>
            <w:r w:rsidRPr="00E20618">
              <w:rPr>
                <w:rFonts w:cstheme="minorHAnsi"/>
              </w:rPr>
              <w:t>2.5</w:t>
            </w:r>
          </w:p>
        </w:tc>
        <w:tc>
          <w:tcPr>
            <w:tcW w:w="996" w:type="dxa"/>
            <w:tcBorders>
              <w:top w:val="nil"/>
              <w:left w:val="nil"/>
              <w:bottom w:val="single" w:sz="4" w:space="0" w:color="auto"/>
              <w:right w:val="nil"/>
            </w:tcBorders>
            <w:shd w:val="clear" w:color="auto" w:fill="D2EDFF" w:themeFill="accent1" w:themeFillTint="1A"/>
          </w:tcPr>
          <w:p w14:paraId="5CB1D61F" w14:textId="283E0567" w:rsidR="003F4980" w:rsidRPr="00E20618" w:rsidRDefault="003F4980" w:rsidP="000649FA">
            <w:pPr>
              <w:pStyle w:val="TableTextLeft"/>
              <w:jc w:val="right"/>
            </w:pPr>
            <w:r w:rsidRPr="00E20618">
              <w:rPr>
                <w:rFonts w:cstheme="minorHAnsi"/>
              </w:rPr>
              <w:t>2.6</w:t>
            </w:r>
          </w:p>
        </w:tc>
        <w:tc>
          <w:tcPr>
            <w:tcW w:w="996" w:type="dxa"/>
            <w:tcBorders>
              <w:top w:val="nil"/>
              <w:left w:val="nil"/>
              <w:bottom w:val="single" w:sz="4" w:space="0" w:color="auto"/>
              <w:right w:val="nil"/>
            </w:tcBorders>
          </w:tcPr>
          <w:p w14:paraId="2D704186" w14:textId="40B95423" w:rsidR="003F4980" w:rsidRPr="00E20618" w:rsidRDefault="003F4980" w:rsidP="000649FA">
            <w:pPr>
              <w:pStyle w:val="TableTextLeft"/>
              <w:jc w:val="right"/>
            </w:pPr>
            <w:r w:rsidRPr="00E20618">
              <w:rPr>
                <w:rFonts w:cstheme="minorHAnsi"/>
              </w:rPr>
              <w:t>2.4</w:t>
            </w:r>
          </w:p>
        </w:tc>
        <w:tc>
          <w:tcPr>
            <w:tcW w:w="996" w:type="dxa"/>
            <w:tcBorders>
              <w:top w:val="nil"/>
              <w:left w:val="nil"/>
              <w:bottom w:val="single" w:sz="4" w:space="0" w:color="auto"/>
              <w:right w:val="nil"/>
            </w:tcBorders>
          </w:tcPr>
          <w:p w14:paraId="468E787D" w14:textId="707B48E0" w:rsidR="003F4980" w:rsidRPr="00E20618" w:rsidRDefault="003F4980" w:rsidP="000649FA">
            <w:pPr>
              <w:pStyle w:val="TableTextLeft"/>
              <w:jc w:val="right"/>
            </w:pPr>
            <w:r w:rsidRPr="00E20618">
              <w:rPr>
                <w:rFonts w:cstheme="minorHAnsi"/>
              </w:rPr>
              <w:t>1.9</w:t>
            </w:r>
          </w:p>
        </w:tc>
        <w:tc>
          <w:tcPr>
            <w:tcW w:w="996" w:type="dxa"/>
            <w:tcBorders>
              <w:top w:val="nil"/>
              <w:left w:val="nil"/>
              <w:bottom w:val="single" w:sz="4" w:space="0" w:color="auto"/>
              <w:right w:val="single" w:sz="4" w:space="0" w:color="auto"/>
            </w:tcBorders>
          </w:tcPr>
          <w:p w14:paraId="62B11FD6" w14:textId="718174C5" w:rsidR="003F4980" w:rsidRPr="00E20618" w:rsidRDefault="003F4980" w:rsidP="000649FA">
            <w:pPr>
              <w:pStyle w:val="TableTextLeft"/>
              <w:jc w:val="right"/>
            </w:pPr>
            <w:r w:rsidRPr="00E20618">
              <w:rPr>
                <w:rFonts w:cstheme="minorHAnsi"/>
              </w:rPr>
              <w:t>1.9</w:t>
            </w:r>
          </w:p>
        </w:tc>
        <w:tc>
          <w:tcPr>
            <w:tcW w:w="996" w:type="dxa"/>
            <w:tcBorders>
              <w:top w:val="nil"/>
              <w:left w:val="single" w:sz="4" w:space="0" w:color="auto"/>
              <w:bottom w:val="single" w:sz="4" w:space="0" w:color="auto"/>
              <w:right w:val="nil"/>
            </w:tcBorders>
          </w:tcPr>
          <w:p w14:paraId="401F3912" w14:textId="031944FB" w:rsidR="003F4980" w:rsidRPr="00E20618" w:rsidRDefault="003F4980" w:rsidP="000649FA">
            <w:pPr>
              <w:pStyle w:val="TableTextLeft"/>
              <w:jc w:val="right"/>
            </w:pPr>
            <w:r w:rsidRPr="00E20618">
              <w:rPr>
                <w:rFonts w:cstheme="minorHAnsi"/>
              </w:rPr>
              <w:t>2.6</w:t>
            </w:r>
          </w:p>
        </w:tc>
      </w:tr>
      <w:tr w:rsidR="003F4980" w:rsidRPr="00A1737D" w14:paraId="3A5B5E10" w14:textId="77777777" w:rsidTr="00870149">
        <w:tc>
          <w:tcPr>
            <w:tcW w:w="3096" w:type="dxa"/>
            <w:tcBorders>
              <w:top w:val="single" w:sz="4" w:space="0" w:color="auto"/>
              <w:bottom w:val="nil"/>
            </w:tcBorders>
          </w:tcPr>
          <w:p w14:paraId="2C61098E" w14:textId="689A290B" w:rsidR="003F4980" w:rsidRPr="00363EFE" w:rsidRDefault="003F4980" w:rsidP="00CF6797">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21B868E6"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3A9D1101"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36A217D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0379BA6D"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6FF18BDC"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208F73D4" w14:textId="77777777" w:rsidR="003F4980" w:rsidRPr="00E20618" w:rsidRDefault="003F4980" w:rsidP="000649FA">
            <w:pPr>
              <w:pStyle w:val="TableTextLeft"/>
              <w:jc w:val="right"/>
            </w:pPr>
          </w:p>
        </w:tc>
      </w:tr>
      <w:tr w:rsidR="003F4980" w:rsidRPr="00A1737D" w14:paraId="47DF200D" w14:textId="77777777" w:rsidTr="00870149">
        <w:tc>
          <w:tcPr>
            <w:tcW w:w="3096" w:type="dxa"/>
            <w:tcBorders>
              <w:top w:val="nil"/>
            </w:tcBorders>
          </w:tcPr>
          <w:p w14:paraId="5E3461AE"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1A943032" w14:textId="4557C494" w:rsidR="003F4980" w:rsidRPr="00E20618" w:rsidRDefault="003F4980" w:rsidP="000649FA">
            <w:pPr>
              <w:pStyle w:val="TableTextLeft"/>
              <w:jc w:val="right"/>
            </w:pPr>
            <w:r w:rsidRPr="00E20618">
              <w:rPr>
                <w:rFonts w:cstheme="minorHAnsi"/>
              </w:rPr>
              <w:t>5.4</w:t>
            </w:r>
          </w:p>
        </w:tc>
        <w:tc>
          <w:tcPr>
            <w:tcW w:w="996" w:type="dxa"/>
            <w:tcBorders>
              <w:top w:val="nil"/>
              <w:left w:val="nil"/>
              <w:bottom w:val="nil"/>
              <w:right w:val="nil"/>
            </w:tcBorders>
            <w:shd w:val="clear" w:color="auto" w:fill="D2EDFF" w:themeFill="accent1" w:themeFillTint="1A"/>
          </w:tcPr>
          <w:p w14:paraId="4209BBCA" w14:textId="245EF127" w:rsidR="003F4980" w:rsidRPr="00E20618" w:rsidRDefault="003F4980" w:rsidP="000649FA">
            <w:pPr>
              <w:pStyle w:val="TableTextLeft"/>
              <w:jc w:val="right"/>
            </w:pPr>
            <w:r w:rsidRPr="00E20618">
              <w:rPr>
                <w:rFonts w:cstheme="minorHAnsi"/>
              </w:rPr>
              <w:t>3.9</w:t>
            </w:r>
          </w:p>
        </w:tc>
        <w:tc>
          <w:tcPr>
            <w:tcW w:w="996" w:type="dxa"/>
            <w:tcBorders>
              <w:top w:val="nil"/>
              <w:left w:val="nil"/>
              <w:bottom w:val="nil"/>
              <w:right w:val="nil"/>
            </w:tcBorders>
          </w:tcPr>
          <w:p w14:paraId="0A76151E" w14:textId="2BB94D0A" w:rsidR="003F4980" w:rsidRPr="00E20618" w:rsidRDefault="003F4980" w:rsidP="000649FA">
            <w:pPr>
              <w:pStyle w:val="TableTextLeft"/>
              <w:jc w:val="right"/>
            </w:pPr>
            <w:r w:rsidRPr="00E20618">
              <w:rPr>
                <w:rFonts w:cstheme="minorHAnsi"/>
              </w:rPr>
              <w:t>4</w:t>
            </w:r>
          </w:p>
        </w:tc>
        <w:tc>
          <w:tcPr>
            <w:tcW w:w="996" w:type="dxa"/>
            <w:tcBorders>
              <w:top w:val="nil"/>
              <w:left w:val="nil"/>
              <w:bottom w:val="nil"/>
              <w:right w:val="nil"/>
            </w:tcBorders>
          </w:tcPr>
          <w:p w14:paraId="6F14E67A" w14:textId="23E7D464" w:rsidR="003F4980" w:rsidRPr="00E20618" w:rsidRDefault="003F4980" w:rsidP="000649FA">
            <w:pPr>
              <w:pStyle w:val="TableTextLeft"/>
              <w:jc w:val="right"/>
            </w:pPr>
            <w:r w:rsidRPr="00E20618">
              <w:rPr>
                <w:rFonts w:cstheme="minorHAnsi"/>
              </w:rPr>
              <w:t>5.2</w:t>
            </w:r>
          </w:p>
        </w:tc>
        <w:tc>
          <w:tcPr>
            <w:tcW w:w="996" w:type="dxa"/>
            <w:tcBorders>
              <w:top w:val="nil"/>
              <w:left w:val="nil"/>
              <w:bottom w:val="nil"/>
              <w:right w:val="single" w:sz="4" w:space="0" w:color="auto"/>
            </w:tcBorders>
          </w:tcPr>
          <w:p w14:paraId="0FDADA92" w14:textId="19E7FC05" w:rsidR="003F4980" w:rsidRPr="00E20618" w:rsidRDefault="003F4980" w:rsidP="000649FA">
            <w:pPr>
              <w:pStyle w:val="TableTextLeft"/>
              <w:jc w:val="right"/>
            </w:pPr>
            <w:r w:rsidRPr="00E20618">
              <w:rPr>
                <w:rFonts w:cstheme="minorHAnsi"/>
              </w:rPr>
              <w:t>5.2</w:t>
            </w:r>
          </w:p>
        </w:tc>
        <w:tc>
          <w:tcPr>
            <w:tcW w:w="996" w:type="dxa"/>
            <w:tcBorders>
              <w:top w:val="nil"/>
              <w:left w:val="single" w:sz="4" w:space="0" w:color="auto"/>
              <w:bottom w:val="nil"/>
              <w:right w:val="nil"/>
            </w:tcBorders>
          </w:tcPr>
          <w:p w14:paraId="59FFDD71" w14:textId="118ACBE6" w:rsidR="003F4980" w:rsidRPr="00E20618" w:rsidRDefault="003F4980" w:rsidP="000649FA">
            <w:pPr>
              <w:pStyle w:val="TableTextLeft"/>
              <w:jc w:val="right"/>
            </w:pPr>
            <w:r w:rsidRPr="00E20618">
              <w:rPr>
                <w:rFonts w:cstheme="minorHAnsi"/>
              </w:rPr>
              <w:t>3.7</w:t>
            </w:r>
          </w:p>
        </w:tc>
      </w:tr>
      <w:tr w:rsidR="003F4980" w:rsidRPr="00A1737D" w14:paraId="2AFED8D2" w14:textId="77777777" w:rsidTr="00870149">
        <w:tc>
          <w:tcPr>
            <w:tcW w:w="3096" w:type="dxa"/>
          </w:tcPr>
          <w:p w14:paraId="55DD710E"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2B471A3A" w14:textId="30C0EBAE" w:rsidR="003F4980" w:rsidRPr="00E20618" w:rsidRDefault="003F4980" w:rsidP="000649FA">
            <w:pPr>
              <w:pStyle w:val="TableTextLeft"/>
              <w:jc w:val="right"/>
            </w:pPr>
            <w:r w:rsidRPr="00E20618">
              <w:rPr>
                <w:rFonts w:cstheme="minorHAnsi"/>
              </w:rPr>
              <w:t>5.1</w:t>
            </w:r>
          </w:p>
        </w:tc>
        <w:tc>
          <w:tcPr>
            <w:tcW w:w="996" w:type="dxa"/>
            <w:tcBorders>
              <w:top w:val="nil"/>
              <w:left w:val="nil"/>
              <w:bottom w:val="nil"/>
              <w:right w:val="nil"/>
            </w:tcBorders>
            <w:shd w:val="clear" w:color="auto" w:fill="D2EDFF" w:themeFill="accent1" w:themeFillTint="1A"/>
          </w:tcPr>
          <w:p w14:paraId="61C5EB60" w14:textId="474D37EF" w:rsidR="003F4980" w:rsidRPr="00E20618" w:rsidRDefault="003F4980" w:rsidP="000649FA">
            <w:pPr>
              <w:pStyle w:val="TableTextLeft"/>
              <w:jc w:val="right"/>
            </w:pPr>
            <w:r w:rsidRPr="00E20618">
              <w:rPr>
                <w:rFonts w:cstheme="minorHAnsi"/>
              </w:rPr>
              <w:t>4.3</w:t>
            </w:r>
          </w:p>
        </w:tc>
        <w:tc>
          <w:tcPr>
            <w:tcW w:w="996" w:type="dxa"/>
            <w:tcBorders>
              <w:top w:val="nil"/>
              <w:left w:val="nil"/>
              <w:bottom w:val="nil"/>
              <w:right w:val="nil"/>
            </w:tcBorders>
          </w:tcPr>
          <w:p w14:paraId="00E3A695" w14:textId="38A4DAF4" w:rsidR="003F4980" w:rsidRPr="00E20618" w:rsidRDefault="003F4980" w:rsidP="000649FA">
            <w:pPr>
              <w:pStyle w:val="TableTextLeft"/>
              <w:jc w:val="right"/>
            </w:pPr>
            <w:r w:rsidRPr="00E20618">
              <w:rPr>
                <w:rFonts w:cstheme="minorHAnsi"/>
              </w:rPr>
              <w:t>4.4</w:t>
            </w:r>
          </w:p>
        </w:tc>
        <w:tc>
          <w:tcPr>
            <w:tcW w:w="996" w:type="dxa"/>
            <w:tcBorders>
              <w:top w:val="nil"/>
              <w:left w:val="nil"/>
              <w:bottom w:val="nil"/>
              <w:right w:val="nil"/>
            </w:tcBorders>
          </w:tcPr>
          <w:p w14:paraId="387A5A67" w14:textId="226A17D0" w:rsidR="003F4980" w:rsidRPr="00E20618" w:rsidRDefault="003F4980" w:rsidP="000649FA">
            <w:pPr>
              <w:pStyle w:val="TableTextLeft"/>
              <w:jc w:val="right"/>
            </w:pPr>
            <w:r w:rsidRPr="00E20618">
              <w:rPr>
                <w:rFonts w:cstheme="minorHAnsi"/>
              </w:rPr>
              <w:t>5.3</w:t>
            </w:r>
          </w:p>
        </w:tc>
        <w:tc>
          <w:tcPr>
            <w:tcW w:w="996" w:type="dxa"/>
            <w:tcBorders>
              <w:top w:val="nil"/>
              <w:left w:val="nil"/>
              <w:bottom w:val="nil"/>
              <w:right w:val="single" w:sz="4" w:space="0" w:color="auto"/>
            </w:tcBorders>
          </w:tcPr>
          <w:p w14:paraId="48EAE4B4" w14:textId="7ED81DDF" w:rsidR="003F4980" w:rsidRPr="00E20618" w:rsidRDefault="003F4980" w:rsidP="000649FA">
            <w:pPr>
              <w:pStyle w:val="TableTextLeft"/>
              <w:jc w:val="right"/>
            </w:pPr>
            <w:r w:rsidRPr="00E20618">
              <w:rPr>
                <w:rFonts w:cstheme="minorHAnsi"/>
              </w:rPr>
              <w:t>5.4</w:t>
            </w:r>
          </w:p>
        </w:tc>
        <w:tc>
          <w:tcPr>
            <w:tcW w:w="996" w:type="dxa"/>
            <w:tcBorders>
              <w:top w:val="nil"/>
              <w:left w:val="single" w:sz="4" w:space="0" w:color="auto"/>
              <w:bottom w:val="nil"/>
              <w:right w:val="nil"/>
            </w:tcBorders>
          </w:tcPr>
          <w:p w14:paraId="7654B709" w14:textId="23E95663" w:rsidR="003F4980" w:rsidRPr="00E20618" w:rsidRDefault="003F4980" w:rsidP="000649FA">
            <w:pPr>
              <w:pStyle w:val="TableTextLeft"/>
              <w:jc w:val="right"/>
            </w:pPr>
            <w:r w:rsidRPr="00E20618">
              <w:rPr>
                <w:rFonts w:cstheme="minorHAnsi"/>
              </w:rPr>
              <w:t>4.6</w:t>
            </w:r>
          </w:p>
        </w:tc>
      </w:tr>
      <w:tr w:rsidR="003F4980" w:rsidRPr="00A1737D" w14:paraId="50C139B8" w14:textId="77777777" w:rsidTr="00870149">
        <w:tc>
          <w:tcPr>
            <w:tcW w:w="3096" w:type="dxa"/>
          </w:tcPr>
          <w:p w14:paraId="0DD0B035"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1A049269" w14:textId="010E36A4" w:rsidR="003F4980" w:rsidRPr="00E20618" w:rsidRDefault="003F4980" w:rsidP="000649FA">
            <w:pPr>
              <w:pStyle w:val="TableTextLeft"/>
              <w:jc w:val="right"/>
            </w:pPr>
            <w:r w:rsidRPr="00E20618">
              <w:rPr>
                <w:rFonts w:cstheme="minorHAnsi"/>
              </w:rPr>
              <w:t>0.</w:t>
            </w:r>
            <w:r w:rsidR="000B415F" w:rsidRPr="00E20618">
              <w:rPr>
                <w:rFonts w:cstheme="minorHAnsi"/>
              </w:rPr>
              <w:t>3</w:t>
            </w:r>
          </w:p>
        </w:tc>
        <w:tc>
          <w:tcPr>
            <w:tcW w:w="996" w:type="dxa"/>
            <w:tcBorders>
              <w:top w:val="nil"/>
              <w:left w:val="nil"/>
              <w:bottom w:val="nil"/>
              <w:right w:val="nil"/>
            </w:tcBorders>
            <w:shd w:val="clear" w:color="auto" w:fill="D2EDFF" w:themeFill="accent1" w:themeFillTint="1A"/>
          </w:tcPr>
          <w:p w14:paraId="3C717F9D" w14:textId="3BB13C5E"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69399016" w14:textId="6C62E7AE"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605984F7" w14:textId="377C11EC"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single" w:sz="4" w:space="0" w:color="auto"/>
            </w:tcBorders>
          </w:tcPr>
          <w:p w14:paraId="654EE3ED" w14:textId="77ADFC46" w:rsidR="003F4980" w:rsidRPr="00E20618" w:rsidRDefault="003F4980" w:rsidP="000649FA">
            <w:pPr>
              <w:pStyle w:val="TableTextLeft"/>
              <w:jc w:val="right"/>
            </w:pPr>
            <w:r w:rsidRPr="00E20618">
              <w:rPr>
                <w:rFonts w:cstheme="minorHAnsi"/>
              </w:rPr>
              <w:t>-0.2</w:t>
            </w:r>
          </w:p>
        </w:tc>
        <w:tc>
          <w:tcPr>
            <w:tcW w:w="996" w:type="dxa"/>
            <w:tcBorders>
              <w:top w:val="nil"/>
              <w:left w:val="single" w:sz="4" w:space="0" w:color="auto"/>
              <w:bottom w:val="nil"/>
              <w:right w:val="nil"/>
            </w:tcBorders>
          </w:tcPr>
          <w:p w14:paraId="1E8AE007" w14:textId="5F04B076" w:rsidR="003F4980" w:rsidRPr="00E20618" w:rsidRDefault="003F4980" w:rsidP="000649FA">
            <w:pPr>
              <w:pStyle w:val="TableTextLeft"/>
              <w:jc w:val="right"/>
            </w:pPr>
            <w:r w:rsidRPr="00E20618">
              <w:rPr>
                <w:rFonts w:cstheme="minorHAnsi"/>
              </w:rPr>
              <w:t>-0.9</w:t>
            </w:r>
          </w:p>
        </w:tc>
      </w:tr>
      <w:tr w:rsidR="003F4980" w:rsidRPr="00A1737D" w14:paraId="0BB9043B" w14:textId="77777777" w:rsidTr="00870149">
        <w:tc>
          <w:tcPr>
            <w:tcW w:w="3096" w:type="dxa"/>
          </w:tcPr>
          <w:p w14:paraId="1FD02522" w14:textId="77777777" w:rsidR="003F4980" w:rsidRPr="00363EFE" w:rsidRDefault="003F4980" w:rsidP="00CF6797">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F2D424D"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5655393F" w14:textId="77777777" w:rsidR="003F4980" w:rsidRPr="00E20618" w:rsidRDefault="003F4980" w:rsidP="000649FA">
            <w:pPr>
              <w:pStyle w:val="TableTextLeft"/>
              <w:jc w:val="right"/>
            </w:pPr>
          </w:p>
        </w:tc>
        <w:tc>
          <w:tcPr>
            <w:tcW w:w="996" w:type="dxa"/>
            <w:tcBorders>
              <w:top w:val="nil"/>
              <w:left w:val="nil"/>
              <w:bottom w:val="nil"/>
              <w:right w:val="nil"/>
            </w:tcBorders>
          </w:tcPr>
          <w:p w14:paraId="1E820559" w14:textId="77777777" w:rsidR="003F4980" w:rsidRPr="00E20618" w:rsidRDefault="003F4980" w:rsidP="000649FA">
            <w:pPr>
              <w:pStyle w:val="TableTextLeft"/>
              <w:jc w:val="right"/>
            </w:pPr>
          </w:p>
        </w:tc>
        <w:tc>
          <w:tcPr>
            <w:tcW w:w="996" w:type="dxa"/>
            <w:tcBorders>
              <w:top w:val="nil"/>
              <w:left w:val="nil"/>
              <w:bottom w:val="nil"/>
              <w:right w:val="nil"/>
            </w:tcBorders>
          </w:tcPr>
          <w:p w14:paraId="7D13EA8A"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019ADB8"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742A0970" w14:textId="77777777" w:rsidR="003F4980" w:rsidRPr="00E20618" w:rsidRDefault="003F4980" w:rsidP="000649FA">
            <w:pPr>
              <w:pStyle w:val="TableTextLeft"/>
              <w:jc w:val="right"/>
            </w:pPr>
          </w:p>
        </w:tc>
      </w:tr>
      <w:tr w:rsidR="003F4980" w:rsidRPr="00A1737D" w14:paraId="147E361E" w14:textId="77777777" w:rsidTr="00870149">
        <w:tc>
          <w:tcPr>
            <w:tcW w:w="3096" w:type="dxa"/>
          </w:tcPr>
          <w:p w14:paraId="53E3F3F8"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6B135532" w14:textId="5ED9A03E"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nil"/>
            </w:tcBorders>
            <w:shd w:val="clear" w:color="auto" w:fill="D2EDFF" w:themeFill="accent1" w:themeFillTint="1A"/>
          </w:tcPr>
          <w:p w14:paraId="5FB852C7" w14:textId="41903D88" w:rsidR="003F4980" w:rsidRPr="00E20618" w:rsidRDefault="003F4980" w:rsidP="000649FA">
            <w:pPr>
              <w:pStyle w:val="TableTextLeft"/>
              <w:jc w:val="right"/>
            </w:pPr>
            <w:r w:rsidRPr="00E20618">
              <w:rPr>
                <w:rFonts w:cstheme="minorHAnsi"/>
              </w:rPr>
              <w:t>10.9</w:t>
            </w:r>
          </w:p>
        </w:tc>
        <w:tc>
          <w:tcPr>
            <w:tcW w:w="996" w:type="dxa"/>
            <w:tcBorders>
              <w:top w:val="nil"/>
              <w:left w:val="nil"/>
              <w:bottom w:val="nil"/>
              <w:right w:val="nil"/>
            </w:tcBorders>
          </w:tcPr>
          <w:p w14:paraId="3D4C809F" w14:textId="5FDD2EED" w:rsidR="003F4980" w:rsidRPr="00E20618" w:rsidRDefault="003F4980" w:rsidP="000649FA">
            <w:pPr>
              <w:pStyle w:val="TableTextLeft"/>
              <w:jc w:val="right"/>
            </w:pPr>
            <w:r w:rsidRPr="00E20618">
              <w:rPr>
                <w:rFonts w:cstheme="minorHAnsi"/>
              </w:rPr>
              <w:t>18.2</w:t>
            </w:r>
          </w:p>
        </w:tc>
        <w:tc>
          <w:tcPr>
            <w:tcW w:w="996" w:type="dxa"/>
            <w:tcBorders>
              <w:top w:val="nil"/>
              <w:left w:val="nil"/>
              <w:bottom w:val="nil"/>
              <w:right w:val="nil"/>
            </w:tcBorders>
          </w:tcPr>
          <w:p w14:paraId="3AEF35EB" w14:textId="0EECE4CC" w:rsidR="003F4980" w:rsidRPr="00E20618" w:rsidRDefault="003F4980"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05F45044" w14:textId="1FAB72D0" w:rsidR="003F4980" w:rsidRPr="00E20618" w:rsidRDefault="003F4980" w:rsidP="000649FA">
            <w:pPr>
              <w:pStyle w:val="TableTextLeft"/>
              <w:jc w:val="right"/>
            </w:pPr>
            <w:r w:rsidRPr="00E20618">
              <w:rPr>
                <w:rFonts w:cstheme="minorHAnsi"/>
              </w:rPr>
              <w:t>16.3</w:t>
            </w:r>
          </w:p>
        </w:tc>
        <w:tc>
          <w:tcPr>
            <w:tcW w:w="996" w:type="dxa"/>
            <w:tcBorders>
              <w:top w:val="nil"/>
              <w:left w:val="single" w:sz="4" w:space="0" w:color="auto"/>
              <w:bottom w:val="nil"/>
              <w:right w:val="nil"/>
            </w:tcBorders>
          </w:tcPr>
          <w:p w14:paraId="08B7F6A8" w14:textId="7C3DB209" w:rsidR="003F4980" w:rsidRPr="00E20618" w:rsidRDefault="003F4980" w:rsidP="000649FA">
            <w:pPr>
              <w:pStyle w:val="TableTextLeft"/>
              <w:jc w:val="right"/>
            </w:pPr>
            <w:r w:rsidRPr="00E20618">
              <w:rPr>
                <w:rFonts w:cstheme="minorHAnsi"/>
              </w:rPr>
              <w:t>16.4</w:t>
            </w:r>
          </w:p>
        </w:tc>
      </w:tr>
      <w:tr w:rsidR="003F4980" w:rsidRPr="00A1737D" w14:paraId="2873071D" w14:textId="77777777" w:rsidTr="00870149">
        <w:tc>
          <w:tcPr>
            <w:tcW w:w="3096" w:type="dxa"/>
          </w:tcPr>
          <w:p w14:paraId="48EEE162"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0F494731" w14:textId="7432CFA2" w:rsidR="003F4980" w:rsidRPr="00E20618" w:rsidRDefault="003F4980" w:rsidP="000649FA">
            <w:pPr>
              <w:pStyle w:val="TableTextLeft"/>
              <w:jc w:val="right"/>
            </w:pPr>
            <w:r w:rsidRPr="00E20618">
              <w:rPr>
                <w:rFonts w:cstheme="minorHAnsi"/>
              </w:rPr>
              <w:t>-2.7</w:t>
            </w:r>
          </w:p>
        </w:tc>
        <w:tc>
          <w:tcPr>
            <w:tcW w:w="996" w:type="dxa"/>
            <w:tcBorders>
              <w:top w:val="nil"/>
              <w:left w:val="nil"/>
              <w:bottom w:val="nil"/>
              <w:right w:val="nil"/>
            </w:tcBorders>
            <w:shd w:val="clear" w:color="auto" w:fill="D2EDFF" w:themeFill="accent1" w:themeFillTint="1A"/>
          </w:tcPr>
          <w:p w14:paraId="093CED6F" w14:textId="2FAA5F1C" w:rsidR="003F4980" w:rsidRPr="00E20618" w:rsidRDefault="003F4980" w:rsidP="000649FA">
            <w:pPr>
              <w:pStyle w:val="TableTextLeft"/>
              <w:jc w:val="right"/>
            </w:pPr>
            <w:r w:rsidRPr="00E20618">
              <w:rPr>
                <w:rFonts w:cstheme="minorHAnsi"/>
              </w:rPr>
              <w:t>10</w:t>
            </w:r>
          </w:p>
        </w:tc>
        <w:tc>
          <w:tcPr>
            <w:tcW w:w="996" w:type="dxa"/>
            <w:tcBorders>
              <w:top w:val="nil"/>
              <w:left w:val="nil"/>
              <w:bottom w:val="nil"/>
              <w:right w:val="nil"/>
            </w:tcBorders>
          </w:tcPr>
          <w:p w14:paraId="016D6B82" w14:textId="09340E36" w:rsidR="003F4980" w:rsidRPr="00E20618" w:rsidRDefault="003F4980" w:rsidP="000649FA">
            <w:pPr>
              <w:pStyle w:val="TableTextLeft"/>
              <w:jc w:val="right"/>
            </w:pPr>
            <w:r w:rsidRPr="00E20618">
              <w:rPr>
                <w:rFonts w:cstheme="minorHAnsi"/>
              </w:rPr>
              <w:t>16.7</w:t>
            </w:r>
          </w:p>
        </w:tc>
        <w:tc>
          <w:tcPr>
            <w:tcW w:w="996" w:type="dxa"/>
            <w:tcBorders>
              <w:top w:val="nil"/>
              <w:left w:val="nil"/>
              <w:bottom w:val="nil"/>
              <w:right w:val="nil"/>
            </w:tcBorders>
          </w:tcPr>
          <w:p w14:paraId="5DC205D5" w14:textId="232E794C" w:rsidR="003F4980" w:rsidRPr="00E20618" w:rsidRDefault="003F4980" w:rsidP="000649FA">
            <w:pPr>
              <w:pStyle w:val="TableTextLeft"/>
              <w:jc w:val="right"/>
            </w:pPr>
            <w:r w:rsidRPr="00E20618">
              <w:rPr>
                <w:rFonts w:cstheme="minorHAnsi"/>
              </w:rPr>
              <w:t>16.5</w:t>
            </w:r>
          </w:p>
        </w:tc>
        <w:tc>
          <w:tcPr>
            <w:tcW w:w="996" w:type="dxa"/>
            <w:tcBorders>
              <w:top w:val="nil"/>
              <w:left w:val="nil"/>
              <w:bottom w:val="nil"/>
              <w:right w:val="single" w:sz="4" w:space="0" w:color="auto"/>
            </w:tcBorders>
          </w:tcPr>
          <w:p w14:paraId="7766B1A4" w14:textId="3DA7872C" w:rsidR="003F4980" w:rsidRPr="00E20618" w:rsidRDefault="003F4980" w:rsidP="000649FA">
            <w:pPr>
              <w:pStyle w:val="TableTextLeft"/>
              <w:jc w:val="right"/>
            </w:pPr>
            <w:r w:rsidRPr="00E20618">
              <w:rPr>
                <w:rFonts w:cstheme="minorHAnsi"/>
              </w:rPr>
              <w:t>15</w:t>
            </w:r>
          </w:p>
        </w:tc>
        <w:tc>
          <w:tcPr>
            <w:tcW w:w="996" w:type="dxa"/>
            <w:tcBorders>
              <w:top w:val="nil"/>
              <w:left w:val="single" w:sz="4" w:space="0" w:color="auto"/>
              <w:bottom w:val="nil"/>
              <w:right w:val="nil"/>
            </w:tcBorders>
          </w:tcPr>
          <w:p w14:paraId="39B9D026" w14:textId="22117507" w:rsidR="003F4980" w:rsidRPr="00E20618" w:rsidRDefault="003F4980" w:rsidP="000649FA">
            <w:pPr>
              <w:pStyle w:val="TableTextLeft"/>
              <w:jc w:val="right"/>
            </w:pPr>
            <w:r w:rsidRPr="00E20618">
              <w:rPr>
                <w:rFonts w:cstheme="minorHAnsi"/>
              </w:rPr>
              <w:t>15</w:t>
            </w:r>
          </w:p>
        </w:tc>
      </w:tr>
      <w:tr w:rsidR="003F4980" w:rsidRPr="00A1737D" w14:paraId="01B16A98" w14:textId="77777777" w:rsidTr="00870149">
        <w:tc>
          <w:tcPr>
            <w:tcW w:w="3096" w:type="dxa"/>
          </w:tcPr>
          <w:p w14:paraId="5FE4BE0C"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nil"/>
              <w:right w:val="nil"/>
            </w:tcBorders>
          </w:tcPr>
          <w:p w14:paraId="655BBC62" w14:textId="6A8AACFE" w:rsidR="003F4980" w:rsidRPr="00E20618" w:rsidRDefault="003F4980" w:rsidP="000649FA">
            <w:pPr>
              <w:pStyle w:val="TableTextLeft"/>
              <w:jc w:val="right"/>
            </w:pPr>
            <w:r w:rsidRPr="00E20618">
              <w:rPr>
                <w:rFonts w:cstheme="minorHAnsi"/>
              </w:rPr>
              <w:t>-0.2</w:t>
            </w:r>
          </w:p>
        </w:tc>
        <w:tc>
          <w:tcPr>
            <w:tcW w:w="996" w:type="dxa"/>
            <w:tcBorders>
              <w:top w:val="nil"/>
              <w:left w:val="nil"/>
              <w:bottom w:val="nil"/>
              <w:right w:val="nil"/>
            </w:tcBorders>
            <w:shd w:val="clear" w:color="auto" w:fill="D2EDFF" w:themeFill="accent1" w:themeFillTint="1A"/>
          </w:tcPr>
          <w:p w14:paraId="0B56D645" w14:textId="681D8D36"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tcPr>
          <w:p w14:paraId="1D66C04D" w14:textId="55BA8367"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09EC1C66" w14:textId="656100E6"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single" w:sz="4" w:space="0" w:color="auto"/>
            </w:tcBorders>
          </w:tcPr>
          <w:p w14:paraId="420A210A" w14:textId="3969CB1F" w:rsidR="003F4980" w:rsidRPr="00E20618" w:rsidRDefault="003F4980" w:rsidP="000649FA">
            <w:pPr>
              <w:pStyle w:val="TableTextLeft"/>
              <w:jc w:val="right"/>
            </w:pPr>
            <w:r w:rsidRPr="00E20618">
              <w:rPr>
                <w:rFonts w:cstheme="minorHAnsi"/>
              </w:rPr>
              <w:t>1.4</w:t>
            </w:r>
          </w:p>
        </w:tc>
        <w:tc>
          <w:tcPr>
            <w:tcW w:w="996" w:type="dxa"/>
            <w:tcBorders>
              <w:top w:val="nil"/>
              <w:left w:val="single" w:sz="4" w:space="0" w:color="auto"/>
              <w:bottom w:val="nil"/>
              <w:right w:val="nil"/>
            </w:tcBorders>
          </w:tcPr>
          <w:p w14:paraId="19A24803" w14:textId="2A669D73" w:rsidR="003F4980" w:rsidRPr="00E20618" w:rsidRDefault="003F4980" w:rsidP="000649FA">
            <w:pPr>
              <w:pStyle w:val="TableTextLeft"/>
              <w:jc w:val="right"/>
            </w:pPr>
            <w:r w:rsidRPr="00E20618">
              <w:rPr>
                <w:rFonts w:cstheme="minorHAnsi"/>
              </w:rPr>
              <w:t>1.4</w:t>
            </w:r>
          </w:p>
        </w:tc>
      </w:tr>
      <w:tr w:rsidR="003F4980" w:rsidRPr="00A1737D" w14:paraId="629A7A47" w14:textId="77777777" w:rsidTr="00870149">
        <w:tc>
          <w:tcPr>
            <w:tcW w:w="3096" w:type="dxa"/>
          </w:tcPr>
          <w:p w14:paraId="0E52F1FC" w14:textId="77777777" w:rsidR="003F4980" w:rsidRPr="00363EFE" w:rsidRDefault="003F4980" w:rsidP="00CF6797">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1F19FCD6"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43054F45" w14:textId="77777777" w:rsidR="003F4980" w:rsidRPr="00E20618" w:rsidRDefault="003F4980" w:rsidP="000649FA">
            <w:pPr>
              <w:pStyle w:val="TableTextLeft"/>
              <w:jc w:val="right"/>
            </w:pPr>
          </w:p>
        </w:tc>
        <w:tc>
          <w:tcPr>
            <w:tcW w:w="996" w:type="dxa"/>
            <w:tcBorders>
              <w:top w:val="nil"/>
              <w:left w:val="nil"/>
              <w:bottom w:val="nil"/>
              <w:right w:val="nil"/>
            </w:tcBorders>
          </w:tcPr>
          <w:p w14:paraId="3DBEE661" w14:textId="77777777" w:rsidR="003F4980" w:rsidRPr="00E20618" w:rsidRDefault="003F4980" w:rsidP="000649FA">
            <w:pPr>
              <w:pStyle w:val="TableTextLeft"/>
              <w:jc w:val="right"/>
            </w:pPr>
          </w:p>
        </w:tc>
        <w:tc>
          <w:tcPr>
            <w:tcW w:w="996" w:type="dxa"/>
            <w:tcBorders>
              <w:top w:val="nil"/>
              <w:left w:val="nil"/>
              <w:bottom w:val="nil"/>
              <w:right w:val="nil"/>
            </w:tcBorders>
          </w:tcPr>
          <w:p w14:paraId="5F98E8AF"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8236C6D"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20345D2" w14:textId="77777777" w:rsidR="003F4980" w:rsidRPr="00E20618" w:rsidRDefault="003F4980" w:rsidP="000649FA">
            <w:pPr>
              <w:pStyle w:val="TableTextLeft"/>
              <w:jc w:val="right"/>
            </w:pPr>
          </w:p>
        </w:tc>
      </w:tr>
      <w:tr w:rsidR="003F4980" w:rsidRPr="00A1737D" w14:paraId="19022B14" w14:textId="77777777" w:rsidTr="00870149">
        <w:tc>
          <w:tcPr>
            <w:tcW w:w="3096" w:type="dxa"/>
          </w:tcPr>
          <w:p w14:paraId="5B51F2B2" w14:textId="77777777" w:rsidR="003F4980" w:rsidRPr="00363EFE" w:rsidRDefault="003F4980" w:rsidP="00CF6797">
            <w:pPr>
              <w:pStyle w:val="TableTextLeft"/>
              <w:rPr>
                <w:color w:val="002C47" w:themeColor="accent1"/>
              </w:rPr>
            </w:pPr>
            <w:r w:rsidRPr="00363EFE">
              <w:rPr>
                <w:color w:val="002C47" w:themeColor="accent1"/>
              </w:rPr>
              <w:t>South Australia</w:t>
            </w:r>
          </w:p>
        </w:tc>
        <w:tc>
          <w:tcPr>
            <w:tcW w:w="996" w:type="dxa"/>
            <w:tcBorders>
              <w:top w:val="nil"/>
              <w:left w:val="nil"/>
              <w:bottom w:val="nil"/>
              <w:right w:val="nil"/>
            </w:tcBorders>
          </w:tcPr>
          <w:p w14:paraId="71D88EFF" w14:textId="1AC46F6B"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1BF2C1E7" w14:textId="16F93478" w:rsidR="003F4980" w:rsidRPr="00E20618" w:rsidRDefault="003F4980" w:rsidP="000649FA">
            <w:pPr>
              <w:pStyle w:val="TableTextLeft"/>
              <w:jc w:val="right"/>
            </w:pPr>
            <w:r w:rsidRPr="00E20618">
              <w:rPr>
                <w:rFonts w:cstheme="minorHAnsi"/>
              </w:rPr>
              <w:t>4.4</w:t>
            </w:r>
          </w:p>
        </w:tc>
        <w:tc>
          <w:tcPr>
            <w:tcW w:w="996" w:type="dxa"/>
            <w:tcBorders>
              <w:top w:val="nil"/>
              <w:left w:val="nil"/>
              <w:bottom w:val="nil"/>
              <w:right w:val="nil"/>
            </w:tcBorders>
          </w:tcPr>
          <w:p w14:paraId="4B0578BC" w14:textId="541A6CC3"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tcPr>
          <w:p w14:paraId="2BF59885" w14:textId="58342842" w:rsidR="003F4980" w:rsidRPr="00E20618" w:rsidRDefault="003F4980" w:rsidP="000649FA">
            <w:pPr>
              <w:pStyle w:val="TableTextLeft"/>
              <w:jc w:val="right"/>
            </w:pPr>
            <w:r w:rsidRPr="00E20618">
              <w:rPr>
                <w:rFonts w:cstheme="minorHAnsi"/>
              </w:rPr>
              <w:t>-3.5</w:t>
            </w:r>
          </w:p>
        </w:tc>
        <w:tc>
          <w:tcPr>
            <w:tcW w:w="996" w:type="dxa"/>
            <w:tcBorders>
              <w:top w:val="nil"/>
              <w:left w:val="nil"/>
              <w:bottom w:val="nil"/>
              <w:right w:val="single" w:sz="4" w:space="0" w:color="auto"/>
            </w:tcBorders>
          </w:tcPr>
          <w:p w14:paraId="07E8E017" w14:textId="6FF4D232" w:rsidR="003F4980" w:rsidRPr="00E20618" w:rsidRDefault="003F4980"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0BE9878F" w14:textId="4D2536B1" w:rsidR="003F4980" w:rsidRPr="00E20618" w:rsidRDefault="003F4980" w:rsidP="000649FA">
            <w:pPr>
              <w:pStyle w:val="TableTextLeft"/>
              <w:jc w:val="right"/>
            </w:pPr>
            <w:r w:rsidRPr="00E20618">
              <w:rPr>
                <w:rFonts w:cstheme="minorHAnsi"/>
              </w:rPr>
              <w:t>-2.8</w:t>
            </w:r>
          </w:p>
        </w:tc>
      </w:tr>
      <w:tr w:rsidR="003F4980" w:rsidRPr="00A1737D" w14:paraId="4D6A34C9" w14:textId="77777777" w:rsidTr="00870149">
        <w:tc>
          <w:tcPr>
            <w:tcW w:w="3096" w:type="dxa"/>
          </w:tcPr>
          <w:p w14:paraId="033B659A"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18B5756D" w14:textId="27FD0280" w:rsidR="003F4980" w:rsidRPr="00E20618" w:rsidRDefault="003F4980" w:rsidP="000649FA">
            <w:pPr>
              <w:pStyle w:val="TableTextLeft"/>
              <w:jc w:val="right"/>
            </w:pPr>
            <w:r w:rsidRPr="00E20618">
              <w:rPr>
                <w:rFonts w:cstheme="minorHAnsi"/>
              </w:rPr>
              <w:t>-0.2</w:t>
            </w:r>
          </w:p>
        </w:tc>
        <w:tc>
          <w:tcPr>
            <w:tcW w:w="996" w:type="dxa"/>
            <w:tcBorders>
              <w:top w:val="nil"/>
              <w:left w:val="nil"/>
              <w:bottom w:val="nil"/>
              <w:right w:val="nil"/>
            </w:tcBorders>
            <w:shd w:val="clear" w:color="auto" w:fill="D2EDFF" w:themeFill="accent1" w:themeFillTint="1A"/>
          </w:tcPr>
          <w:p w14:paraId="04669E16" w14:textId="6058EB77" w:rsidR="003F4980" w:rsidRPr="00E20618" w:rsidRDefault="003F4980" w:rsidP="000649FA">
            <w:pPr>
              <w:pStyle w:val="TableTextLeft"/>
              <w:jc w:val="right"/>
            </w:pPr>
            <w:r w:rsidRPr="00E20618">
              <w:rPr>
                <w:rFonts w:cstheme="minorHAnsi"/>
              </w:rPr>
              <w:t>2.3</w:t>
            </w:r>
          </w:p>
        </w:tc>
        <w:tc>
          <w:tcPr>
            <w:tcW w:w="996" w:type="dxa"/>
            <w:tcBorders>
              <w:top w:val="nil"/>
              <w:left w:val="nil"/>
              <w:bottom w:val="nil"/>
              <w:right w:val="nil"/>
            </w:tcBorders>
          </w:tcPr>
          <w:p w14:paraId="6FCB610B" w14:textId="237BBA58" w:rsidR="003F4980" w:rsidRPr="00E20618" w:rsidRDefault="003F4980" w:rsidP="000649FA">
            <w:pPr>
              <w:pStyle w:val="TableTextLeft"/>
              <w:jc w:val="right"/>
            </w:pPr>
            <w:r w:rsidRPr="00E20618">
              <w:rPr>
                <w:rFonts w:cstheme="minorHAnsi"/>
              </w:rPr>
              <w:t>-0.8</w:t>
            </w:r>
          </w:p>
        </w:tc>
        <w:tc>
          <w:tcPr>
            <w:tcW w:w="996" w:type="dxa"/>
            <w:tcBorders>
              <w:top w:val="nil"/>
              <w:left w:val="nil"/>
              <w:bottom w:val="nil"/>
              <w:right w:val="nil"/>
            </w:tcBorders>
          </w:tcPr>
          <w:p w14:paraId="6856E5E5" w14:textId="463B41C0" w:rsidR="003F4980" w:rsidRPr="00E20618" w:rsidRDefault="003F4980" w:rsidP="000649FA">
            <w:pPr>
              <w:pStyle w:val="TableTextLeft"/>
              <w:jc w:val="right"/>
            </w:pPr>
            <w:r w:rsidRPr="00E20618">
              <w:rPr>
                <w:rFonts w:cstheme="minorHAnsi"/>
              </w:rPr>
              <w:t>-4</w:t>
            </w:r>
          </w:p>
        </w:tc>
        <w:tc>
          <w:tcPr>
            <w:tcW w:w="996" w:type="dxa"/>
            <w:tcBorders>
              <w:top w:val="nil"/>
              <w:left w:val="nil"/>
              <w:bottom w:val="nil"/>
              <w:right w:val="single" w:sz="4" w:space="0" w:color="auto"/>
            </w:tcBorders>
          </w:tcPr>
          <w:p w14:paraId="68BE689E" w14:textId="07C9F0C4" w:rsidR="003F4980" w:rsidRPr="00E20618" w:rsidRDefault="003F4980" w:rsidP="000649FA">
            <w:pPr>
              <w:pStyle w:val="TableTextLeft"/>
              <w:jc w:val="right"/>
            </w:pPr>
            <w:r w:rsidRPr="00E20618">
              <w:rPr>
                <w:rFonts w:cstheme="minorHAnsi"/>
              </w:rPr>
              <w:t>-4.1</w:t>
            </w:r>
          </w:p>
        </w:tc>
        <w:tc>
          <w:tcPr>
            <w:tcW w:w="996" w:type="dxa"/>
            <w:tcBorders>
              <w:top w:val="nil"/>
              <w:left w:val="single" w:sz="4" w:space="0" w:color="auto"/>
              <w:bottom w:val="nil"/>
              <w:right w:val="nil"/>
            </w:tcBorders>
          </w:tcPr>
          <w:p w14:paraId="6BC05AD9" w14:textId="7C9F35F5" w:rsidR="003F4980" w:rsidRPr="00E20618" w:rsidRDefault="003F4980" w:rsidP="000649FA">
            <w:pPr>
              <w:pStyle w:val="TableTextLeft"/>
              <w:jc w:val="right"/>
            </w:pPr>
            <w:r w:rsidRPr="00E20618">
              <w:rPr>
                <w:rFonts w:cstheme="minorHAnsi"/>
              </w:rPr>
              <w:t>-4.9</w:t>
            </w:r>
          </w:p>
        </w:tc>
      </w:tr>
      <w:tr w:rsidR="003F4980" w:rsidRPr="00A1737D" w14:paraId="6594B812" w14:textId="77777777" w:rsidTr="00870149">
        <w:tc>
          <w:tcPr>
            <w:tcW w:w="3096" w:type="dxa"/>
            <w:tcBorders>
              <w:bottom w:val="single" w:sz="4" w:space="0" w:color="auto"/>
            </w:tcBorders>
          </w:tcPr>
          <w:p w14:paraId="7E77E9E5"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5954DF17" w14:textId="49001724" w:rsidR="003F4980" w:rsidRPr="00E20618" w:rsidRDefault="003F4980" w:rsidP="000649FA">
            <w:pPr>
              <w:pStyle w:val="TableTextLeft"/>
              <w:jc w:val="right"/>
            </w:pPr>
            <w:r w:rsidRPr="00E20618">
              <w:rPr>
                <w:rFonts w:cstheme="minorHAnsi"/>
              </w:rPr>
              <w:t>1.1</w:t>
            </w:r>
          </w:p>
        </w:tc>
        <w:tc>
          <w:tcPr>
            <w:tcW w:w="996" w:type="dxa"/>
            <w:tcBorders>
              <w:top w:val="nil"/>
              <w:left w:val="nil"/>
              <w:bottom w:val="single" w:sz="4" w:space="0" w:color="auto"/>
              <w:right w:val="nil"/>
            </w:tcBorders>
            <w:shd w:val="clear" w:color="auto" w:fill="D2EDFF" w:themeFill="accent1" w:themeFillTint="1A"/>
          </w:tcPr>
          <w:p w14:paraId="27FF5A96" w14:textId="2F206B6C" w:rsidR="003F4980" w:rsidRPr="00E20618" w:rsidRDefault="003F4980" w:rsidP="000649FA">
            <w:pPr>
              <w:pStyle w:val="TableTextLeft"/>
              <w:jc w:val="right"/>
            </w:pPr>
            <w:r w:rsidRPr="00E20618">
              <w:rPr>
                <w:rFonts w:cstheme="minorHAnsi"/>
              </w:rPr>
              <w:t>2.1</w:t>
            </w:r>
          </w:p>
        </w:tc>
        <w:tc>
          <w:tcPr>
            <w:tcW w:w="996" w:type="dxa"/>
            <w:tcBorders>
              <w:top w:val="nil"/>
              <w:left w:val="nil"/>
              <w:bottom w:val="single" w:sz="4" w:space="0" w:color="auto"/>
              <w:right w:val="nil"/>
            </w:tcBorders>
          </w:tcPr>
          <w:p w14:paraId="0A42EF2F" w14:textId="04939E8D" w:rsidR="003F4980" w:rsidRPr="00E20618" w:rsidRDefault="003F4980" w:rsidP="000649FA">
            <w:pPr>
              <w:pStyle w:val="TableTextLeft"/>
              <w:jc w:val="right"/>
            </w:pPr>
            <w:r w:rsidRPr="00E20618">
              <w:rPr>
                <w:rFonts w:cstheme="minorHAnsi"/>
              </w:rPr>
              <w:t>1.3</w:t>
            </w:r>
          </w:p>
        </w:tc>
        <w:tc>
          <w:tcPr>
            <w:tcW w:w="996" w:type="dxa"/>
            <w:tcBorders>
              <w:top w:val="nil"/>
              <w:left w:val="nil"/>
              <w:bottom w:val="single" w:sz="4" w:space="0" w:color="auto"/>
              <w:right w:val="nil"/>
            </w:tcBorders>
          </w:tcPr>
          <w:p w14:paraId="44DE8483" w14:textId="6EA81707" w:rsidR="003F4980" w:rsidRPr="00E20618" w:rsidRDefault="003F4980" w:rsidP="000649FA">
            <w:pPr>
              <w:pStyle w:val="TableTextLeft"/>
              <w:jc w:val="right"/>
            </w:pPr>
            <w:r w:rsidRPr="00E20618">
              <w:rPr>
                <w:rFonts w:cstheme="minorHAnsi"/>
              </w:rPr>
              <w:t>0.5</w:t>
            </w:r>
          </w:p>
        </w:tc>
        <w:tc>
          <w:tcPr>
            <w:tcW w:w="996" w:type="dxa"/>
            <w:tcBorders>
              <w:top w:val="nil"/>
              <w:left w:val="nil"/>
              <w:bottom w:val="single" w:sz="4" w:space="0" w:color="auto"/>
              <w:right w:val="single" w:sz="4" w:space="0" w:color="auto"/>
            </w:tcBorders>
          </w:tcPr>
          <w:p w14:paraId="278E7666" w14:textId="281AE67B" w:rsidR="003F4980" w:rsidRPr="00E20618" w:rsidRDefault="003F4980" w:rsidP="000649FA">
            <w:pPr>
              <w:pStyle w:val="TableTextLeft"/>
              <w:jc w:val="right"/>
            </w:pPr>
            <w:r w:rsidRPr="00E20618">
              <w:rPr>
                <w:rFonts w:cstheme="minorHAnsi"/>
              </w:rPr>
              <w:t>0.7</w:t>
            </w:r>
          </w:p>
        </w:tc>
        <w:tc>
          <w:tcPr>
            <w:tcW w:w="996" w:type="dxa"/>
            <w:tcBorders>
              <w:top w:val="nil"/>
              <w:left w:val="single" w:sz="4" w:space="0" w:color="auto"/>
              <w:bottom w:val="single" w:sz="4" w:space="0" w:color="auto"/>
              <w:right w:val="nil"/>
            </w:tcBorders>
          </w:tcPr>
          <w:p w14:paraId="1F60F49C" w14:textId="0BBED401" w:rsidR="003F4980" w:rsidRPr="00E20618" w:rsidRDefault="003F4980" w:rsidP="000649FA">
            <w:pPr>
              <w:pStyle w:val="TableTextLeft"/>
              <w:jc w:val="right"/>
            </w:pPr>
            <w:r w:rsidRPr="00E20618">
              <w:rPr>
                <w:rFonts w:cstheme="minorHAnsi"/>
              </w:rPr>
              <w:t>2.1</w:t>
            </w:r>
          </w:p>
        </w:tc>
      </w:tr>
      <w:tr w:rsidR="003F4980" w:rsidRPr="00A1737D" w14:paraId="52CBBE86" w14:textId="77777777" w:rsidTr="00870149">
        <w:tc>
          <w:tcPr>
            <w:tcW w:w="3096" w:type="dxa"/>
            <w:tcBorders>
              <w:top w:val="single" w:sz="4" w:space="0" w:color="auto"/>
              <w:bottom w:val="nil"/>
            </w:tcBorders>
          </w:tcPr>
          <w:p w14:paraId="15667B9C" w14:textId="77777777" w:rsidR="003F4980" w:rsidRPr="00363EFE" w:rsidRDefault="003F4980" w:rsidP="00CF6797">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7A0C6D2"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0DF83425"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05F5185B"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26B41548"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65A123CD"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71E75599" w14:textId="77777777" w:rsidR="003F4980" w:rsidRPr="00E20618" w:rsidRDefault="003F4980" w:rsidP="000649FA">
            <w:pPr>
              <w:pStyle w:val="TableTextLeft"/>
              <w:jc w:val="right"/>
            </w:pPr>
          </w:p>
        </w:tc>
      </w:tr>
      <w:tr w:rsidR="003F4980" w:rsidRPr="00A1737D" w14:paraId="31BF7E5E" w14:textId="77777777" w:rsidTr="00870149">
        <w:tc>
          <w:tcPr>
            <w:tcW w:w="3096" w:type="dxa"/>
            <w:tcBorders>
              <w:bottom w:val="nil"/>
            </w:tcBorders>
          </w:tcPr>
          <w:p w14:paraId="6D5902E7" w14:textId="77777777" w:rsidR="003F4980" w:rsidRPr="00363EFE" w:rsidRDefault="003F4980" w:rsidP="00CF6797">
            <w:pPr>
              <w:pStyle w:val="TableTextLeft"/>
              <w:rPr>
                <w:i/>
                <w:iCs/>
                <w:color w:val="002C47" w:themeColor="accent1"/>
              </w:rPr>
            </w:pPr>
            <w:r w:rsidRPr="00363EFE">
              <w:rPr>
                <w:color w:val="002C47" w:themeColor="accent1"/>
              </w:rPr>
              <w:t>South Australia</w:t>
            </w:r>
          </w:p>
        </w:tc>
        <w:tc>
          <w:tcPr>
            <w:tcW w:w="996" w:type="dxa"/>
            <w:tcBorders>
              <w:top w:val="nil"/>
              <w:left w:val="nil"/>
              <w:bottom w:val="nil"/>
              <w:right w:val="nil"/>
            </w:tcBorders>
          </w:tcPr>
          <w:p w14:paraId="0AD14B29" w14:textId="1E5233AF" w:rsidR="003F4980" w:rsidRPr="00E20618" w:rsidRDefault="003F4980" w:rsidP="000649FA">
            <w:pPr>
              <w:pStyle w:val="TableTextLeft"/>
              <w:jc w:val="right"/>
            </w:pPr>
            <w:r w:rsidRPr="00E20618">
              <w:rPr>
                <w:rFonts w:cstheme="minorHAnsi"/>
              </w:rPr>
              <w:t>40.6</w:t>
            </w:r>
          </w:p>
        </w:tc>
        <w:tc>
          <w:tcPr>
            <w:tcW w:w="996" w:type="dxa"/>
            <w:tcBorders>
              <w:top w:val="nil"/>
              <w:left w:val="nil"/>
              <w:bottom w:val="nil"/>
              <w:right w:val="nil"/>
            </w:tcBorders>
            <w:shd w:val="clear" w:color="auto" w:fill="D2EDFF" w:themeFill="accent1" w:themeFillTint="1A"/>
          </w:tcPr>
          <w:p w14:paraId="1A3D2576" w14:textId="4ED35761" w:rsidR="003F4980" w:rsidRPr="00E20618" w:rsidRDefault="003F4980" w:rsidP="000649FA">
            <w:pPr>
              <w:pStyle w:val="TableTextLeft"/>
              <w:jc w:val="right"/>
            </w:pPr>
            <w:r w:rsidRPr="00E20618">
              <w:rPr>
                <w:rFonts w:cstheme="minorHAnsi"/>
              </w:rPr>
              <w:t>40.7</w:t>
            </w:r>
          </w:p>
        </w:tc>
        <w:tc>
          <w:tcPr>
            <w:tcW w:w="996" w:type="dxa"/>
            <w:tcBorders>
              <w:top w:val="nil"/>
              <w:left w:val="nil"/>
              <w:bottom w:val="nil"/>
              <w:right w:val="nil"/>
            </w:tcBorders>
          </w:tcPr>
          <w:p w14:paraId="36D2D0DF" w14:textId="5A7464B4" w:rsidR="003F4980" w:rsidRPr="00E20618" w:rsidRDefault="003F4980" w:rsidP="000649FA">
            <w:pPr>
              <w:pStyle w:val="TableTextLeft"/>
              <w:jc w:val="right"/>
            </w:pPr>
            <w:r w:rsidRPr="00E20618">
              <w:rPr>
                <w:rFonts w:cstheme="minorHAnsi"/>
              </w:rPr>
              <w:t>40.7</w:t>
            </w:r>
          </w:p>
        </w:tc>
        <w:tc>
          <w:tcPr>
            <w:tcW w:w="996" w:type="dxa"/>
            <w:tcBorders>
              <w:top w:val="nil"/>
              <w:left w:val="nil"/>
              <w:bottom w:val="nil"/>
              <w:right w:val="nil"/>
            </w:tcBorders>
          </w:tcPr>
          <w:p w14:paraId="50A3CCE8" w14:textId="702CFE94" w:rsidR="003F4980" w:rsidRPr="00E20618" w:rsidRDefault="003F4980" w:rsidP="000649FA">
            <w:pPr>
              <w:pStyle w:val="TableTextLeft"/>
              <w:jc w:val="right"/>
            </w:pPr>
            <w:r w:rsidRPr="00E20618">
              <w:rPr>
                <w:rFonts w:cstheme="minorHAnsi"/>
              </w:rPr>
              <w:t>40.8</w:t>
            </w:r>
          </w:p>
        </w:tc>
        <w:tc>
          <w:tcPr>
            <w:tcW w:w="996" w:type="dxa"/>
            <w:tcBorders>
              <w:top w:val="nil"/>
              <w:left w:val="nil"/>
              <w:bottom w:val="nil"/>
              <w:right w:val="single" w:sz="4" w:space="0" w:color="auto"/>
            </w:tcBorders>
          </w:tcPr>
          <w:p w14:paraId="36F8CE94" w14:textId="7AB7B753" w:rsidR="003F4980" w:rsidRPr="00E20618" w:rsidRDefault="003F4980" w:rsidP="000649FA">
            <w:pPr>
              <w:pStyle w:val="TableTextLeft"/>
              <w:jc w:val="right"/>
            </w:pPr>
            <w:r w:rsidRPr="00E20618">
              <w:rPr>
                <w:rFonts w:cstheme="minorHAnsi"/>
              </w:rPr>
              <w:t>41</w:t>
            </w:r>
          </w:p>
        </w:tc>
        <w:tc>
          <w:tcPr>
            <w:tcW w:w="996" w:type="dxa"/>
            <w:tcBorders>
              <w:top w:val="nil"/>
              <w:left w:val="single" w:sz="4" w:space="0" w:color="auto"/>
              <w:bottom w:val="nil"/>
              <w:right w:val="nil"/>
            </w:tcBorders>
          </w:tcPr>
          <w:p w14:paraId="0219C5A2" w14:textId="3FB66F5B" w:rsidR="003F4980" w:rsidRPr="00E20618" w:rsidRDefault="003F4980" w:rsidP="000649FA">
            <w:pPr>
              <w:pStyle w:val="TableTextLeft"/>
              <w:jc w:val="right"/>
            </w:pPr>
            <w:r w:rsidRPr="00E20618">
              <w:rPr>
                <w:rFonts w:cstheme="minorHAnsi"/>
              </w:rPr>
              <w:t>42</w:t>
            </w:r>
          </w:p>
        </w:tc>
      </w:tr>
      <w:tr w:rsidR="003F4980" w:rsidRPr="00A1737D" w14:paraId="4507F3CA" w14:textId="77777777" w:rsidTr="00870149">
        <w:tc>
          <w:tcPr>
            <w:tcW w:w="3096" w:type="dxa"/>
            <w:tcBorders>
              <w:bottom w:val="nil"/>
            </w:tcBorders>
          </w:tcPr>
          <w:p w14:paraId="1A5F9D91" w14:textId="77777777" w:rsidR="003F4980" w:rsidRPr="00363EFE" w:rsidRDefault="003F4980" w:rsidP="00CF6797">
            <w:pPr>
              <w:pStyle w:val="Tabletextleftindent"/>
              <w:rPr>
                <w:color w:val="002C47" w:themeColor="accent1"/>
              </w:rPr>
            </w:pPr>
            <w:r w:rsidRPr="00363EFE">
              <w:rPr>
                <w:color w:val="002C47" w:themeColor="accent1"/>
              </w:rPr>
              <w:t>Greater Adelaide</w:t>
            </w:r>
          </w:p>
        </w:tc>
        <w:tc>
          <w:tcPr>
            <w:tcW w:w="996" w:type="dxa"/>
            <w:tcBorders>
              <w:top w:val="nil"/>
              <w:left w:val="nil"/>
              <w:bottom w:val="nil"/>
              <w:right w:val="nil"/>
            </w:tcBorders>
          </w:tcPr>
          <w:p w14:paraId="612C7DBE" w14:textId="67109720" w:rsidR="003F4980" w:rsidRPr="00E20618" w:rsidRDefault="003F4980" w:rsidP="000649FA">
            <w:pPr>
              <w:pStyle w:val="TableTextLeft"/>
              <w:jc w:val="right"/>
            </w:pPr>
            <w:r w:rsidRPr="00E20618">
              <w:rPr>
                <w:rFonts w:cstheme="minorHAnsi"/>
              </w:rPr>
              <w:t>39.3</w:t>
            </w:r>
          </w:p>
        </w:tc>
        <w:tc>
          <w:tcPr>
            <w:tcW w:w="996" w:type="dxa"/>
            <w:tcBorders>
              <w:top w:val="nil"/>
              <w:left w:val="nil"/>
              <w:bottom w:val="nil"/>
              <w:right w:val="nil"/>
            </w:tcBorders>
            <w:shd w:val="clear" w:color="auto" w:fill="D2EDFF" w:themeFill="accent1" w:themeFillTint="1A"/>
          </w:tcPr>
          <w:p w14:paraId="02E0D977" w14:textId="656FD0EA" w:rsidR="003F4980" w:rsidRPr="00E20618" w:rsidRDefault="003F4980" w:rsidP="000649FA">
            <w:pPr>
              <w:pStyle w:val="TableTextLeft"/>
              <w:jc w:val="right"/>
            </w:pPr>
            <w:r w:rsidRPr="00E20618">
              <w:rPr>
                <w:rFonts w:cstheme="minorHAnsi"/>
              </w:rPr>
              <w:t>39.4</w:t>
            </w:r>
          </w:p>
        </w:tc>
        <w:tc>
          <w:tcPr>
            <w:tcW w:w="996" w:type="dxa"/>
            <w:tcBorders>
              <w:top w:val="nil"/>
              <w:left w:val="nil"/>
              <w:bottom w:val="nil"/>
              <w:right w:val="nil"/>
            </w:tcBorders>
          </w:tcPr>
          <w:p w14:paraId="07034BE1" w14:textId="7DD90F65" w:rsidR="003F4980" w:rsidRPr="00E20618" w:rsidRDefault="003F4980" w:rsidP="000649FA">
            <w:pPr>
              <w:pStyle w:val="TableTextLeft"/>
              <w:jc w:val="right"/>
            </w:pPr>
            <w:r w:rsidRPr="00E20618">
              <w:rPr>
                <w:rFonts w:cstheme="minorHAnsi"/>
              </w:rPr>
              <w:t>39.4</w:t>
            </w:r>
          </w:p>
        </w:tc>
        <w:tc>
          <w:tcPr>
            <w:tcW w:w="996" w:type="dxa"/>
            <w:tcBorders>
              <w:top w:val="nil"/>
              <w:left w:val="nil"/>
              <w:bottom w:val="nil"/>
              <w:right w:val="nil"/>
            </w:tcBorders>
          </w:tcPr>
          <w:p w14:paraId="24829936" w14:textId="60BFB1B3" w:rsidR="003F4980" w:rsidRPr="00E20618" w:rsidRDefault="003F4980" w:rsidP="000649FA">
            <w:pPr>
              <w:pStyle w:val="TableTextLeft"/>
              <w:jc w:val="right"/>
            </w:pPr>
            <w:r w:rsidRPr="00E20618">
              <w:rPr>
                <w:rFonts w:cstheme="minorHAnsi"/>
              </w:rPr>
              <w:t>39.5</w:t>
            </w:r>
          </w:p>
        </w:tc>
        <w:tc>
          <w:tcPr>
            <w:tcW w:w="996" w:type="dxa"/>
            <w:tcBorders>
              <w:top w:val="nil"/>
              <w:left w:val="nil"/>
              <w:bottom w:val="nil"/>
              <w:right w:val="single" w:sz="4" w:space="0" w:color="auto"/>
            </w:tcBorders>
          </w:tcPr>
          <w:p w14:paraId="413C6601" w14:textId="6A148B60" w:rsidR="003F4980" w:rsidRPr="00E20618" w:rsidRDefault="003F4980" w:rsidP="000649FA">
            <w:pPr>
              <w:pStyle w:val="TableTextLeft"/>
              <w:jc w:val="right"/>
            </w:pPr>
            <w:r w:rsidRPr="00E20618">
              <w:rPr>
                <w:rFonts w:cstheme="minorHAnsi"/>
              </w:rPr>
              <w:t>39.6</w:t>
            </w:r>
          </w:p>
        </w:tc>
        <w:tc>
          <w:tcPr>
            <w:tcW w:w="996" w:type="dxa"/>
            <w:tcBorders>
              <w:top w:val="nil"/>
              <w:left w:val="single" w:sz="4" w:space="0" w:color="auto"/>
              <w:bottom w:val="nil"/>
              <w:right w:val="nil"/>
            </w:tcBorders>
          </w:tcPr>
          <w:p w14:paraId="45220433" w14:textId="2B52EF05" w:rsidR="003F4980" w:rsidRPr="00E20618" w:rsidRDefault="003F4980" w:rsidP="000649FA">
            <w:pPr>
              <w:pStyle w:val="TableTextLeft"/>
              <w:jc w:val="right"/>
            </w:pPr>
            <w:r w:rsidRPr="00E20618">
              <w:rPr>
                <w:rFonts w:cstheme="minorHAnsi"/>
              </w:rPr>
              <w:t>40.3</w:t>
            </w:r>
          </w:p>
        </w:tc>
      </w:tr>
      <w:tr w:rsidR="003F4980" w:rsidRPr="00A1737D" w14:paraId="6E62F997" w14:textId="77777777" w:rsidTr="00870149">
        <w:tc>
          <w:tcPr>
            <w:tcW w:w="3096" w:type="dxa"/>
            <w:tcBorders>
              <w:bottom w:val="single" w:sz="4" w:space="0" w:color="auto"/>
            </w:tcBorders>
          </w:tcPr>
          <w:p w14:paraId="5D206F5D" w14:textId="77777777" w:rsidR="003F4980" w:rsidRPr="00363EFE" w:rsidRDefault="003F4980" w:rsidP="00CF6797">
            <w:pPr>
              <w:pStyle w:val="Tabletextleftindent"/>
              <w:rPr>
                <w:color w:val="002C47" w:themeColor="accent1"/>
              </w:rPr>
            </w:pPr>
            <w:r w:rsidRPr="00363EFE">
              <w:rPr>
                <w:color w:val="002C47" w:themeColor="accent1"/>
              </w:rPr>
              <w:t>Rest of South Australia</w:t>
            </w:r>
          </w:p>
        </w:tc>
        <w:tc>
          <w:tcPr>
            <w:tcW w:w="996" w:type="dxa"/>
            <w:tcBorders>
              <w:top w:val="nil"/>
              <w:left w:val="nil"/>
              <w:bottom w:val="single" w:sz="4" w:space="0" w:color="auto"/>
              <w:right w:val="nil"/>
            </w:tcBorders>
          </w:tcPr>
          <w:p w14:paraId="405D1A9A" w14:textId="0320DD6C" w:rsidR="003F4980" w:rsidRPr="00E20618" w:rsidRDefault="003F4980" w:rsidP="000649FA">
            <w:pPr>
              <w:pStyle w:val="TableTextLeft"/>
              <w:jc w:val="right"/>
            </w:pPr>
            <w:r w:rsidRPr="00E20618">
              <w:rPr>
                <w:rFonts w:cstheme="minorHAnsi"/>
              </w:rPr>
              <w:t>46.4</w:t>
            </w:r>
          </w:p>
        </w:tc>
        <w:tc>
          <w:tcPr>
            <w:tcW w:w="996" w:type="dxa"/>
            <w:tcBorders>
              <w:top w:val="nil"/>
              <w:left w:val="nil"/>
              <w:bottom w:val="single" w:sz="4" w:space="0" w:color="auto"/>
              <w:right w:val="nil"/>
            </w:tcBorders>
            <w:shd w:val="clear" w:color="auto" w:fill="D2EDFF" w:themeFill="accent1" w:themeFillTint="1A"/>
          </w:tcPr>
          <w:p w14:paraId="4ED25B4A" w14:textId="5A9006A0" w:rsidR="003F4980" w:rsidRPr="00E20618" w:rsidRDefault="003F4980" w:rsidP="000649FA">
            <w:pPr>
              <w:pStyle w:val="TableTextLeft"/>
              <w:jc w:val="right"/>
            </w:pPr>
            <w:r w:rsidRPr="00E20618">
              <w:rPr>
                <w:rFonts w:cstheme="minorHAnsi"/>
              </w:rPr>
              <w:t>46.6</w:t>
            </w:r>
          </w:p>
        </w:tc>
        <w:tc>
          <w:tcPr>
            <w:tcW w:w="996" w:type="dxa"/>
            <w:tcBorders>
              <w:top w:val="nil"/>
              <w:left w:val="nil"/>
              <w:bottom w:val="single" w:sz="4" w:space="0" w:color="auto"/>
              <w:right w:val="nil"/>
            </w:tcBorders>
          </w:tcPr>
          <w:p w14:paraId="7704FB73" w14:textId="5952E7CC" w:rsidR="003F4980" w:rsidRPr="00E20618" w:rsidRDefault="003F4980" w:rsidP="000649FA">
            <w:pPr>
              <w:pStyle w:val="TableTextLeft"/>
              <w:jc w:val="right"/>
            </w:pPr>
            <w:r w:rsidRPr="00E20618">
              <w:rPr>
                <w:rFonts w:cstheme="minorHAnsi"/>
              </w:rPr>
              <w:t>46.9</w:t>
            </w:r>
          </w:p>
        </w:tc>
        <w:tc>
          <w:tcPr>
            <w:tcW w:w="996" w:type="dxa"/>
            <w:tcBorders>
              <w:top w:val="nil"/>
              <w:left w:val="nil"/>
              <w:bottom w:val="single" w:sz="4" w:space="0" w:color="auto"/>
              <w:right w:val="nil"/>
            </w:tcBorders>
          </w:tcPr>
          <w:p w14:paraId="152F5541" w14:textId="1C83EE0E" w:rsidR="003F4980" w:rsidRPr="00E20618" w:rsidRDefault="003F4980" w:rsidP="000649FA">
            <w:pPr>
              <w:pStyle w:val="TableTextLeft"/>
              <w:jc w:val="right"/>
            </w:pPr>
            <w:r w:rsidRPr="00E20618">
              <w:rPr>
                <w:rFonts w:cstheme="minorHAnsi"/>
              </w:rPr>
              <w:t>47.2</w:t>
            </w:r>
          </w:p>
        </w:tc>
        <w:tc>
          <w:tcPr>
            <w:tcW w:w="996" w:type="dxa"/>
            <w:tcBorders>
              <w:top w:val="nil"/>
              <w:left w:val="nil"/>
              <w:bottom w:val="single" w:sz="4" w:space="0" w:color="auto"/>
              <w:right w:val="single" w:sz="4" w:space="0" w:color="auto"/>
            </w:tcBorders>
          </w:tcPr>
          <w:p w14:paraId="53E6566F" w14:textId="7EB198FF" w:rsidR="003F4980" w:rsidRPr="00E20618" w:rsidRDefault="003F4980" w:rsidP="000649FA">
            <w:pPr>
              <w:pStyle w:val="TableTextLeft"/>
              <w:jc w:val="right"/>
            </w:pPr>
            <w:r w:rsidRPr="00E20618">
              <w:rPr>
                <w:rFonts w:cstheme="minorHAnsi"/>
              </w:rPr>
              <w:t>47.5</w:t>
            </w:r>
          </w:p>
        </w:tc>
        <w:tc>
          <w:tcPr>
            <w:tcW w:w="996" w:type="dxa"/>
            <w:tcBorders>
              <w:top w:val="nil"/>
              <w:left w:val="single" w:sz="4" w:space="0" w:color="auto"/>
              <w:bottom w:val="single" w:sz="4" w:space="0" w:color="auto"/>
              <w:right w:val="nil"/>
            </w:tcBorders>
          </w:tcPr>
          <w:p w14:paraId="468EC687" w14:textId="1687F371" w:rsidR="003F4980" w:rsidRPr="00E20618" w:rsidRDefault="003F4980" w:rsidP="000649FA">
            <w:pPr>
              <w:pStyle w:val="TableTextLeft"/>
              <w:jc w:val="right"/>
            </w:pPr>
            <w:r w:rsidRPr="00E20618">
              <w:rPr>
                <w:rFonts w:cstheme="minorHAnsi"/>
              </w:rPr>
              <w:t>49.1</w:t>
            </w:r>
          </w:p>
        </w:tc>
      </w:tr>
    </w:tbl>
    <w:p w14:paraId="660DF9CF" w14:textId="153E59EA" w:rsidR="00CD158B" w:rsidRDefault="00CD158B" w:rsidP="00CD158B">
      <w:pPr>
        <w:pStyle w:val="Source"/>
      </w:pPr>
      <w:r w:rsidRPr="00A1737D">
        <w:t xml:space="preserve">Source: </w:t>
      </w:r>
      <w:r w:rsidR="00523068">
        <w:rPr>
          <w:noProof/>
        </w:rPr>
        <w:t>Australian Bureau of Statistics, National, state and territory population, March 2022, 2022</w:t>
      </w:r>
      <w:r w:rsidR="004C49AF">
        <w:t>;</w:t>
      </w:r>
      <w:r w:rsidRPr="00A1737D">
        <w:t xml:space="preserve"> </w:t>
      </w:r>
      <w:r w:rsidR="00523068">
        <w:rPr>
          <w:noProof/>
        </w:rPr>
        <w:t>Australian Bureau of Statistics, Regional population, 2022</w:t>
      </w:r>
      <w:r w:rsidRPr="00A1737D">
        <w:t xml:space="preserve"> and Centre for Population projections.</w:t>
      </w:r>
    </w:p>
    <w:p w14:paraId="5DD2AEDB" w14:textId="768AEEBB" w:rsidR="00CD158B" w:rsidRDefault="00CD158B" w:rsidP="00A022F7">
      <w:pPr>
        <w:pStyle w:val="Dash"/>
        <w:numPr>
          <w:ilvl w:val="0"/>
          <w:numId w:val="0"/>
        </w:numPr>
        <w:rPr>
          <w:b/>
          <w:iCs/>
          <w:smallCaps/>
          <w:color w:val="FFFFFF" w:themeColor="background1"/>
          <w:spacing w:val="15"/>
        </w:rPr>
      </w:pPr>
    </w:p>
    <w:p w14:paraId="4AF580B5" w14:textId="09E40DC9" w:rsidR="00CD158B" w:rsidRDefault="00CD158B" w:rsidP="00A022F7">
      <w:pPr>
        <w:pStyle w:val="Dash"/>
        <w:numPr>
          <w:ilvl w:val="0"/>
          <w:numId w:val="0"/>
        </w:numPr>
        <w:rPr>
          <w:b/>
          <w:iCs/>
          <w:smallCaps/>
          <w:color w:val="FFFFFF" w:themeColor="background1"/>
          <w:spacing w:val="15"/>
        </w:rPr>
      </w:pPr>
    </w:p>
    <w:p w14:paraId="0CF1922B" w14:textId="77777777" w:rsidR="00CD158B" w:rsidRPr="00556C48" w:rsidRDefault="00CD158B" w:rsidP="00A022F7">
      <w:pPr>
        <w:pStyle w:val="Dash"/>
        <w:numPr>
          <w:ilvl w:val="0"/>
          <w:numId w:val="0"/>
        </w:numPr>
        <w:rPr>
          <w:b/>
          <w:iCs/>
          <w:smallCaps/>
          <w:color w:val="FFFFFF" w:themeColor="background1"/>
          <w:spacing w:val="15"/>
        </w:rPr>
      </w:pPr>
    </w:p>
    <w:p w14:paraId="04E2DC51" w14:textId="0463FA69" w:rsidR="00044410" w:rsidRDefault="00472C9A" w:rsidP="0039767A">
      <w:pPr>
        <w:pStyle w:val="Heading2Numbered"/>
      </w:pPr>
      <w:bookmarkStart w:id="171" w:name="_Toc122618381"/>
      <w:r>
        <w:lastRenderedPageBreak/>
        <w:t>Western Australia</w:t>
      </w:r>
      <w:bookmarkEnd w:id="171"/>
    </w:p>
    <w:p w14:paraId="539F80E4" w14:textId="3EA93D0A" w:rsidR="009949F1" w:rsidRPr="00A1737D" w:rsidRDefault="009949F1" w:rsidP="0039767A">
      <w:bookmarkStart w:id="172" w:name="_Hlk116581068"/>
      <w:r w:rsidRPr="009949F1">
        <w:t>The population of Western Australia on 30 June 2021 was 2.</w:t>
      </w:r>
      <w:r w:rsidR="00FE4E71">
        <w:t>7</w:t>
      </w:r>
      <w:r w:rsidRPr="009949F1">
        <w:t xml:space="preserve"> million</w:t>
      </w:r>
      <w:r w:rsidR="00CF13D8">
        <w:t>, revised up by</w:t>
      </w:r>
      <w:r w:rsidRPr="009949F1">
        <w:t xml:space="preserve"> 2.5 per cent following the 2021 Census. Annual population growth remained relatively strong in 2020–21 at 1.2 per cent, with stronger interstate migration offsetting the loss of overseas migration. Population growth is projected to be 1.1 per cent in 2021–22 and reach 1.6 per cent by 2022–23, before slowly declining to 1.3 per cent in 2032</w:t>
      </w:r>
      <w:r w:rsidR="00B4359F">
        <w:t>–</w:t>
      </w:r>
      <w:r w:rsidRPr="009949F1">
        <w:t>33. At that point, Western Australia’s population is projected to be 3.2 million. However, population growth in Western Australia can be highly variable and generally follows the economic conditions of the state.</w:t>
      </w:r>
    </w:p>
    <w:p w14:paraId="1803DB3C" w14:textId="0882A855" w:rsidR="003F4980" w:rsidRPr="00A1737D" w:rsidRDefault="003F4980" w:rsidP="0039767A">
      <w:r w:rsidRPr="002A105B">
        <w:t xml:space="preserve">Net overseas migration to Western Australia is forecast to steadily increase until 2023–24. Following a low of </w:t>
      </w:r>
      <w:r w:rsidRPr="002A105B">
        <w:noBreakHyphen/>
        <w:t>5,</w:t>
      </w:r>
      <w:r w:rsidR="007E1266">
        <w:t>2</w:t>
      </w:r>
      <w:r w:rsidRPr="002A105B">
        <w:t>00 in 2020–21, the return of international students, temporary skilled migrants and working holiday makers is forecast to drive an increase to 2</w:t>
      </w:r>
      <w:r w:rsidR="007E1266">
        <w:t>5</w:t>
      </w:r>
      <w:r w:rsidRPr="002A105B">
        <w:t>,000 in 2023–24. Net overseas migration is forecast to contribute 0.8 percent</w:t>
      </w:r>
      <w:r w:rsidR="007B0E47">
        <w:t>age points</w:t>
      </w:r>
      <w:r w:rsidRPr="002A105B">
        <w:t xml:space="preserve"> to Western Australia’s population growth rate in 2025–26, up from -0.2</w:t>
      </w:r>
      <w:r w:rsidRPr="002A105B">
        <w:rPr>
          <w:b/>
          <w:bCs/>
        </w:rPr>
        <w:t xml:space="preserve"> </w:t>
      </w:r>
      <w:r w:rsidRPr="002A105B">
        <w:t>in 2020–21. The</w:t>
      </w:r>
      <w:r w:rsidR="00895C95">
        <w:t> </w:t>
      </w:r>
      <w:r w:rsidRPr="002A105B">
        <w:t>state’s share of migration is expected to increase to 10 per cent over the projection</w:t>
      </w:r>
      <w:r w:rsidR="00D12E7D">
        <w:t>s</w:t>
      </w:r>
      <w:r w:rsidRPr="002A105B">
        <w:t xml:space="preserve"> period (up from 6</w:t>
      </w:r>
      <w:r w:rsidR="0044150F">
        <w:t>.6</w:t>
      </w:r>
      <w:r w:rsidR="00895C95">
        <w:t> </w:t>
      </w:r>
      <w:r w:rsidRPr="002A105B">
        <w:t xml:space="preserve">per cent </w:t>
      </w:r>
      <w:r w:rsidR="00F73704">
        <w:t>from</w:t>
      </w:r>
      <w:r w:rsidRPr="002A105B">
        <w:t xml:space="preserve"> 201</w:t>
      </w:r>
      <w:r w:rsidR="0044150F">
        <w:t>3–1</w:t>
      </w:r>
      <w:r w:rsidRPr="002A105B">
        <w:t>4 to 201</w:t>
      </w:r>
      <w:r w:rsidR="0044150F">
        <w:t>7–1</w:t>
      </w:r>
      <w:r w:rsidRPr="002A105B">
        <w:t>8). This reflects the subsiding effects of the mining investment downturn and a larger share of permanent migration in the future.</w:t>
      </w:r>
      <w:bookmarkEnd w:id="172"/>
    </w:p>
    <w:p w14:paraId="723E0789" w14:textId="427E7E47" w:rsidR="00027AC6" w:rsidRPr="00A1737D" w:rsidRDefault="00027AC6" w:rsidP="0039767A">
      <w:bookmarkStart w:id="173" w:name="_Ref115340987"/>
      <w:r w:rsidRPr="001D682E">
        <w:t>Natural increase was the largest contributor to Western Australia’s population growth in 2020–21. In line with</w:t>
      </w:r>
      <w:r w:rsidR="00895C95">
        <w:t> </w:t>
      </w:r>
      <w:r w:rsidRPr="001D682E">
        <w:t>other states and territories, the level of natural increase is expected to fall significantly in 202</w:t>
      </w:r>
      <w:r w:rsidR="00B4343B">
        <w:t>1</w:t>
      </w:r>
      <w:r w:rsidRPr="001D682E">
        <w:t>–2</w:t>
      </w:r>
      <w:r w:rsidR="00B4343B">
        <w:t>2</w:t>
      </w:r>
      <w:r w:rsidRPr="001D682E">
        <w:t xml:space="preserve"> (10.3</w:t>
      </w:r>
      <w:r w:rsidR="00895C95">
        <w:t> </w:t>
      </w:r>
      <w:r w:rsidRPr="001D682E">
        <w:t>per cent) due to an increase in the number of deaths. However, natural increase will continue to be the largest contributor to population growth in 2021–22. Natural increase is forecast to decrease slightly again in 2022–23 due to deaths remaining high, before recovering in 2023–24. Natural increase is projected to decline steadily from 2024–25 due to lower fertility and deaths increasing faster than births.</w:t>
      </w:r>
      <w:r w:rsidRPr="00A1737D">
        <w:t xml:space="preserve"> </w:t>
      </w:r>
    </w:p>
    <w:p w14:paraId="730AB27E" w14:textId="1651BB2E" w:rsidR="009949F1" w:rsidRPr="00A1737D" w:rsidRDefault="009949F1" w:rsidP="0039767A">
      <w:r w:rsidRPr="009949F1">
        <w:t xml:space="preserve">Western Australia experienced negative interstate migration in the years leading up to the pandemic as the economic activity from the mining boom of the 2000s and 2010s dissipated. In 2020–21, </w:t>
      </w:r>
      <w:r w:rsidR="00CF13D8">
        <w:t xml:space="preserve">interstate </w:t>
      </w:r>
      <w:r w:rsidRPr="009949F1">
        <w:t xml:space="preserve">arrivals </w:t>
      </w:r>
      <w:r w:rsidR="00CF13D8">
        <w:t>increased</w:t>
      </w:r>
      <w:r w:rsidRPr="009949F1">
        <w:t xml:space="preserve"> and departures declined, potentially due to COVID-19 restrictions in other states</w:t>
      </w:r>
      <w:r w:rsidR="0078357C">
        <w:t xml:space="preserve">. This led </w:t>
      </w:r>
      <w:r w:rsidRPr="009949F1">
        <w:t xml:space="preserve">to positive </w:t>
      </w:r>
      <w:r w:rsidR="00CF13D8">
        <w:t xml:space="preserve">net </w:t>
      </w:r>
      <w:r w:rsidRPr="009949F1">
        <w:t>interstate migration of 5,000 in 2020–21</w:t>
      </w:r>
      <w:r w:rsidR="0078357C">
        <w:t xml:space="preserve">, which is </w:t>
      </w:r>
      <w:r w:rsidRPr="009949F1">
        <w:t xml:space="preserve">forecast to increase to 7,500 in 2021–22. Net interstate migration is </w:t>
      </w:r>
      <w:r w:rsidR="00CF13D8">
        <w:t>then forecast</w:t>
      </w:r>
      <w:r w:rsidR="00CF13D8" w:rsidRPr="009949F1">
        <w:t xml:space="preserve"> </w:t>
      </w:r>
      <w:r w:rsidRPr="009949F1">
        <w:t>to fall to a small net inflow of 900 in 2023–24 and slowly decline to 650 by 2032–33.</w:t>
      </w:r>
    </w:p>
    <w:p w14:paraId="4A964A3F" w14:textId="77777777" w:rsidR="00CD158B" w:rsidRPr="00A1737D" w:rsidRDefault="00CD158B" w:rsidP="00CD158B">
      <w:pPr>
        <w:pStyle w:val="Heading9"/>
      </w:pPr>
      <w:r w:rsidRPr="00A1737D">
        <w:t>Population growth and components, Western Australia</w:t>
      </w:r>
      <w:bookmarkEnd w:id="173"/>
    </w:p>
    <w:p w14:paraId="02AB2D54" w14:textId="0C7A60DC" w:rsidR="00CD158B" w:rsidRPr="00A1737D" w:rsidRDefault="00EC3B82" w:rsidP="003073C3">
      <w:pPr>
        <w:spacing w:before="0" w:after="0"/>
        <w:jc w:val="center"/>
      </w:pPr>
      <w:r w:rsidRPr="00EC3B82">
        <w:t xml:space="preserve"> </w:t>
      </w:r>
      <w:r w:rsidR="003108F8" w:rsidRPr="003108F8">
        <w:rPr>
          <w:noProof/>
        </w:rPr>
        <w:drawing>
          <wp:inline distT="0" distB="0" distL="0" distR="0" wp14:anchorId="13CCE217" wp14:editId="67A1114C">
            <wp:extent cx="5581650" cy="2524125"/>
            <wp:effectExtent l="0" t="0" r="0" b="0"/>
            <wp:docPr id="95" name="Picture 95" descr="A chart showing total population growth in Western Australia, disaggregated into its components: natural increase, net overseas migration, and net interstate migration. Intercensal difference is also shown. Population growth declined in 2020-21 as overseas migration fell and is forecast to decline further in 2021-22. Population growth is then forecast to recover and peak at 1.6 per cent in 2022-23 before declining slowly thereafter, to 1.3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chart showing total population growth in Western Australia, disaggregated into its components: natural increase, net overseas migration, and net interstate migration. Intercensal difference is also shown. Population growth declined in 2020-21 as overseas migration fell and is forecast to decline further in 2021-22. Population growth is then forecast to recover and peak at 1.6 per cent in 2022-23 before declining slowly thereafter, to 1.3 per cent in 2032-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BF6AC34" w14:textId="41B9B92A" w:rsidR="00CD158B" w:rsidRPr="009E1B8D" w:rsidRDefault="00CD158B" w:rsidP="00CD158B">
      <w:pPr>
        <w:pStyle w:val="Source"/>
        <w:rPr>
          <w:color w:val="0563C1"/>
        </w:rPr>
      </w:pPr>
      <w:r w:rsidRPr="00A1737D">
        <w:t xml:space="preserve">Source: </w:t>
      </w:r>
      <w:r w:rsidR="00130E76">
        <w:rPr>
          <w:noProof/>
        </w:rPr>
        <w:t>Australian Bureau of Statistics, National, state and territory population, March 2022, 2022</w:t>
      </w:r>
      <w:r w:rsidRPr="00A1737D">
        <w:t xml:space="preserve"> and Centre for Population projections.</w:t>
      </w:r>
      <w:r w:rsidR="00B729B2" w:rsidRPr="00A1737D" w:rsidDel="00B729B2">
        <w:t xml:space="preserve"> </w:t>
      </w:r>
    </w:p>
    <w:p w14:paraId="3A2578C1" w14:textId="4A74DFD2" w:rsidR="00CD158B" w:rsidRDefault="00CD158B" w:rsidP="00A022F7">
      <w:pPr>
        <w:pStyle w:val="Dash"/>
        <w:numPr>
          <w:ilvl w:val="0"/>
          <w:numId w:val="0"/>
        </w:numPr>
        <w:rPr>
          <w:b/>
          <w:i/>
          <w:smallCaps/>
          <w:color w:val="FFFFFF" w:themeColor="background1"/>
          <w:spacing w:val="15"/>
        </w:rPr>
      </w:pPr>
    </w:p>
    <w:p w14:paraId="00BB6B3C" w14:textId="310D9E83" w:rsidR="00CD158B" w:rsidRDefault="00CD158B" w:rsidP="00A022F7">
      <w:pPr>
        <w:pStyle w:val="Dash"/>
        <w:numPr>
          <w:ilvl w:val="0"/>
          <w:numId w:val="0"/>
        </w:numPr>
        <w:rPr>
          <w:b/>
          <w:i/>
          <w:smallCaps/>
          <w:color w:val="FFFFFF" w:themeColor="background1"/>
          <w:spacing w:val="15"/>
        </w:rPr>
      </w:pPr>
    </w:p>
    <w:p w14:paraId="377B2490" w14:textId="77777777" w:rsidR="00CD158B" w:rsidRDefault="00CD158B" w:rsidP="009D5E0B">
      <w:pPr>
        <w:pStyle w:val="Heading3"/>
      </w:pPr>
      <w:bookmarkStart w:id="174" w:name="_Toc120635122"/>
      <w:bookmarkStart w:id="175" w:name="_Toc122617955"/>
      <w:bookmarkStart w:id="176" w:name="_Toc122618382"/>
      <w:r>
        <w:lastRenderedPageBreak/>
        <w:t>Greater Perth and the Rest of Western Australia</w:t>
      </w:r>
      <w:bookmarkEnd w:id="174"/>
      <w:bookmarkEnd w:id="175"/>
      <w:bookmarkEnd w:id="176"/>
    </w:p>
    <w:p w14:paraId="09790E7D" w14:textId="306E3D91" w:rsidR="003F4980" w:rsidRPr="00A1737D" w:rsidRDefault="003F4980" w:rsidP="003F4980">
      <w:r w:rsidRPr="001D682E">
        <w:t xml:space="preserve">The population of Greater Perth was 2.2 million on 30 June 2021. This accounts for 80 per cent of the state’s population, making Western Australia’s population the most concentrated in Australia. Net internal migration to Perth increased </w:t>
      </w:r>
      <w:r w:rsidR="00A51459">
        <w:t xml:space="preserve">in 2020–21 </w:t>
      </w:r>
      <w:r w:rsidRPr="001D682E">
        <w:t>and population growth remained relatively high at 1.2 per cent. Growth is projected to increase to 1.8 per cent by 2022–23, before slowing to 1.3 per cent by 2032</w:t>
      </w:r>
      <w:r w:rsidR="00B4359F">
        <w:t>–</w:t>
      </w:r>
      <w:r w:rsidRPr="001D682E">
        <w:t>33. In 2032–33, Perth’s population is projected to be 2.6 million.</w:t>
      </w:r>
      <w:r w:rsidRPr="00A1737D">
        <w:t xml:space="preserve"> </w:t>
      </w:r>
    </w:p>
    <w:p w14:paraId="69D9EEE8" w14:textId="2D6FAD2D" w:rsidR="009949F1" w:rsidRPr="00A1737D" w:rsidRDefault="009949F1" w:rsidP="009949F1">
      <w:r w:rsidRPr="009949F1">
        <w:t>The population of the rest of Western Australia on 30 June 2021 was 558,000. Population growth in the rest of Western Australia increased in the early stages of the pandemic, recording 1.1 per cent growth in 2019–20</w:t>
      </w:r>
      <w:r w:rsidR="00940D9E">
        <w:t xml:space="preserve"> and 0.9 per cent in 2020–21</w:t>
      </w:r>
      <w:r w:rsidRPr="009949F1">
        <w:t xml:space="preserve">. Growth is projected to drop to 0.4 per cent in 2021–22 as natural increase begins to decline and is then projected to gradually increase to 0.9 per cent in 2032–33 </w:t>
      </w:r>
      <w:r w:rsidR="00940D9E">
        <w:t xml:space="preserve">driven by increasing </w:t>
      </w:r>
      <w:r w:rsidRPr="009949F1">
        <w:t>net internal migration. In 2032–33, the population of the rest of Western Australia is projected to be 608,000.</w:t>
      </w:r>
    </w:p>
    <w:p w14:paraId="6DDB99B5" w14:textId="77777777" w:rsidR="00CD158B" w:rsidRPr="00A1737D" w:rsidRDefault="00CD158B" w:rsidP="00FC0158">
      <w:pPr>
        <w:pStyle w:val="Heading9"/>
        <w:ind w:left="964" w:hanging="964"/>
      </w:pPr>
      <w:r w:rsidRPr="00A1737D">
        <w:t>Population growth in Western Australia, Greater Perth and the Rest of Western Australia</w:t>
      </w:r>
    </w:p>
    <w:p w14:paraId="1CA49FAE" w14:textId="555B2F7C" w:rsidR="00CD158B" w:rsidRPr="00A1737D" w:rsidRDefault="002D5E7D" w:rsidP="003073C3">
      <w:pPr>
        <w:spacing w:before="0" w:after="0"/>
        <w:jc w:val="center"/>
      </w:pPr>
      <w:r w:rsidRPr="002D5E7D">
        <w:rPr>
          <w:noProof/>
        </w:rPr>
        <w:drawing>
          <wp:inline distT="0" distB="0" distL="0" distR="0" wp14:anchorId="716221D4" wp14:editId="1EFC2669">
            <wp:extent cx="5581650" cy="2524125"/>
            <wp:effectExtent l="0" t="0" r="0" b="0"/>
            <wp:docPr id="96" name="Picture 96" descr="A line chart comparing population growth in Western Australia, Perth, and the rest of Western Australia. Population growth declined in all 3 areas in 2019-20, but less so in the rest of Western Australia. Population growth is projected to begin recovering in Perth from 2020-21 and in Western Australia from 2021-22. Growth in those areas peaks in 2022-23 before slowly declining. Population growth in the rest of Western Australia reaches a trough in 2021-22 before slowly increasing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line chart comparing population growth in Western Australia, Perth, and the rest of Western Australia. Population growth declined in all 3 areas in 2019-20, but less so in the rest of Western Australia. Population growth is projected to begin recovering in Perth from 2020-21 and in Western Australia from 2021-22. Growth in those areas peaks in 2022-23 before slowly declining. Population growth in the rest of Western Australia reaches a trough in 2021-22 before slowly increasing to 2032-3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728E917A" w14:textId="080CC135" w:rsidR="00CD158B" w:rsidRPr="00A1737D" w:rsidRDefault="00CD158B" w:rsidP="00CD158B">
      <w:pPr>
        <w:pStyle w:val="Source"/>
      </w:pPr>
      <w:r w:rsidRPr="00A1737D">
        <w:t xml:space="preserve">Source: </w:t>
      </w:r>
      <w:r w:rsidR="00130E76">
        <w:rPr>
          <w:noProof/>
        </w:rPr>
        <w:t>Australian Bureau of Statistics, Regional population, 2022</w:t>
      </w:r>
      <w:r w:rsidR="004C49AF">
        <w:t>;</w:t>
      </w:r>
      <w:r w:rsidRPr="00A1737D">
        <w:t xml:space="preserve"> </w:t>
      </w:r>
      <w:r w:rsidR="00130E76">
        <w:rPr>
          <w:noProof/>
        </w:rPr>
        <w:t>Australian Bureau of Statistics, National, state and territory population, March 2022, 2022</w:t>
      </w:r>
      <w:r w:rsidRPr="00A1737D">
        <w:t xml:space="preserve"> and Centre for Population projections.</w:t>
      </w:r>
      <w:r w:rsidR="00B729B2" w:rsidRPr="00A1737D" w:rsidDel="00B729B2">
        <w:t xml:space="preserve"> </w:t>
      </w:r>
    </w:p>
    <w:p w14:paraId="7286C687" w14:textId="45D47425" w:rsidR="00CD158B" w:rsidRPr="00A1737D" w:rsidRDefault="00CD158B" w:rsidP="00A022F7">
      <w:pPr>
        <w:pStyle w:val="Dash"/>
        <w:numPr>
          <w:ilvl w:val="0"/>
          <w:numId w:val="0"/>
        </w:numPr>
        <w:rPr>
          <w:b/>
          <w:i/>
          <w:smallCaps/>
          <w:color w:val="FFFFFF" w:themeColor="background1"/>
          <w:spacing w:val="15"/>
        </w:rPr>
      </w:pPr>
    </w:p>
    <w:p w14:paraId="6C5F4B07" w14:textId="1ECE366E" w:rsidR="005E2095" w:rsidRDefault="005E2095" w:rsidP="00A022F7">
      <w:pPr>
        <w:pStyle w:val="Dash"/>
        <w:numPr>
          <w:ilvl w:val="0"/>
          <w:numId w:val="0"/>
        </w:numPr>
        <w:rPr>
          <w:b/>
          <w:i/>
          <w:smallCaps/>
          <w:color w:val="FFFFFF" w:themeColor="background1"/>
          <w:spacing w:val="15"/>
        </w:rPr>
      </w:pPr>
    </w:p>
    <w:p w14:paraId="680AE4F6" w14:textId="04FEAAC1" w:rsidR="005E2095" w:rsidRDefault="005E2095" w:rsidP="00A022F7">
      <w:pPr>
        <w:pStyle w:val="Dash"/>
        <w:numPr>
          <w:ilvl w:val="0"/>
          <w:numId w:val="0"/>
        </w:numPr>
        <w:rPr>
          <w:b/>
          <w:i/>
          <w:smallCaps/>
          <w:color w:val="FFFFFF" w:themeColor="background1"/>
          <w:spacing w:val="15"/>
        </w:rPr>
      </w:pPr>
    </w:p>
    <w:p w14:paraId="38E96B7B" w14:textId="6DCD1E74" w:rsidR="005E2095" w:rsidRDefault="005E2095" w:rsidP="00A022F7">
      <w:pPr>
        <w:pStyle w:val="Dash"/>
        <w:numPr>
          <w:ilvl w:val="0"/>
          <w:numId w:val="0"/>
        </w:numPr>
        <w:rPr>
          <w:b/>
          <w:i/>
          <w:smallCaps/>
          <w:color w:val="FFFFFF" w:themeColor="background1"/>
          <w:spacing w:val="15"/>
        </w:rPr>
      </w:pPr>
    </w:p>
    <w:p w14:paraId="711640FF" w14:textId="7DC87663" w:rsidR="005E2095" w:rsidRDefault="005E2095" w:rsidP="00A022F7">
      <w:pPr>
        <w:pStyle w:val="Dash"/>
        <w:numPr>
          <w:ilvl w:val="0"/>
          <w:numId w:val="0"/>
        </w:numPr>
        <w:rPr>
          <w:b/>
          <w:i/>
          <w:smallCaps/>
          <w:color w:val="FFFFFF" w:themeColor="background1"/>
          <w:spacing w:val="15"/>
        </w:rPr>
      </w:pPr>
    </w:p>
    <w:p w14:paraId="0E72A8A2" w14:textId="5FBBFB48" w:rsidR="005E2095" w:rsidRDefault="005E2095" w:rsidP="00A022F7">
      <w:pPr>
        <w:pStyle w:val="Dash"/>
        <w:numPr>
          <w:ilvl w:val="0"/>
          <w:numId w:val="0"/>
        </w:numPr>
        <w:rPr>
          <w:b/>
          <w:i/>
          <w:smallCaps/>
          <w:color w:val="FFFFFF" w:themeColor="background1"/>
          <w:spacing w:val="15"/>
        </w:rPr>
      </w:pPr>
    </w:p>
    <w:p w14:paraId="49A3EE58" w14:textId="30FB831B" w:rsidR="005E2095" w:rsidRDefault="005E2095" w:rsidP="00A022F7">
      <w:pPr>
        <w:pStyle w:val="Dash"/>
        <w:numPr>
          <w:ilvl w:val="0"/>
          <w:numId w:val="0"/>
        </w:numPr>
        <w:rPr>
          <w:b/>
          <w:i/>
          <w:smallCaps/>
          <w:color w:val="FFFFFF" w:themeColor="background1"/>
          <w:spacing w:val="15"/>
        </w:rPr>
      </w:pPr>
    </w:p>
    <w:p w14:paraId="3BE1742E" w14:textId="320C3D19" w:rsidR="005E2095" w:rsidRDefault="005E2095" w:rsidP="00A022F7">
      <w:pPr>
        <w:pStyle w:val="Dash"/>
        <w:numPr>
          <w:ilvl w:val="0"/>
          <w:numId w:val="0"/>
        </w:numPr>
        <w:rPr>
          <w:b/>
          <w:i/>
          <w:smallCaps/>
          <w:color w:val="FFFFFF" w:themeColor="background1"/>
          <w:spacing w:val="15"/>
        </w:rPr>
      </w:pPr>
    </w:p>
    <w:p w14:paraId="1B87964F" w14:textId="7FEFBF86" w:rsidR="00D1616C" w:rsidRDefault="00D1616C">
      <w:pPr>
        <w:spacing w:before="0" w:after="160" w:line="259" w:lineRule="auto"/>
        <w:rPr>
          <w:b/>
          <w:bCs/>
          <w:smallCaps/>
          <w:color w:val="002C47" w:themeColor="accent1"/>
          <w:spacing w:val="15"/>
        </w:rPr>
      </w:pPr>
    </w:p>
    <w:p w14:paraId="62A7FE50" w14:textId="77777777" w:rsidR="00CD158B" w:rsidRPr="00A1737D" w:rsidRDefault="00CD158B" w:rsidP="005540BC">
      <w:pPr>
        <w:pStyle w:val="TableMainHeading"/>
      </w:pPr>
      <w:r w:rsidRPr="00A1737D">
        <w:lastRenderedPageBreak/>
        <w:t>Population projections, Western Australia</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rsidRPr="00A1737D" w14:paraId="02B46FDC"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61D42F56" w14:textId="77777777" w:rsidR="00CD158B" w:rsidRPr="00A1737D" w:rsidRDefault="00CD158B" w:rsidP="00676947">
            <w:pPr>
              <w:spacing w:after="0"/>
            </w:pPr>
          </w:p>
        </w:tc>
        <w:tc>
          <w:tcPr>
            <w:tcW w:w="996" w:type="dxa"/>
          </w:tcPr>
          <w:p w14:paraId="2428D2C8" w14:textId="4659A3F6" w:rsidR="00CD158B" w:rsidRPr="00A1737D" w:rsidRDefault="00CD158B" w:rsidP="002C06DC">
            <w:pPr>
              <w:pStyle w:val="TableColumnHeadingLeft"/>
            </w:pPr>
            <w:r w:rsidRPr="00A1737D">
              <w:t>2020</w:t>
            </w:r>
            <w:r w:rsidR="0033101B">
              <w:t>–</w:t>
            </w:r>
            <w:r w:rsidRPr="00A1737D">
              <w:t>21</w:t>
            </w:r>
          </w:p>
        </w:tc>
        <w:tc>
          <w:tcPr>
            <w:tcW w:w="996" w:type="dxa"/>
            <w:shd w:val="clear" w:color="auto" w:fill="D2EDFF" w:themeFill="accent1" w:themeFillTint="1A"/>
          </w:tcPr>
          <w:p w14:paraId="4D2B02A5" w14:textId="77F3F41F" w:rsidR="00CD158B" w:rsidRPr="00A1737D" w:rsidRDefault="00CD158B" w:rsidP="002C06DC">
            <w:pPr>
              <w:pStyle w:val="TableColumnHeadingLeft"/>
            </w:pPr>
            <w:r w:rsidRPr="00A1737D">
              <w:t>2021</w:t>
            </w:r>
            <w:r w:rsidR="0033101B">
              <w:t>–</w:t>
            </w:r>
            <w:r w:rsidRPr="00A1737D">
              <w:t>22</w:t>
            </w:r>
          </w:p>
        </w:tc>
        <w:tc>
          <w:tcPr>
            <w:tcW w:w="996" w:type="dxa"/>
          </w:tcPr>
          <w:p w14:paraId="0611526E" w14:textId="64E94EB5" w:rsidR="00CD158B" w:rsidRPr="00A1737D" w:rsidRDefault="00CD158B" w:rsidP="002C06DC">
            <w:pPr>
              <w:pStyle w:val="TableColumnHeadingLeft"/>
            </w:pPr>
            <w:r w:rsidRPr="00A1737D">
              <w:t>2022</w:t>
            </w:r>
            <w:r w:rsidR="0033101B">
              <w:t>–</w:t>
            </w:r>
            <w:r w:rsidRPr="00A1737D">
              <w:t>23</w:t>
            </w:r>
          </w:p>
        </w:tc>
        <w:tc>
          <w:tcPr>
            <w:tcW w:w="996" w:type="dxa"/>
          </w:tcPr>
          <w:p w14:paraId="6193FB4F" w14:textId="657D62EC" w:rsidR="00CD158B" w:rsidRPr="00A1737D" w:rsidRDefault="00CD158B" w:rsidP="002C06DC">
            <w:pPr>
              <w:pStyle w:val="TableColumnHeadingLeft"/>
            </w:pPr>
            <w:r w:rsidRPr="00A1737D">
              <w:t>2023</w:t>
            </w:r>
            <w:r w:rsidR="0033101B">
              <w:t>–</w:t>
            </w:r>
            <w:r w:rsidRPr="00A1737D">
              <w:t>24</w:t>
            </w:r>
          </w:p>
        </w:tc>
        <w:tc>
          <w:tcPr>
            <w:tcW w:w="996" w:type="dxa"/>
            <w:tcBorders>
              <w:right w:val="single" w:sz="4" w:space="0" w:color="auto"/>
            </w:tcBorders>
          </w:tcPr>
          <w:p w14:paraId="051CEC21" w14:textId="1648EA87" w:rsidR="00CD158B" w:rsidRPr="00A1737D" w:rsidRDefault="00CD158B" w:rsidP="002C06DC">
            <w:pPr>
              <w:pStyle w:val="TableColumnHeadingLeft"/>
            </w:pPr>
            <w:r w:rsidRPr="00A1737D">
              <w:t>2024</w:t>
            </w:r>
            <w:r w:rsidR="0033101B">
              <w:t>–</w:t>
            </w:r>
            <w:r w:rsidRPr="00A1737D">
              <w:t>25</w:t>
            </w:r>
          </w:p>
        </w:tc>
        <w:tc>
          <w:tcPr>
            <w:tcW w:w="996" w:type="dxa"/>
            <w:tcBorders>
              <w:left w:val="single" w:sz="4" w:space="0" w:color="auto"/>
            </w:tcBorders>
          </w:tcPr>
          <w:p w14:paraId="419B6D14" w14:textId="0659FB03" w:rsidR="00CD158B" w:rsidRPr="00A1737D" w:rsidRDefault="00CD158B" w:rsidP="002C06DC">
            <w:pPr>
              <w:pStyle w:val="TableColumnHeadingLeft"/>
            </w:pPr>
            <w:r w:rsidRPr="00A1737D">
              <w:t>2032</w:t>
            </w:r>
            <w:r w:rsidR="0033101B">
              <w:t>–</w:t>
            </w:r>
            <w:r w:rsidRPr="00A1737D">
              <w:t>33</w:t>
            </w:r>
          </w:p>
        </w:tc>
      </w:tr>
      <w:tr w:rsidR="003F4980" w:rsidRPr="00A1737D" w14:paraId="49EF9DBF" w14:textId="77777777" w:rsidTr="00676947">
        <w:tc>
          <w:tcPr>
            <w:tcW w:w="3096" w:type="dxa"/>
          </w:tcPr>
          <w:p w14:paraId="5F340B5C"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6AA4AA5A" w14:textId="77777777" w:rsidR="003F4980" w:rsidRPr="00E20618" w:rsidRDefault="003F4980" w:rsidP="001F0F1C">
            <w:pPr>
              <w:pStyle w:val="TableTextLeft"/>
            </w:pPr>
          </w:p>
        </w:tc>
        <w:tc>
          <w:tcPr>
            <w:tcW w:w="996" w:type="dxa"/>
            <w:shd w:val="clear" w:color="auto" w:fill="D2EDFF" w:themeFill="accent1" w:themeFillTint="1A"/>
          </w:tcPr>
          <w:p w14:paraId="4A283F0C" w14:textId="77777777" w:rsidR="003F4980" w:rsidRPr="00E20618" w:rsidRDefault="003F4980" w:rsidP="001F0F1C">
            <w:pPr>
              <w:pStyle w:val="TableTextLeft"/>
            </w:pPr>
          </w:p>
        </w:tc>
        <w:tc>
          <w:tcPr>
            <w:tcW w:w="996" w:type="dxa"/>
          </w:tcPr>
          <w:p w14:paraId="05078EF9" w14:textId="77777777" w:rsidR="003F4980" w:rsidRPr="00E20618" w:rsidRDefault="003F4980" w:rsidP="001F0F1C">
            <w:pPr>
              <w:pStyle w:val="TableTextLeft"/>
            </w:pPr>
          </w:p>
        </w:tc>
        <w:tc>
          <w:tcPr>
            <w:tcW w:w="996" w:type="dxa"/>
          </w:tcPr>
          <w:p w14:paraId="0E04913F" w14:textId="77777777" w:rsidR="003F4980" w:rsidRPr="00E20618" w:rsidRDefault="003F4980" w:rsidP="001F0F1C">
            <w:pPr>
              <w:pStyle w:val="TableTextLeft"/>
            </w:pPr>
          </w:p>
        </w:tc>
        <w:tc>
          <w:tcPr>
            <w:tcW w:w="996" w:type="dxa"/>
            <w:tcBorders>
              <w:right w:val="single" w:sz="4" w:space="0" w:color="auto"/>
            </w:tcBorders>
          </w:tcPr>
          <w:p w14:paraId="6044C67F"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497FE136" w14:textId="77777777" w:rsidR="003F4980" w:rsidRPr="00E20618" w:rsidRDefault="003F4980" w:rsidP="001F0F1C">
            <w:pPr>
              <w:pStyle w:val="TableTextLeft"/>
            </w:pPr>
          </w:p>
        </w:tc>
      </w:tr>
      <w:tr w:rsidR="003F4980" w:rsidRPr="00A1737D" w14:paraId="41BB0717" w14:textId="77777777" w:rsidTr="00870149">
        <w:tc>
          <w:tcPr>
            <w:tcW w:w="3096" w:type="dxa"/>
          </w:tcPr>
          <w:p w14:paraId="08838D05"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39C5AA1F" w14:textId="36A4D9E7" w:rsidR="003F4980" w:rsidRPr="00E20618" w:rsidRDefault="003F4980" w:rsidP="000649FA">
            <w:pPr>
              <w:pStyle w:val="TableTextLeft"/>
              <w:jc w:val="right"/>
              <w:rPr>
                <w:rFonts w:cstheme="minorHAnsi"/>
              </w:rPr>
            </w:pPr>
            <w:r w:rsidRPr="00E20618">
              <w:rPr>
                <w:rFonts w:cstheme="minorHAnsi"/>
              </w:rPr>
              <w:t>2,750</w:t>
            </w:r>
          </w:p>
        </w:tc>
        <w:tc>
          <w:tcPr>
            <w:tcW w:w="996" w:type="dxa"/>
            <w:tcBorders>
              <w:top w:val="nil"/>
              <w:left w:val="nil"/>
              <w:bottom w:val="nil"/>
              <w:right w:val="nil"/>
            </w:tcBorders>
            <w:shd w:val="clear" w:color="auto" w:fill="D2EDFF" w:themeFill="accent1" w:themeFillTint="1A"/>
          </w:tcPr>
          <w:p w14:paraId="6F1C2EAA" w14:textId="05ECCBBC" w:rsidR="003F4980" w:rsidRPr="00E20618" w:rsidRDefault="003F4980" w:rsidP="000649FA">
            <w:pPr>
              <w:pStyle w:val="TableTextLeft"/>
              <w:jc w:val="right"/>
              <w:rPr>
                <w:rFonts w:cstheme="minorHAnsi"/>
              </w:rPr>
            </w:pPr>
            <w:r w:rsidRPr="00E20618">
              <w:rPr>
                <w:rFonts w:cstheme="minorHAnsi"/>
              </w:rPr>
              <w:t>2,780</w:t>
            </w:r>
          </w:p>
        </w:tc>
        <w:tc>
          <w:tcPr>
            <w:tcW w:w="996" w:type="dxa"/>
            <w:tcBorders>
              <w:top w:val="nil"/>
              <w:left w:val="nil"/>
              <w:bottom w:val="nil"/>
              <w:right w:val="nil"/>
            </w:tcBorders>
          </w:tcPr>
          <w:p w14:paraId="273733EF" w14:textId="790196ED" w:rsidR="003F4980" w:rsidRPr="00E20618" w:rsidRDefault="003F4980" w:rsidP="000649FA">
            <w:pPr>
              <w:pStyle w:val="TableTextLeft"/>
              <w:jc w:val="right"/>
              <w:rPr>
                <w:rFonts w:cstheme="minorHAnsi"/>
              </w:rPr>
            </w:pPr>
            <w:r w:rsidRPr="00E20618">
              <w:rPr>
                <w:rFonts w:cstheme="minorHAnsi"/>
              </w:rPr>
              <w:t>2,824</w:t>
            </w:r>
          </w:p>
        </w:tc>
        <w:tc>
          <w:tcPr>
            <w:tcW w:w="996" w:type="dxa"/>
            <w:tcBorders>
              <w:top w:val="nil"/>
              <w:left w:val="nil"/>
              <w:bottom w:val="nil"/>
              <w:right w:val="nil"/>
            </w:tcBorders>
          </w:tcPr>
          <w:p w14:paraId="0BD01B30" w14:textId="4433B96A" w:rsidR="003F4980" w:rsidRPr="00E20618" w:rsidRDefault="003F4980" w:rsidP="000649FA">
            <w:pPr>
              <w:pStyle w:val="TableTextLeft"/>
              <w:jc w:val="right"/>
              <w:rPr>
                <w:rFonts w:cstheme="minorHAnsi"/>
              </w:rPr>
            </w:pPr>
            <w:r w:rsidRPr="00E20618">
              <w:rPr>
                <w:rFonts w:cstheme="minorHAnsi"/>
              </w:rPr>
              <w:t>2,866</w:t>
            </w:r>
          </w:p>
        </w:tc>
        <w:tc>
          <w:tcPr>
            <w:tcW w:w="996" w:type="dxa"/>
            <w:tcBorders>
              <w:top w:val="nil"/>
              <w:left w:val="nil"/>
              <w:bottom w:val="nil"/>
              <w:right w:val="single" w:sz="4" w:space="0" w:color="auto"/>
            </w:tcBorders>
          </w:tcPr>
          <w:p w14:paraId="49AFBF3A" w14:textId="7A986107" w:rsidR="003F4980" w:rsidRPr="00E20618" w:rsidRDefault="003F4980" w:rsidP="000649FA">
            <w:pPr>
              <w:pStyle w:val="TableTextLeft"/>
              <w:jc w:val="right"/>
              <w:rPr>
                <w:rFonts w:cstheme="minorHAnsi"/>
              </w:rPr>
            </w:pPr>
            <w:r w:rsidRPr="00E20618">
              <w:rPr>
                <w:rFonts w:cstheme="minorHAnsi"/>
              </w:rPr>
              <w:t>2,908</w:t>
            </w:r>
          </w:p>
        </w:tc>
        <w:tc>
          <w:tcPr>
            <w:tcW w:w="996" w:type="dxa"/>
            <w:tcBorders>
              <w:top w:val="nil"/>
              <w:left w:val="single" w:sz="4" w:space="0" w:color="auto"/>
              <w:bottom w:val="nil"/>
              <w:right w:val="nil"/>
            </w:tcBorders>
          </w:tcPr>
          <w:p w14:paraId="7647F626" w14:textId="252D577C" w:rsidR="003F4980" w:rsidRPr="00E20618" w:rsidRDefault="003F4980" w:rsidP="000649FA">
            <w:pPr>
              <w:pStyle w:val="TableTextLeft"/>
              <w:jc w:val="right"/>
              <w:rPr>
                <w:rFonts w:cstheme="minorHAnsi"/>
              </w:rPr>
            </w:pPr>
            <w:r w:rsidRPr="00E20618">
              <w:rPr>
                <w:rFonts w:cstheme="minorHAnsi"/>
              </w:rPr>
              <w:t>3,232</w:t>
            </w:r>
          </w:p>
        </w:tc>
      </w:tr>
      <w:tr w:rsidR="003F4980" w:rsidRPr="00A1737D" w14:paraId="15B4B3BE" w14:textId="77777777" w:rsidTr="00870149">
        <w:tc>
          <w:tcPr>
            <w:tcW w:w="3096" w:type="dxa"/>
          </w:tcPr>
          <w:p w14:paraId="3F0BDDCA"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45485F75" w14:textId="2DFC721A" w:rsidR="003F4980" w:rsidRPr="00E20618" w:rsidRDefault="003F4980" w:rsidP="000649FA">
            <w:pPr>
              <w:pStyle w:val="TableTextLeft"/>
              <w:jc w:val="right"/>
              <w:rPr>
                <w:rFonts w:cstheme="minorHAnsi"/>
              </w:rPr>
            </w:pPr>
            <w:r w:rsidRPr="00E20618">
              <w:rPr>
                <w:rFonts w:cstheme="minorHAnsi"/>
              </w:rPr>
              <w:t>2,192</w:t>
            </w:r>
          </w:p>
        </w:tc>
        <w:tc>
          <w:tcPr>
            <w:tcW w:w="996" w:type="dxa"/>
            <w:tcBorders>
              <w:top w:val="nil"/>
              <w:left w:val="nil"/>
              <w:bottom w:val="nil"/>
              <w:right w:val="nil"/>
            </w:tcBorders>
            <w:shd w:val="clear" w:color="auto" w:fill="D2EDFF" w:themeFill="accent1" w:themeFillTint="1A"/>
          </w:tcPr>
          <w:p w14:paraId="0482D384" w14:textId="73D89EDB" w:rsidR="003F4980" w:rsidRPr="00E20618" w:rsidRDefault="003F4980" w:rsidP="000649FA">
            <w:pPr>
              <w:pStyle w:val="TableTextLeft"/>
              <w:jc w:val="right"/>
              <w:rPr>
                <w:rFonts w:cstheme="minorHAnsi"/>
              </w:rPr>
            </w:pPr>
            <w:r w:rsidRPr="00E20618">
              <w:rPr>
                <w:rFonts w:cstheme="minorHAnsi"/>
              </w:rPr>
              <w:t>2,220</w:t>
            </w:r>
          </w:p>
        </w:tc>
        <w:tc>
          <w:tcPr>
            <w:tcW w:w="996" w:type="dxa"/>
            <w:tcBorders>
              <w:top w:val="nil"/>
              <w:left w:val="nil"/>
              <w:bottom w:val="nil"/>
              <w:right w:val="nil"/>
            </w:tcBorders>
          </w:tcPr>
          <w:p w14:paraId="29F9116C" w14:textId="0986BD13" w:rsidR="003F4980" w:rsidRPr="00E20618" w:rsidRDefault="003F4980" w:rsidP="000649FA">
            <w:pPr>
              <w:pStyle w:val="TableTextLeft"/>
              <w:jc w:val="right"/>
              <w:rPr>
                <w:rFonts w:cstheme="minorHAnsi"/>
              </w:rPr>
            </w:pPr>
            <w:r w:rsidRPr="00E20618">
              <w:rPr>
                <w:rFonts w:cstheme="minorHAnsi"/>
              </w:rPr>
              <w:t>2,260</w:t>
            </w:r>
          </w:p>
        </w:tc>
        <w:tc>
          <w:tcPr>
            <w:tcW w:w="996" w:type="dxa"/>
            <w:tcBorders>
              <w:top w:val="nil"/>
              <w:left w:val="nil"/>
              <w:bottom w:val="nil"/>
              <w:right w:val="nil"/>
            </w:tcBorders>
          </w:tcPr>
          <w:p w14:paraId="531E24FD" w14:textId="34AEC97E" w:rsidR="003F4980" w:rsidRPr="00E20618" w:rsidRDefault="003F4980" w:rsidP="000649FA">
            <w:pPr>
              <w:pStyle w:val="TableTextLeft"/>
              <w:jc w:val="right"/>
              <w:rPr>
                <w:rFonts w:cstheme="minorHAnsi"/>
              </w:rPr>
            </w:pPr>
            <w:r w:rsidRPr="00E20618">
              <w:rPr>
                <w:rFonts w:cstheme="minorHAnsi"/>
              </w:rPr>
              <w:t>2,299</w:t>
            </w:r>
          </w:p>
        </w:tc>
        <w:tc>
          <w:tcPr>
            <w:tcW w:w="996" w:type="dxa"/>
            <w:tcBorders>
              <w:top w:val="nil"/>
              <w:left w:val="nil"/>
              <w:bottom w:val="nil"/>
              <w:right w:val="single" w:sz="4" w:space="0" w:color="auto"/>
            </w:tcBorders>
          </w:tcPr>
          <w:p w14:paraId="467DE60F" w14:textId="05D82935" w:rsidR="003F4980" w:rsidRPr="00E20618" w:rsidRDefault="003F4980" w:rsidP="000649FA">
            <w:pPr>
              <w:pStyle w:val="TableTextLeft"/>
              <w:jc w:val="right"/>
              <w:rPr>
                <w:rFonts w:cstheme="minorHAnsi"/>
              </w:rPr>
            </w:pPr>
            <w:r w:rsidRPr="00E20618">
              <w:rPr>
                <w:rFonts w:cstheme="minorHAnsi"/>
              </w:rPr>
              <w:t>2,337</w:t>
            </w:r>
          </w:p>
        </w:tc>
        <w:tc>
          <w:tcPr>
            <w:tcW w:w="996" w:type="dxa"/>
            <w:tcBorders>
              <w:top w:val="nil"/>
              <w:left w:val="single" w:sz="4" w:space="0" w:color="auto"/>
              <w:bottom w:val="nil"/>
              <w:right w:val="nil"/>
            </w:tcBorders>
          </w:tcPr>
          <w:p w14:paraId="66EFB9B8" w14:textId="478D2AA1" w:rsidR="003F4980" w:rsidRPr="00E20618" w:rsidRDefault="003F4980" w:rsidP="000649FA">
            <w:pPr>
              <w:pStyle w:val="TableTextLeft"/>
              <w:jc w:val="right"/>
              <w:rPr>
                <w:rFonts w:cstheme="minorHAnsi"/>
              </w:rPr>
            </w:pPr>
            <w:r w:rsidRPr="00E20618">
              <w:rPr>
                <w:rFonts w:cstheme="minorHAnsi"/>
              </w:rPr>
              <w:t>2,624</w:t>
            </w:r>
          </w:p>
        </w:tc>
      </w:tr>
      <w:tr w:rsidR="003F4980" w:rsidRPr="00A1737D" w14:paraId="535B70C2" w14:textId="77777777" w:rsidTr="00870149">
        <w:tc>
          <w:tcPr>
            <w:tcW w:w="3096" w:type="dxa"/>
          </w:tcPr>
          <w:p w14:paraId="50604914"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18E061EE" w14:textId="30CF9070" w:rsidR="003F4980" w:rsidRPr="00E20618" w:rsidRDefault="003F4980" w:rsidP="000649FA">
            <w:pPr>
              <w:pStyle w:val="TableTextLeft"/>
              <w:jc w:val="right"/>
              <w:rPr>
                <w:rFonts w:cstheme="minorHAnsi"/>
              </w:rPr>
            </w:pPr>
            <w:r w:rsidRPr="00E20618">
              <w:rPr>
                <w:rFonts w:cstheme="minorHAnsi"/>
              </w:rPr>
              <w:t>558</w:t>
            </w:r>
          </w:p>
        </w:tc>
        <w:tc>
          <w:tcPr>
            <w:tcW w:w="996" w:type="dxa"/>
            <w:tcBorders>
              <w:top w:val="nil"/>
              <w:left w:val="nil"/>
              <w:bottom w:val="nil"/>
              <w:right w:val="nil"/>
            </w:tcBorders>
            <w:shd w:val="clear" w:color="auto" w:fill="D2EDFF" w:themeFill="accent1" w:themeFillTint="1A"/>
          </w:tcPr>
          <w:p w14:paraId="73199CE2" w14:textId="5A7E1F1F" w:rsidR="003F4980" w:rsidRPr="00E20618" w:rsidRDefault="003F4980" w:rsidP="000649FA">
            <w:pPr>
              <w:pStyle w:val="TableTextLeft"/>
              <w:jc w:val="right"/>
              <w:rPr>
                <w:rFonts w:cstheme="minorHAnsi"/>
              </w:rPr>
            </w:pPr>
            <w:r w:rsidRPr="00E20618">
              <w:rPr>
                <w:rFonts w:cstheme="minorHAnsi"/>
              </w:rPr>
              <w:t>560</w:t>
            </w:r>
          </w:p>
        </w:tc>
        <w:tc>
          <w:tcPr>
            <w:tcW w:w="996" w:type="dxa"/>
            <w:tcBorders>
              <w:top w:val="nil"/>
              <w:left w:val="nil"/>
              <w:bottom w:val="nil"/>
              <w:right w:val="nil"/>
            </w:tcBorders>
          </w:tcPr>
          <w:p w14:paraId="38A4777F" w14:textId="5404130E" w:rsidR="003F4980" w:rsidRPr="00E20618" w:rsidRDefault="003F4980" w:rsidP="000649FA">
            <w:pPr>
              <w:pStyle w:val="TableTextLeft"/>
              <w:jc w:val="right"/>
              <w:rPr>
                <w:rFonts w:cstheme="minorHAnsi"/>
              </w:rPr>
            </w:pPr>
            <w:r w:rsidRPr="00E20618">
              <w:rPr>
                <w:rFonts w:cstheme="minorHAnsi"/>
              </w:rPr>
              <w:t>563</w:t>
            </w:r>
          </w:p>
        </w:tc>
        <w:tc>
          <w:tcPr>
            <w:tcW w:w="996" w:type="dxa"/>
            <w:tcBorders>
              <w:top w:val="nil"/>
              <w:left w:val="nil"/>
              <w:bottom w:val="nil"/>
              <w:right w:val="nil"/>
            </w:tcBorders>
          </w:tcPr>
          <w:p w14:paraId="18892479" w14:textId="5136A311" w:rsidR="003F4980" w:rsidRPr="00E20618" w:rsidRDefault="003F4980" w:rsidP="000649FA">
            <w:pPr>
              <w:pStyle w:val="TableTextLeft"/>
              <w:jc w:val="right"/>
              <w:rPr>
                <w:rFonts w:cstheme="minorHAnsi"/>
              </w:rPr>
            </w:pPr>
            <w:r w:rsidRPr="00E20618">
              <w:rPr>
                <w:rFonts w:cstheme="minorHAnsi"/>
              </w:rPr>
              <w:t>567</w:t>
            </w:r>
          </w:p>
        </w:tc>
        <w:tc>
          <w:tcPr>
            <w:tcW w:w="996" w:type="dxa"/>
            <w:tcBorders>
              <w:top w:val="nil"/>
              <w:left w:val="nil"/>
              <w:bottom w:val="nil"/>
              <w:right w:val="single" w:sz="4" w:space="0" w:color="auto"/>
            </w:tcBorders>
          </w:tcPr>
          <w:p w14:paraId="6048E78F" w14:textId="7014D37A" w:rsidR="003F4980" w:rsidRPr="00E20618" w:rsidRDefault="003F4980" w:rsidP="000649FA">
            <w:pPr>
              <w:pStyle w:val="TableTextLeft"/>
              <w:jc w:val="right"/>
              <w:rPr>
                <w:rFonts w:cstheme="minorHAnsi"/>
              </w:rPr>
            </w:pPr>
            <w:r w:rsidRPr="00E20618">
              <w:rPr>
                <w:rFonts w:cstheme="minorHAnsi"/>
              </w:rPr>
              <w:t>571</w:t>
            </w:r>
          </w:p>
        </w:tc>
        <w:tc>
          <w:tcPr>
            <w:tcW w:w="996" w:type="dxa"/>
            <w:tcBorders>
              <w:top w:val="nil"/>
              <w:left w:val="single" w:sz="4" w:space="0" w:color="auto"/>
              <w:bottom w:val="nil"/>
              <w:right w:val="nil"/>
            </w:tcBorders>
          </w:tcPr>
          <w:p w14:paraId="67E83C3A" w14:textId="6426FDD7" w:rsidR="003F4980" w:rsidRPr="00E20618" w:rsidRDefault="003F4980" w:rsidP="000649FA">
            <w:pPr>
              <w:pStyle w:val="TableTextLeft"/>
              <w:jc w:val="right"/>
              <w:rPr>
                <w:rFonts w:cstheme="minorHAnsi"/>
              </w:rPr>
            </w:pPr>
            <w:r w:rsidRPr="00E20618">
              <w:rPr>
                <w:rFonts w:cstheme="minorHAnsi"/>
              </w:rPr>
              <w:t>608</w:t>
            </w:r>
          </w:p>
        </w:tc>
      </w:tr>
      <w:tr w:rsidR="003F4980" w:rsidRPr="00A1737D" w14:paraId="3FD03B06" w14:textId="77777777" w:rsidTr="00870149">
        <w:tc>
          <w:tcPr>
            <w:tcW w:w="3096" w:type="dxa"/>
          </w:tcPr>
          <w:p w14:paraId="7601ADB2"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3971831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52BF0C41"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645FFF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6798537"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3EF86AB1"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5B21EEBA" w14:textId="77777777" w:rsidR="003F4980" w:rsidRPr="00E20618" w:rsidRDefault="003F4980" w:rsidP="000649FA">
            <w:pPr>
              <w:pStyle w:val="TableTextLeft"/>
              <w:jc w:val="right"/>
              <w:rPr>
                <w:rFonts w:cstheme="minorHAnsi"/>
              </w:rPr>
            </w:pPr>
          </w:p>
        </w:tc>
      </w:tr>
      <w:tr w:rsidR="003F4980" w:rsidRPr="00A1737D" w14:paraId="18FFBA04" w14:textId="77777777" w:rsidTr="00870149">
        <w:tc>
          <w:tcPr>
            <w:tcW w:w="3096" w:type="dxa"/>
          </w:tcPr>
          <w:p w14:paraId="32752CC6"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5443685E" w14:textId="5C926405"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3907C015" w14:textId="55235A16"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nil"/>
            </w:tcBorders>
          </w:tcPr>
          <w:p w14:paraId="7960A89D" w14:textId="6FFABE2F"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nil"/>
            </w:tcBorders>
          </w:tcPr>
          <w:p w14:paraId="0C3177B7" w14:textId="344C8364"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single" w:sz="4" w:space="0" w:color="auto"/>
            </w:tcBorders>
          </w:tcPr>
          <w:p w14:paraId="60CA5183" w14:textId="5C9BEBE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single" w:sz="4" w:space="0" w:color="auto"/>
              <w:bottom w:val="nil"/>
              <w:right w:val="nil"/>
            </w:tcBorders>
          </w:tcPr>
          <w:p w14:paraId="4CA60AF8" w14:textId="08B85AE5" w:rsidR="003F4980" w:rsidRPr="00E20618" w:rsidRDefault="003F4980" w:rsidP="000649FA">
            <w:pPr>
              <w:pStyle w:val="TableTextLeft"/>
              <w:jc w:val="right"/>
              <w:rPr>
                <w:rFonts w:cstheme="minorHAnsi"/>
              </w:rPr>
            </w:pPr>
            <w:r w:rsidRPr="00E20618">
              <w:rPr>
                <w:rFonts w:cstheme="minorHAnsi"/>
              </w:rPr>
              <w:t>1.3</w:t>
            </w:r>
          </w:p>
        </w:tc>
      </w:tr>
      <w:tr w:rsidR="003F4980" w:rsidRPr="00A1737D" w14:paraId="6EBE2AA5" w14:textId="77777777" w:rsidTr="00870149">
        <w:tc>
          <w:tcPr>
            <w:tcW w:w="3096" w:type="dxa"/>
          </w:tcPr>
          <w:p w14:paraId="258FF0D7"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1E17233A" w14:textId="0F7C4A5D"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78AF279B" w14:textId="0BEB8D76"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728F66B5" w14:textId="6C729F62"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02642246" w14:textId="722F4D47"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nil"/>
              <w:bottom w:val="nil"/>
              <w:right w:val="single" w:sz="4" w:space="0" w:color="auto"/>
            </w:tcBorders>
          </w:tcPr>
          <w:p w14:paraId="568375ED" w14:textId="76D3042D"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0C4FDC2C" w14:textId="7115BDB0" w:rsidR="003F4980" w:rsidRPr="00E20618" w:rsidRDefault="003F4980" w:rsidP="000649FA">
            <w:pPr>
              <w:pStyle w:val="TableTextLeft"/>
              <w:jc w:val="right"/>
              <w:rPr>
                <w:rFonts w:cstheme="minorHAnsi"/>
              </w:rPr>
            </w:pPr>
            <w:r w:rsidRPr="00E20618">
              <w:rPr>
                <w:rFonts w:cstheme="minorHAnsi"/>
              </w:rPr>
              <w:t>1.3</w:t>
            </w:r>
          </w:p>
        </w:tc>
      </w:tr>
      <w:tr w:rsidR="003F4980" w:rsidRPr="00A1737D" w14:paraId="5984765C" w14:textId="77777777" w:rsidTr="00870149">
        <w:tc>
          <w:tcPr>
            <w:tcW w:w="3096" w:type="dxa"/>
          </w:tcPr>
          <w:p w14:paraId="1076F1A8"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3E217B4B" w14:textId="2996A346"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2583CE1B" w14:textId="61138186" w:rsidR="003F4980" w:rsidRPr="00E20618" w:rsidRDefault="003F4980" w:rsidP="000649FA">
            <w:pPr>
              <w:pStyle w:val="TableTextLeft"/>
              <w:jc w:val="right"/>
              <w:rPr>
                <w:rFonts w:cstheme="minorHAnsi"/>
              </w:rPr>
            </w:pPr>
            <w:r w:rsidRPr="00E20618">
              <w:rPr>
                <w:rFonts w:cstheme="minorHAnsi"/>
              </w:rPr>
              <w:t>0.4</w:t>
            </w:r>
          </w:p>
        </w:tc>
        <w:tc>
          <w:tcPr>
            <w:tcW w:w="996" w:type="dxa"/>
            <w:tcBorders>
              <w:top w:val="nil"/>
              <w:left w:val="nil"/>
              <w:bottom w:val="nil"/>
              <w:right w:val="nil"/>
            </w:tcBorders>
          </w:tcPr>
          <w:p w14:paraId="4C869DD3" w14:textId="3C0EA467"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nil"/>
              <w:bottom w:val="nil"/>
              <w:right w:val="nil"/>
            </w:tcBorders>
          </w:tcPr>
          <w:p w14:paraId="63619472" w14:textId="7BA6090C"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single" w:sz="4" w:space="0" w:color="auto"/>
            </w:tcBorders>
          </w:tcPr>
          <w:p w14:paraId="3188CFBA" w14:textId="03146FC1"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single" w:sz="4" w:space="0" w:color="auto"/>
              <w:bottom w:val="nil"/>
              <w:right w:val="nil"/>
            </w:tcBorders>
          </w:tcPr>
          <w:p w14:paraId="6895E524" w14:textId="7A97E87B" w:rsidR="003F4980" w:rsidRPr="00E20618" w:rsidRDefault="003F4980" w:rsidP="000649FA">
            <w:pPr>
              <w:pStyle w:val="TableTextLeft"/>
              <w:jc w:val="right"/>
              <w:rPr>
                <w:rFonts w:cstheme="minorHAnsi"/>
              </w:rPr>
            </w:pPr>
            <w:r w:rsidRPr="00E20618">
              <w:rPr>
                <w:rFonts w:cstheme="minorHAnsi"/>
              </w:rPr>
              <w:t>0.9</w:t>
            </w:r>
          </w:p>
        </w:tc>
      </w:tr>
      <w:tr w:rsidR="003F4980" w:rsidRPr="00A1737D" w14:paraId="08F7F209" w14:textId="77777777" w:rsidTr="00870149">
        <w:tc>
          <w:tcPr>
            <w:tcW w:w="3096" w:type="dxa"/>
          </w:tcPr>
          <w:p w14:paraId="49BD90EC"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086D7DFC"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B86F4A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363944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0E3C9F98"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46C35359"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4E6161F6" w14:textId="77777777" w:rsidR="003F4980" w:rsidRPr="00E20618" w:rsidRDefault="003F4980" w:rsidP="000649FA">
            <w:pPr>
              <w:pStyle w:val="TableTextLeft"/>
              <w:jc w:val="right"/>
              <w:rPr>
                <w:rFonts w:cstheme="minorHAnsi"/>
              </w:rPr>
            </w:pPr>
          </w:p>
        </w:tc>
      </w:tr>
      <w:tr w:rsidR="003F4980" w:rsidRPr="00A1737D" w14:paraId="56EF099E" w14:textId="77777777" w:rsidTr="00870149">
        <w:tc>
          <w:tcPr>
            <w:tcW w:w="3096" w:type="dxa"/>
          </w:tcPr>
          <w:p w14:paraId="2B0D0AAE"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2E5F6CA9" w14:textId="1F1EF85A" w:rsidR="003F4980" w:rsidRPr="00E20618" w:rsidRDefault="003F4980" w:rsidP="000649FA">
            <w:pPr>
              <w:pStyle w:val="TableTextLeft"/>
              <w:jc w:val="right"/>
              <w:rPr>
                <w:rFonts w:cstheme="minorHAnsi"/>
              </w:rPr>
            </w:pPr>
            <w:r w:rsidRPr="00E20618">
              <w:rPr>
                <w:rFonts w:cstheme="minorHAnsi"/>
              </w:rPr>
              <w:t>31.5</w:t>
            </w:r>
          </w:p>
        </w:tc>
        <w:tc>
          <w:tcPr>
            <w:tcW w:w="996" w:type="dxa"/>
            <w:tcBorders>
              <w:top w:val="nil"/>
              <w:left w:val="nil"/>
              <w:bottom w:val="nil"/>
              <w:right w:val="nil"/>
            </w:tcBorders>
            <w:shd w:val="clear" w:color="auto" w:fill="D2EDFF" w:themeFill="accent1" w:themeFillTint="1A"/>
          </w:tcPr>
          <w:p w14:paraId="1DD852C2" w14:textId="2E9D8970" w:rsidR="003F4980" w:rsidRPr="00E20618" w:rsidRDefault="003F4980" w:rsidP="000649FA">
            <w:pPr>
              <w:pStyle w:val="TableTextLeft"/>
              <w:jc w:val="right"/>
              <w:rPr>
                <w:rFonts w:cstheme="minorHAnsi"/>
              </w:rPr>
            </w:pPr>
            <w:r w:rsidRPr="00E20618">
              <w:rPr>
                <w:rFonts w:cstheme="minorHAnsi"/>
              </w:rPr>
              <w:t>30.2</w:t>
            </w:r>
          </w:p>
        </w:tc>
        <w:tc>
          <w:tcPr>
            <w:tcW w:w="996" w:type="dxa"/>
            <w:tcBorders>
              <w:top w:val="nil"/>
              <w:left w:val="nil"/>
              <w:bottom w:val="nil"/>
              <w:right w:val="nil"/>
            </w:tcBorders>
          </w:tcPr>
          <w:p w14:paraId="0EEB9B45" w14:textId="775C8A85" w:rsidR="003F4980" w:rsidRPr="00E20618" w:rsidRDefault="003F4980" w:rsidP="000649FA">
            <w:pPr>
              <w:pStyle w:val="TableTextLeft"/>
              <w:jc w:val="right"/>
              <w:rPr>
                <w:rFonts w:cstheme="minorHAnsi"/>
              </w:rPr>
            </w:pPr>
            <w:r w:rsidRPr="00E20618">
              <w:rPr>
                <w:rFonts w:cstheme="minorHAnsi"/>
              </w:rPr>
              <w:t>43.5</w:t>
            </w:r>
          </w:p>
        </w:tc>
        <w:tc>
          <w:tcPr>
            <w:tcW w:w="996" w:type="dxa"/>
            <w:tcBorders>
              <w:top w:val="nil"/>
              <w:left w:val="nil"/>
              <w:bottom w:val="nil"/>
              <w:right w:val="nil"/>
            </w:tcBorders>
          </w:tcPr>
          <w:p w14:paraId="7FB061C8" w14:textId="581B19E4" w:rsidR="003F4980" w:rsidRPr="00E20618" w:rsidRDefault="003F4980" w:rsidP="000649FA">
            <w:pPr>
              <w:pStyle w:val="TableTextLeft"/>
              <w:jc w:val="right"/>
              <w:rPr>
                <w:rFonts w:cstheme="minorHAnsi"/>
              </w:rPr>
            </w:pPr>
            <w:r w:rsidRPr="00E20618">
              <w:rPr>
                <w:rFonts w:cstheme="minorHAnsi"/>
              </w:rPr>
              <w:t>42.7</w:t>
            </w:r>
          </w:p>
        </w:tc>
        <w:tc>
          <w:tcPr>
            <w:tcW w:w="996" w:type="dxa"/>
            <w:tcBorders>
              <w:top w:val="nil"/>
              <w:left w:val="nil"/>
              <w:bottom w:val="nil"/>
              <w:right w:val="single" w:sz="4" w:space="0" w:color="auto"/>
            </w:tcBorders>
          </w:tcPr>
          <w:p w14:paraId="2CA42CF2" w14:textId="4D7A10AD" w:rsidR="003F4980" w:rsidRPr="00E20618" w:rsidRDefault="003F4980" w:rsidP="000649FA">
            <w:pPr>
              <w:pStyle w:val="TableTextLeft"/>
              <w:jc w:val="right"/>
              <w:rPr>
                <w:rFonts w:cstheme="minorHAnsi"/>
              </w:rPr>
            </w:pPr>
            <w:r w:rsidRPr="00E20618">
              <w:rPr>
                <w:rFonts w:cstheme="minorHAnsi"/>
              </w:rPr>
              <w:t>41.5</w:t>
            </w:r>
          </w:p>
        </w:tc>
        <w:tc>
          <w:tcPr>
            <w:tcW w:w="996" w:type="dxa"/>
            <w:tcBorders>
              <w:top w:val="nil"/>
              <w:left w:val="single" w:sz="4" w:space="0" w:color="auto"/>
              <w:bottom w:val="nil"/>
              <w:right w:val="nil"/>
            </w:tcBorders>
          </w:tcPr>
          <w:p w14:paraId="315CF9FC" w14:textId="1FD6E69E" w:rsidR="003F4980" w:rsidRPr="00E20618" w:rsidRDefault="003F4980" w:rsidP="000649FA">
            <w:pPr>
              <w:pStyle w:val="TableTextLeft"/>
              <w:jc w:val="right"/>
              <w:rPr>
                <w:rFonts w:cstheme="minorHAnsi"/>
              </w:rPr>
            </w:pPr>
            <w:r w:rsidRPr="00E20618">
              <w:rPr>
                <w:rFonts w:cstheme="minorHAnsi"/>
              </w:rPr>
              <w:t>40</w:t>
            </w:r>
          </w:p>
        </w:tc>
      </w:tr>
      <w:tr w:rsidR="003F4980" w:rsidRPr="00A1737D" w14:paraId="10DED658" w14:textId="77777777" w:rsidTr="00870149">
        <w:tc>
          <w:tcPr>
            <w:tcW w:w="3096" w:type="dxa"/>
          </w:tcPr>
          <w:p w14:paraId="2B50E0C5"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58CBAE65" w14:textId="1ECEFD51" w:rsidR="003F4980" w:rsidRPr="00E20618" w:rsidRDefault="003F4980" w:rsidP="000649FA">
            <w:pPr>
              <w:pStyle w:val="TableTextLeft"/>
              <w:jc w:val="right"/>
              <w:rPr>
                <w:rFonts w:cstheme="minorHAnsi"/>
              </w:rPr>
            </w:pPr>
            <w:r w:rsidRPr="00E20618">
              <w:rPr>
                <w:rFonts w:cstheme="minorHAnsi"/>
              </w:rPr>
              <w:t>26.3</w:t>
            </w:r>
          </w:p>
        </w:tc>
        <w:tc>
          <w:tcPr>
            <w:tcW w:w="996" w:type="dxa"/>
            <w:tcBorders>
              <w:top w:val="nil"/>
              <w:left w:val="nil"/>
              <w:bottom w:val="nil"/>
              <w:right w:val="nil"/>
            </w:tcBorders>
            <w:shd w:val="clear" w:color="auto" w:fill="D2EDFF" w:themeFill="accent1" w:themeFillTint="1A"/>
          </w:tcPr>
          <w:p w14:paraId="18EE47D0" w14:textId="6A578F48" w:rsidR="003F4980" w:rsidRPr="00E20618" w:rsidRDefault="003F4980" w:rsidP="000649FA">
            <w:pPr>
              <w:pStyle w:val="TableTextLeft"/>
              <w:jc w:val="right"/>
              <w:rPr>
                <w:rFonts w:cstheme="minorHAnsi"/>
              </w:rPr>
            </w:pPr>
            <w:r w:rsidRPr="00E20618">
              <w:rPr>
                <w:rFonts w:cstheme="minorHAnsi"/>
              </w:rPr>
              <w:t>28.1</w:t>
            </w:r>
          </w:p>
        </w:tc>
        <w:tc>
          <w:tcPr>
            <w:tcW w:w="996" w:type="dxa"/>
            <w:tcBorders>
              <w:top w:val="nil"/>
              <w:left w:val="nil"/>
              <w:bottom w:val="nil"/>
              <w:right w:val="nil"/>
            </w:tcBorders>
          </w:tcPr>
          <w:p w14:paraId="0845B85A" w14:textId="4D1BFA77" w:rsidR="003F4980" w:rsidRPr="00E20618" w:rsidRDefault="003F4980" w:rsidP="000649FA">
            <w:pPr>
              <w:pStyle w:val="TableTextLeft"/>
              <w:jc w:val="right"/>
              <w:rPr>
                <w:rFonts w:cstheme="minorHAnsi"/>
              </w:rPr>
            </w:pPr>
            <w:r w:rsidRPr="00E20618">
              <w:rPr>
                <w:rFonts w:cstheme="minorHAnsi"/>
              </w:rPr>
              <w:t>40.2</w:t>
            </w:r>
          </w:p>
        </w:tc>
        <w:tc>
          <w:tcPr>
            <w:tcW w:w="996" w:type="dxa"/>
            <w:tcBorders>
              <w:top w:val="nil"/>
              <w:left w:val="nil"/>
              <w:bottom w:val="nil"/>
              <w:right w:val="nil"/>
            </w:tcBorders>
          </w:tcPr>
          <w:p w14:paraId="75BE1A9A" w14:textId="3F029B52" w:rsidR="003F4980" w:rsidRPr="00E20618" w:rsidRDefault="003F4980" w:rsidP="000649FA">
            <w:pPr>
              <w:pStyle w:val="TableTextLeft"/>
              <w:jc w:val="right"/>
              <w:rPr>
                <w:rFonts w:cstheme="minorHAnsi"/>
              </w:rPr>
            </w:pPr>
            <w:r w:rsidRPr="00E20618">
              <w:rPr>
                <w:rFonts w:cstheme="minorHAnsi"/>
              </w:rPr>
              <w:t>38.9</w:t>
            </w:r>
          </w:p>
        </w:tc>
        <w:tc>
          <w:tcPr>
            <w:tcW w:w="996" w:type="dxa"/>
            <w:tcBorders>
              <w:top w:val="nil"/>
              <w:left w:val="nil"/>
              <w:bottom w:val="nil"/>
              <w:right w:val="single" w:sz="4" w:space="0" w:color="auto"/>
            </w:tcBorders>
          </w:tcPr>
          <w:p w14:paraId="190F71D8" w14:textId="36279C5D" w:rsidR="003F4980" w:rsidRPr="00E20618" w:rsidRDefault="003F4980" w:rsidP="000649FA">
            <w:pPr>
              <w:pStyle w:val="TableTextLeft"/>
              <w:jc w:val="right"/>
              <w:rPr>
                <w:rFonts w:cstheme="minorHAnsi"/>
              </w:rPr>
            </w:pPr>
            <w:r w:rsidRPr="00E20618">
              <w:rPr>
                <w:rFonts w:cstheme="minorHAnsi"/>
              </w:rPr>
              <w:t>37.7</w:t>
            </w:r>
          </w:p>
        </w:tc>
        <w:tc>
          <w:tcPr>
            <w:tcW w:w="996" w:type="dxa"/>
            <w:tcBorders>
              <w:top w:val="nil"/>
              <w:left w:val="single" w:sz="4" w:space="0" w:color="auto"/>
              <w:bottom w:val="nil"/>
              <w:right w:val="nil"/>
            </w:tcBorders>
          </w:tcPr>
          <w:p w14:paraId="008F3487" w14:textId="13773E42" w:rsidR="003F4980" w:rsidRPr="00E20618" w:rsidRDefault="003F4980" w:rsidP="000649FA">
            <w:pPr>
              <w:pStyle w:val="TableTextLeft"/>
              <w:jc w:val="right"/>
              <w:rPr>
                <w:rFonts w:cstheme="minorHAnsi"/>
              </w:rPr>
            </w:pPr>
            <w:r w:rsidRPr="00E20618">
              <w:rPr>
                <w:rFonts w:cstheme="minorHAnsi"/>
              </w:rPr>
              <w:t>34.7</w:t>
            </w:r>
          </w:p>
        </w:tc>
      </w:tr>
      <w:tr w:rsidR="003F4980" w:rsidRPr="00A1737D" w14:paraId="5A4A402A" w14:textId="77777777" w:rsidTr="00870149">
        <w:tc>
          <w:tcPr>
            <w:tcW w:w="3096" w:type="dxa"/>
            <w:tcBorders>
              <w:bottom w:val="single" w:sz="4" w:space="0" w:color="auto"/>
            </w:tcBorders>
          </w:tcPr>
          <w:p w14:paraId="4FD1A365"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38762C3A" w14:textId="62F43C5A" w:rsidR="003F4980" w:rsidRPr="00E20618" w:rsidRDefault="003F4980" w:rsidP="000649FA">
            <w:pPr>
              <w:pStyle w:val="TableTextLeft"/>
              <w:jc w:val="right"/>
              <w:rPr>
                <w:rFonts w:cstheme="minorHAnsi"/>
              </w:rPr>
            </w:pPr>
            <w:r w:rsidRPr="00E20618">
              <w:rPr>
                <w:rFonts w:cstheme="minorHAnsi"/>
              </w:rPr>
              <w:t>5.2</w:t>
            </w:r>
          </w:p>
        </w:tc>
        <w:tc>
          <w:tcPr>
            <w:tcW w:w="996" w:type="dxa"/>
            <w:tcBorders>
              <w:top w:val="nil"/>
              <w:left w:val="nil"/>
              <w:bottom w:val="single" w:sz="4" w:space="0" w:color="auto"/>
              <w:right w:val="nil"/>
            </w:tcBorders>
            <w:shd w:val="clear" w:color="auto" w:fill="D2EDFF" w:themeFill="accent1" w:themeFillTint="1A"/>
          </w:tcPr>
          <w:p w14:paraId="288B76A7" w14:textId="22AB11C3"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single" w:sz="4" w:space="0" w:color="auto"/>
              <w:right w:val="nil"/>
            </w:tcBorders>
          </w:tcPr>
          <w:p w14:paraId="0953A662" w14:textId="68A002E9" w:rsidR="003F4980" w:rsidRPr="00E20618" w:rsidRDefault="003F4980" w:rsidP="000649FA">
            <w:pPr>
              <w:pStyle w:val="TableTextLeft"/>
              <w:jc w:val="right"/>
              <w:rPr>
                <w:rFonts w:cstheme="minorHAnsi"/>
              </w:rPr>
            </w:pPr>
            <w:r w:rsidRPr="00E20618">
              <w:rPr>
                <w:rFonts w:cstheme="minorHAnsi"/>
              </w:rPr>
              <w:t>3.4</w:t>
            </w:r>
          </w:p>
        </w:tc>
        <w:tc>
          <w:tcPr>
            <w:tcW w:w="996" w:type="dxa"/>
            <w:tcBorders>
              <w:top w:val="nil"/>
              <w:left w:val="nil"/>
              <w:bottom w:val="single" w:sz="4" w:space="0" w:color="auto"/>
              <w:right w:val="nil"/>
            </w:tcBorders>
          </w:tcPr>
          <w:p w14:paraId="6922BC8A" w14:textId="5A33EF9E"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single" w:sz="4" w:space="0" w:color="auto"/>
              <w:right w:val="single" w:sz="4" w:space="0" w:color="auto"/>
            </w:tcBorders>
          </w:tcPr>
          <w:p w14:paraId="74A7EA26" w14:textId="635311A5" w:rsidR="003F4980" w:rsidRPr="00E20618" w:rsidRDefault="003F4980" w:rsidP="000649FA">
            <w:pPr>
              <w:pStyle w:val="TableTextLeft"/>
              <w:jc w:val="right"/>
              <w:rPr>
                <w:rFonts w:cstheme="minorHAnsi"/>
              </w:rPr>
            </w:pPr>
            <w:r w:rsidRPr="00E20618">
              <w:rPr>
                <w:rFonts w:cstheme="minorHAnsi"/>
              </w:rPr>
              <w:t>3.9</w:t>
            </w:r>
          </w:p>
        </w:tc>
        <w:tc>
          <w:tcPr>
            <w:tcW w:w="996" w:type="dxa"/>
            <w:tcBorders>
              <w:top w:val="nil"/>
              <w:left w:val="single" w:sz="4" w:space="0" w:color="auto"/>
              <w:bottom w:val="single" w:sz="4" w:space="0" w:color="auto"/>
              <w:right w:val="nil"/>
            </w:tcBorders>
          </w:tcPr>
          <w:p w14:paraId="68CEA2D9" w14:textId="0A48EBC1" w:rsidR="003F4980" w:rsidRPr="00E20618" w:rsidRDefault="003F4980" w:rsidP="000649FA">
            <w:pPr>
              <w:pStyle w:val="TableTextLeft"/>
              <w:jc w:val="right"/>
              <w:rPr>
                <w:rFonts w:cstheme="minorHAnsi"/>
              </w:rPr>
            </w:pPr>
            <w:r w:rsidRPr="00E20618">
              <w:rPr>
                <w:rFonts w:cstheme="minorHAnsi"/>
              </w:rPr>
              <w:t>5.3</w:t>
            </w:r>
          </w:p>
        </w:tc>
      </w:tr>
      <w:tr w:rsidR="003F4980" w:rsidRPr="00A1737D" w14:paraId="2B058F49" w14:textId="77777777" w:rsidTr="00870149">
        <w:tc>
          <w:tcPr>
            <w:tcW w:w="3096" w:type="dxa"/>
            <w:tcBorders>
              <w:top w:val="single" w:sz="4" w:space="0" w:color="auto"/>
              <w:bottom w:val="nil"/>
            </w:tcBorders>
          </w:tcPr>
          <w:p w14:paraId="6D8C6339" w14:textId="285D6D6E"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DC764FD"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257A0B5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610C7E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CD148C6"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63E1B0B0"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64444B31" w14:textId="77777777" w:rsidR="003F4980" w:rsidRPr="00E20618" w:rsidRDefault="003F4980" w:rsidP="000649FA">
            <w:pPr>
              <w:pStyle w:val="TableTextLeft"/>
              <w:jc w:val="right"/>
              <w:rPr>
                <w:rFonts w:cstheme="minorHAnsi"/>
              </w:rPr>
            </w:pPr>
          </w:p>
        </w:tc>
      </w:tr>
      <w:tr w:rsidR="003F4980" w:rsidRPr="00A1737D" w14:paraId="04F01EE1" w14:textId="77777777" w:rsidTr="00870149">
        <w:tc>
          <w:tcPr>
            <w:tcW w:w="3096" w:type="dxa"/>
            <w:tcBorders>
              <w:top w:val="nil"/>
            </w:tcBorders>
          </w:tcPr>
          <w:p w14:paraId="0F56C05C"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0E1E3EED" w14:textId="6595CD46" w:rsidR="003F4980" w:rsidRPr="00E20618" w:rsidRDefault="003F4980" w:rsidP="000649FA">
            <w:pPr>
              <w:pStyle w:val="TableTextLeft"/>
              <w:jc w:val="right"/>
              <w:rPr>
                <w:rFonts w:cstheme="minorHAnsi"/>
              </w:rPr>
            </w:pPr>
            <w:r w:rsidRPr="00E20618">
              <w:rPr>
                <w:rFonts w:cstheme="minorHAnsi"/>
              </w:rPr>
              <w:t>18.1</w:t>
            </w:r>
          </w:p>
        </w:tc>
        <w:tc>
          <w:tcPr>
            <w:tcW w:w="996" w:type="dxa"/>
            <w:tcBorders>
              <w:top w:val="nil"/>
              <w:left w:val="nil"/>
              <w:bottom w:val="nil"/>
              <w:right w:val="nil"/>
            </w:tcBorders>
            <w:shd w:val="clear" w:color="auto" w:fill="D2EDFF" w:themeFill="accent1" w:themeFillTint="1A"/>
          </w:tcPr>
          <w:p w14:paraId="3960B1BC" w14:textId="3B246E31" w:rsidR="003F4980" w:rsidRPr="00E20618" w:rsidRDefault="003F4980" w:rsidP="000649FA">
            <w:pPr>
              <w:pStyle w:val="TableTextLeft"/>
              <w:jc w:val="right"/>
              <w:rPr>
                <w:rFonts w:cstheme="minorHAnsi"/>
              </w:rPr>
            </w:pPr>
            <w:r w:rsidRPr="00E20618">
              <w:rPr>
                <w:rFonts w:cstheme="minorHAnsi"/>
              </w:rPr>
              <w:t>16.2</w:t>
            </w:r>
          </w:p>
        </w:tc>
        <w:tc>
          <w:tcPr>
            <w:tcW w:w="996" w:type="dxa"/>
            <w:tcBorders>
              <w:top w:val="nil"/>
              <w:left w:val="nil"/>
              <w:bottom w:val="nil"/>
              <w:right w:val="nil"/>
            </w:tcBorders>
          </w:tcPr>
          <w:p w14:paraId="4D8F5682" w14:textId="558947A8" w:rsidR="003F4980" w:rsidRPr="00E20618" w:rsidRDefault="003F4980" w:rsidP="000649FA">
            <w:pPr>
              <w:pStyle w:val="TableTextLeft"/>
              <w:jc w:val="right"/>
              <w:rPr>
                <w:rFonts w:cstheme="minorHAnsi"/>
              </w:rPr>
            </w:pPr>
            <w:r w:rsidRPr="00E20618">
              <w:rPr>
                <w:rFonts w:cstheme="minorHAnsi"/>
              </w:rPr>
              <w:t>16.1</w:t>
            </w:r>
          </w:p>
        </w:tc>
        <w:tc>
          <w:tcPr>
            <w:tcW w:w="996" w:type="dxa"/>
            <w:tcBorders>
              <w:top w:val="nil"/>
              <w:left w:val="nil"/>
              <w:bottom w:val="nil"/>
              <w:right w:val="nil"/>
            </w:tcBorders>
          </w:tcPr>
          <w:p w14:paraId="0EF69192" w14:textId="1A944CFA" w:rsidR="003F4980" w:rsidRPr="00E20618" w:rsidRDefault="003F4980" w:rsidP="000649FA">
            <w:pPr>
              <w:pStyle w:val="TableTextLeft"/>
              <w:jc w:val="right"/>
              <w:rPr>
                <w:rFonts w:cstheme="minorHAnsi"/>
              </w:rPr>
            </w:pPr>
            <w:r w:rsidRPr="00E20618">
              <w:rPr>
                <w:rFonts w:cstheme="minorHAnsi"/>
              </w:rPr>
              <w:t>17.3</w:t>
            </w:r>
          </w:p>
        </w:tc>
        <w:tc>
          <w:tcPr>
            <w:tcW w:w="996" w:type="dxa"/>
            <w:tcBorders>
              <w:top w:val="nil"/>
              <w:left w:val="nil"/>
              <w:bottom w:val="nil"/>
              <w:right w:val="single" w:sz="4" w:space="0" w:color="auto"/>
            </w:tcBorders>
          </w:tcPr>
          <w:p w14:paraId="243B4770" w14:textId="7DE819F7" w:rsidR="003F4980" w:rsidRPr="00E20618" w:rsidRDefault="003F4980" w:rsidP="000649FA">
            <w:pPr>
              <w:pStyle w:val="TableTextLeft"/>
              <w:jc w:val="right"/>
              <w:rPr>
                <w:rFonts w:cstheme="minorHAnsi"/>
              </w:rPr>
            </w:pPr>
            <w:r w:rsidRPr="00E20618">
              <w:rPr>
                <w:rFonts w:cstheme="minorHAnsi"/>
              </w:rPr>
              <w:t>17.2</w:t>
            </w:r>
          </w:p>
        </w:tc>
        <w:tc>
          <w:tcPr>
            <w:tcW w:w="996" w:type="dxa"/>
            <w:tcBorders>
              <w:top w:val="nil"/>
              <w:left w:val="single" w:sz="4" w:space="0" w:color="auto"/>
              <w:bottom w:val="nil"/>
              <w:right w:val="nil"/>
            </w:tcBorders>
          </w:tcPr>
          <w:p w14:paraId="11304C69" w14:textId="46F409C2" w:rsidR="003F4980" w:rsidRPr="00E20618" w:rsidRDefault="003F4980" w:rsidP="000649FA">
            <w:pPr>
              <w:pStyle w:val="TableTextLeft"/>
              <w:jc w:val="right"/>
              <w:rPr>
                <w:rFonts w:cstheme="minorHAnsi"/>
              </w:rPr>
            </w:pPr>
            <w:r w:rsidRPr="00E20618">
              <w:rPr>
                <w:rFonts w:cstheme="minorHAnsi"/>
              </w:rPr>
              <w:t>15.7</w:t>
            </w:r>
          </w:p>
        </w:tc>
      </w:tr>
      <w:tr w:rsidR="003F4980" w:rsidRPr="00A1737D" w14:paraId="5359ED89" w14:textId="77777777" w:rsidTr="00870149">
        <w:tc>
          <w:tcPr>
            <w:tcW w:w="3096" w:type="dxa"/>
          </w:tcPr>
          <w:p w14:paraId="0ADD6333"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6A335D9D" w14:textId="4AC99485"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nil"/>
              <w:bottom w:val="nil"/>
              <w:right w:val="nil"/>
            </w:tcBorders>
            <w:shd w:val="clear" w:color="auto" w:fill="D2EDFF" w:themeFill="accent1" w:themeFillTint="1A"/>
          </w:tcPr>
          <w:p w14:paraId="4F9B31D1" w14:textId="48885F79" w:rsidR="003F4980" w:rsidRPr="00E20618" w:rsidRDefault="003F4980" w:rsidP="000649FA">
            <w:pPr>
              <w:pStyle w:val="TableTextLeft"/>
              <w:jc w:val="right"/>
              <w:rPr>
                <w:rFonts w:cstheme="minorHAnsi"/>
              </w:rPr>
            </w:pPr>
            <w:r w:rsidRPr="00E20618">
              <w:rPr>
                <w:rFonts w:cstheme="minorHAnsi"/>
              </w:rPr>
              <w:t>13.8</w:t>
            </w:r>
          </w:p>
        </w:tc>
        <w:tc>
          <w:tcPr>
            <w:tcW w:w="996" w:type="dxa"/>
            <w:tcBorders>
              <w:top w:val="nil"/>
              <w:left w:val="nil"/>
              <w:bottom w:val="nil"/>
              <w:right w:val="nil"/>
            </w:tcBorders>
          </w:tcPr>
          <w:p w14:paraId="0FD2FA57" w14:textId="10DB8A2C" w:rsidR="003F4980" w:rsidRPr="00E20618" w:rsidRDefault="003F4980" w:rsidP="000649FA">
            <w:pPr>
              <w:pStyle w:val="TableTextLeft"/>
              <w:jc w:val="right"/>
              <w:rPr>
                <w:rFonts w:cstheme="minorHAnsi"/>
              </w:rPr>
            </w:pPr>
            <w:r w:rsidRPr="00E20618">
              <w:rPr>
                <w:rFonts w:cstheme="minorHAnsi"/>
              </w:rPr>
              <w:t>13.7</w:t>
            </w:r>
          </w:p>
        </w:tc>
        <w:tc>
          <w:tcPr>
            <w:tcW w:w="996" w:type="dxa"/>
            <w:tcBorders>
              <w:top w:val="nil"/>
              <w:left w:val="nil"/>
              <w:bottom w:val="nil"/>
              <w:right w:val="nil"/>
            </w:tcBorders>
          </w:tcPr>
          <w:p w14:paraId="2BDAA629" w14:textId="174D24FB"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nil"/>
              <w:bottom w:val="nil"/>
              <w:right w:val="single" w:sz="4" w:space="0" w:color="auto"/>
            </w:tcBorders>
          </w:tcPr>
          <w:p w14:paraId="7E254277" w14:textId="0EEB5F26" w:rsidR="003F4980" w:rsidRPr="00E20618" w:rsidRDefault="003F4980" w:rsidP="000649FA">
            <w:pPr>
              <w:pStyle w:val="TableTextLeft"/>
              <w:jc w:val="right"/>
              <w:rPr>
                <w:rFonts w:cstheme="minorHAnsi"/>
              </w:rPr>
            </w:pPr>
            <w:r w:rsidRPr="00E20618">
              <w:rPr>
                <w:rFonts w:cstheme="minorHAnsi"/>
              </w:rPr>
              <w:t>14.7</w:t>
            </w:r>
          </w:p>
        </w:tc>
        <w:tc>
          <w:tcPr>
            <w:tcW w:w="996" w:type="dxa"/>
            <w:tcBorders>
              <w:top w:val="nil"/>
              <w:left w:val="single" w:sz="4" w:space="0" w:color="auto"/>
              <w:bottom w:val="nil"/>
              <w:right w:val="nil"/>
            </w:tcBorders>
          </w:tcPr>
          <w:p w14:paraId="7673CBAF" w14:textId="08EB8160" w:rsidR="003F4980" w:rsidRPr="00E20618" w:rsidRDefault="003F4980" w:rsidP="000649FA">
            <w:pPr>
              <w:pStyle w:val="TableTextLeft"/>
              <w:jc w:val="right"/>
              <w:rPr>
                <w:rFonts w:cstheme="minorHAnsi"/>
              </w:rPr>
            </w:pPr>
            <w:r w:rsidRPr="00E20618">
              <w:rPr>
                <w:rFonts w:cstheme="minorHAnsi"/>
              </w:rPr>
              <w:t>13.9</w:t>
            </w:r>
          </w:p>
        </w:tc>
      </w:tr>
      <w:tr w:rsidR="003F4980" w:rsidRPr="00A1737D" w14:paraId="5E5828D3" w14:textId="77777777" w:rsidTr="00870149">
        <w:tc>
          <w:tcPr>
            <w:tcW w:w="3096" w:type="dxa"/>
          </w:tcPr>
          <w:p w14:paraId="3BFA8F70"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165DA065" w14:textId="170FD8BC" w:rsidR="003F4980" w:rsidRPr="00E20618" w:rsidRDefault="003F4980" w:rsidP="000649FA">
            <w:pPr>
              <w:pStyle w:val="TableTextLeft"/>
              <w:jc w:val="right"/>
              <w:rPr>
                <w:rFonts w:cstheme="minorHAnsi"/>
              </w:rPr>
            </w:pPr>
            <w:r w:rsidRPr="00E20618">
              <w:rPr>
                <w:rFonts w:cstheme="minorHAnsi"/>
              </w:rPr>
              <w:t>3.3</w:t>
            </w:r>
          </w:p>
        </w:tc>
        <w:tc>
          <w:tcPr>
            <w:tcW w:w="996" w:type="dxa"/>
            <w:tcBorders>
              <w:top w:val="nil"/>
              <w:left w:val="nil"/>
              <w:bottom w:val="nil"/>
              <w:right w:val="nil"/>
            </w:tcBorders>
            <w:shd w:val="clear" w:color="auto" w:fill="D2EDFF" w:themeFill="accent1" w:themeFillTint="1A"/>
          </w:tcPr>
          <w:p w14:paraId="20DEFAF7" w14:textId="7EC42715"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nil"/>
            </w:tcBorders>
          </w:tcPr>
          <w:p w14:paraId="254E9905" w14:textId="47728BD5" w:rsidR="003F4980" w:rsidRPr="00E20618" w:rsidRDefault="003F4980" w:rsidP="000649FA">
            <w:pPr>
              <w:pStyle w:val="TableTextLeft"/>
              <w:jc w:val="right"/>
              <w:rPr>
                <w:rFonts w:cstheme="minorHAnsi"/>
              </w:rPr>
            </w:pPr>
            <w:r w:rsidRPr="00E20618">
              <w:rPr>
                <w:rFonts w:cstheme="minorHAnsi"/>
              </w:rPr>
              <w:t>2.3</w:t>
            </w:r>
          </w:p>
        </w:tc>
        <w:tc>
          <w:tcPr>
            <w:tcW w:w="996" w:type="dxa"/>
            <w:tcBorders>
              <w:top w:val="nil"/>
              <w:left w:val="nil"/>
              <w:bottom w:val="nil"/>
              <w:right w:val="nil"/>
            </w:tcBorders>
          </w:tcPr>
          <w:p w14:paraId="53510CA3" w14:textId="7EB1C3AD"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nil"/>
              <w:bottom w:val="nil"/>
              <w:right w:val="single" w:sz="4" w:space="0" w:color="auto"/>
            </w:tcBorders>
          </w:tcPr>
          <w:p w14:paraId="675EAF6A" w14:textId="7154AAC7"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single" w:sz="4" w:space="0" w:color="auto"/>
              <w:bottom w:val="nil"/>
              <w:right w:val="nil"/>
            </w:tcBorders>
          </w:tcPr>
          <w:p w14:paraId="367C6C6B" w14:textId="24F2DF32" w:rsidR="003F4980" w:rsidRPr="00E20618" w:rsidRDefault="003F4980" w:rsidP="000649FA">
            <w:pPr>
              <w:pStyle w:val="TableTextLeft"/>
              <w:jc w:val="right"/>
              <w:rPr>
                <w:rFonts w:cstheme="minorHAnsi"/>
              </w:rPr>
            </w:pPr>
            <w:r w:rsidRPr="00E20618">
              <w:rPr>
                <w:rFonts w:cstheme="minorHAnsi"/>
              </w:rPr>
              <w:t>1.7</w:t>
            </w:r>
          </w:p>
        </w:tc>
      </w:tr>
      <w:tr w:rsidR="003F4980" w:rsidRPr="00A1737D" w14:paraId="2DA2D398" w14:textId="77777777" w:rsidTr="00870149">
        <w:tc>
          <w:tcPr>
            <w:tcW w:w="3096" w:type="dxa"/>
          </w:tcPr>
          <w:p w14:paraId="77230C54"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169CDF0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1B245088"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B322E1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F1F53D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5FE13CDE"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5EE90CF4" w14:textId="77777777" w:rsidR="003F4980" w:rsidRPr="00E20618" w:rsidRDefault="003F4980" w:rsidP="000649FA">
            <w:pPr>
              <w:pStyle w:val="TableTextLeft"/>
              <w:jc w:val="right"/>
              <w:rPr>
                <w:rFonts w:cstheme="minorHAnsi"/>
              </w:rPr>
            </w:pPr>
          </w:p>
        </w:tc>
      </w:tr>
      <w:tr w:rsidR="003F4980" w:rsidRPr="00A1737D" w14:paraId="449672D5" w14:textId="77777777" w:rsidTr="00870149">
        <w:tc>
          <w:tcPr>
            <w:tcW w:w="3096" w:type="dxa"/>
          </w:tcPr>
          <w:p w14:paraId="5A9C37B9"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36129551" w14:textId="2898A9C1" w:rsidR="003F4980" w:rsidRPr="00E20618" w:rsidRDefault="003F4980" w:rsidP="000649FA">
            <w:pPr>
              <w:pStyle w:val="TableTextLeft"/>
              <w:jc w:val="right"/>
              <w:rPr>
                <w:rFonts w:cstheme="minorHAnsi"/>
              </w:rPr>
            </w:pPr>
            <w:r w:rsidRPr="00E20618">
              <w:rPr>
                <w:rFonts w:cstheme="minorHAnsi"/>
              </w:rPr>
              <w:t>-5.2</w:t>
            </w:r>
          </w:p>
        </w:tc>
        <w:tc>
          <w:tcPr>
            <w:tcW w:w="996" w:type="dxa"/>
            <w:tcBorders>
              <w:top w:val="nil"/>
              <w:left w:val="nil"/>
              <w:bottom w:val="nil"/>
              <w:right w:val="nil"/>
            </w:tcBorders>
            <w:shd w:val="clear" w:color="auto" w:fill="D2EDFF" w:themeFill="accent1" w:themeFillTint="1A"/>
          </w:tcPr>
          <w:p w14:paraId="01F7077E" w14:textId="53E5365C" w:rsidR="003F4980" w:rsidRPr="00E20618" w:rsidRDefault="003F4980" w:rsidP="000649FA">
            <w:pPr>
              <w:pStyle w:val="TableTextLeft"/>
              <w:jc w:val="right"/>
              <w:rPr>
                <w:rFonts w:cstheme="minorHAnsi"/>
              </w:rPr>
            </w:pPr>
            <w:r w:rsidRPr="00E20618">
              <w:rPr>
                <w:rFonts w:cstheme="minorHAnsi"/>
              </w:rPr>
              <w:t>6.6</w:t>
            </w:r>
          </w:p>
        </w:tc>
        <w:tc>
          <w:tcPr>
            <w:tcW w:w="996" w:type="dxa"/>
            <w:tcBorders>
              <w:top w:val="nil"/>
              <w:left w:val="nil"/>
              <w:bottom w:val="nil"/>
              <w:right w:val="nil"/>
            </w:tcBorders>
          </w:tcPr>
          <w:p w14:paraId="7CE70FB0" w14:textId="4D0473E5" w:rsidR="003F4980" w:rsidRPr="00E20618" w:rsidRDefault="003F4980" w:rsidP="000649FA">
            <w:pPr>
              <w:pStyle w:val="TableTextLeft"/>
              <w:jc w:val="right"/>
              <w:rPr>
                <w:rFonts w:cstheme="minorHAnsi"/>
              </w:rPr>
            </w:pPr>
            <w:r w:rsidRPr="00E20618">
              <w:rPr>
                <w:rFonts w:cstheme="minorHAnsi"/>
              </w:rPr>
              <w:t>23.2</w:t>
            </w:r>
          </w:p>
        </w:tc>
        <w:tc>
          <w:tcPr>
            <w:tcW w:w="996" w:type="dxa"/>
            <w:tcBorders>
              <w:top w:val="nil"/>
              <w:left w:val="nil"/>
              <w:bottom w:val="nil"/>
              <w:right w:val="nil"/>
            </w:tcBorders>
          </w:tcPr>
          <w:p w14:paraId="4751C581" w14:textId="0AE0C41B" w:rsidR="003F4980" w:rsidRPr="00E20618" w:rsidRDefault="003F4980" w:rsidP="000649FA">
            <w:pPr>
              <w:pStyle w:val="TableTextLeft"/>
              <w:jc w:val="right"/>
              <w:rPr>
                <w:rFonts w:cstheme="minorHAnsi"/>
              </w:rPr>
            </w:pPr>
            <w:r w:rsidRPr="00E20618">
              <w:rPr>
                <w:rFonts w:cstheme="minorHAnsi"/>
              </w:rPr>
              <w:t>24.6</w:t>
            </w:r>
          </w:p>
        </w:tc>
        <w:tc>
          <w:tcPr>
            <w:tcW w:w="996" w:type="dxa"/>
            <w:tcBorders>
              <w:top w:val="nil"/>
              <w:left w:val="nil"/>
              <w:bottom w:val="nil"/>
              <w:right w:val="single" w:sz="4" w:space="0" w:color="auto"/>
            </w:tcBorders>
          </w:tcPr>
          <w:p w14:paraId="2712CC4B" w14:textId="255B962F" w:rsidR="003F4980" w:rsidRPr="00E20618" w:rsidRDefault="003F4980" w:rsidP="000649FA">
            <w:pPr>
              <w:pStyle w:val="TableTextLeft"/>
              <w:jc w:val="right"/>
              <w:rPr>
                <w:rFonts w:cstheme="minorHAnsi"/>
              </w:rPr>
            </w:pPr>
            <w:r w:rsidRPr="00E20618">
              <w:rPr>
                <w:rFonts w:cstheme="minorHAnsi"/>
              </w:rPr>
              <w:t>23.5</w:t>
            </w:r>
          </w:p>
        </w:tc>
        <w:tc>
          <w:tcPr>
            <w:tcW w:w="996" w:type="dxa"/>
            <w:tcBorders>
              <w:top w:val="nil"/>
              <w:left w:val="single" w:sz="4" w:space="0" w:color="auto"/>
              <w:bottom w:val="nil"/>
              <w:right w:val="nil"/>
            </w:tcBorders>
          </w:tcPr>
          <w:p w14:paraId="17341857" w14:textId="3D4DF1B4" w:rsidR="003F4980" w:rsidRPr="00E20618" w:rsidRDefault="003F4980" w:rsidP="000649FA">
            <w:pPr>
              <w:pStyle w:val="TableTextLeft"/>
              <w:jc w:val="right"/>
              <w:rPr>
                <w:rFonts w:cstheme="minorHAnsi"/>
              </w:rPr>
            </w:pPr>
            <w:r w:rsidRPr="00E20618">
              <w:rPr>
                <w:rFonts w:cstheme="minorHAnsi"/>
              </w:rPr>
              <w:t>23.7</w:t>
            </w:r>
          </w:p>
        </w:tc>
      </w:tr>
      <w:tr w:rsidR="003F4980" w:rsidRPr="00A1737D" w14:paraId="67DE30B2" w14:textId="77777777" w:rsidTr="00870149">
        <w:tc>
          <w:tcPr>
            <w:tcW w:w="3096" w:type="dxa"/>
          </w:tcPr>
          <w:p w14:paraId="5AC03C2E"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1BD192A5" w14:textId="5E2C8709" w:rsidR="003F4980" w:rsidRPr="00E20618" w:rsidRDefault="003F4980" w:rsidP="000649FA">
            <w:pPr>
              <w:pStyle w:val="TableTextLeft"/>
              <w:jc w:val="right"/>
              <w:rPr>
                <w:rFonts w:cstheme="minorHAnsi"/>
              </w:rPr>
            </w:pPr>
            <w:r w:rsidRPr="00E20618">
              <w:rPr>
                <w:rFonts w:cstheme="minorHAnsi"/>
              </w:rPr>
              <w:t>-4.9</w:t>
            </w:r>
          </w:p>
        </w:tc>
        <w:tc>
          <w:tcPr>
            <w:tcW w:w="996" w:type="dxa"/>
            <w:tcBorders>
              <w:top w:val="nil"/>
              <w:left w:val="nil"/>
              <w:bottom w:val="nil"/>
              <w:right w:val="nil"/>
            </w:tcBorders>
            <w:shd w:val="clear" w:color="auto" w:fill="D2EDFF" w:themeFill="accent1" w:themeFillTint="1A"/>
          </w:tcPr>
          <w:p w14:paraId="51F386ED" w14:textId="15FEF7BE" w:rsidR="003F4980" w:rsidRPr="00E20618" w:rsidRDefault="003F4980" w:rsidP="000649FA">
            <w:pPr>
              <w:pStyle w:val="TableTextLeft"/>
              <w:jc w:val="right"/>
              <w:rPr>
                <w:rFonts w:cstheme="minorHAnsi"/>
              </w:rPr>
            </w:pPr>
            <w:r w:rsidRPr="00E20618">
              <w:rPr>
                <w:rFonts w:cstheme="minorHAnsi"/>
              </w:rPr>
              <w:t>5.9</w:t>
            </w:r>
          </w:p>
        </w:tc>
        <w:tc>
          <w:tcPr>
            <w:tcW w:w="996" w:type="dxa"/>
            <w:tcBorders>
              <w:top w:val="nil"/>
              <w:left w:val="nil"/>
              <w:bottom w:val="nil"/>
              <w:right w:val="nil"/>
            </w:tcBorders>
          </w:tcPr>
          <w:p w14:paraId="068C1AC7" w14:textId="5FE2EE46" w:rsidR="003F4980" w:rsidRPr="00E20618" w:rsidRDefault="003F4980" w:rsidP="000649FA">
            <w:pPr>
              <w:pStyle w:val="TableTextLeft"/>
              <w:jc w:val="right"/>
              <w:rPr>
                <w:rFonts w:cstheme="minorHAnsi"/>
              </w:rPr>
            </w:pPr>
            <w:r w:rsidRPr="00E20618">
              <w:rPr>
                <w:rFonts w:cstheme="minorHAnsi"/>
              </w:rPr>
              <w:t>20.8</w:t>
            </w:r>
          </w:p>
        </w:tc>
        <w:tc>
          <w:tcPr>
            <w:tcW w:w="996" w:type="dxa"/>
            <w:tcBorders>
              <w:top w:val="nil"/>
              <w:left w:val="nil"/>
              <w:bottom w:val="nil"/>
              <w:right w:val="nil"/>
            </w:tcBorders>
          </w:tcPr>
          <w:p w14:paraId="47EBEE41" w14:textId="51A5FBF9"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nil"/>
              <w:right w:val="single" w:sz="4" w:space="0" w:color="auto"/>
            </w:tcBorders>
          </w:tcPr>
          <w:p w14:paraId="412002AA" w14:textId="5CC0A127" w:rsidR="003F4980" w:rsidRPr="00E20618" w:rsidRDefault="003F4980" w:rsidP="000649FA">
            <w:pPr>
              <w:pStyle w:val="TableTextLeft"/>
              <w:jc w:val="right"/>
              <w:rPr>
                <w:rFonts w:cstheme="minorHAnsi"/>
              </w:rPr>
            </w:pPr>
            <w:r w:rsidRPr="00E20618">
              <w:rPr>
                <w:rFonts w:cstheme="minorHAnsi"/>
              </w:rPr>
              <w:t>21.1</w:t>
            </w:r>
          </w:p>
        </w:tc>
        <w:tc>
          <w:tcPr>
            <w:tcW w:w="996" w:type="dxa"/>
            <w:tcBorders>
              <w:top w:val="nil"/>
              <w:left w:val="single" w:sz="4" w:space="0" w:color="auto"/>
              <w:bottom w:val="nil"/>
              <w:right w:val="nil"/>
            </w:tcBorders>
          </w:tcPr>
          <w:p w14:paraId="0412FF70" w14:textId="6521FA90" w:rsidR="003F4980" w:rsidRPr="00E20618" w:rsidRDefault="003F4980" w:rsidP="000649FA">
            <w:pPr>
              <w:pStyle w:val="TableTextLeft"/>
              <w:jc w:val="right"/>
              <w:rPr>
                <w:rFonts w:cstheme="minorHAnsi"/>
              </w:rPr>
            </w:pPr>
            <w:r w:rsidRPr="00E20618">
              <w:rPr>
                <w:rFonts w:cstheme="minorHAnsi"/>
              </w:rPr>
              <w:t>21.2</w:t>
            </w:r>
          </w:p>
        </w:tc>
      </w:tr>
      <w:tr w:rsidR="003F4980" w:rsidRPr="00A1737D" w14:paraId="5B8BDAAE" w14:textId="77777777" w:rsidTr="00870149">
        <w:tc>
          <w:tcPr>
            <w:tcW w:w="3096" w:type="dxa"/>
          </w:tcPr>
          <w:p w14:paraId="51FF01AB"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nil"/>
              <w:right w:val="nil"/>
            </w:tcBorders>
          </w:tcPr>
          <w:p w14:paraId="3EEFD144" w14:textId="18B18C9D"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13BF6DF" w14:textId="47BEC230"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tcPr>
          <w:p w14:paraId="447A8255" w14:textId="5260CDB5"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nil"/>
            </w:tcBorders>
          </w:tcPr>
          <w:p w14:paraId="2AE6CEFF" w14:textId="00048261"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nil"/>
              <w:bottom w:val="nil"/>
              <w:right w:val="single" w:sz="4" w:space="0" w:color="auto"/>
            </w:tcBorders>
          </w:tcPr>
          <w:p w14:paraId="739FD77D" w14:textId="51EF7961"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single" w:sz="4" w:space="0" w:color="auto"/>
              <w:bottom w:val="nil"/>
              <w:right w:val="nil"/>
            </w:tcBorders>
          </w:tcPr>
          <w:p w14:paraId="561AC1DB" w14:textId="70AA7F6C" w:rsidR="003F4980" w:rsidRPr="00E20618" w:rsidRDefault="003F4980" w:rsidP="000649FA">
            <w:pPr>
              <w:pStyle w:val="TableTextLeft"/>
              <w:jc w:val="right"/>
              <w:rPr>
                <w:rFonts w:cstheme="minorHAnsi"/>
              </w:rPr>
            </w:pPr>
            <w:r w:rsidRPr="00E20618">
              <w:rPr>
                <w:rFonts w:cstheme="minorHAnsi"/>
              </w:rPr>
              <w:t>2.4</w:t>
            </w:r>
          </w:p>
        </w:tc>
      </w:tr>
      <w:tr w:rsidR="003F4980" w:rsidRPr="00A1737D" w14:paraId="33573372" w14:textId="77777777" w:rsidTr="00870149">
        <w:tc>
          <w:tcPr>
            <w:tcW w:w="3096" w:type="dxa"/>
          </w:tcPr>
          <w:p w14:paraId="1F51232C"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06BF204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6D464711"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C213A02"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1BB28A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4147FC3"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017652E8" w14:textId="77777777" w:rsidR="003F4980" w:rsidRPr="00E20618" w:rsidRDefault="003F4980" w:rsidP="000649FA">
            <w:pPr>
              <w:pStyle w:val="TableTextLeft"/>
              <w:jc w:val="right"/>
              <w:rPr>
                <w:rFonts w:cstheme="minorHAnsi"/>
              </w:rPr>
            </w:pPr>
          </w:p>
        </w:tc>
      </w:tr>
      <w:tr w:rsidR="003F4980" w:rsidRPr="00A1737D" w14:paraId="0FD46BA8" w14:textId="77777777" w:rsidTr="00870149">
        <w:tc>
          <w:tcPr>
            <w:tcW w:w="3096" w:type="dxa"/>
          </w:tcPr>
          <w:p w14:paraId="335D79DA" w14:textId="77777777" w:rsidR="003F4980" w:rsidRPr="00363EFE" w:rsidRDefault="003F4980" w:rsidP="001F0F1C">
            <w:pPr>
              <w:pStyle w:val="TableTextLeft"/>
              <w:rPr>
                <w:color w:val="002C47" w:themeColor="accent1"/>
              </w:rPr>
            </w:pPr>
            <w:r w:rsidRPr="00363EFE">
              <w:rPr>
                <w:color w:val="002C47" w:themeColor="accent1"/>
              </w:rPr>
              <w:t>Western Australia</w:t>
            </w:r>
          </w:p>
        </w:tc>
        <w:tc>
          <w:tcPr>
            <w:tcW w:w="996" w:type="dxa"/>
            <w:tcBorders>
              <w:top w:val="nil"/>
              <w:left w:val="nil"/>
              <w:bottom w:val="nil"/>
              <w:right w:val="nil"/>
            </w:tcBorders>
          </w:tcPr>
          <w:p w14:paraId="24187295" w14:textId="5D7E0506" w:rsidR="003F4980" w:rsidRPr="00E20618" w:rsidRDefault="003F4980" w:rsidP="000649FA">
            <w:pPr>
              <w:pStyle w:val="TableTextLeft"/>
              <w:jc w:val="right"/>
              <w:rPr>
                <w:rFonts w:cstheme="minorHAnsi"/>
              </w:rPr>
            </w:pPr>
            <w:r w:rsidRPr="00E20618">
              <w:rPr>
                <w:rFonts w:cstheme="minorHAnsi"/>
              </w:rPr>
              <w:t>5.4</w:t>
            </w:r>
          </w:p>
        </w:tc>
        <w:tc>
          <w:tcPr>
            <w:tcW w:w="996" w:type="dxa"/>
            <w:tcBorders>
              <w:top w:val="nil"/>
              <w:left w:val="nil"/>
              <w:bottom w:val="nil"/>
              <w:right w:val="nil"/>
            </w:tcBorders>
            <w:shd w:val="clear" w:color="auto" w:fill="D2EDFF" w:themeFill="accent1" w:themeFillTint="1A"/>
          </w:tcPr>
          <w:p w14:paraId="58F079CF" w14:textId="2790CE95" w:rsidR="003F4980" w:rsidRPr="00E20618" w:rsidRDefault="003F4980" w:rsidP="000649FA">
            <w:pPr>
              <w:pStyle w:val="TableTextLeft"/>
              <w:jc w:val="right"/>
              <w:rPr>
                <w:rFonts w:cstheme="minorHAnsi"/>
              </w:rPr>
            </w:pPr>
            <w:r w:rsidRPr="00E20618">
              <w:rPr>
                <w:rFonts w:cstheme="minorHAnsi"/>
              </w:rPr>
              <w:t>7.4</w:t>
            </w:r>
          </w:p>
        </w:tc>
        <w:tc>
          <w:tcPr>
            <w:tcW w:w="996" w:type="dxa"/>
            <w:tcBorders>
              <w:top w:val="nil"/>
              <w:left w:val="nil"/>
              <w:bottom w:val="nil"/>
              <w:right w:val="nil"/>
            </w:tcBorders>
          </w:tcPr>
          <w:p w14:paraId="1C7DDAD2" w14:textId="592481A3" w:rsidR="003F4980" w:rsidRPr="00E20618" w:rsidRDefault="003F4980" w:rsidP="000649FA">
            <w:pPr>
              <w:pStyle w:val="TableTextLeft"/>
              <w:jc w:val="right"/>
              <w:rPr>
                <w:rFonts w:cstheme="minorHAnsi"/>
              </w:rPr>
            </w:pPr>
            <w:r w:rsidRPr="00E20618">
              <w:rPr>
                <w:rFonts w:cstheme="minorHAnsi"/>
              </w:rPr>
              <w:t>4.2</w:t>
            </w:r>
          </w:p>
        </w:tc>
        <w:tc>
          <w:tcPr>
            <w:tcW w:w="996" w:type="dxa"/>
            <w:tcBorders>
              <w:top w:val="nil"/>
              <w:left w:val="nil"/>
              <w:bottom w:val="nil"/>
              <w:right w:val="nil"/>
            </w:tcBorders>
          </w:tcPr>
          <w:p w14:paraId="23407991" w14:textId="3203E7FF"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single" w:sz="4" w:space="0" w:color="auto"/>
            </w:tcBorders>
          </w:tcPr>
          <w:p w14:paraId="7B8469E4" w14:textId="11200390"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single" w:sz="4" w:space="0" w:color="auto"/>
              <w:bottom w:val="nil"/>
              <w:right w:val="nil"/>
            </w:tcBorders>
          </w:tcPr>
          <w:p w14:paraId="21DF5534" w14:textId="613F9D7F" w:rsidR="003F4980" w:rsidRPr="00E20618" w:rsidRDefault="003F4980" w:rsidP="000649FA">
            <w:pPr>
              <w:pStyle w:val="TableTextLeft"/>
              <w:jc w:val="right"/>
              <w:rPr>
                <w:rFonts w:cstheme="minorHAnsi"/>
              </w:rPr>
            </w:pPr>
            <w:r w:rsidRPr="00E20618">
              <w:rPr>
                <w:rFonts w:cstheme="minorHAnsi"/>
              </w:rPr>
              <w:t>0.6</w:t>
            </w:r>
          </w:p>
        </w:tc>
      </w:tr>
      <w:tr w:rsidR="003F4980" w:rsidRPr="00A1737D" w14:paraId="38434563" w14:textId="77777777" w:rsidTr="00870149">
        <w:tc>
          <w:tcPr>
            <w:tcW w:w="3096" w:type="dxa"/>
          </w:tcPr>
          <w:p w14:paraId="6332D59C"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3039A9C0" w14:textId="2A805706" w:rsidR="003F4980" w:rsidRPr="00E20618" w:rsidRDefault="003F4980" w:rsidP="000649FA">
            <w:pPr>
              <w:pStyle w:val="TableTextLeft"/>
              <w:jc w:val="right"/>
              <w:rPr>
                <w:rFonts w:cstheme="minorHAnsi"/>
              </w:rPr>
            </w:pPr>
            <w:r w:rsidRPr="00E20618">
              <w:rPr>
                <w:rFonts w:cstheme="minorHAnsi"/>
              </w:rPr>
              <w:t>6.5</w:t>
            </w:r>
          </w:p>
        </w:tc>
        <w:tc>
          <w:tcPr>
            <w:tcW w:w="996" w:type="dxa"/>
            <w:tcBorders>
              <w:top w:val="nil"/>
              <w:left w:val="nil"/>
              <w:bottom w:val="nil"/>
              <w:right w:val="nil"/>
            </w:tcBorders>
            <w:shd w:val="clear" w:color="auto" w:fill="D2EDFF" w:themeFill="accent1" w:themeFillTint="1A"/>
          </w:tcPr>
          <w:p w14:paraId="2F31E9B1" w14:textId="7D24D32E" w:rsidR="003F4980" w:rsidRPr="00E20618" w:rsidRDefault="003F4980" w:rsidP="000649FA">
            <w:pPr>
              <w:pStyle w:val="TableTextLeft"/>
              <w:jc w:val="right"/>
              <w:rPr>
                <w:rFonts w:cstheme="minorHAnsi"/>
              </w:rPr>
            </w:pPr>
            <w:r w:rsidRPr="00E20618">
              <w:rPr>
                <w:rFonts w:cstheme="minorHAnsi"/>
              </w:rPr>
              <w:t>8.4</w:t>
            </w:r>
          </w:p>
        </w:tc>
        <w:tc>
          <w:tcPr>
            <w:tcW w:w="996" w:type="dxa"/>
            <w:tcBorders>
              <w:top w:val="nil"/>
              <w:left w:val="nil"/>
              <w:bottom w:val="nil"/>
              <w:right w:val="nil"/>
            </w:tcBorders>
          </w:tcPr>
          <w:p w14:paraId="28DEF4F5" w14:textId="44821B4A" w:rsidR="003F4980" w:rsidRPr="00E20618" w:rsidRDefault="003F4980" w:rsidP="000649FA">
            <w:pPr>
              <w:pStyle w:val="TableTextLeft"/>
              <w:jc w:val="right"/>
              <w:rPr>
                <w:rFonts w:cstheme="minorHAnsi"/>
              </w:rPr>
            </w:pPr>
            <w:r w:rsidRPr="00E20618">
              <w:rPr>
                <w:rFonts w:cstheme="minorHAnsi"/>
              </w:rPr>
              <w:t>5.6</w:t>
            </w:r>
          </w:p>
        </w:tc>
        <w:tc>
          <w:tcPr>
            <w:tcW w:w="996" w:type="dxa"/>
            <w:tcBorders>
              <w:top w:val="nil"/>
              <w:left w:val="nil"/>
              <w:bottom w:val="nil"/>
              <w:right w:val="nil"/>
            </w:tcBorders>
          </w:tcPr>
          <w:p w14:paraId="0C6823B0" w14:textId="7C68DB32"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single" w:sz="4" w:space="0" w:color="auto"/>
            </w:tcBorders>
          </w:tcPr>
          <w:p w14:paraId="122DD1C2" w14:textId="79913D7A"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single" w:sz="4" w:space="0" w:color="auto"/>
              <w:bottom w:val="nil"/>
              <w:right w:val="nil"/>
            </w:tcBorders>
          </w:tcPr>
          <w:p w14:paraId="02D4C983" w14:textId="1EBD34B6" w:rsidR="003F4980" w:rsidRPr="00E20618" w:rsidRDefault="00E20989" w:rsidP="000649FA">
            <w:pPr>
              <w:pStyle w:val="TableTextLeft"/>
              <w:jc w:val="right"/>
              <w:rPr>
                <w:rFonts w:cstheme="minorHAnsi"/>
              </w:rPr>
            </w:pPr>
            <w:r w:rsidRPr="00E20618">
              <w:rPr>
                <w:rFonts w:cstheme="minorHAnsi"/>
              </w:rPr>
              <w:t>-</w:t>
            </w:r>
            <w:r w:rsidR="003F4980" w:rsidRPr="00E20618">
              <w:rPr>
                <w:rFonts w:cstheme="minorHAnsi"/>
              </w:rPr>
              <w:t>0.5</w:t>
            </w:r>
          </w:p>
        </w:tc>
      </w:tr>
      <w:tr w:rsidR="003F4980" w:rsidRPr="00A1737D" w14:paraId="59087068" w14:textId="77777777" w:rsidTr="00870149">
        <w:tc>
          <w:tcPr>
            <w:tcW w:w="3096" w:type="dxa"/>
            <w:tcBorders>
              <w:bottom w:val="single" w:sz="4" w:space="0" w:color="auto"/>
            </w:tcBorders>
          </w:tcPr>
          <w:p w14:paraId="07C9B38C"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5FF9BE66" w14:textId="69CAEE05"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single" w:sz="4" w:space="0" w:color="auto"/>
              <w:right w:val="nil"/>
            </w:tcBorders>
            <w:shd w:val="clear" w:color="auto" w:fill="D2EDFF" w:themeFill="accent1" w:themeFillTint="1A"/>
          </w:tcPr>
          <w:p w14:paraId="0B0A4645" w14:textId="6A69B416"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single" w:sz="4" w:space="0" w:color="auto"/>
              <w:right w:val="nil"/>
            </w:tcBorders>
          </w:tcPr>
          <w:p w14:paraId="2436782B" w14:textId="3AA68851"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single" w:sz="4" w:space="0" w:color="auto"/>
              <w:right w:val="nil"/>
            </w:tcBorders>
          </w:tcPr>
          <w:p w14:paraId="58ACDED0" w14:textId="1DA88CFC"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single" w:sz="4" w:space="0" w:color="auto"/>
              <w:right w:val="single" w:sz="4" w:space="0" w:color="auto"/>
            </w:tcBorders>
          </w:tcPr>
          <w:p w14:paraId="7AECBF8E" w14:textId="283A4DC8"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single" w:sz="4" w:space="0" w:color="auto"/>
              <w:bottom w:val="single" w:sz="4" w:space="0" w:color="auto"/>
              <w:right w:val="nil"/>
            </w:tcBorders>
          </w:tcPr>
          <w:p w14:paraId="677D9D4D" w14:textId="675FE57B" w:rsidR="003F4980" w:rsidRPr="00E20618" w:rsidRDefault="003F4980" w:rsidP="000649FA">
            <w:pPr>
              <w:pStyle w:val="TableTextLeft"/>
              <w:jc w:val="right"/>
              <w:rPr>
                <w:rFonts w:cstheme="minorHAnsi"/>
              </w:rPr>
            </w:pPr>
            <w:r w:rsidRPr="00E20618">
              <w:rPr>
                <w:rFonts w:cstheme="minorHAnsi"/>
              </w:rPr>
              <w:t>1.1</w:t>
            </w:r>
          </w:p>
        </w:tc>
      </w:tr>
      <w:tr w:rsidR="003F4980" w:rsidRPr="00A1737D" w14:paraId="7A6E9D50" w14:textId="77777777" w:rsidTr="00870149">
        <w:tc>
          <w:tcPr>
            <w:tcW w:w="3096" w:type="dxa"/>
            <w:tcBorders>
              <w:top w:val="single" w:sz="4" w:space="0" w:color="auto"/>
              <w:bottom w:val="nil"/>
            </w:tcBorders>
          </w:tcPr>
          <w:p w14:paraId="33CD3307"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622B66F0"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618E565"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74253638"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529DFD13"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1202B020"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0C2B7686" w14:textId="77777777" w:rsidR="003F4980" w:rsidRPr="00E20618" w:rsidRDefault="003F4980" w:rsidP="000649FA">
            <w:pPr>
              <w:pStyle w:val="TableTextLeft"/>
              <w:jc w:val="right"/>
              <w:rPr>
                <w:rFonts w:cstheme="minorHAnsi"/>
              </w:rPr>
            </w:pPr>
          </w:p>
        </w:tc>
      </w:tr>
      <w:tr w:rsidR="003F4980" w:rsidRPr="00A1737D" w14:paraId="694CB2E1" w14:textId="77777777" w:rsidTr="00870149">
        <w:tc>
          <w:tcPr>
            <w:tcW w:w="3096" w:type="dxa"/>
            <w:tcBorders>
              <w:bottom w:val="nil"/>
            </w:tcBorders>
          </w:tcPr>
          <w:p w14:paraId="0095ED78" w14:textId="77777777" w:rsidR="003F4980" w:rsidRPr="00363EFE" w:rsidRDefault="003F4980" w:rsidP="001F0F1C">
            <w:pPr>
              <w:pStyle w:val="TableTextLeft"/>
              <w:rPr>
                <w:i/>
                <w:iCs/>
                <w:color w:val="002C47" w:themeColor="accent1"/>
              </w:rPr>
            </w:pPr>
            <w:r w:rsidRPr="00363EFE">
              <w:rPr>
                <w:color w:val="002C47" w:themeColor="accent1"/>
              </w:rPr>
              <w:t>Western Australia</w:t>
            </w:r>
          </w:p>
        </w:tc>
        <w:tc>
          <w:tcPr>
            <w:tcW w:w="996" w:type="dxa"/>
            <w:tcBorders>
              <w:top w:val="nil"/>
              <w:left w:val="nil"/>
              <w:bottom w:val="nil"/>
              <w:right w:val="nil"/>
            </w:tcBorders>
          </w:tcPr>
          <w:p w14:paraId="12C3BB2F" w14:textId="6E80B935"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nil"/>
              <w:right w:val="nil"/>
            </w:tcBorders>
            <w:shd w:val="clear" w:color="auto" w:fill="D2EDFF" w:themeFill="accent1" w:themeFillTint="1A"/>
          </w:tcPr>
          <w:p w14:paraId="79F0C274" w14:textId="5E0400D2" w:rsidR="003F4980" w:rsidRPr="00E20618" w:rsidRDefault="003F4980" w:rsidP="000649FA">
            <w:pPr>
              <w:pStyle w:val="TableTextLeft"/>
              <w:jc w:val="right"/>
              <w:rPr>
                <w:rFonts w:cstheme="minorHAnsi"/>
              </w:rPr>
            </w:pPr>
            <w:r w:rsidRPr="00E20618">
              <w:rPr>
                <w:rFonts w:cstheme="minorHAnsi"/>
              </w:rPr>
              <w:t>38.3</w:t>
            </w:r>
          </w:p>
        </w:tc>
        <w:tc>
          <w:tcPr>
            <w:tcW w:w="996" w:type="dxa"/>
            <w:tcBorders>
              <w:top w:val="nil"/>
              <w:left w:val="nil"/>
              <w:bottom w:val="nil"/>
              <w:right w:val="nil"/>
            </w:tcBorders>
          </w:tcPr>
          <w:p w14:paraId="2460D351" w14:textId="56D14740" w:rsidR="003F4980" w:rsidRPr="00E20618" w:rsidRDefault="003F4980" w:rsidP="000649FA">
            <w:pPr>
              <w:pStyle w:val="TableTextLeft"/>
              <w:jc w:val="right"/>
              <w:rPr>
                <w:rFonts w:cstheme="minorHAnsi"/>
              </w:rPr>
            </w:pPr>
            <w:r w:rsidRPr="00E20618">
              <w:rPr>
                <w:rFonts w:cstheme="minorHAnsi"/>
              </w:rPr>
              <w:t>38.5</w:t>
            </w:r>
          </w:p>
        </w:tc>
        <w:tc>
          <w:tcPr>
            <w:tcW w:w="996" w:type="dxa"/>
            <w:tcBorders>
              <w:top w:val="nil"/>
              <w:left w:val="nil"/>
              <w:bottom w:val="nil"/>
              <w:right w:val="nil"/>
            </w:tcBorders>
          </w:tcPr>
          <w:p w14:paraId="31978D57" w14:textId="6C34AA77"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single" w:sz="4" w:space="0" w:color="auto"/>
            </w:tcBorders>
          </w:tcPr>
          <w:p w14:paraId="1E15FDF3" w14:textId="3229D8C5" w:rsidR="003F4980" w:rsidRPr="00E20618" w:rsidRDefault="003F4980" w:rsidP="000649FA">
            <w:pPr>
              <w:pStyle w:val="TableTextLeft"/>
              <w:jc w:val="right"/>
              <w:rPr>
                <w:rFonts w:cstheme="minorHAnsi"/>
              </w:rPr>
            </w:pPr>
            <w:r w:rsidRPr="00E20618">
              <w:rPr>
                <w:rFonts w:cstheme="minorHAnsi"/>
              </w:rPr>
              <w:t>38.8</w:t>
            </w:r>
          </w:p>
        </w:tc>
        <w:tc>
          <w:tcPr>
            <w:tcW w:w="996" w:type="dxa"/>
            <w:tcBorders>
              <w:top w:val="nil"/>
              <w:left w:val="single" w:sz="4" w:space="0" w:color="auto"/>
              <w:bottom w:val="nil"/>
              <w:right w:val="nil"/>
            </w:tcBorders>
          </w:tcPr>
          <w:p w14:paraId="4CBC27B9" w14:textId="311EB747" w:rsidR="003F4980" w:rsidRPr="00E20618" w:rsidRDefault="003F4980" w:rsidP="000649FA">
            <w:pPr>
              <w:pStyle w:val="TableTextLeft"/>
              <w:jc w:val="right"/>
              <w:rPr>
                <w:rFonts w:cstheme="minorHAnsi"/>
              </w:rPr>
            </w:pPr>
            <w:r w:rsidRPr="00E20618">
              <w:rPr>
                <w:rFonts w:cstheme="minorHAnsi"/>
              </w:rPr>
              <w:t>39.9</w:t>
            </w:r>
          </w:p>
        </w:tc>
      </w:tr>
      <w:tr w:rsidR="003F4980" w:rsidRPr="00A1737D" w14:paraId="3FC2AA2C" w14:textId="77777777" w:rsidTr="00870149">
        <w:tc>
          <w:tcPr>
            <w:tcW w:w="3096" w:type="dxa"/>
            <w:tcBorders>
              <w:bottom w:val="nil"/>
            </w:tcBorders>
          </w:tcPr>
          <w:p w14:paraId="3E77574D" w14:textId="77777777" w:rsidR="003F4980" w:rsidRPr="00363EFE" w:rsidRDefault="003F4980" w:rsidP="001F0F1C">
            <w:pPr>
              <w:pStyle w:val="Tabletextleftindent"/>
              <w:rPr>
                <w:color w:val="002C47" w:themeColor="accent1"/>
              </w:rPr>
            </w:pPr>
            <w:r w:rsidRPr="00363EFE">
              <w:rPr>
                <w:color w:val="002C47" w:themeColor="accent1"/>
              </w:rPr>
              <w:t>Greater Perth</w:t>
            </w:r>
          </w:p>
        </w:tc>
        <w:tc>
          <w:tcPr>
            <w:tcW w:w="996" w:type="dxa"/>
            <w:tcBorders>
              <w:top w:val="nil"/>
              <w:left w:val="nil"/>
              <w:bottom w:val="nil"/>
              <w:right w:val="nil"/>
            </w:tcBorders>
          </w:tcPr>
          <w:p w14:paraId="035CFE97" w14:textId="32553FFD" w:rsidR="003F4980" w:rsidRPr="00E20618" w:rsidRDefault="003F4980" w:rsidP="000649FA">
            <w:pPr>
              <w:pStyle w:val="TableTextLeft"/>
              <w:jc w:val="right"/>
              <w:rPr>
                <w:rFonts w:cstheme="minorHAnsi"/>
              </w:rPr>
            </w:pPr>
            <w:r w:rsidRPr="00E20618">
              <w:rPr>
                <w:rFonts w:cstheme="minorHAnsi"/>
              </w:rPr>
              <w:t>37.6</w:t>
            </w:r>
          </w:p>
        </w:tc>
        <w:tc>
          <w:tcPr>
            <w:tcW w:w="996" w:type="dxa"/>
            <w:tcBorders>
              <w:top w:val="nil"/>
              <w:left w:val="nil"/>
              <w:bottom w:val="nil"/>
              <w:right w:val="nil"/>
            </w:tcBorders>
            <w:shd w:val="clear" w:color="auto" w:fill="D2EDFF" w:themeFill="accent1" w:themeFillTint="1A"/>
          </w:tcPr>
          <w:p w14:paraId="219FA3A0" w14:textId="779CC359" w:rsidR="003F4980" w:rsidRPr="00E20618" w:rsidRDefault="003F4980" w:rsidP="000649FA">
            <w:pPr>
              <w:pStyle w:val="TableTextLeft"/>
              <w:jc w:val="right"/>
              <w:rPr>
                <w:rFonts w:cstheme="minorHAnsi"/>
              </w:rPr>
            </w:pPr>
            <w:r w:rsidRPr="00E20618">
              <w:rPr>
                <w:rFonts w:cstheme="minorHAnsi"/>
              </w:rPr>
              <w:t>37.8</w:t>
            </w:r>
          </w:p>
        </w:tc>
        <w:tc>
          <w:tcPr>
            <w:tcW w:w="996" w:type="dxa"/>
            <w:tcBorders>
              <w:top w:val="nil"/>
              <w:left w:val="nil"/>
              <w:bottom w:val="nil"/>
              <w:right w:val="nil"/>
            </w:tcBorders>
          </w:tcPr>
          <w:p w14:paraId="0454F085" w14:textId="00012CD5"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nil"/>
              <w:right w:val="nil"/>
            </w:tcBorders>
          </w:tcPr>
          <w:p w14:paraId="499BC50E" w14:textId="490B5A17" w:rsidR="003F4980" w:rsidRPr="00E20618" w:rsidRDefault="003F4980" w:rsidP="000649FA">
            <w:pPr>
              <w:pStyle w:val="TableTextLeft"/>
              <w:jc w:val="right"/>
              <w:rPr>
                <w:rFonts w:cstheme="minorHAnsi"/>
              </w:rPr>
            </w:pPr>
            <w:r w:rsidRPr="00E20618">
              <w:rPr>
                <w:rFonts w:cstheme="minorHAnsi"/>
              </w:rPr>
              <w:t>38.1</w:t>
            </w:r>
          </w:p>
        </w:tc>
        <w:tc>
          <w:tcPr>
            <w:tcW w:w="996" w:type="dxa"/>
            <w:tcBorders>
              <w:top w:val="nil"/>
              <w:left w:val="nil"/>
              <w:bottom w:val="nil"/>
              <w:right w:val="single" w:sz="4" w:space="0" w:color="auto"/>
            </w:tcBorders>
          </w:tcPr>
          <w:p w14:paraId="77E38066" w14:textId="3C6FD82A" w:rsidR="003F4980" w:rsidRPr="00E20618" w:rsidRDefault="003F4980" w:rsidP="000649FA">
            <w:pPr>
              <w:pStyle w:val="TableTextLeft"/>
              <w:jc w:val="right"/>
              <w:rPr>
                <w:rFonts w:cstheme="minorHAnsi"/>
              </w:rPr>
            </w:pPr>
            <w:r w:rsidRPr="00E20618">
              <w:rPr>
                <w:rFonts w:cstheme="minorHAnsi"/>
              </w:rPr>
              <w:t>38.2</w:t>
            </w:r>
          </w:p>
        </w:tc>
        <w:tc>
          <w:tcPr>
            <w:tcW w:w="996" w:type="dxa"/>
            <w:tcBorders>
              <w:top w:val="nil"/>
              <w:left w:val="single" w:sz="4" w:space="0" w:color="auto"/>
              <w:bottom w:val="nil"/>
              <w:right w:val="nil"/>
            </w:tcBorders>
          </w:tcPr>
          <w:p w14:paraId="6DC1D2D8" w14:textId="76589EED" w:rsidR="003F4980" w:rsidRPr="00E20618" w:rsidRDefault="003F4980" w:rsidP="000649FA">
            <w:pPr>
              <w:pStyle w:val="TableTextLeft"/>
              <w:jc w:val="right"/>
              <w:rPr>
                <w:rFonts w:cstheme="minorHAnsi"/>
              </w:rPr>
            </w:pPr>
            <w:r w:rsidRPr="00E20618">
              <w:rPr>
                <w:rFonts w:cstheme="minorHAnsi"/>
              </w:rPr>
              <w:t>39.1</w:t>
            </w:r>
          </w:p>
        </w:tc>
      </w:tr>
      <w:tr w:rsidR="003F4980" w:rsidRPr="00A1737D" w14:paraId="79D2C10B" w14:textId="77777777" w:rsidTr="00870149">
        <w:tc>
          <w:tcPr>
            <w:tcW w:w="3096" w:type="dxa"/>
            <w:tcBorders>
              <w:bottom w:val="single" w:sz="4" w:space="0" w:color="auto"/>
            </w:tcBorders>
          </w:tcPr>
          <w:p w14:paraId="2A071DA5" w14:textId="77777777" w:rsidR="003F4980" w:rsidRPr="00363EFE" w:rsidRDefault="003F4980" w:rsidP="001F0F1C">
            <w:pPr>
              <w:pStyle w:val="Tabletextleftindent"/>
              <w:rPr>
                <w:color w:val="002C47" w:themeColor="accent1"/>
              </w:rPr>
            </w:pPr>
            <w:r w:rsidRPr="00363EFE">
              <w:rPr>
                <w:color w:val="002C47" w:themeColor="accent1"/>
              </w:rPr>
              <w:t>Rest of Western Australia</w:t>
            </w:r>
          </w:p>
        </w:tc>
        <w:tc>
          <w:tcPr>
            <w:tcW w:w="996" w:type="dxa"/>
            <w:tcBorders>
              <w:top w:val="nil"/>
              <w:left w:val="nil"/>
              <w:bottom w:val="single" w:sz="4" w:space="0" w:color="auto"/>
              <w:right w:val="nil"/>
            </w:tcBorders>
          </w:tcPr>
          <w:p w14:paraId="6E091D9A" w14:textId="656E4D0D" w:rsidR="003F4980" w:rsidRPr="00E20618" w:rsidRDefault="003F4980" w:rsidP="000649FA">
            <w:pPr>
              <w:pStyle w:val="TableTextLeft"/>
              <w:jc w:val="right"/>
              <w:rPr>
                <w:rFonts w:cstheme="minorHAnsi"/>
              </w:rPr>
            </w:pPr>
            <w:r w:rsidRPr="00E20618">
              <w:rPr>
                <w:rFonts w:cstheme="minorHAnsi"/>
              </w:rPr>
              <w:t>40</w:t>
            </w:r>
          </w:p>
        </w:tc>
        <w:tc>
          <w:tcPr>
            <w:tcW w:w="996" w:type="dxa"/>
            <w:tcBorders>
              <w:top w:val="nil"/>
              <w:left w:val="nil"/>
              <w:bottom w:val="single" w:sz="4" w:space="0" w:color="auto"/>
              <w:right w:val="nil"/>
            </w:tcBorders>
            <w:shd w:val="clear" w:color="auto" w:fill="D2EDFF" w:themeFill="accent1" w:themeFillTint="1A"/>
          </w:tcPr>
          <w:p w14:paraId="6EC194E7" w14:textId="2A09B6C9" w:rsidR="003F4980" w:rsidRPr="00E20618" w:rsidRDefault="003F4980" w:rsidP="000649FA">
            <w:pPr>
              <w:pStyle w:val="TableTextLeft"/>
              <w:jc w:val="right"/>
              <w:rPr>
                <w:rFonts w:cstheme="minorHAnsi"/>
              </w:rPr>
            </w:pPr>
            <w:r w:rsidRPr="00E20618">
              <w:rPr>
                <w:rFonts w:cstheme="minorHAnsi"/>
              </w:rPr>
              <w:t>40.4</w:t>
            </w:r>
          </w:p>
        </w:tc>
        <w:tc>
          <w:tcPr>
            <w:tcW w:w="996" w:type="dxa"/>
            <w:tcBorders>
              <w:top w:val="nil"/>
              <w:left w:val="nil"/>
              <w:bottom w:val="single" w:sz="4" w:space="0" w:color="auto"/>
              <w:right w:val="nil"/>
            </w:tcBorders>
          </w:tcPr>
          <w:p w14:paraId="137A5AC8" w14:textId="4D3999E7" w:rsidR="003F4980" w:rsidRPr="00E20618" w:rsidRDefault="003F4980" w:rsidP="000649FA">
            <w:pPr>
              <w:pStyle w:val="TableTextLeft"/>
              <w:jc w:val="right"/>
              <w:rPr>
                <w:rFonts w:cstheme="minorHAnsi"/>
              </w:rPr>
            </w:pPr>
            <w:r w:rsidRPr="00E20618">
              <w:rPr>
                <w:rFonts w:cstheme="minorHAnsi"/>
              </w:rPr>
              <w:t>40.8</w:t>
            </w:r>
          </w:p>
        </w:tc>
        <w:tc>
          <w:tcPr>
            <w:tcW w:w="996" w:type="dxa"/>
            <w:tcBorders>
              <w:top w:val="nil"/>
              <w:left w:val="nil"/>
              <w:bottom w:val="single" w:sz="4" w:space="0" w:color="auto"/>
              <w:right w:val="nil"/>
            </w:tcBorders>
          </w:tcPr>
          <w:p w14:paraId="57F95DAE" w14:textId="54F5AF05" w:rsidR="003F4980" w:rsidRPr="00E20618" w:rsidRDefault="003F4980" w:rsidP="000649FA">
            <w:pPr>
              <w:pStyle w:val="TableTextLeft"/>
              <w:jc w:val="right"/>
              <w:rPr>
                <w:rFonts w:cstheme="minorHAnsi"/>
              </w:rPr>
            </w:pPr>
            <w:r w:rsidRPr="00E20618">
              <w:rPr>
                <w:rFonts w:cstheme="minorHAnsi"/>
              </w:rPr>
              <w:t>41.2</w:t>
            </w:r>
          </w:p>
        </w:tc>
        <w:tc>
          <w:tcPr>
            <w:tcW w:w="996" w:type="dxa"/>
            <w:tcBorders>
              <w:top w:val="nil"/>
              <w:left w:val="nil"/>
              <w:bottom w:val="single" w:sz="4" w:space="0" w:color="auto"/>
              <w:right w:val="single" w:sz="4" w:space="0" w:color="auto"/>
            </w:tcBorders>
          </w:tcPr>
          <w:p w14:paraId="148BD0CD" w14:textId="1DDD0413" w:rsidR="003F4980" w:rsidRPr="00E20618" w:rsidRDefault="003F4980" w:rsidP="000649FA">
            <w:pPr>
              <w:pStyle w:val="TableTextLeft"/>
              <w:jc w:val="right"/>
              <w:rPr>
                <w:rFonts w:cstheme="minorHAnsi"/>
              </w:rPr>
            </w:pPr>
            <w:r w:rsidRPr="00E20618">
              <w:rPr>
                <w:rFonts w:cstheme="minorHAnsi"/>
              </w:rPr>
              <w:t>41.5</w:t>
            </w:r>
          </w:p>
        </w:tc>
        <w:tc>
          <w:tcPr>
            <w:tcW w:w="996" w:type="dxa"/>
            <w:tcBorders>
              <w:top w:val="nil"/>
              <w:left w:val="single" w:sz="4" w:space="0" w:color="auto"/>
              <w:bottom w:val="single" w:sz="4" w:space="0" w:color="auto"/>
              <w:right w:val="nil"/>
            </w:tcBorders>
          </w:tcPr>
          <w:p w14:paraId="52D61439" w14:textId="5A1F0E3C" w:rsidR="003F4980" w:rsidRPr="00E20618" w:rsidRDefault="003F4980" w:rsidP="000649FA">
            <w:pPr>
              <w:pStyle w:val="TableTextLeft"/>
              <w:jc w:val="right"/>
              <w:rPr>
                <w:rFonts w:cstheme="minorHAnsi"/>
              </w:rPr>
            </w:pPr>
            <w:r w:rsidRPr="00E20618">
              <w:rPr>
                <w:rFonts w:cstheme="minorHAnsi"/>
              </w:rPr>
              <w:t>43.6</w:t>
            </w:r>
          </w:p>
        </w:tc>
      </w:tr>
    </w:tbl>
    <w:p w14:paraId="2544CA3E" w14:textId="0C9FEACF" w:rsidR="00CD158B" w:rsidRDefault="00CD158B" w:rsidP="00CD158B">
      <w:pPr>
        <w:pStyle w:val="Source"/>
      </w:pPr>
      <w:r w:rsidRPr="00A1737D">
        <w:t xml:space="preserve">Source: </w:t>
      </w:r>
      <w:r w:rsidR="00C1231C">
        <w:rPr>
          <w:noProof/>
        </w:rPr>
        <w:t>Australian Bureau of Statistics, National, state and territory population, March 2022, 2022</w:t>
      </w:r>
      <w:r w:rsidR="004C49AF">
        <w:t>;</w:t>
      </w:r>
      <w:r w:rsidRPr="00A1737D">
        <w:t xml:space="preserve"> </w:t>
      </w:r>
      <w:r w:rsidR="00C1231C">
        <w:rPr>
          <w:noProof/>
        </w:rPr>
        <w:t>Australian Bureau of Statistics, Regional population, 2022</w:t>
      </w:r>
      <w:r w:rsidRPr="00A1737D">
        <w:t xml:space="preserve"> and Centre for Population projections.</w:t>
      </w:r>
    </w:p>
    <w:p w14:paraId="02787833" w14:textId="77777777" w:rsidR="00CD158B" w:rsidRDefault="00CD158B" w:rsidP="00A022F7">
      <w:pPr>
        <w:pStyle w:val="Dash"/>
        <w:numPr>
          <w:ilvl w:val="0"/>
          <w:numId w:val="0"/>
        </w:numPr>
        <w:rPr>
          <w:b/>
          <w:i/>
          <w:smallCaps/>
          <w:color w:val="FFFFFF" w:themeColor="background1"/>
          <w:spacing w:val="15"/>
        </w:rPr>
      </w:pPr>
    </w:p>
    <w:p w14:paraId="7C77FF00" w14:textId="77777777" w:rsidR="00556C48" w:rsidRDefault="00556C48" w:rsidP="00A022F7">
      <w:pPr>
        <w:pStyle w:val="Dash"/>
        <w:numPr>
          <w:ilvl w:val="0"/>
          <w:numId w:val="0"/>
        </w:numPr>
        <w:rPr>
          <w:b/>
          <w:i/>
          <w:smallCaps/>
          <w:color w:val="FFFFFF" w:themeColor="background1"/>
          <w:spacing w:val="15"/>
        </w:rPr>
      </w:pPr>
    </w:p>
    <w:p w14:paraId="16BF47DF" w14:textId="74B5BA1E" w:rsidR="00044410" w:rsidRPr="004D1FEA" w:rsidRDefault="00472C9A" w:rsidP="0039767A">
      <w:pPr>
        <w:pStyle w:val="Heading2Numbered"/>
      </w:pPr>
      <w:bookmarkStart w:id="177" w:name="_Toc122618383"/>
      <w:r>
        <w:lastRenderedPageBreak/>
        <w:t>Tasmania</w:t>
      </w:r>
      <w:bookmarkEnd w:id="177"/>
    </w:p>
    <w:p w14:paraId="5D575457" w14:textId="538B109A" w:rsidR="009949F1" w:rsidRPr="009949F1" w:rsidRDefault="009949F1" w:rsidP="0039767A">
      <w:bookmarkStart w:id="178" w:name="_Hlk116581095"/>
      <w:bookmarkStart w:id="179" w:name="_Ref115340776"/>
      <w:r w:rsidRPr="009949F1">
        <w:t xml:space="preserve">The population of Tasmania on 30 June 2021 was 568,000, revised up by 4.9 per cent </w:t>
      </w:r>
      <w:r w:rsidR="00FE4E71">
        <w:t>following</w:t>
      </w:r>
      <w:r w:rsidRPr="009949F1">
        <w:t xml:space="preserve"> the 2021 Census.</w:t>
      </w:r>
      <w:r w:rsidRPr="009949F1">
        <w:rPr>
          <w:rStyle w:val="FootnoteReference"/>
        </w:rPr>
        <w:footnoteReference w:id="39"/>
      </w:r>
      <w:r w:rsidRPr="009949F1">
        <w:t xml:space="preserve"> Tasmania experienced strong population growth in the 3 years before the pandemic, growing by an average of 2.2 per cent per year. This was well above the 0.</w:t>
      </w:r>
      <w:r w:rsidR="00FE4E71">
        <w:t>4</w:t>
      </w:r>
      <w:r w:rsidRPr="009949F1">
        <w:t xml:space="preserve"> per cent average population growth it experienced between 2009–10 and 2013–14. Annual population growth declined to 0.8 per cent in 2020–21 due to falls in overseas migration and interstate migration. Tasmania’s population growth is projected to recover to 1.3 per cent in 2021–22 with a recovery of overseas and interstate migration. Population growth is projected to slowly decline to 1 per cent by 2032–33 when Tasmania’s population is projected to </w:t>
      </w:r>
      <w:r w:rsidR="00B06102">
        <w:t xml:space="preserve">be </w:t>
      </w:r>
      <w:r w:rsidRPr="009949F1">
        <w:t>64</w:t>
      </w:r>
      <w:r w:rsidR="00FE4E71">
        <w:t>6</w:t>
      </w:r>
      <w:r w:rsidRPr="009949F1">
        <w:t>,000.</w:t>
      </w:r>
    </w:p>
    <w:p w14:paraId="2C768B91" w14:textId="477755C3" w:rsidR="002C7189" w:rsidRPr="009949F1" w:rsidRDefault="002C7189" w:rsidP="0039767A">
      <w:r w:rsidRPr="009949F1">
        <w:t>Net overseas migration is forecast to be the primary driver of Tasmania’s population growth from 202</w:t>
      </w:r>
      <w:r w:rsidR="00967ACD">
        <w:t>1</w:t>
      </w:r>
      <w:r w:rsidRPr="009949F1">
        <w:t>–2</w:t>
      </w:r>
      <w:r w:rsidR="00967ACD">
        <w:t>2</w:t>
      </w:r>
      <w:r w:rsidRPr="009949F1">
        <w:t>. The arrival of over 2,000 temporary migrants to work in the agricultural sector is forecast to drive increases in net overseas migration from -300 in 2020–21 to a record high 3,500 in 2021–22. The return of international students and permanent migrants drive net overseas migration to the state to 4,400 in 2025–26. Net overseas migration is forecast to contribute 0.7 percentage points to Tasmania’s population growth rate</w:t>
      </w:r>
      <w:r w:rsidRPr="009949F1">
        <w:rPr>
          <w:b/>
          <w:bCs/>
        </w:rPr>
        <w:t xml:space="preserve"> </w:t>
      </w:r>
      <w:r w:rsidRPr="009949F1">
        <w:t>in 2025–26, up from -0.1</w:t>
      </w:r>
      <w:r w:rsidRPr="009949F1">
        <w:rPr>
          <w:b/>
          <w:bCs/>
        </w:rPr>
        <w:t xml:space="preserve"> </w:t>
      </w:r>
      <w:r w:rsidRPr="009949F1">
        <w:t>in 2020–21. The national share of Tasmania’s net overseas migration has historically been consistently small</w:t>
      </w:r>
      <w:r w:rsidR="00B06102">
        <w:t xml:space="preserve"> at an average of 1 per cent, forecast to increase to</w:t>
      </w:r>
      <w:r w:rsidRPr="009949F1">
        <w:t xml:space="preserve"> 2 per cent over the forecast period.</w:t>
      </w:r>
      <w:bookmarkEnd w:id="178"/>
    </w:p>
    <w:p w14:paraId="094567E2" w14:textId="1E7CC737" w:rsidR="00027AC6" w:rsidRPr="009949F1" w:rsidRDefault="00027AC6" w:rsidP="0039767A">
      <w:r w:rsidRPr="009949F1">
        <w:t xml:space="preserve">Natural increase was a small but relatively stable contributor to Tasmania’s population growth prior to the pandemic. This is due to the older age structure of the population and lower total fertility rates </w:t>
      </w:r>
      <w:r w:rsidR="00B4343B">
        <w:t>over recent years</w:t>
      </w:r>
      <w:r w:rsidR="004A1213">
        <w:t xml:space="preserve"> compared to the national average</w:t>
      </w:r>
      <w:r w:rsidR="00B4343B">
        <w:t xml:space="preserve"> </w:t>
      </w:r>
      <w:r w:rsidRPr="009949F1">
        <w:t>(although fertility rates for Tasmanian women aged 20 to 29 years have been higher than the national average). Natural increase is expected to decrease in 2021–22 due to an</w:t>
      </w:r>
      <w:r w:rsidRPr="009949F1" w:rsidDel="007B7D84">
        <w:t xml:space="preserve"> </w:t>
      </w:r>
      <w:r w:rsidRPr="009949F1">
        <w:t xml:space="preserve">increase in the number of deaths, which are expected to remain </w:t>
      </w:r>
      <w:r w:rsidR="00FD3A0F">
        <w:t>elevated</w:t>
      </w:r>
      <w:r w:rsidRPr="009949F1">
        <w:t xml:space="preserve"> in 2022–23. Natural increase is expected to recover in 2023–24 due to a fall in deaths and then decline steadily to 2032–33, becoming very low as the number of deaths </w:t>
      </w:r>
      <w:r w:rsidR="00CE71EF" w:rsidRPr="009949F1">
        <w:t>approaches the number of</w:t>
      </w:r>
      <w:r w:rsidRPr="009949F1">
        <w:t xml:space="preserve"> births.</w:t>
      </w:r>
    </w:p>
    <w:p w14:paraId="71606011" w14:textId="5886914D" w:rsidR="009949F1" w:rsidRPr="00485E58" w:rsidRDefault="009949F1" w:rsidP="0039767A">
      <w:r w:rsidRPr="009949F1">
        <w:t>Net interstate migration tends to correlate with labour force conditions in Tasmania</w:t>
      </w:r>
      <w:r w:rsidRPr="009949F1">
        <w:rPr>
          <w:rStyle w:val="FootnoteReference"/>
        </w:rPr>
        <w:footnoteReference w:id="40"/>
      </w:r>
      <w:r w:rsidRPr="009949F1">
        <w:t xml:space="preserve"> and was strong in the 5</w:t>
      </w:r>
      <w:r w:rsidR="00103C2D">
        <w:t> </w:t>
      </w:r>
      <w:r w:rsidRPr="009949F1">
        <w:t>years prior to the pandemic</w:t>
      </w:r>
      <w:r w:rsidR="0078357C">
        <w:t>,</w:t>
      </w:r>
      <w:r w:rsidRPr="009949F1">
        <w:t xml:space="preserve"> but fell in 2020–21 (-100). Net interstate migration is expected to rebound in 2021–22 (2,700) with a relaxation in state border restrictions and </w:t>
      </w:r>
      <w:r w:rsidR="00A416D2">
        <w:t>less</w:t>
      </w:r>
      <w:r w:rsidRPr="009949F1">
        <w:t xml:space="preserve"> uncertainty around the pandemic. In 2023–24, interstate migration is projected to be 1</w:t>
      </w:r>
      <w:r w:rsidR="00A416D2">
        <w:t>,</w:t>
      </w:r>
      <w:r w:rsidRPr="009949F1">
        <w:t>000 before increasing gradually to 1,700 in 2032–33.</w:t>
      </w:r>
    </w:p>
    <w:p w14:paraId="78B25B66" w14:textId="77777777" w:rsidR="00CD158B" w:rsidRPr="00485E58" w:rsidRDefault="00CD158B" w:rsidP="002C06DC">
      <w:pPr>
        <w:pStyle w:val="Heading9"/>
        <w:spacing w:before="0" w:after="100"/>
      </w:pPr>
      <w:r w:rsidRPr="00485E58">
        <w:lastRenderedPageBreak/>
        <w:t>Population growth and components, Tasmania</w:t>
      </w:r>
      <w:bookmarkEnd w:id="179"/>
    </w:p>
    <w:p w14:paraId="6D6947C5" w14:textId="3FC6E5B8" w:rsidR="00CD158B" w:rsidRPr="00485E58" w:rsidRDefault="00EC3B82" w:rsidP="002C06DC">
      <w:pPr>
        <w:spacing w:before="0" w:after="100"/>
        <w:jc w:val="center"/>
      </w:pPr>
      <w:r w:rsidRPr="00EC3B82">
        <w:t xml:space="preserve"> </w:t>
      </w:r>
      <w:r w:rsidR="0092171A" w:rsidRPr="0092171A">
        <w:rPr>
          <w:noProof/>
        </w:rPr>
        <w:drawing>
          <wp:inline distT="0" distB="0" distL="0" distR="0" wp14:anchorId="602A91DA" wp14:editId="64499042">
            <wp:extent cx="5472000" cy="2473200"/>
            <wp:effectExtent l="0" t="0" r="0" b="0"/>
            <wp:docPr id="97" name="Picture 97" descr="A chart showing total population growth in Tasmania, disaggregated into its components: natural increase, net overseas migration, and net interstate migration. Intercensal difference is also shown. Population growth was relatively high between 2016-17 and 2019-20. Population growth declined in 2020-21 as overseas and interstate migration declined. Growth is projected to recover to 1.3 per cent in 2021-22 before slowly declining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hart showing total population growth in Tasmania, disaggregated into its components: natural increase, net overseas migration, and net interstate migration. Intercensal difference is also shown. Population growth was relatively high between 2016-17 and 2019-20. Population growth declined in 2020-21 as overseas and interstate migration declined. Growth is projected to recover to 1.3 per cent in 2021-22 before slowly declining through to 2032-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2473200"/>
                    </a:xfrm>
                    <a:prstGeom prst="rect">
                      <a:avLst/>
                    </a:prstGeom>
                    <a:noFill/>
                    <a:ln>
                      <a:noFill/>
                    </a:ln>
                  </pic:spPr>
                </pic:pic>
              </a:graphicData>
            </a:graphic>
          </wp:inline>
        </w:drawing>
      </w:r>
    </w:p>
    <w:p w14:paraId="162D2AC5" w14:textId="3BC64886" w:rsidR="00F1465C" w:rsidRPr="00F1465C" w:rsidRDefault="00CD158B" w:rsidP="002C06DC">
      <w:pPr>
        <w:pStyle w:val="Source"/>
        <w:spacing w:before="0" w:after="100"/>
      </w:pPr>
      <w:r w:rsidRPr="00485E58">
        <w:t xml:space="preserve">Source: </w:t>
      </w:r>
      <w:r w:rsidR="007E3A7E">
        <w:rPr>
          <w:noProof/>
        </w:rPr>
        <w:t>Australian Bureau of Statistics, National, state and territory population, March 2022, 2022</w:t>
      </w:r>
      <w:r w:rsidRPr="00485E58">
        <w:t xml:space="preserve"> and Centre for Population projections.</w:t>
      </w:r>
      <w:r w:rsidR="00C04082" w:rsidRPr="00485E58" w:rsidDel="00C04082">
        <w:t xml:space="preserve"> </w:t>
      </w:r>
    </w:p>
    <w:p w14:paraId="520FDAB3" w14:textId="18466036" w:rsidR="00CD158B" w:rsidRPr="00485E58" w:rsidRDefault="00CD158B" w:rsidP="009D5E0B">
      <w:pPr>
        <w:pStyle w:val="Heading3"/>
      </w:pPr>
      <w:bookmarkStart w:id="180" w:name="_Toc120635124"/>
      <w:bookmarkStart w:id="181" w:name="_Toc122617957"/>
      <w:bookmarkStart w:id="182" w:name="_Toc122618384"/>
      <w:r w:rsidRPr="00485E58">
        <w:t>Greater Hobart and the Rest of Tasmania</w:t>
      </w:r>
      <w:bookmarkEnd w:id="180"/>
      <w:bookmarkEnd w:id="181"/>
      <w:bookmarkEnd w:id="182"/>
    </w:p>
    <w:p w14:paraId="4545EB01" w14:textId="44274FB7" w:rsidR="00CD158B" w:rsidRPr="00485E58" w:rsidRDefault="00FB1BEB" w:rsidP="0039767A">
      <w:r>
        <w:t>T</w:t>
      </w:r>
      <w:r w:rsidR="00CD158B" w:rsidRPr="00485E58">
        <w:t xml:space="preserve">he population of Greater Hobart </w:t>
      </w:r>
      <w:r>
        <w:t xml:space="preserve">on 30 June 2021 </w:t>
      </w:r>
      <w:r w:rsidR="00CD158B" w:rsidRPr="00485E58">
        <w:t>was 251,000. This represents 44 per cent of the state’s population, making Tasmania the least centralised state in Australia. Population growth fell to 0.6 per cent in 2020</w:t>
      </w:r>
      <w:r w:rsidR="0033101B">
        <w:t>–</w:t>
      </w:r>
      <w:r w:rsidR="00CD158B" w:rsidRPr="00485E58">
        <w:t>21 but is projected to recover to 1.6 per cent by 2024</w:t>
      </w:r>
      <w:r w:rsidR="0033101B">
        <w:t>–</w:t>
      </w:r>
      <w:r w:rsidR="00CD158B" w:rsidRPr="00485E58">
        <w:t xml:space="preserve">25 before slowing to 1.3 per cent </w:t>
      </w:r>
      <w:r w:rsidR="00CE0901">
        <w:t>in</w:t>
      </w:r>
      <w:r w:rsidR="00CD158B" w:rsidRPr="00485E58">
        <w:t xml:space="preserve"> 2032</w:t>
      </w:r>
      <w:r w:rsidR="0033101B">
        <w:t>–</w:t>
      </w:r>
      <w:r w:rsidR="00CD158B" w:rsidRPr="00485E58">
        <w:t xml:space="preserve">33. </w:t>
      </w:r>
      <w:r w:rsidR="00CE0901">
        <w:t>In</w:t>
      </w:r>
      <w:r w:rsidR="00CD158B" w:rsidRPr="00485E58">
        <w:t xml:space="preserve"> 2032</w:t>
      </w:r>
      <w:r w:rsidR="0033101B">
        <w:t>–</w:t>
      </w:r>
      <w:r w:rsidR="00CD158B" w:rsidRPr="00485E58">
        <w:t xml:space="preserve">33, Hobart’s population is projected to be 298,000. Hobart is </w:t>
      </w:r>
      <w:r w:rsidR="00EA14DB">
        <w:t xml:space="preserve">also </w:t>
      </w:r>
      <w:r w:rsidR="00CD158B" w:rsidRPr="00485E58">
        <w:t xml:space="preserve">the only capital city projected to </w:t>
      </w:r>
      <w:r w:rsidR="0072372F">
        <w:t>experience</w:t>
      </w:r>
      <w:r w:rsidR="0072372F" w:rsidRPr="00485E58">
        <w:t xml:space="preserve"> </w:t>
      </w:r>
      <w:r w:rsidR="00CD158B" w:rsidRPr="00485E58">
        <w:t xml:space="preserve">close to zero natural increase in the next decade (0.2 per cent </w:t>
      </w:r>
      <w:r w:rsidR="00CE0901">
        <w:t>in</w:t>
      </w:r>
      <w:r w:rsidR="00CD158B" w:rsidRPr="00485E58">
        <w:t xml:space="preserve"> 2032</w:t>
      </w:r>
      <w:r w:rsidR="0033101B">
        <w:t>–</w:t>
      </w:r>
      <w:r w:rsidR="00CD158B" w:rsidRPr="00485E58">
        <w:t>33).</w:t>
      </w:r>
    </w:p>
    <w:p w14:paraId="6D57195E" w14:textId="59CC5C74" w:rsidR="009949F1" w:rsidRPr="00485E58" w:rsidRDefault="009949F1" w:rsidP="0039767A">
      <w:r w:rsidRPr="009949F1">
        <w:t>The population of the rest of Tasmania was 317,000 on 30 June 2021. Net overseas migration is projected to make the largest contribution to population growth in the rest of Tasmania from 2022</w:t>
      </w:r>
      <w:r w:rsidR="00A416D2">
        <w:t>–</w:t>
      </w:r>
      <w:r w:rsidRPr="009949F1">
        <w:t>23, while internal migration is expected to</w:t>
      </w:r>
      <w:r w:rsidR="00A416D2">
        <w:t xml:space="preserve"> be high in 2021–22 and 2022–23</w:t>
      </w:r>
      <w:r w:rsidR="00350866">
        <w:t xml:space="preserve">. </w:t>
      </w:r>
      <w:r w:rsidR="00F803E0">
        <w:t>This is expected</w:t>
      </w:r>
      <w:r w:rsidR="00350866">
        <w:t xml:space="preserve"> to</w:t>
      </w:r>
      <w:r w:rsidR="00A416D2">
        <w:t xml:space="preserve"> fall in 2023–24 before gradually</w:t>
      </w:r>
      <w:r w:rsidRPr="009949F1">
        <w:t xml:space="preserve"> increas</w:t>
      </w:r>
      <w:r w:rsidR="00A416D2">
        <w:t>ing</w:t>
      </w:r>
      <w:r w:rsidRPr="009949F1">
        <w:t xml:space="preserve"> </w:t>
      </w:r>
      <w:r w:rsidR="00A416D2">
        <w:t xml:space="preserve">through </w:t>
      </w:r>
      <w:r w:rsidRPr="009949F1">
        <w:t>to 2032–33. Growth in the rest of Tasmania is projected to be 1.2 per cent in 2021–22, before falling to 0.7 per cent in 2023–24. It is then projected to remain relatively stable until 2032–33 when the population is projected to be 348,000.</w:t>
      </w:r>
    </w:p>
    <w:p w14:paraId="35F216DB" w14:textId="77777777" w:rsidR="00CD158B" w:rsidRPr="00485E58" w:rsidRDefault="00CD158B" w:rsidP="002C06DC">
      <w:pPr>
        <w:pStyle w:val="Heading9"/>
        <w:spacing w:before="0" w:after="100"/>
      </w:pPr>
      <w:r w:rsidRPr="00485E58">
        <w:t>Population growth in Tasmania, Greater Hobart and the Rest of Tasmania</w:t>
      </w:r>
    </w:p>
    <w:p w14:paraId="2363AE92" w14:textId="7779E596" w:rsidR="00CD158B" w:rsidRPr="00485E58" w:rsidRDefault="0092171A" w:rsidP="0039767A">
      <w:pPr>
        <w:spacing w:before="60" w:after="0"/>
        <w:jc w:val="center"/>
      </w:pPr>
      <w:r w:rsidRPr="0092171A">
        <w:rPr>
          <w:noProof/>
        </w:rPr>
        <w:drawing>
          <wp:inline distT="0" distB="0" distL="0" distR="0" wp14:anchorId="45B4D8E6" wp14:editId="753027AA">
            <wp:extent cx="5508000" cy="2491200"/>
            <wp:effectExtent l="0" t="0" r="0" b="0"/>
            <wp:docPr id="98" name="Picture 98" descr="A line chart showing the population growth in Tasmania, Hobart, and the rest of Tasmania. Population growth had been relatively strong in all 3 areas until sharp falls in 2020-21. Population growth is projected to recover in Hobart to a peak of 1.6 per cent in 2024-25 and slowly decline thereafter. Tasmania's growth is expected to recover to 1.3 in 2021-22, before slowly declining towards 1.0 per cent in 2032-33. Growth in the rest of Tasmania is projected to recover to 1.2 per cent in 2021-22 before declining to 0.7 per cent in 2023-24 and remaining relatively stable there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line chart showing the population growth in Tasmania, Hobart, and the rest of Tasmania. Population growth had been relatively strong in all 3 areas until sharp falls in 2020-21. Population growth is projected to recover in Hobart to a peak of 1.6 per cent in 2024-25 and slowly decline thereafter. Tasmania's growth is expected to recover to 1.3 in 2021-22, before slowly declining towards 1.0 per cent in 2032-33. Growth in the rest of Tasmania is projected to recover to 1.2 per cent in 2021-22 before declining to 0.7 per cent in 2023-24 and remaining relatively stable thereaft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08000" cy="2491200"/>
                    </a:xfrm>
                    <a:prstGeom prst="rect">
                      <a:avLst/>
                    </a:prstGeom>
                    <a:noFill/>
                    <a:ln>
                      <a:noFill/>
                    </a:ln>
                  </pic:spPr>
                </pic:pic>
              </a:graphicData>
            </a:graphic>
          </wp:inline>
        </w:drawing>
      </w:r>
    </w:p>
    <w:p w14:paraId="698C0C6F" w14:textId="608FDD06" w:rsidR="00A67116" w:rsidRPr="00A67116" w:rsidRDefault="00CD158B" w:rsidP="002C06DC">
      <w:pPr>
        <w:pStyle w:val="Source"/>
        <w:spacing w:before="0" w:after="100"/>
      </w:pPr>
      <w:r w:rsidRPr="00485E58">
        <w:t xml:space="preserve">Source: </w:t>
      </w:r>
      <w:r w:rsidR="00F04148">
        <w:rPr>
          <w:noProof/>
        </w:rPr>
        <w:t>Australian Bureau of Statistics, Regional population, 2022</w:t>
      </w:r>
      <w:r w:rsidR="004C49AF">
        <w:t>;</w:t>
      </w:r>
      <w:r w:rsidRPr="00485E58">
        <w:t xml:space="preserve"> </w:t>
      </w:r>
      <w:r w:rsidR="00F04148">
        <w:rPr>
          <w:noProof/>
        </w:rPr>
        <w:t>Australian Bureau of Statistics, National, state and territory population, March 2022, 2022</w:t>
      </w:r>
      <w:r w:rsidRPr="00485E58">
        <w:t xml:space="preserve"> and Centre for Population projections.</w:t>
      </w:r>
      <w:r w:rsidR="00C04082" w:rsidDel="00C04082">
        <w:t xml:space="preserve"> </w:t>
      </w:r>
    </w:p>
    <w:p w14:paraId="02D3B921" w14:textId="710DD1B4" w:rsidR="00CD158B" w:rsidRPr="00485E58" w:rsidRDefault="00CD158B" w:rsidP="005540BC">
      <w:pPr>
        <w:pStyle w:val="TableMainHeading"/>
      </w:pPr>
      <w:r w:rsidRPr="00485E58">
        <w:lastRenderedPageBreak/>
        <w:t>Population projections, Tasmania</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CD158B" w:rsidRPr="00485E58" w14:paraId="1A9AD7AE"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0F71E3FC" w14:textId="77777777" w:rsidR="00CD158B" w:rsidRPr="00485E58" w:rsidRDefault="00CD158B" w:rsidP="00676947">
            <w:pPr>
              <w:spacing w:after="0"/>
            </w:pPr>
          </w:p>
        </w:tc>
        <w:tc>
          <w:tcPr>
            <w:tcW w:w="996" w:type="dxa"/>
          </w:tcPr>
          <w:p w14:paraId="1F43E87C" w14:textId="6337496E" w:rsidR="00CD158B" w:rsidRPr="00485E58" w:rsidRDefault="00CD158B" w:rsidP="002C06DC">
            <w:pPr>
              <w:pStyle w:val="TableColumnHeadingLeft"/>
            </w:pPr>
            <w:r w:rsidRPr="00485E58">
              <w:t>2020</w:t>
            </w:r>
            <w:r w:rsidR="0033101B">
              <w:t>–</w:t>
            </w:r>
            <w:r w:rsidRPr="00485E58">
              <w:t>21</w:t>
            </w:r>
          </w:p>
        </w:tc>
        <w:tc>
          <w:tcPr>
            <w:tcW w:w="996" w:type="dxa"/>
            <w:shd w:val="clear" w:color="auto" w:fill="D2EDFF" w:themeFill="accent1" w:themeFillTint="1A"/>
          </w:tcPr>
          <w:p w14:paraId="0B3A8E6E" w14:textId="5B08DD89" w:rsidR="00CD158B" w:rsidRPr="00485E58" w:rsidRDefault="00CD158B" w:rsidP="002C06DC">
            <w:pPr>
              <w:pStyle w:val="TableColumnHeadingLeft"/>
            </w:pPr>
            <w:r w:rsidRPr="00485E58">
              <w:t>2021</w:t>
            </w:r>
            <w:r w:rsidR="0033101B">
              <w:t>–</w:t>
            </w:r>
            <w:r w:rsidRPr="00485E58">
              <w:t>22</w:t>
            </w:r>
          </w:p>
        </w:tc>
        <w:tc>
          <w:tcPr>
            <w:tcW w:w="996" w:type="dxa"/>
          </w:tcPr>
          <w:p w14:paraId="6076B9F9" w14:textId="7E27A762" w:rsidR="00CD158B" w:rsidRPr="00485E58" w:rsidRDefault="00CD158B" w:rsidP="002C06DC">
            <w:pPr>
              <w:pStyle w:val="TableColumnHeadingLeft"/>
            </w:pPr>
            <w:r w:rsidRPr="00485E58">
              <w:t>2022</w:t>
            </w:r>
            <w:r w:rsidR="0033101B">
              <w:t>–</w:t>
            </w:r>
            <w:r w:rsidRPr="00485E58">
              <w:t>23</w:t>
            </w:r>
          </w:p>
        </w:tc>
        <w:tc>
          <w:tcPr>
            <w:tcW w:w="996" w:type="dxa"/>
          </w:tcPr>
          <w:p w14:paraId="45C95F25" w14:textId="524D59E7" w:rsidR="00CD158B" w:rsidRPr="00485E58" w:rsidRDefault="00CD158B" w:rsidP="002C06DC">
            <w:pPr>
              <w:pStyle w:val="TableColumnHeadingLeft"/>
            </w:pPr>
            <w:r w:rsidRPr="00485E58">
              <w:t>2023</w:t>
            </w:r>
            <w:r w:rsidR="0033101B">
              <w:t>–</w:t>
            </w:r>
            <w:r w:rsidRPr="00485E58">
              <w:t>24</w:t>
            </w:r>
          </w:p>
        </w:tc>
        <w:tc>
          <w:tcPr>
            <w:tcW w:w="996" w:type="dxa"/>
            <w:tcBorders>
              <w:right w:val="single" w:sz="4" w:space="0" w:color="auto"/>
            </w:tcBorders>
          </w:tcPr>
          <w:p w14:paraId="5953F88A" w14:textId="7C7EE422" w:rsidR="00CD158B" w:rsidRPr="00485E58" w:rsidRDefault="00CD158B" w:rsidP="002C06DC">
            <w:pPr>
              <w:pStyle w:val="TableColumnHeadingLeft"/>
            </w:pPr>
            <w:r w:rsidRPr="00485E58">
              <w:t>2024</w:t>
            </w:r>
            <w:r w:rsidR="0033101B">
              <w:t>–</w:t>
            </w:r>
            <w:r w:rsidRPr="00485E58">
              <w:t>25</w:t>
            </w:r>
          </w:p>
        </w:tc>
        <w:tc>
          <w:tcPr>
            <w:tcW w:w="996" w:type="dxa"/>
            <w:tcBorders>
              <w:left w:val="single" w:sz="4" w:space="0" w:color="auto"/>
            </w:tcBorders>
          </w:tcPr>
          <w:p w14:paraId="0572A7C5" w14:textId="2B02D7CD" w:rsidR="00CD158B" w:rsidRPr="00485E58" w:rsidRDefault="00CD158B" w:rsidP="002C06DC">
            <w:pPr>
              <w:pStyle w:val="TableColumnHeadingLeft"/>
            </w:pPr>
            <w:r w:rsidRPr="00485E58">
              <w:t>2032</w:t>
            </w:r>
            <w:r w:rsidR="0033101B">
              <w:t>–</w:t>
            </w:r>
            <w:r w:rsidRPr="00485E58">
              <w:t>33</w:t>
            </w:r>
          </w:p>
        </w:tc>
      </w:tr>
      <w:tr w:rsidR="003F4980" w:rsidRPr="00485E58" w14:paraId="3116C498" w14:textId="77777777" w:rsidTr="00676947">
        <w:tc>
          <w:tcPr>
            <w:tcW w:w="3096" w:type="dxa"/>
          </w:tcPr>
          <w:p w14:paraId="41510102"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5BA0788D" w14:textId="77777777" w:rsidR="003F4980" w:rsidRPr="00E20618" w:rsidRDefault="003F4980" w:rsidP="001F0F1C">
            <w:pPr>
              <w:pStyle w:val="TableTextLeft"/>
            </w:pPr>
          </w:p>
        </w:tc>
        <w:tc>
          <w:tcPr>
            <w:tcW w:w="996" w:type="dxa"/>
            <w:shd w:val="clear" w:color="auto" w:fill="D2EDFF" w:themeFill="accent1" w:themeFillTint="1A"/>
          </w:tcPr>
          <w:p w14:paraId="363D965C" w14:textId="77777777" w:rsidR="003F4980" w:rsidRPr="00E20618" w:rsidRDefault="003F4980" w:rsidP="001F0F1C">
            <w:pPr>
              <w:pStyle w:val="TableTextLeft"/>
            </w:pPr>
          </w:p>
        </w:tc>
        <w:tc>
          <w:tcPr>
            <w:tcW w:w="996" w:type="dxa"/>
          </w:tcPr>
          <w:p w14:paraId="73BE18CB" w14:textId="77777777" w:rsidR="003F4980" w:rsidRPr="00E20618" w:rsidRDefault="003F4980" w:rsidP="001F0F1C">
            <w:pPr>
              <w:pStyle w:val="TableTextLeft"/>
            </w:pPr>
          </w:p>
        </w:tc>
        <w:tc>
          <w:tcPr>
            <w:tcW w:w="996" w:type="dxa"/>
          </w:tcPr>
          <w:p w14:paraId="5ECA07A0" w14:textId="77777777" w:rsidR="003F4980" w:rsidRPr="00E20618" w:rsidRDefault="003F4980" w:rsidP="001F0F1C">
            <w:pPr>
              <w:pStyle w:val="TableTextLeft"/>
            </w:pPr>
          </w:p>
        </w:tc>
        <w:tc>
          <w:tcPr>
            <w:tcW w:w="996" w:type="dxa"/>
            <w:tcBorders>
              <w:right w:val="single" w:sz="4" w:space="0" w:color="auto"/>
            </w:tcBorders>
          </w:tcPr>
          <w:p w14:paraId="079363EA"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3C6CB2DE" w14:textId="77777777" w:rsidR="003F4980" w:rsidRPr="00E20618" w:rsidRDefault="003F4980" w:rsidP="001F0F1C">
            <w:pPr>
              <w:pStyle w:val="TableTextLeft"/>
            </w:pPr>
          </w:p>
        </w:tc>
      </w:tr>
      <w:tr w:rsidR="003F4980" w:rsidRPr="00485E58" w14:paraId="6A1EA58C" w14:textId="77777777" w:rsidTr="00854EAB">
        <w:tc>
          <w:tcPr>
            <w:tcW w:w="3096" w:type="dxa"/>
          </w:tcPr>
          <w:p w14:paraId="5180BBCE"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52B1BDB4" w14:textId="606B72BE" w:rsidR="003F4980" w:rsidRPr="00E20618" w:rsidRDefault="003F4980" w:rsidP="000649FA">
            <w:pPr>
              <w:pStyle w:val="TableTextLeft"/>
              <w:jc w:val="right"/>
              <w:rPr>
                <w:rFonts w:cstheme="minorHAnsi"/>
              </w:rPr>
            </w:pPr>
            <w:r w:rsidRPr="00E20618">
              <w:rPr>
                <w:rFonts w:cstheme="minorHAnsi"/>
              </w:rPr>
              <w:t>568</w:t>
            </w:r>
          </w:p>
        </w:tc>
        <w:tc>
          <w:tcPr>
            <w:tcW w:w="996" w:type="dxa"/>
            <w:tcBorders>
              <w:top w:val="nil"/>
              <w:left w:val="nil"/>
              <w:bottom w:val="nil"/>
              <w:right w:val="nil"/>
            </w:tcBorders>
            <w:shd w:val="clear" w:color="auto" w:fill="D2EDFF" w:themeFill="accent1" w:themeFillTint="1A"/>
          </w:tcPr>
          <w:p w14:paraId="07C78380" w14:textId="31DD50B5" w:rsidR="003F4980" w:rsidRPr="00E20618" w:rsidRDefault="003F4980" w:rsidP="000649FA">
            <w:pPr>
              <w:pStyle w:val="TableTextLeft"/>
              <w:jc w:val="right"/>
              <w:rPr>
                <w:rFonts w:cstheme="minorHAnsi"/>
              </w:rPr>
            </w:pPr>
            <w:r w:rsidRPr="00E20618">
              <w:rPr>
                <w:rFonts w:cstheme="minorHAnsi"/>
              </w:rPr>
              <w:t>575</w:t>
            </w:r>
          </w:p>
        </w:tc>
        <w:tc>
          <w:tcPr>
            <w:tcW w:w="996" w:type="dxa"/>
            <w:tcBorders>
              <w:top w:val="nil"/>
              <w:left w:val="nil"/>
              <w:bottom w:val="nil"/>
              <w:right w:val="nil"/>
            </w:tcBorders>
          </w:tcPr>
          <w:p w14:paraId="0C0C8890" w14:textId="2064D58F" w:rsidR="003F4980" w:rsidRPr="00E20618" w:rsidRDefault="003F4980" w:rsidP="000649FA">
            <w:pPr>
              <w:pStyle w:val="TableTextLeft"/>
              <w:jc w:val="right"/>
              <w:rPr>
                <w:rFonts w:cstheme="minorHAnsi"/>
              </w:rPr>
            </w:pPr>
            <w:r w:rsidRPr="00E20618">
              <w:rPr>
                <w:rFonts w:cstheme="minorHAnsi"/>
              </w:rPr>
              <w:t>582</w:t>
            </w:r>
          </w:p>
        </w:tc>
        <w:tc>
          <w:tcPr>
            <w:tcW w:w="996" w:type="dxa"/>
            <w:tcBorders>
              <w:top w:val="nil"/>
              <w:left w:val="nil"/>
              <w:bottom w:val="nil"/>
              <w:right w:val="nil"/>
            </w:tcBorders>
          </w:tcPr>
          <w:p w14:paraId="57DFC597" w14:textId="568CD676" w:rsidR="003F4980" w:rsidRPr="00E20618" w:rsidRDefault="003F4980" w:rsidP="000649FA">
            <w:pPr>
              <w:pStyle w:val="TableTextLeft"/>
              <w:jc w:val="right"/>
              <w:rPr>
                <w:rFonts w:cstheme="minorHAnsi"/>
              </w:rPr>
            </w:pPr>
            <w:r w:rsidRPr="00E20618">
              <w:rPr>
                <w:rFonts w:cstheme="minorHAnsi"/>
              </w:rPr>
              <w:t>588</w:t>
            </w:r>
          </w:p>
        </w:tc>
        <w:tc>
          <w:tcPr>
            <w:tcW w:w="996" w:type="dxa"/>
            <w:tcBorders>
              <w:top w:val="nil"/>
              <w:left w:val="nil"/>
              <w:bottom w:val="nil"/>
              <w:right w:val="single" w:sz="4" w:space="0" w:color="auto"/>
            </w:tcBorders>
          </w:tcPr>
          <w:p w14:paraId="3EAC246C" w14:textId="187CA2D9" w:rsidR="003F4980" w:rsidRPr="00E20618" w:rsidRDefault="003F4980" w:rsidP="000649FA">
            <w:pPr>
              <w:pStyle w:val="TableTextLeft"/>
              <w:jc w:val="right"/>
              <w:rPr>
                <w:rFonts w:cstheme="minorHAnsi"/>
              </w:rPr>
            </w:pPr>
            <w:r w:rsidRPr="00E20618">
              <w:rPr>
                <w:rFonts w:cstheme="minorHAnsi"/>
              </w:rPr>
              <w:t>595</w:t>
            </w:r>
          </w:p>
        </w:tc>
        <w:tc>
          <w:tcPr>
            <w:tcW w:w="996" w:type="dxa"/>
            <w:tcBorders>
              <w:top w:val="nil"/>
              <w:left w:val="single" w:sz="4" w:space="0" w:color="auto"/>
              <w:bottom w:val="nil"/>
              <w:right w:val="nil"/>
            </w:tcBorders>
          </w:tcPr>
          <w:p w14:paraId="6CFE12A8" w14:textId="4DBB21D1" w:rsidR="003F4980" w:rsidRPr="00E20618" w:rsidRDefault="003F4980" w:rsidP="000649FA">
            <w:pPr>
              <w:pStyle w:val="TableTextLeft"/>
              <w:jc w:val="right"/>
              <w:rPr>
                <w:rFonts w:cstheme="minorHAnsi"/>
              </w:rPr>
            </w:pPr>
            <w:r w:rsidRPr="00E20618">
              <w:rPr>
                <w:rFonts w:cstheme="minorHAnsi"/>
              </w:rPr>
              <w:t>646</w:t>
            </w:r>
          </w:p>
        </w:tc>
      </w:tr>
      <w:tr w:rsidR="003F4980" w:rsidRPr="00485E58" w14:paraId="633E75CB" w14:textId="77777777" w:rsidTr="00854EAB">
        <w:tc>
          <w:tcPr>
            <w:tcW w:w="3096" w:type="dxa"/>
          </w:tcPr>
          <w:p w14:paraId="34C1E911"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0E16F8A9" w14:textId="5840748F" w:rsidR="003F4980" w:rsidRPr="00E20618" w:rsidRDefault="003F4980" w:rsidP="000649FA">
            <w:pPr>
              <w:pStyle w:val="TableTextLeft"/>
              <w:jc w:val="right"/>
              <w:rPr>
                <w:rFonts w:cstheme="minorHAnsi"/>
              </w:rPr>
            </w:pPr>
            <w:r w:rsidRPr="00E20618">
              <w:rPr>
                <w:rFonts w:cstheme="minorHAnsi"/>
              </w:rPr>
              <w:t>251</w:t>
            </w:r>
          </w:p>
        </w:tc>
        <w:tc>
          <w:tcPr>
            <w:tcW w:w="996" w:type="dxa"/>
            <w:tcBorders>
              <w:top w:val="nil"/>
              <w:left w:val="nil"/>
              <w:bottom w:val="nil"/>
              <w:right w:val="nil"/>
            </w:tcBorders>
            <w:shd w:val="clear" w:color="auto" w:fill="D2EDFF" w:themeFill="accent1" w:themeFillTint="1A"/>
          </w:tcPr>
          <w:p w14:paraId="224E29D0" w14:textId="7D47A96F" w:rsidR="003F4980" w:rsidRPr="00E20618" w:rsidRDefault="003F4980" w:rsidP="000649FA">
            <w:pPr>
              <w:pStyle w:val="TableTextLeft"/>
              <w:jc w:val="right"/>
              <w:rPr>
                <w:rFonts w:cstheme="minorHAnsi"/>
              </w:rPr>
            </w:pPr>
            <w:r w:rsidRPr="00E20618">
              <w:rPr>
                <w:rFonts w:cstheme="minorHAnsi"/>
              </w:rPr>
              <w:t>254</w:t>
            </w:r>
          </w:p>
        </w:tc>
        <w:tc>
          <w:tcPr>
            <w:tcW w:w="996" w:type="dxa"/>
            <w:tcBorders>
              <w:top w:val="nil"/>
              <w:left w:val="nil"/>
              <w:bottom w:val="nil"/>
              <w:right w:val="nil"/>
            </w:tcBorders>
          </w:tcPr>
          <w:p w14:paraId="2BA6CFCE" w14:textId="368F3CA7" w:rsidR="003F4980" w:rsidRPr="00E20618" w:rsidRDefault="003F4980" w:rsidP="000649FA">
            <w:pPr>
              <w:pStyle w:val="TableTextLeft"/>
              <w:jc w:val="right"/>
              <w:rPr>
                <w:rFonts w:cstheme="minorHAnsi"/>
              </w:rPr>
            </w:pPr>
            <w:r w:rsidRPr="00E20618">
              <w:rPr>
                <w:rFonts w:cstheme="minorHAnsi"/>
              </w:rPr>
              <w:t>258</w:t>
            </w:r>
          </w:p>
        </w:tc>
        <w:tc>
          <w:tcPr>
            <w:tcW w:w="996" w:type="dxa"/>
            <w:tcBorders>
              <w:top w:val="nil"/>
              <w:left w:val="nil"/>
              <w:bottom w:val="nil"/>
              <w:right w:val="nil"/>
            </w:tcBorders>
          </w:tcPr>
          <w:p w14:paraId="397ED100" w14:textId="6D051583" w:rsidR="003F4980" w:rsidRPr="00E20618" w:rsidRDefault="003F4980" w:rsidP="000649FA">
            <w:pPr>
              <w:pStyle w:val="TableTextLeft"/>
              <w:jc w:val="right"/>
              <w:rPr>
                <w:rFonts w:cstheme="minorHAnsi"/>
              </w:rPr>
            </w:pPr>
            <w:r w:rsidRPr="00E20618">
              <w:rPr>
                <w:rFonts w:cstheme="minorHAnsi"/>
              </w:rPr>
              <w:t>262</w:t>
            </w:r>
          </w:p>
        </w:tc>
        <w:tc>
          <w:tcPr>
            <w:tcW w:w="996" w:type="dxa"/>
            <w:tcBorders>
              <w:top w:val="nil"/>
              <w:left w:val="nil"/>
              <w:bottom w:val="nil"/>
              <w:right w:val="single" w:sz="4" w:space="0" w:color="auto"/>
            </w:tcBorders>
          </w:tcPr>
          <w:p w14:paraId="5124CB8F" w14:textId="52B2142F" w:rsidR="003F4980" w:rsidRPr="00E20618" w:rsidRDefault="003F4980" w:rsidP="000649FA">
            <w:pPr>
              <w:pStyle w:val="TableTextLeft"/>
              <w:jc w:val="right"/>
              <w:rPr>
                <w:rFonts w:cstheme="minorHAnsi"/>
              </w:rPr>
            </w:pPr>
            <w:r w:rsidRPr="00E20618">
              <w:rPr>
                <w:rFonts w:cstheme="minorHAnsi"/>
              </w:rPr>
              <w:t>266</w:t>
            </w:r>
          </w:p>
        </w:tc>
        <w:tc>
          <w:tcPr>
            <w:tcW w:w="996" w:type="dxa"/>
            <w:tcBorders>
              <w:top w:val="nil"/>
              <w:left w:val="single" w:sz="4" w:space="0" w:color="auto"/>
              <w:bottom w:val="nil"/>
              <w:right w:val="nil"/>
            </w:tcBorders>
          </w:tcPr>
          <w:p w14:paraId="0BA20FA2" w14:textId="3997D681" w:rsidR="003F4980" w:rsidRPr="00E20618" w:rsidRDefault="003F4980" w:rsidP="000649FA">
            <w:pPr>
              <w:pStyle w:val="TableTextLeft"/>
              <w:jc w:val="right"/>
              <w:rPr>
                <w:rFonts w:cstheme="minorHAnsi"/>
              </w:rPr>
            </w:pPr>
            <w:r w:rsidRPr="00E20618">
              <w:rPr>
                <w:rFonts w:cstheme="minorHAnsi"/>
              </w:rPr>
              <w:t>298</w:t>
            </w:r>
          </w:p>
        </w:tc>
      </w:tr>
      <w:tr w:rsidR="003F4980" w:rsidRPr="00485E58" w14:paraId="048E5B39" w14:textId="77777777" w:rsidTr="00854EAB">
        <w:tc>
          <w:tcPr>
            <w:tcW w:w="3096" w:type="dxa"/>
          </w:tcPr>
          <w:p w14:paraId="6E39D292"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B502579" w14:textId="3934B7CE" w:rsidR="003F4980" w:rsidRPr="00E20618" w:rsidRDefault="003F4980" w:rsidP="000649FA">
            <w:pPr>
              <w:pStyle w:val="TableTextLeft"/>
              <w:jc w:val="right"/>
              <w:rPr>
                <w:rFonts w:cstheme="minorHAnsi"/>
              </w:rPr>
            </w:pPr>
            <w:r w:rsidRPr="00E20618">
              <w:rPr>
                <w:rFonts w:cstheme="minorHAnsi"/>
              </w:rPr>
              <w:t>317</w:t>
            </w:r>
          </w:p>
        </w:tc>
        <w:tc>
          <w:tcPr>
            <w:tcW w:w="996" w:type="dxa"/>
            <w:tcBorders>
              <w:top w:val="nil"/>
              <w:left w:val="nil"/>
              <w:bottom w:val="nil"/>
              <w:right w:val="nil"/>
            </w:tcBorders>
            <w:shd w:val="clear" w:color="auto" w:fill="D2EDFF" w:themeFill="accent1" w:themeFillTint="1A"/>
          </w:tcPr>
          <w:p w14:paraId="0CBA654F" w14:textId="51E3730B" w:rsidR="003F4980" w:rsidRPr="00E20618" w:rsidRDefault="003F4980" w:rsidP="000649FA">
            <w:pPr>
              <w:pStyle w:val="TableTextLeft"/>
              <w:jc w:val="right"/>
              <w:rPr>
                <w:rFonts w:cstheme="minorHAnsi"/>
              </w:rPr>
            </w:pPr>
            <w:r w:rsidRPr="00E20618">
              <w:rPr>
                <w:rFonts w:cstheme="minorHAnsi"/>
              </w:rPr>
              <w:t>321</w:t>
            </w:r>
          </w:p>
        </w:tc>
        <w:tc>
          <w:tcPr>
            <w:tcW w:w="996" w:type="dxa"/>
            <w:tcBorders>
              <w:top w:val="nil"/>
              <w:left w:val="nil"/>
              <w:bottom w:val="nil"/>
              <w:right w:val="nil"/>
            </w:tcBorders>
          </w:tcPr>
          <w:p w14:paraId="65CD2CB6" w14:textId="19A21E9C" w:rsidR="003F4980" w:rsidRPr="00E20618" w:rsidRDefault="003F4980" w:rsidP="000649FA">
            <w:pPr>
              <w:pStyle w:val="TableTextLeft"/>
              <w:jc w:val="right"/>
              <w:rPr>
                <w:rFonts w:cstheme="minorHAnsi"/>
              </w:rPr>
            </w:pPr>
            <w:r w:rsidRPr="00E20618">
              <w:rPr>
                <w:rFonts w:cstheme="minorHAnsi"/>
              </w:rPr>
              <w:t>324</w:t>
            </w:r>
          </w:p>
        </w:tc>
        <w:tc>
          <w:tcPr>
            <w:tcW w:w="996" w:type="dxa"/>
            <w:tcBorders>
              <w:top w:val="nil"/>
              <w:left w:val="nil"/>
              <w:bottom w:val="nil"/>
              <w:right w:val="nil"/>
            </w:tcBorders>
          </w:tcPr>
          <w:p w14:paraId="0B3937FC" w14:textId="0444D91A" w:rsidR="003F4980" w:rsidRPr="00E20618" w:rsidRDefault="003F4980" w:rsidP="000649FA">
            <w:pPr>
              <w:pStyle w:val="TableTextLeft"/>
              <w:jc w:val="right"/>
              <w:rPr>
                <w:rFonts w:cstheme="minorHAnsi"/>
              </w:rPr>
            </w:pPr>
            <w:r w:rsidRPr="00E20618">
              <w:rPr>
                <w:rFonts w:cstheme="minorHAnsi"/>
              </w:rPr>
              <w:t>326</w:t>
            </w:r>
          </w:p>
        </w:tc>
        <w:tc>
          <w:tcPr>
            <w:tcW w:w="996" w:type="dxa"/>
            <w:tcBorders>
              <w:top w:val="nil"/>
              <w:left w:val="nil"/>
              <w:bottom w:val="nil"/>
              <w:right w:val="single" w:sz="4" w:space="0" w:color="auto"/>
            </w:tcBorders>
          </w:tcPr>
          <w:p w14:paraId="2D25674F" w14:textId="7C0AC867" w:rsidR="003F4980" w:rsidRPr="00E20618" w:rsidRDefault="003F4980" w:rsidP="000649FA">
            <w:pPr>
              <w:pStyle w:val="TableTextLeft"/>
              <w:jc w:val="right"/>
              <w:rPr>
                <w:rFonts w:cstheme="minorHAnsi"/>
              </w:rPr>
            </w:pPr>
            <w:r w:rsidRPr="00E20618">
              <w:rPr>
                <w:rFonts w:cstheme="minorHAnsi"/>
              </w:rPr>
              <w:t>328</w:t>
            </w:r>
          </w:p>
        </w:tc>
        <w:tc>
          <w:tcPr>
            <w:tcW w:w="996" w:type="dxa"/>
            <w:tcBorders>
              <w:top w:val="nil"/>
              <w:left w:val="single" w:sz="4" w:space="0" w:color="auto"/>
              <w:bottom w:val="nil"/>
              <w:right w:val="nil"/>
            </w:tcBorders>
          </w:tcPr>
          <w:p w14:paraId="0EF91459" w14:textId="3F00C149" w:rsidR="003F4980" w:rsidRPr="00E20618" w:rsidRDefault="003F4980" w:rsidP="000649FA">
            <w:pPr>
              <w:pStyle w:val="TableTextLeft"/>
              <w:jc w:val="right"/>
              <w:rPr>
                <w:rFonts w:cstheme="minorHAnsi"/>
              </w:rPr>
            </w:pPr>
            <w:r w:rsidRPr="00E20618">
              <w:rPr>
                <w:rFonts w:cstheme="minorHAnsi"/>
              </w:rPr>
              <w:t>348</w:t>
            </w:r>
          </w:p>
        </w:tc>
      </w:tr>
      <w:tr w:rsidR="003F4980" w:rsidRPr="00485E58" w14:paraId="041C096C" w14:textId="77777777" w:rsidTr="00854EAB">
        <w:tc>
          <w:tcPr>
            <w:tcW w:w="3096" w:type="dxa"/>
          </w:tcPr>
          <w:p w14:paraId="644E58B8"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2CAE81D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DB78CF0"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45A6B4BE"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770C9E5"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2CFE2D1C"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2E1559A0" w14:textId="77777777" w:rsidR="003F4980" w:rsidRPr="00E20618" w:rsidRDefault="003F4980" w:rsidP="000649FA">
            <w:pPr>
              <w:pStyle w:val="TableTextLeft"/>
              <w:jc w:val="right"/>
              <w:rPr>
                <w:rFonts w:cstheme="minorHAnsi"/>
              </w:rPr>
            </w:pPr>
          </w:p>
        </w:tc>
      </w:tr>
      <w:tr w:rsidR="003F4980" w:rsidRPr="00485E58" w14:paraId="5C6A06E0" w14:textId="77777777" w:rsidTr="00854EAB">
        <w:tc>
          <w:tcPr>
            <w:tcW w:w="3096" w:type="dxa"/>
          </w:tcPr>
          <w:p w14:paraId="42A233D9"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63ABEDD6" w14:textId="7EBE7260"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5D01B0F" w14:textId="3182DD49"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nil"/>
              <w:bottom w:val="nil"/>
              <w:right w:val="nil"/>
            </w:tcBorders>
          </w:tcPr>
          <w:p w14:paraId="2BAAF301" w14:textId="590594B7"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nil"/>
            </w:tcBorders>
          </w:tcPr>
          <w:p w14:paraId="58393E0F" w14:textId="65645F32"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nil"/>
              <w:bottom w:val="nil"/>
              <w:right w:val="single" w:sz="4" w:space="0" w:color="auto"/>
            </w:tcBorders>
          </w:tcPr>
          <w:p w14:paraId="270EB758" w14:textId="1257CEA7"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single" w:sz="4" w:space="0" w:color="auto"/>
              <w:bottom w:val="nil"/>
              <w:right w:val="nil"/>
            </w:tcBorders>
          </w:tcPr>
          <w:p w14:paraId="7A9C620A" w14:textId="7E49E306" w:rsidR="003F4980" w:rsidRPr="00E20618" w:rsidRDefault="003F4980" w:rsidP="000649FA">
            <w:pPr>
              <w:pStyle w:val="TableTextLeft"/>
              <w:jc w:val="right"/>
              <w:rPr>
                <w:rFonts w:cstheme="minorHAnsi"/>
              </w:rPr>
            </w:pPr>
            <w:r w:rsidRPr="00E20618">
              <w:rPr>
                <w:rFonts w:cstheme="minorHAnsi"/>
              </w:rPr>
              <w:t>1</w:t>
            </w:r>
          </w:p>
        </w:tc>
      </w:tr>
      <w:tr w:rsidR="003F4980" w:rsidRPr="00485E58" w14:paraId="688E3CE5" w14:textId="77777777" w:rsidTr="00854EAB">
        <w:tc>
          <w:tcPr>
            <w:tcW w:w="3096" w:type="dxa"/>
          </w:tcPr>
          <w:p w14:paraId="6A96B948"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334EED4D" w14:textId="0EA76438"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nil"/>
              <w:bottom w:val="nil"/>
              <w:right w:val="nil"/>
            </w:tcBorders>
            <w:shd w:val="clear" w:color="auto" w:fill="D2EDFF" w:themeFill="accent1" w:themeFillTint="1A"/>
          </w:tcPr>
          <w:p w14:paraId="75F27D42" w14:textId="43873FB9"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72BC4875" w14:textId="5DB64303"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tcPr>
          <w:p w14:paraId="3C349788" w14:textId="0D67FEE3"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48A60CF4" w14:textId="3CE3F12B"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single" w:sz="4" w:space="0" w:color="auto"/>
              <w:bottom w:val="nil"/>
              <w:right w:val="nil"/>
            </w:tcBorders>
          </w:tcPr>
          <w:p w14:paraId="254BD099" w14:textId="328D168B" w:rsidR="003F4980" w:rsidRPr="00E20618" w:rsidRDefault="003F4980" w:rsidP="000649FA">
            <w:pPr>
              <w:pStyle w:val="TableTextLeft"/>
              <w:jc w:val="right"/>
              <w:rPr>
                <w:rFonts w:cstheme="minorHAnsi"/>
              </w:rPr>
            </w:pPr>
            <w:r w:rsidRPr="00E20618">
              <w:rPr>
                <w:rFonts w:cstheme="minorHAnsi"/>
              </w:rPr>
              <w:t>1.3</w:t>
            </w:r>
          </w:p>
        </w:tc>
      </w:tr>
      <w:tr w:rsidR="003F4980" w:rsidRPr="00485E58" w14:paraId="116BFACA" w14:textId="77777777" w:rsidTr="00854EAB">
        <w:tc>
          <w:tcPr>
            <w:tcW w:w="3096" w:type="dxa"/>
          </w:tcPr>
          <w:p w14:paraId="33C309B0"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5C577F60" w14:textId="39A9F6DD"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23BE68EF" w14:textId="183D5FF5"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tcPr>
          <w:p w14:paraId="5ACC513E" w14:textId="094CA2EE" w:rsidR="003F4980" w:rsidRPr="00E20618" w:rsidRDefault="003F4980" w:rsidP="000649FA">
            <w:pPr>
              <w:pStyle w:val="TableTextLeft"/>
              <w:jc w:val="right"/>
              <w:rPr>
                <w:rFonts w:cstheme="minorHAnsi"/>
              </w:rPr>
            </w:pPr>
            <w:r w:rsidRPr="00E20618">
              <w:rPr>
                <w:rFonts w:cstheme="minorHAnsi"/>
              </w:rPr>
              <w:t>0.9</w:t>
            </w:r>
          </w:p>
        </w:tc>
        <w:tc>
          <w:tcPr>
            <w:tcW w:w="996" w:type="dxa"/>
            <w:tcBorders>
              <w:top w:val="nil"/>
              <w:left w:val="nil"/>
              <w:bottom w:val="nil"/>
              <w:right w:val="nil"/>
            </w:tcBorders>
          </w:tcPr>
          <w:p w14:paraId="6B55AF1B" w14:textId="67F9C7FF"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single" w:sz="4" w:space="0" w:color="auto"/>
            </w:tcBorders>
          </w:tcPr>
          <w:p w14:paraId="512B9B1D" w14:textId="1786CCCD"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single" w:sz="4" w:space="0" w:color="auto"/>
              <w:bottom w:val="nil"/>
              <w:right w:val="nil"/>
            </w:tcBorders>
          </w:tcPr>
          <w:p w14:paraId="10EA8E91" w14:textId="2092A130" w:rsidR="003F4980" w:rsidRPr="00E20618" w:rsidRDefault="003F4980" w:rsidP="000649FA">
            <w:pPr>
              <w:pStyle w:val="TableTextLeft"/>
              <w:jc w:val="right"/>
              <w:rPr>
                <w:rFonts w:cstheme="minorHAnsi"/>
              </w:rPr>
            </w:pPr>
            <w:r w:rsidRPr="00E20618">
              <w:rPr>
                <w:rFonts w:cstheme="minorHAnsi"/>
              </w:rPr>
              <w:t>0.7</w:t>
            </w:r>
          </w:p>
        </w:tc>
      </w:tr>
      <w:tr w:rsidR="003F4980" w:rsidRPr="00485E58" w14:paraId="4BAD1439" w14:textId="77777777" w:rsidTr="00854EAB">
        <w:tc>
          <w:tcPr>
            <w:tcW w:w="3096" w:type="dxa"/>
          </w:tcPr>
          <w:p w14:paraId="7680CE01"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466BE62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34699F0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3063A6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30FBC5CE"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45E04CB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48ED1E38" w14:textId="77777777" w:rsidR="003F4980" w:rsidRPr="00E20618" w:rsidRDefault="003F4980" w:rsidP="000649FA">
            <w:pPr>
              <w:pStyle w:val="TableTextLeft"/>
              <w:jc w:val="right"/>
              <w:rPr>
                <w:rFonts w:cstheme="minorHAnsi"/>
              </w:rPr>
            </w:pPr>
          </w:p>
        </w:tc>
      </w:tr>
      <w:tr w:rsidR="003F4980" w:rsidRPr="00485E58" w14:paraId="1C81FB0C" w14:textId="77777777" w:rsidTr="00854EAB">
        <w:tc>
          <w:tcPr>
            <w:tcW w:w="3096" w:type="dxa"/>
          </w:tcPr>
          <w:p w14:paraId="49EDAC4B"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3DF78E11" w14:textId="5BD1368D" w:rsidR="003F4980" w:rsidRPr="00E20618" w:rsidRDefault="003F4980" w:rsidP="000649FA">
            <w:pPr>
              <w:pStyle w:val="TableTextLeft"/>
              <w:jc w:val="right"/>
              <w:rPr>
                <w:rFonts w:cstheme="minorHAnsi"/>
              </w:rPr>
            </w:pPr>
            <w:r w:rsidRPr="00E20618">
              <w:rPr>
                <w:rFonts w:cstheme="minorHAnsi"/>
              </w:rPr>
              <w:t>4.4</w:t>
            </w:r>
          </w:p>
        </w:tc>
        <w:tc>
          <w:tcPr>
            <w:tcW w:w="996" w:type="dxa"/>
            <w:tcBorders>
              <w:top w:val="nil"/>
              <w:left w:val="nil"/>
              <w:bottom w:val="nil"/>
              <w:right w:val="nil"/>
            </w:tcBorders>
            <w:shd w:val="clear" w:color="auto" w:fill="D2EDFF" w:themeFill="accent1" w:themeFillTint="1A"/>
          </w:tcPr>
          <w:p w14:paraId="5D11ED54" w14:textId="5C8D95A6" w:rsidR="003F4980" w:rsidRPr="00E20618" w:rsidRDefault="003F4980" w:rsidP="000649FA">
            <w:pPr>
              <w:pStyle w:val="TableTextLeft"/>
              <w:jc w:val="right"/>
              <w:rPr>
                <w:rFonts w:cstheme="minorHAnsi"/>
              </w:rPr>
            </w:pPr>
            <w:r w:rsidRPr="00E20618">
              <w:rPr>
                <w:rFonts w:cstheme="minorHAnsi"/>
              </w:rPr>
              <w:t>7.2</w:t>
            </w:r>
          </w:p>
        </w:tc>
        <w:tc>
          <w:tcPr>
            <w:tcW w:w="996" w:type="dxa"/>
            <w:tcBorders>
              <w:top w:val="nil"/>
              <w:left w:val="nil"/>
              <w:bottom w:val="nil"/>
              <w:right w:val="nil"/>
            </w:tcBorders>
          </w:tcPr>
          <w:p w14:paraId="13CA907A" w14:textId="71178EE2" w:rsidR="003F4980" w:rsidRPr="00E20618" w:rsidRDefault="003F4980" w:rsidP="000649FA">
            <w:pPr>
              <w:pStyle w:val="TableTextLeft"/>
              <w:jc w:val="right"/>
              <w:rPr>
                <w:rFonts w:cstheme="minorHAnsi"/>
              </w:rPr>
            </w:pPr>
            <w:r w:rsidRPr="00E20618">
              <w:rPr>
                <w:rFonts w:cstheme="minorHAnsi"/>
              </w:rPr>
              <w:t>6.5</w:t>
            </w:r>
          </w:p>
        </w:tc>
        <w:tc>
          <w:tcPr>
            <w:tcW w:w="996" w:type="dxa"/>
            <w:tcBorders>
              <w:top w:val="nil"/>
              <w:left w:val="nil"/>
              <w:bottom w:val="nil"/>
              <w:right w:val="nil"/>
            </w:tcBorders>
          </w:tcPr>
          <w:p w14:paraId="5D154D71" w14:textId="0FBE393A" w:rsidR="003F4980" w:rsidRPr="00E20618" w:rsidRDefault="003F4980" w:rsidP="000649FA">
            <w:pPr>
              <w:pStyle w:val="TableTextLeft"/>
              <w:jc w:val="right"/>
              <w:rPr>
                <w:rFonts w:cstheme="minorHAnsi"/>
              </w:rPr>
            </w:pPr>
            <w:r w:rsidRPr="00E20618">
              <w:rPr>
                <w:rFonts w:cstheme="minorHAnsi"/>
              </w:rPr>
              <w:t>6.4</w:t>
            </w:r>
          </w:p>
        </w:tc>
        <w:tc>
          <w:tcPr>
            <w:tcW w:w="996" w:type="dxa"/>
            <w:tcBorders>
              <w:top w:val="nil"/>
              <w:left w:val="nil"/>
              <w:bottom w:val="nil"/>
              <w:right w:val="single" w:sz="4" w:space="0" w:color="auto"/>
            </w:tcBorders>
          </w:tcPr>
          <w:p w14:paraId="1548DFF0" w14:textId="72937D01" w:rsidR="003F4980" w:rsidRPr="00E20618" w:rsidRDefault="003F4980" w:rsidP="000649FA">
            <w:pPr>
              <w:pStyle w:val="TableTextLeft"/>
              <w:jc w:val="right"/>
              <w:rPr>
                <w:rFonts w:cstheme="minorHAnsi"/>
              </w:rPr>
            </w:pPr>
            <w:r w:rsidRPr="00E20618">
              <w:rPr>
                <w:rFonts w:cstheme="minorHAnsi"/>
              </w:rPr>
              <w:t>6.8</w:t>
            </w:r>
          </w:p>
        </w:tc>
        <w:tc>
          <w:tcPr>
            <w:tcW w:w="996" w:type="dxa"/>
            <w:tcBorders>
              <w:top w:val="nil"/>
              <w:left w:val="single" w:sz="4" w:space="0" w:color="auto"/>
              <w:bottom w:val="nil"/>
              <w:right w:val="nil"/>
            </w:tcBorders>
          </w:tcPr>
          <w:p w14:paraId="27C3C5A4" w14:textId="7A34126E" w:rsidR="003F4980" w:rsidRPr="00E20618" w:rsidRDefault="003F4980" w:rsidP="000649FA">
            <w:pPr>
              <w:pStyle w:val="TableTextLeft"/>
              <w:jc w:val="right"/>
              <w:rPr>
                <w:rFonts w:cstheme="minorHAnsi"/>
              </w:rPr>
            </w:pPr>
            <w:r w:rsidRPr="00E20618">
              <w:rPr>
                <w:rFonts w:cstheme="minorHAnsi"/>
              </w:rPr>
              <w:t>6.2</w:t>
            </w:r>
          </w:p>
        </w:tc>
      </w:tr>
      <w:tr w:rsidR="003F4980" w:rsidRPr="00485E58" w14:paraId="2A54A8D1" w14:textId="77777777" w:rsidTr="00854EAB">
        <w:tc>
          <w:tcPr>
            <w:tcW w:w="3096" w:type="dxa"/>
          </w:tcPr>
          <w:p w14:paraId="4188C65D"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372EB0CE" w14:textId="2407917E" w:rsidR="003F4980" w:rsidRPr="00E20618" w:rsidRDefault="003F4980" w:rsidP="000649FA">
            <w:pPr>
              <w:pStyle w:val="TableTextLeft"/>
              <w:jc w:val="right"/>
              <w:rPr>
                <w:rFonts w:cstheme="minorHAnsi"/>
              </w:rPr>
            </w:pPr>
            <w:r w:rsidRPr="00E20618">
              <w:rPr>
                <w:rFonts w:cstheme="minorHAnsi"/>
              </w:rPr>
              <w:t>1.5</w:t>
            </w:r>
          </w:p>
        </w:tc>
        <w:tc>
          <w:tcPr>
            <w:tcW w:w="996" w:type="dxa"/>
            <w:tcBorders>
              <w:top w:val="nil"/>
              <w:left w:val="nil"/>
              <w:bottom w:val="nil"/>
              <w:right w:val="nil"/>
            </w:tcBorders>
            <w:shd w:val="clear" w:color="auto" w:fill="D2EDFF" w:themeFill="accent1" w:themeFillTint="1A"/>
          </w:tcPr>
          <w:p w14:paraId="1541B292" w14:textId="3623F1FB" w:rsidR="003F4980" w:rsidRPr="00E20618" w:rsidRDefault="003F4980" w:rsidP="000649FA">
            <w:pPr>
              <w:pStyle w:val="TableTextLeft"/>
              <w:jc w:val="right"/>
              <w:rPr>
                <w:rFonts w:cstheme="minorHAnsi"/>
              </w:rPr>
            </w:pPr>
            <w:r w:rsidRPr="00E20618">
              <w:rPr>
                <w:rFonts w:cstheme="minorHAnsi"/>
              </w:rPr>
              <w:t>3.4</w:t>
            </w:r>
          </w:p>
        </w:tc>
        <w:tc>
          <w:tcPr>
            <w:tcW w:w="996" w:type="dxa"/>
            <w:tcBorders>
              <w:top w:val="nil"/>
              <w:left w:val="nil"/>
              <w:bottom w:val="nil"/>
              <w:right w:val="nil"/>
            </w:tcBorders>
          </w:tcPr>
          <w:p w14:paraId="146C3574" w14:textId="53B69169"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nil"/>
            </w:tcBorders>
          </w:tcPr>
          <w:p w14:paraId="164B4F47" w14:textId="689586FF" w:rsidR="003F4980" w:rsidRPr="00E20618" w:rsidRDefault="003F4980" w:rsidP="000649FA">
            <w:pPr>
              <w:pStyle w:val="TableTextLeft"/>
              <w:jc w:val="right"/>
              <w:rPr>
                <w:rFonts w:cstheme="minorHAnsi"/>
              </w:rPr>
            </w:pPr>
            <w:r w:rsidRPr="00E20618">
              <w:rPr>
                <w:rFonts w:cstheme="minorHAnsi"/>
              </w:rPr>
              <w:t>4.1</w:t>
            </w:r>
          </w:p>
        </w:tc>
        <w:tc>
          <w:tcPr>
            <w:tcW w:w="996" w:type="dxa"/>
            <w:tcBorders>
              <w:top w:val="nil"/>
              <w:left w:val="nil"/>
              <w:bottom w:val="nil"/>
              <w:right w:val="single" w:sz="4" w:space="0" w:color="auto"/>
            </w:tcBorders>
          </w:tcPr>
          <w:p w14:paraId="622D09BE" w14:textId="0FB5D996" w:rsidR="003F4980" w:rsidRPr="00E20618" w:rsidRDefault="003F4980" w:rsidP="000649FA">
            <w:pPr>
              <w:pStyle w:val="TableTextLeft"/>
              <w:jc w:val="right"/>
              <w:rPr>
                <w:rFonts w:cstheme="minorHAnsi"/>
              </w:rPr>
            </w:pPr>
            <w:r w:rsidRPr="00E20618">
              <w:rPr>
                <w:rFonts w:cstheme="minorHAnsi"/>
              </w:rPr>
              <w:t>4.3</w:t>
            </w:r>
          </w:p>
        </w:tc>
        <w:tc>
          <w:tcPr>
            <w:tcW w:w="996" w:type="dxa"/>
            <w:tcBorders>
              <w:top w:val="nil"/>
              <w:left w:val="single" w:sz="4" w:space="0" w:color="auto"/>
              <w:bottom w:val="nil"/>
              <w:right w:val="nil"/>
            </w:tcBorders>
          </w:tcPr>
          <w:p w14:paraId="74DBABA4" w14:textId="2E1F5035" w:rsidR="003F4980" w:rsidRPr="00E20618" w:rsidRDefault="003F4980" w:rsidP="000649FA">
            <w:pPr>
              <w:pStyle w:val="TableTextLeft"/>
              <w:jc w:val="right"/>
              <w:rPr>
                <w:rFonts w:cstheme="minorHAnsi"/>
              </w:rPr>
            </w:pPr>
            <w:r w:rsidRPr="00E20618">
              <w:rPr>
                <w:rFonts w:cstheme="minorHAnsi"/>
              </w:rPr>
              <w:t>3.7</w:t>
            </w:r>
          </w:p>
        </w:tc>
      </w:tr>
      <w:tr w:rsidR="003F4980" w:rsidRPr="00485E58" w14:paraId="5191AAAF" w14:textId="77777777" w:rsidTr="00854EAB">
        <w:tc>
          <w:tcPr>
            <w:tcW w:w="3096" w:type="dxa"/>
            <w:tcBorders>
              <w:bottom w:val="single" w:sz="4" w:space="0" w:color="auto"/>
            </w:tcBorders>
          </w:tcPr>
          <w:p w14:paraId="0CDD25AF"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1AFB5031" w14:textId="08C5832B" w:rsidR="003F4980" w:rsidRPr="00E20618" w:rsidRDefault="003F4980" w:rsidP="000649FA">
            <w:pPr>
              <w:pStyle w:val="TableTextLeft"/>
              <w:jc w:val="right"/>
              <w:rPr>
                <w:rFonts w:cstheme="minorHAnsi"/>
              </w:rPr>
            </w:pPr>
            <w:r w:rsidRPr="00E20618">
              <w:rPr>
                <w:rFonts w:cstheme="minorHAnsi"/>
              </w:rPr>
              <w:t>2.9</w:t>
            </w:r>
          </w:p>
        </w:tc>
        <w:tc>
          <w:tcPr>
            <w:tcW w:w="996" w:type="dxa"/>
            <w:tcBorders>
              <w:top w:val="nil"/>
              <w:left w:val="nil"/>
              <w:bottom w:val="single" w:sz="4" w:space="0" w:color="auto"/>
              <w:right w:val="nil"/>
            </w:tcBorders>
            <w:shd w:val="clear" w:color="auto" w:fill="D2EDFF" w:themeFill="accent1" w:themeFillTint="1A"/>
          </w:tcPr>
          <w:p w14:paraId="36402252" w14:textId="387F2892" w:rsidR="003F4980" w:rsidRPr="00E20618" w:rsidRDefault="003F4980" w:rsidP="000649FA">
            <w:pPr>
              <w:pStyle w:val="TableTextLeft"/>
              <w:jc w:val="right"/>
              <w:rPr>
                <w:rFonts w:cstheme="minorHAnsi"/>
              </w:rPr>
            </w:pPr>
            <w:r w:rsidRPr="00E20618">
              <w:rPr>
                <w:rFonts w:cstheme="minorHAnsi"/>
              </w:rPr>
              <w:t>3.8</w:t>
            </w:r>
          </w:p>
        </w:tc>
        <w:tc>
          <w:tcPr>
            <w:tcW w:w="996" w:type="dxa"/>
            <w:tcBorders>
              <w:top w:val="nil"/>
              <w:left w:val="nil"/>
              <w:bottom w:val="single" w:sz="4" w:space="0" w:color="auto"/>
              <w:right w:val="nil"/>
            </w:tcBorders>
          </w:tcPr>
          <w:p w14:paraId="5571784F" w14:textId="30C28A97" w:rsidR="003F4980" w:rsidRPr="00E20618" w:rsidRDefault="003F4980" w:rsidP="000649FA">
            <w:pPr>
              <w:pStyle w:val="TableTextLeft"/>
              <w:jc w:val="right"/>
              <w:rPr>
                <w:rFonts w:cstheme="minorHAnsi"/>
              </w:rPr>
            </w:pPr>
            <w:r w:rsidRPr="00E20618">
              <w:rPr>
                <w:rFonts w:cstheme="minorHAnsi"/>
              </w:rPr>
              <w:t>2.8</w:t>
            </w:r>
          </w:p>
        </w:tc>
        <w:tc>
          <w:tcPr>
            <w:tcW w:w="996" w:type="dxa"/>
            <w:tcBorders>
              <w:top w:val="nil"/>
              <w:left w:val="nil"/>
              <w:bottom w:val="single" w:sz="4" w:space="0" w:color="auto"/>
              <w:right w:val="nil"/>
            </w:tcBorders>
          </w:tcPr>
          <w:p w14:paraId="7D214457" w14:textId="150FEC28" w:rsidR="003F4980" w:rsidRPr="00E20618" w:rsidRDefault="003F4980" w:rsidP="000649FA">
            <w:pPr>
              <w:pStyle w:val="TableTextLeft"/>
              <w:jc w:val="right"/>
              <w:rPr>
                <w:rFonts w:cstheme="minorHAnsi"/>
              </w:rPr>
            </w:pPr>
            <w:r w:rsidRPr="00E20618">
              <w:rPr>
                <w:rFonts w:cstheme="minorHAnsi"/>
              </w:rPr>
              <w:t>2.3</w:t>
            </w:r>
          </w:p>
        </w:tc>
        <w:tc>
          <w:tcPr>
            <w:tcW w:w="996" w:type="dxa"/>
            <w:tcBorders>
              <w:top w:val="nil"/>
              <w:left w:val="nil"/>
              <w:bottom w:val="single" w:sz="4" w:space="0" w:color="auto"/>
              <w:right w:val="single" w:sz="4" w:space="0" w:color="auto"/>
            </w:tcBorders>
          </w:tcPr>
          <w:p w14:paraId="0047AF0D" w14:textId="18CD4422" w:rsidR="003F4980" w:rsidRPr="00E20618" w:rsidRDefault="003F4980" w:rsidP="000649FA">
            <w:pPr>
              <w:pStyle w:val="TableTextLeft"/>
              <w:jc w:val="right"/>
              <w:rPr>
                <w:rFonts w:cstheme="minorHAnsi"/>
              </w:rPr>
            </w:pPr>
            <w:r w:rsidRPr="00E20618">
              <w:rPr>
                <w:rFonts w:cstheme="minorHAnsi"/>
              </w:rPr>
              <w:t>2.5</w:t>
            </w:r>
          </w:p>
        </w:tc>
        <w:tc>
          <w:tcPr>
            <w:tcW w:w="996" w:type="dxa"/>
            <w:tcBorders>
              <w:top w:val="nil"/>
              <w:left w:val="single" w:sz="4" w:space="0" w:color="auto"/>
              <w:bottom w:val="single" w:sz="4" w:space="0" w:color="auto"/>
              <w:right w:val="nil"/>
            </w:tcBorders>
          </w:tcPr>
          <w:p w14:paraId="5913397F" w14:textId="59161C3A" w:rsidR="003F4980" w:rsidRPr="00E20618" w:rsidRDefault="003F4980" w:rsidP="000649FA">
            <w:pPr>
              <w:pStyle w:val="TableTextLeft"/>
              <w:jc w:val="right"/>
              <w:rPr>
                <w:rFonts w:cstheme="minorHAnsi"/>
              </w:rPr>
            </w:pPr>
            <w:r w:rsidRPr="00E20618">
              <w:rPr>
                <w:rFonts w:cstheme="minorHAnsi"/>
              </w:rPr>
              <w:t>2.5</w:t>
            </w:r>
          </w:p>
        </w:tc>
      </w:tr>
      <w:tr w:rsidR="003F4980" w:rsidRPr="00485E58" w14:paraId="2EB20E1F" w14:textId="77777777" w:rsidTr="00854EAB">
        <w:tc>
          <w:tcPr>
            <w:tcW w:w="3096" w:type="dxa"/>
            <w:tcBorders>
              <w:top w:val="single" w:sz="4" w:space="0" w:color="auto"/>
              <w:bottom w:val="nil"/>
            </w:tcBorders>
          </w:tcPr>
          <w:p w14:paraId="5C4DD2DD" w14:textId="333EADB0"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309F5994"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6C3C4ED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60A88FC6"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3DA095D7"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54A13D0F"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48B04E20" w14:textId="77777777" w:rsidR="003F4980" w:rsidRPr="00E20618" w:rsidRDefault="003F4980" w:rsidP="000649FA">
            <w:pPr>
              <w:pStyle w:val="TableTextLeft"/>
              <w:jc w:val="right"/>
              <w:rPr>
                <w:rFonts w:cstheme="minorHAnsi"/>
              </w:rPr>
            </w:pPr>
          </w:p>
        </w:tc>
      </w:tr>
      <w:tr w:rsidR="003F4980" w:rsidRPr="00485E58" w14:paraId="10AD5BBD" w14:textId="77777777" w:rsidTr="00854EAB">
        <w:tc>
          <w:tcPr>
            <w:tcW w:w="3096" w:type="dxa"/>
            <w:tcBorders>
              <w:bottom w:val="nil"/>
            </w:tcBorders>
          </w:tcPr>
          <w:p w14:paraId="7FD495B2"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197FD716" w14:textId="51B87A0D"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nil"/>
            </w:tcBorders>
            <w:shd w:val="clear" w:color="auto" w:fill="D2EDFF" w:themeFill="accent1" w:themeFillTint="1A"/>
          </w:tcPr>
          <w:p w14:paraId="586B1F90" w14:textId="03750ED5"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20A6B679" w14:textId="301A6FF4"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36B30DA9" w14:textId="6983406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single" w:sz="4" w:space="0" w:color="auto"/>
            </w:tcBorders>
          </w:tcPr>
          <w:p w14:paraId="0E1FCDBC" w14:textId="7DE34E5F" w:rsidR="003F4980" w:rsidRPr="00E20618" w:rsidRDefault="003F4980" w:rsidP="000649FA">
            <w:pPr>
              <w:pStyle w:val="TableTextLeft"/>
              <w:jc w:val="right"/>
              <w:rPr>
                <w:rFonts w:cstheme="minorHAnsi"/>
              </w:rPr>
            </w:pPr>
            <w:r w:rsidRPr="00E20618">
              <w:rPr>
                <w:rFonts w:cstheme="minorHAnsi"/>
              </w:rPr>
              <w:t>1.3</w:t>
            </w:r>
          </w:p>
        </w:tc>
        <w:tc>
          <w:tcPr>
            <w:tcW w:w="996" w:type="dxa"/>
            <w:tcBorders>
              <w:top w:val="nil"/>
              <w:left w:val="single" w:sz="4" w:space="0" w:color="auto"/>
              <w:bottom w:val="nil"/>
              <w:right w:val="nil"/>
            </w:tcBorders>
          </w:tcPr>
          <w:p w14:paraId="752467C1" w14:textId="57AA57BF" w:rsidR="003F4980" w:rsidRPr="00E20618" w:rsidRDefault="003F4980" w:rsidP="000649FA">
            <w:pPr>
              <w:pStyle w:val="TableTextLeft"/>
              <w:jc w:val="right"/>
              <w:rPr>
                <w:rFonts w:cstheme="minorHAnsi"/>
              </w:rPr>
            </w:pPr>
            <w:r w:rsidRPr="00E20618">
              <w:rPr>
                <w:rFonts w:cstheme="minorHAnsi"/>
              </w:rPr>
              <w:t>0.1</w:t>
            </w:r>
          </w:p>
        </w:tc>
      </w:tr>
      <w:tr w:rsidR="003F4980" w:rsidRPr="00485E58" w14:paraId="0A6C565D" w14:textId="77777777" w:rsidTr="00854EAB">
        <w:tc>
          <w:tcPr>
            <w:tcW w:w="3096" w:type="dxa"/>
            <w:tcBorders>
              <w:bottom w:val="nil"/>
            </w:tcBorders>
          </w:tcPr>
          <w:p w14:paraId="65A5289E"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0C140FC4" w14:textId="216EE2BC"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nil"/>
              <w:right w:val="nil"/>
            </w:tcBorders>
            <w:shd w:val="clear" w:color="auto" w:fill="D2EDFF" w:themeFill="accent1" w:themeFillTint="1A"/>
          </w:tcPr>
          <w:p w14:paraId="78AD87EC" w14:textId="48CFA705"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34447201" w14:textId="04E860CE"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nil"/>
            </w:tcBorders>
          </w:tcPr>
          <w:p w14:paraId="40D66136" w14:textId="792EACC7" w:rsidR="003F4980" w:rsidRPr="00E20618" w:rsidRDefault="003F4980" w:rsidP="000649FA">
            <w:pPr>
              <w:pStyle w:val="TableTextLeft"/>
              <w:jc w:val="right"/>
              <w:rPr>
                <w:rFonts w:cstheme="minorHAnsi"/>
              </w:rPr>
            </w:pPr>
            <w:r w:rsidRPr="00E20618">
              <w:rPr>
                <w:rFonts w:cstheme="minorHAnsi"/>
              </w:rPr>
              <w:t>1.2</w:t>
            </w:r>
          </w:p>
        </w:tc>
        <w:tc>
          <w:tcPr>
            <w:tcW w:w="996" w:type="dxa"/>
            <w:tcBorders>
              <w:top w:val="nil"/>
              <w:left w:val="nil"/>
              <w:bottom w:val="nil"/>
              <w:right w:val="single" w:sz="4" w:space="0" w:color="auto"/>
            </w:tcBorders>
          </w:tcPr>
          <w:p w14:paraId="7B5C2E14" w14:textId="416767E2" w:rsidR="003F4980" w:rsidRPr="00E20618" w:rsidRDefault="003F4980" w:rsidP="000649FA">
            <w:pPr>
              <w:pStyle w:val="TableTextLeft"/>
              <w:jc w:val="right"/>
              <w:rPr>
                <w:rFonts w:cstheme="minorHAnsi"/>
              </w:rPr>
            </w:pPr>
            <w:r w:rsidRPr="00E20618">
              <w:rPr>
                <w:rFonts w:cstheme="minorHAnsi"/>
              </w:rPr>
              <w:t>1.1</w:t>
            </w:r>
          </w:p>
        </w:tc>
        <w:tc>
          <w:tcPr>
            <w:tcW w:w="996" w:type="dxa"/>
            <w:tcBorders>
              <w:top w:val="nil"/>
              <w:left w:val="single" w:sz="4" w:space="0" w:color="auto"/>
              <w:bottom w:val="nil"/>
              <w:right w:val="nil"/>
            </w:tcBorders>
          </w:tcPr>
          <w:p w14:paraId="1A60B0D3" w14:textId="75D8DA59" w:rsidR="003F4980" w:rsidRPr="00E20618" w:rsidRDefault="003F4980" w:rsidP="000649FA">
            <w:pPr>
              <w:pStyle w:val="TableTextLeft"/>
              <w:jc w:val="right"/>
              <w:rPr>
                <w:rFonts w:cstheme="minorHAnsi"/>
              </w:rPr>
            </w:pPr>
            <w:r w:rsidRPr="00E20618">
              <w:rPr>
                <w:rFonts w:cstheme="minorHAnsi"/>
              </w:rPr>
              <w:t>0.6</w:t>
            </w:r>
          </w:p>
        </w:tc>
      </w:tr>
      <w:tr w:rsidR="003F4980" w:rsidRPr="00485E58" w14:paraId="4AC5D37F" w14:textId="77777777" w:rsidTr="00854EAB">
        <w:tc>
          <w:tcPr>
            <w:tcW w:w="3096" w:type="dxa"/>
            <w:tcBorders>
              <w:bottom w:val="nil"/>
            </w:tcBorders>
          </w:tcPr>
          <w:p w14:paraId="7939DABD"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B898443" w14:textId="209239A1" w:rsidR="003F4980" w:rsidRPr="00E20618" w:rsidRDefault="003F4980" w:rsidP="000649FA">
            <w:pPr>
              <w:pStyle w:val="TableTextLeft"/>
              <w:jc w:val="right"/>
              <w:rPr>
                <w:rFonts w:cstheme="minorHAnsi"/>
              </w:rPr>
            </w:pPr>
            <w:r w:rsidRPr="00E20618">
              <w:rPr>
                <w:rFonts w:cstheme="minorHAnsi"/>
              </w:rPr>
              <w:t>0.4</w:t>
            </w:r>
          </w:p>
        </w:tc>
        <w:tc>
          <w:tcPr>
            <w:tcW w:w="996" w:type="dxa"/>
            <w:tcBorders>
              <w:top w:val="nil"/>
              <w:left w:val="nil"/>
              <w:bottom w:val="nil"/>
              <w:right w:val="nil"/>
            </w:tcBorders>
            <w:shd w:val="clear" w:color="auto" w:fill="D2EDFF" w:themeFill="accent1" w:themeFillTint="1A"/>
          </w:tcPr>
          <w:p w14:paraId="25A3E512" w14:textId="7D38585B"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tcPr>
          <w:p w14:paraId="1B979824" w14:textId="79031854"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tcPr>
          <w:p w14:paraId="21B46430" w14:textId="742E36F7" w:rsidR="003F4980" w:rsidRPr="00E20618" w:rsidRDefault="003F4980" w:rsidP="000649FA">
            <w:pPr>
              <w:pStyle w:val="TableTextLeft"/>
              <w:jc w:val="right"/>
              <w:rPr>
                <w:rFonts w:cstheme="minorHAnsi"/>
              </w:rPr>
            </w:pPr>
            <w:r w:rsidRPr="00E20618">
              <w:rPr>
                <w:rFonts w:cstheme="minorHAnsi"/>
              </w:rPr>
              <w:t>0.2</w:t>
            </w:r>
          </w:p>
        </w:tc>
        <w:tc>
          <w:tcPr>
            <w:tcW w:w="996" w:type="dxa"/>
            <w:tcBorders>
              <w:top w:val="nil"/>
              <w:left w:val="nil"/>
              <w:bottom w:val="nil"/>
              <w:right w:val="single" w:sz="4" w:space="0" w:color="auto"/>
            </w:tcBorders>
          </w:tcPr>
          <w:p w14:paraId="20744760" w14:textId="09E2B4EA" w:rsidR="003F4980" w:rsidRPr="00E20618" w:rsidRDefault="003F4980" w:rsidP="000649FA">
            <w:pPr>
              <w:pStyle w:val="TableTextLeft"/>
              <w:jc w:val="right"/>
              <w:rPr>
                <w:rFonts w:cstheme="minorHAnsi"/>
              </w:rPr>
            </w:pPr>
            <w:r w:rsidRPr="00E20618">
              <w:rPr>
                <w:rFonts w:cstheme="minorHAnsi"/>
              </w:rPr>
              <w:t>0.2</w:t>
            </w:r>
          </w:p>
        </w:tc>
        <w:tc>
          <w:tcPr>
            <w:tcW w:w="996" w:type="dxa"/>
            <w:tcBorders>
              <w:top w:val="nil"/>
              <w:left w:val="single" w:sz="4" w:space="0" w:color="auto"/>
              <w:bottom w:val="nil"/>
              <w:right w:val="nil"/>
            </w:tcBorders>
          </w:tcPr>
          <w:p w14:paraId="27E301B9" w14:textId="671AB6B3" w:rsidR="003F4980" w:rsidRPr="00E20618" w:rsidRDefault="00E20989" w:rsidP="000649FA">
            <w:pPr>
              <w:pStyle w:val="TableTextLeft"/>
              <w:jc w:val="right"/>
              <w:rPr>
                <w:rFonts w:cstheme="minorHAnsi"/>
              </w:rPr>
            </w:pPr>
            <w:r w:rsidRPr="00E20618">
              <w:rPr>
                <w:rFonts w:cstheme="minorHAnsi"/>
              </w:rPr>
              <w:t>-</w:t>
            </w:r>
            <w:r w:rsidR="003F4980" w:rsidRPr="00E20618">
              <w:rPr>
                <w:rFonts w:cstheme="minorHAnsi"/>
              </w:rPr>
              <w:t>0.5</w:t>
            </w:r>
          </w:p>
        </w:tc>
      </w:tr>
      <w:tr w:rsidR="003F4980" w:rsidRPr="00485E58" w14:paraId="23937B68" w14:textId="77777777" w:rsidTr="00854EAB">
        <w:tc>
          <w:tcPr>
            <w:tcW w:w="3096" w:type="dxa"/>
            <w:tcBorders>
              <w:top w:val="nil"/>
            </w:tcBorders>
          </w:tcPr>
          <w:p w14:paraId="224F9F4E"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639F49F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70E4EE94"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19A194E9"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66DA6CE8"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6490FE4F"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29790A79" w14:textId="77777777" w:rsidR="003F4980" w:rsidRPr="00E20618" w:rsidRDefault="003F4980" w:rsidP="000649FA">
            <w:pPr>
              <w:pStyle w:val="TableTextLeft"/>
              <w:jc w:val="right"/>
              <w:rPr>
                <w:rFonts w:cstheme="minorHAnsi"/>
              </w:rPr>
            </w:pPr>
          </w:p>
        </w:tc>
      </w:tr>
      <w:tr w:rsidR="003F4980" w:rsidRPr="00485E58" w14:paraId="3B740C39" w14:textId="77777777" w:rsidTr="00854EAB">
        <w:tc>
          <w:tcPr>
            <w:tcW w:w="3096" w:type="dxa"/>
          </w:tcPr>
          <w:p w14:paraId="6BF20824"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3F2F323B" w14:textId="19CBC33E"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0A6E3AB" w14:textId="6712403C" w:rsidR="003F4980" w:rsidRPr="00E20618" w:rsidRDefault="003F4980" w:rsidP="000649FA">
            <w:pPr>
              <w:pStyle w:val="TableTextLeft"/>
              <w:jc w:val="right"/>
              <w:rPr>
                <w:rFonts w:cstheme="minorHAnsi"/>
              </w:rPr>
            </w:pPr>
            <w:r w:rsidRPr="00E20618">
              <w:rPr>
                <w:rFonts w:cstheme="minorHAnsi"/>
              </w:rPr>
              <w:t>3.5</w:t>
            </w:r>
          </w:p>
        </w:tc>
        <w:tc>
          <w:tcPr>
            <w:tcW w:w="996" w:type="dxa"/>
            <w:tcBorders>
              <w:top w:val="nil"/>
              <w:left w:val="nil"/>
              <w:bottom w:val="nil"/>
              <w:right w:val="nil"/>
            </w:tcBorders>
          </w:tcPr>
          <w:p w14:paraId="6D78CF9D" w14:textId="571C93AE" w:rsidR="003F4980" w:rsidRPr="00E20618" w:rsidRDefault="003F4980" w:rsidP="000649FA">
            <w:pPr>
              <w:pStyle w:val="TableTextLeft"/>
              <w:jc w:val="right"/>
              <w:rPr>
                <w:rFonts w:cstheme="minorHAnsi"/>
              </w:rPr>
            </w:pPr>
            <w:r w:rsidRPr="00E20618">
              <w:rPr>
                <w:rFonts w:cstheme="minorHAnsi"/>
              </w:rPr>
              <w:t>3.7</w:t>
            </w:r>
          </w:p>
        </w:tc>
        <w:tc>
          <w:tcPr>
            <w:tcW w:w="996" w:type="dxa"/>
            <w:tcBorders>
              <w:top w:val="nil"/>
              <w:left w:val="nil"/>
              <w:bottom w:val="nil"/>
              <w:right w:val="nil"/>
            </w:tcBorders>
          </w:tcPr>
          <w:p w14:paraId="4EC1B897" w14:textId="69601384" w:rsidR="003F4980" w:rsidRPr="00E20618" w:rsidRDefault="003F4980" w:rsidP="000649FA">
            <w:pPr>
              <w:pStyle w:val="TableTextLeft"/>
              <w:jc w:val="right"/>
              <w:rPr>
                <w:rFonts w:cstheme="minorHAnsi"/>
              </w:rPr>
            </w:pPr>
            <w:r w:rsidRPr="00E20618">
              <w:rPr>
                <w:rFonts w:cstheme="minorHAnsi"/>
              </w:rPr>
              <w:t>4</w:t>
            </w:r>
          </w:p>
        </w:tc>
        <w:tc>
          <w:tcPr>
            <w:tcW w:w="996" w:type="dxa"/>
            <w:tcBorders>
              <w:top w:val="nil"/>
              <w:left w:val="nil"/>
              <w:bottom w:val="nil"/>
              <w:right w:val="single" w:sz="4" w:space="0" w:color="auto"/>
            </w:tcBorders>
          </w:tcPr>
          <w:p w14:paraId="78D34AC0" w14:textId="26AF166B" w:rsidR="003F4980" w:rsidRPr="00E20618" w:rsidRDefault="003F4980" w:rsidP="000649FA">
            <w:pPr>
              <w:pStyle w:val="TableTextLeft"/>
              <w:jc w:val="right"/>
              <w:rPr>
                <w:rFonts w:cstheme="minorHAnsi"/>
              </w:rPr>
            </w:pPr>
            <w:r w:rsidRPr="00E20618">
              <w:rPr>
                <w:rFonts w:cstheme="minorHAnsi"/>
              </w:rPr>
              <w:t>4.4</w:t>
            </w:r>
          </w:p>
        </w:tc>
        <w:tc>
          <w:tcPr>
            <w:tcW w:w="996" w:type="dxa"/>
            <w:tcBorders>
              <w:top w:val="nil"/>
              <w:left w:val="single" w:sz="4" w:space="0" w:color="auto"/>
              <w:bottom w:val="nil"/>
              <w:right w:val="nil"/>
            </w:tcBorders>
          </w:tcPr>
          <w:p w14:paraId="5CE7960B" w14:textId="4830D716" w:rsidR="003F4980" w:rsidRPr="00E20618" w:rsidRDefault="003F4980" w:rsidP="000649FA">
            <w:pPr>
              <w:pStyle w:val="TableTextLeft"/>
              <w:jc w:val="right"/>
              <w:rPr>
                <w:rFonts w:cstheme="minorHAnsi"/>
              </w:rPr>
            </w:pPr>
            <w:r w:rsidRPr="00E20618">
              <w:rPr>
                <w:rFonts w:cstheme="minorHAnsi"/>
              </w:rPr>
              <w:t>4.4</w:t>
            </w:r>
          </w:p>
        </w:tc>
      </w:tr>
      <w:tr w:rsidR="003F4980" w:rsidRPr="00485E58" w14:paraId="6E436B77" w14:textId="77777777" w:rsidTr="00854EAB">
        <w:tc>
          <w:tcPr>
            <w:tcW w:w="3096" w:type="dxa"/>
          </w:tcPr>
          <w:p w14:paraId="6E05B395"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6BC742E7" w14:textId="7B84FE15"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565E87C9" w14:textId="01996638" w:rsidR="003F4980" w:rsidRPr="00E20618" w:rsidRDefault="003F4980" w:rsidP="000649FA">
            <w:pPr>
              <w:pStyle w:val="TableTextLeft"/>
              <w:jc w:val="right"/>
              <w:rPr>
                <w:rFonts w:cstheme="minorHAnsi"/>
              </w:rPr>
            </w:pPr>
            <w:r w:rsidRPr="00E20618">
              <w:rPr>
                <w:rFonts w:cstheme="minorHAnsi"/>
              </w:rPr>
              <w:t>2.1</w:t>
            </w:r>
          </w:p>
        </w:tc>
        <w:tc>
          <w:tcPr>
            <w:tcW w:w="996" w:type="dxa"/>
            <w:tcBorders>
              <w:top w:val="nil"/>
              <w:left w:val="nil"/>
              <w:bottom w:val="nil"/>
              <w:right w:val="nil"/>
            </w:tcBorders>
          </w:tcPr>
          <w:p w14:paraId="038C0B35" w14:textId="2C66B8D6" w:rsidR="003F4980" w:rsidRPr="00E20618" w:rsidRDefault="003F4980" w:rsidP="000649FA">
            <w:pPr>
              <w:pStyle w:val="TableTextLeft"/>
              <w:jc w:val="right"/>
              <w:rPr>
                <w:rFonts w:cstheme="minorHAnsi"/>
              </w:rPr>
            </w:pPr>
            <w:r w:rsidRPr="00E20618">
              <w:rPr>
                <w:rFonts w:cstheme="minorHAnsi"/>
              </w:rPr>
              <w:t>2.2</w:t>
            </w:r>
          </w:p>
        </w:tc>
        <w:tc>
          <w:tcPr>
            <w:tcW w:w="996" w:type="dxa"/>
            <w:tcBorders>
              <w:top w:val="nil"/>
              <w:left w:val="nil"/>
              <w:bottom w:val="nil"/>
              <w:right w:val="nil"/>
            </w:tcBorders>
          </w:tcPr>
          <w:p w14:paraId="2E9693EC" w14:textId="207035D2"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nil"/>
              <w:right w:val="single" w:sz="4" w:space="0" w:color="auto"/>
            </w:tcBorders>
          </w:tcPr>
          <w:p w14:paraId="61B589E4" w14:textId="63E66075" w:rsidR="003F4980" w:rsidRPr="00E20618" w:rsidRDefault="003F4980" w:rsidP="000649FA">
            <w:pPr>
              <w:pStyle w:val="TableTextLeft"/>
              <w:jc w:val="right"/>
              <w:rPr>
                <w:rFonts w:cstheme="minorHAnsi"/>
              </w:rPr>
            </w:pPr>
            <w:r w:rsidRPr="00E20618">
              <w:rPr>
                <w:rFonts w:cstheme="minorHAnsi"/>
              </w:rPr>
              <w:t>2.7</w:t>
            </w:r>
          </w:p>
        </w:tc>
        <w:tc>
          <w:tcPr>
            <w:tcW w:w="996" w:type="dxa"/>
            <w:tcBorders>
              <w:top w:val="nil"/>
              <w:left w:val="single" w:sz="4" w:space="0" w:color="auto"/>
              <w:bottom w:val="nil"/>
              <w:right w:val="nil"/>
            </w:tcBorders>
          </w:tcPr>
          <w:p w14:paraId="0C77E2C6" w14:textId="20538EE5" w:rsidR="003F4980" w:rsidRPr="00E20618" w:rsidRDefault="003F4980" w:rsidP="000649FA">
            <w:pPr>
              <w:pStyle w:val="TableTextLeft"/>
              <w:jc w:val="right"/>
              <w:rPr>
                <w:rFonts w:cstheme="minorHAnsi"/>
              </w:rPr>
            </w:pPr>
            <w:r w:rsidRPr="00E20618">
              <w:rPr>
                <w:rFonts w:cstheme="minorHAnsi"/>
              </w:rPr>
              <w:t>2.7</w:t>
            </w:r>
          </w:p>
        </w:tc>
      </w:tr>
      <w:tr w:rsidR="003F4980" w:rsidRPr="00485E58" w14:paraId="4E92E86F" w14:textId="77777777" w:rsidTr="00854EAB">
        <w:tc>
          <w:tcPr>
            <w:tcW w:w="3096" w:type="dxa"/>
          </w:tcPr>
          <w:p w14:paraId="2B7EB482"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nil"/>
              <w:right w:val="nil"/>
            </w:tcBorders>
          </w:tcPr>
          <w:p w14:paraId="36DFB7DE" w14:textId="7DFAAD79" w:rsidR="003F4980" w:rsidRPr="00E20618" w:rsidRDefault="003F4980" w:rsidP="000649FA">
            <w:pPr>
              <w:pStyle w:val="TableTextLeft"/>
              <w:jc w:val="right"/>
              <w:rPr>
                <w:rFonts w:cstheme="minorHAnsi"/>
              </w:rPr>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3F9D94EB" w14:textId="223B6E2E"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1B66C9F9" w14:textId="2E1FE7E9"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nil"/>
              <w:right w:val="nil"/>
            </w:tcBorders>
          </w:tcPr>
          <w:p w14:paraId="515F1DB0" w14:textId="2E712D82" w:rsidR="003F4980" w:rsidRPr="00E20618" w:rsidRDefault="003F4980" w:rsidP="000649FA">
            <w:pPr>
              <w:pStyle w:val="TableTextLeft"/>
              <w:jc w:val="right"/>
              <w:rPr>
                <w:rFonts w:cstheme="minorHAnsi"/>
              </w:rPr>
            </w:pPr>
            <w:r w:rsidRPr="00E20618">
              <w:rPr>
                <w:rFonts w:cstheme="minorHAnsi"/>
              </w:rPr>
              <w:t>1.6</w:t>
            </w:r>
          </w:p>
        </w:tc>
        <w:tc>
          <w:tcPr>
            <w:tcW w:w="996" w:type="dxa"/>
            <w:tcBorders>
              <w:top w:val="nil"/>
              <w:left w:val="nil"/>
              <w:bottom w:val="nil"/>
              <w:right w:val="single" w:sz="4" w:space="0" w:color="auto"/>
            </w:tcBorders>
          </w:tcPr>
          <w:p w14:paraId="4902C6AC" w14:textId="573199FF" w:rsidR="003F4980" w:rsidRPr="00E20618" w:rsidRDefault="003F4980" w:rsidP="000649FA">
            <w:pPr>
              <w:pStyle w:val="TableTextLeft"/>
              <w:jc w:val="right"/>
              <w:rPr>
                <w:rFonts w:cstheme="minorHAnsi"/>
              </w:rPr>
            </w:pPr>
            <w:r w:rsidRPr="00E20618">
              <w:rPr>
                <w:rFonts w:cstheme="minorHAnsi"/>
              </w:rPr>
              <w:t>1.7</w:t>
            </w:r>
          </w:p>
        </w:tc>
        <w:tc>
          <w:tcPr>
            <w:tcW w:w="996" w:type="dxa"/>
            <w:tcBorders>
              <w:top w:val="nil"/>
              <w:left w:val="single" w:sz="4" w:space="0" w:color="auto"/>
              <w:bottom w:val="nil"/>
              <w:right w:val="nil"/>
            </w:tcBorders>
          </w:tcPr>
          <w:p w14:paraId="0A8C973E" w14:textId="4FD77E1E" w:rsidR="003F4980" w:rsidRPr="00E20618" w:rsidRDefault="003F4980" w:rsidP="000649FA">
            <w:pPr>
              <w:pStyle w:val="TableTextLeft"/>
              <w:jc w:val="right"/>
              <w:rPr>
                <w:rFonts w:cstheme="minorHAnsi"/>
              </w:rPr>
            </w:pPr>
            <w:r w:rsidRPr="00E20618">
              <w:rPr>
                <w:rFonts w:cstheme="minorHAnsi"/>
              </w:rPr>
              <w:t>1.7</w:t>
            </w:r>
          </w:p>
        </w:tc>
      </w:tr>
      <w:tr w:rsidR="003F4980" w:rsidRPr="00485E58" w14:paraId="13A46AC3" w14:textId="77777777" w:rsidTr="00854EAB">
        <w:tc>
          <w:tcPr>
            <w:tcW w:w="3096" w:type="dxa"/>
          </w:tcPr>
          <w:p w14:paraId="74EBCC07"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14FF235A"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shd w:val="clear" w:color="auto" w:fill="D2EDFF" w:themeFill="accent1" w:themeFillTint="1A"/>
          </w:tcPr>
          <w:p w14:paraId="1AFC0273"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50F6A595" w14:textId="77777777" w:rsidR="003F4980" w:rsidRPr="00E20618" w:rsidRDefault="003F4980" w:rsidP="000649FA">
            <w:pPr>
              <w:pStyle w:val="TableTextLeft"/>
              <w:jc w:val="right"/>
              <w:rPr>
                <w:rFonts w:cstheme="minorHAnsi"/>
              </w:rPr>
            </w:pPr>
          </w:p>
        </w:tc>
        <w:tc>
          <w:tcPr>
            <w:tcW w:w="996" w:type="dxa"/>
            <w:tcBorders>
              <w:top w:val="nil"/>
              <w:left w:val="nil"/>
              <w:bottom w:val="nil"/>
              <w:right w:val="nil"/>
            </w:tcBorders>
          </w:tcPr>
          <w:p w14:paraId="213B1AA0" w14:textId="77777777" w:rsidR="003F4980" w:rsidRPr="00E20618" w:rsidRDefault="003F4980" w:rsidP="000649FA">
            <w:pPr>
              <w:pStyle w:val="TableTextLeft"/>
              <w:jc w:val="right"/>
              <w:rPr>
                <w:rFonts w:cstheme="minorHAnsi"/>
              </w:rPr>
            </w:pPr>
          </w:p>
        </w:tc>
        <w:tc>
          <w:tcPr>
            <w:tcW w:w="996" w:type="dxa"/>
            <w:tcBorders>
              <w:top w:val="nil"/>
              <w:left w:val="nil"/>
              <w:bottom w:val="nil"/>
              <w:right w:val="single" w:sz="4" w:space="0" w:color="auto"/>
            </w:tcBorders>
          </w:tcPr>
          <w:p w14:paraId="73792944" w14:textId="77777777" w:rsidR="003F4980" w:rsidRPr="00E20618" w:rsidRDefault="003F4980" w:rsidP="000649FA">
            <w:pPr>
              <w:pStyle w:val="TableTextLeft"/>
              <w:jc w:val="right"/>
              <w:rPr>
                <w:rFonts w:cstheme="minorHAnsi"/>
              </w:rPr>
            </w:pPr>
          </w:p>
        </w:tc>
        <w:tc>
          <w:tcPr>
            <w:tcW w:w="996" w:type="dxa"/>
            <w:tcBorders>
              <w:top w:val="nil"/>
              <w:left w:val="single" w:sz="4" w:space="0" w:color="auto"/>
              <w:bottom w:val="nil"/>
              <w:right w:val="nil"/>
            </w:tcBorders>
          </w:tcPr>
          <w:p w14:paraId="0A30F7F0" w14:textId="77777777" w:rsidR="003F4980" w:rsidRPr="00E20618" w:rsidRDefault="003F4980" w:rsidP="000649FA">
            <w:pPr>
              <w:pStyle w:val="TableTextLeft"/>
              <w:jc w:val="right"/>
              <w:rPr>
                <w:rFonts w:cstheme="minorHAnsi"/>
              </w:rPr>
            </w:pPr>
          </w:p>
        </w:tc>
      </w:tr>
      <w:tr w:rsidR="003F4980" w:rsidRPr="00485E58" w14:paraId="64FD2E97" w14:textId="77777777" w:rsidTr="00854EAB">
        <w:tc>
          <w:tcPr>
            <w:tcW w:w="3096" w:type="dxa"/>
          </w:tcPr>
          <w:p w14:paraId="25A073A3" w14:textId="77777777" w:rsidR="003F4980" w:rsidRPr="00363EFE" w:rsidRDefault="003F4980" w:rsidP="001F0F1C">
            <w:pPr>
              <w:pStyle w:val="TableTextLeft"/>
              <w:rPr>
                <w:color w:val="002C47" w:themeColor="accent1"/>
              </w:rPr>
            </w:pPr>
            <w:r w:rsidRPr="00363EFE">
              <w:rPr>
                <w:color w:val="002C47" w:themeColor="accent1"/>
              </w:rPr>
              <w:t>Tasmania</w:t>
            </w:r>
          </w:p>
        </w:tc>
        <w:tc>
          <w:tcPr>
            <w:tcW w:w="996" w:type="dxa"/>
            <w:tcBorders>
              <w:top w:val="nil"/>
              <w:left w:val="nil"/>
              <w:bottom w:val="nil"/>
              <w:right w:val="nil"/>
            </w:tcBorders>
          </w:tcPr>
          <w:p w14:paraId="178101EB" w14:textId="4C177D58" w:rsidR="003F4980" w:rsidRPr="00E20618" w:rsidRDefault="003F4980" w:rsidP="000649FA">
            <w:pPr>
              <w:pStyle w:val="TableTextLeft"/>
              <w:jc w:val="right"/>
              <w:rPr>
                <w:rFonts w:cstheme="minorHAnsi"/>
              </w:rPr>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4B3355B5" w14:textId="286C6F7D" w:rsidR="003F4980" w:rsidRPr="00E20618" w:rsidRDefault="003F4980" w:rsidP="000649FA">
            <w:pPr>
              <w:pStyle w:val="TableTextLeft"/>
              <w:jc w:val="right"/>
              <w:rPr>
                <w:rFonts w:cstheme="minorHAnsi"/>
              </w:rPr>
            </w:pPr>
            <w:r w:rsidRPr="00E20618">
              <w:rPr>
                <w:rFonts w:cstheme="minorHAnsi"/>
              </w:rPr>
              <w:t>2.7</w:t>
            </w:r>
          </w:p>
        </w:tc>
        <w:tc>
          <w:tcPr>
            <w:tcW w:w="996" w:type="dxa"/>
            <w:tcBorders>
              <w:top w:val="nil"/>
              <w:left w:val="nil"/>
              <w:bottom w:val="nil"/>
              <w:right w:val="nil"/>
            </w:tcBorders>
          </w:tcPr>
          <w:p w14:paraId="0B6BE995" w14:textId="3CBECABB" w:rsidR="003F4980" w:rsidRPr="00E20618" w:rsidRDefault="003F4980" w:rsidP="000649FA">
            <w:pPr>
              <w:pStyle w:val="TableTextLeft"/>
              <w:jc w:val="right"/>
              <w:rPr>
                <w:rFonts w:cstheme="minorHAnsi"/>
              </w:rPr>
            </w:pPr>
            <w:r w:rsidRPr="00E20618">
              <w:rPr>
                <w:rFonts w:cstheme="minorHAnsi"/>
              </w:rPr>
              <w:t>1.8</w:t>
            </w:r>
          </w:p>
        </w:tc>
        <w:tc>
          <w:tcPr>
            <w:tcW w:w="996" w:type="dxa"/>
            <w:tcBorders>
              <w:top w:val="nil"/>
              <w:left w:val="nil"/>
              <w:bottom w:val="nil"/>
              <w:right w:val="nil"/>
            </w:tcBorders>
          </w:tcPr>
          <w:p w14:paraId="45ECB106" w14:textId="4D14BA37"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nil"/>
              <w:bottom w:val="nil"/>
              <w:right w:val="single" w:sz="4" w:space="0" w:color="auto"/>
            </w:tcBorders>
          </w:tcPr>
          <w:p w14:paraId="2450205A" w14:textId="29EF04F3" w:rsidR="003F4980" w:rsidRPr="00E20618" w:rsidRDefault="003F4980" w:rsidP="000649FA">
            <w:pPr>
              <w:pStyle w:val="TableTextLeft"/>
              <w:jc w:val="right"/>
              <w:rPr>
                <w:rFonts w:cstheme="minorHAnsi"/>
              </w:rPr>
            </w:pPr>
            <w:r w:rsidRPr="00E20618">
              <w:rPr>
                <w:rFonts w:cstheme="minorHAnsi"/>
              </w:rPr>
              <w:t>1</w:t>
            </w:r>
          </w:p>
        </w:tc>
        <w:tc>
          <w:tcPr>
            <w:tcW w:w="996" w:type="dxa"/>
            <w:tcBorders>
              <w:top w:val="nil"/>
              <w:left w:val="single" w:sz="4" w:space="0" w:color="auto"/>
              <w:bottom w:val="nil"/>
              <w:right w:val="nil"/>
            </w:tcBorders>
          </w:tcPr>
          <w:p w14:paraId="30F5E920" w14:textId="265D5A3C" w:rsidR="003F4980" w:rsidRPr="00E20618" w:rsidRDefault="003F4980" w:rsidP="000649FA">
            <w:pPr>
              <w:pStyle w:val="TableTextLeft"/>
              <w:jc w:val="right"/>
              <w:rPr>
                <w:rFonts w:cstheme="minorHAnsi"/>
              </w:rPr>
            </w:pPr>
            <w:r w:rsidRPr="00E20618">
              <w:rPr>
                <w:rFonts w:cstheme="minorHAnsi"/>
              </w:rPr>
              <w:t>1.7</w:t>
            </w:r>
          </w:p>
        </w:tc>
      </w:tr>
      <w:tr w:rsidR="003F4980" w:rsidRPr="00485E58" w14:paraId="0D8EF46C" w14:textId="77777777" w:rsidTr="00854EAB">
        <w:tc>
          <w:tcPr>
            <w:tcW w:w="3096" w:type="dxa"/>
          </w:tcPr>
          <w:p w14:paraId="5FF13903"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4424FFFB" w14:textId="5C5AF653" w:rsidR="003F4980" w:rsidRPr="00E20618" w:rsidRDefault="003F4980" w:rsidP="000649FA">
            <w:pPr>
              <w:pStyle w:val="TableTextLeft"/>
              <w:jc w:val="right"/>
              <w:rPr>
                <w:rFonts w:cstheme="minorHAnsi"/>
              </w:rPr>
            </w:pPr>
            <w:r w:rsidRPr="00E20618">
              <w:rPr>
                <w:rFonts w:cstheme="minorHAnsi"/>
              </w:rPr>
              <w:t>-0.8</w:t>
            </w:r>
          </w:p>
        </w:tc>
        <w:tc>
          <w:tcPr>
            <w:tcW w:w="996" w:type="dxa"/>
            <w:tcBorders>
              <w:top w:val="nil"/>
              <w:left w:val="nil"/>
              <w:bottom w:val="nil"/>
              <w:right w:val="nil"/>
            </w:tcBorders>
            <w:shd w:val="clear" w:color="auto" w:fill="D2EDFF" w:themeFill="accent1" w:themeFillTint="1A"/>
          </w:tcPr>
          <w:p w14:paraId="5A7D1C7E" w14:textId="689514B4" w:rsidR="003F4980" w:rsidRPr="00E20618" w:rsidRDefault="003F4980" w:rsidP="000649FA">
            <w:pPr>
              <w:pStyle w:val="TableTextLeft"/>
              <w:jc w:val="right"/>
              <w:rPr>
                <w:rFonts w:cstheme="minorHAnsi"/>
              </w:rPr>
            </w:pPr>
            <w:r w:rsidRPr="00E20618">
              <w:rPr>
                <w:rFonts w:cstheme="minorHAnsi"/>
              </w:rPr>
              <w:t>0.3</w:t>
            </w:r>
          </w:p>
        </w:tc>
        <w:tc>
          <w:tcPr>
            <w:tcW w:w="996" w:type="dxa"/>
            <w:tcBorders>
              <w:top w:val="nil"/>
              <w:left w:val="nil"/>
              <w:bottom w:val="nil"/>
              <w:right w:val="nil"/>
            </w:tcBorders>
          </w:tcPr>
          <w:p w14:paraId="0CBB0596" w14:textId="7D2E2764"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nil"/>
              <w:right w:val="nil"/>
            </w:tcBorders>
          </w:tcPr>
          <w:p w14:paraId="7DD20FF9" w14:textId="118A54D8"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nil"/>
              <w:right w:val="single" w:sz="4" w:space="0" w:color="auto"/>
            </w:tcBorders>
          </w:tcPr>
          <w:p w14:paraId="7EBBC468" w14:textId="3F3A199E"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single" w:sz="4" w:space="0" w:color="auto"/>
              <w:bottom w:val="nil"/>
              <w:right w:val="nil"/>
            </w:tcBorders>
          </w:tcPr>
          <w:p w14:paraId="046ABADA" w14:textId="130A7DC1" w:rsidR="003F4980" w:rsidRPr="00E20618" w:rsidRDefault="003F4980" w:rsidP="000649FA">
            <w:pPr>
              <w:pStyle w:val="TableTextLeft"/>
              <w:jc w:val="right"/>
              <w:rPr>
                <w:rFonts w:cstheme="minorHAnsi"/>
              </w:rPr>
            </w:pPr>
            <w:r w:rsidRPr="00E20618">
              <w:rPr>
                <w:rFonts w:cstheme="minorHAnsi"/>
              </w:rPr>
              <w:t>0.4</w:t>
            </w:r>
          </w:p>
        </w:tc>
      </w:tr>
      <w:tr w:rsidR="003F4980" w:rsidRPr="00485E58" w14:paraId="5F33D139" w14:textId="77777777" w:rsidTr="00854EAB">
        <w:tc>
          <w:tcPr>
            <w:tcW w:w="3096" w:type="dxa"/>
            <w:tcBorders>
              <w:bottom w:val="single" w:sz="4" w:space="0" w:color="auto"/>
            </w:tcBorders>
          </w:tcPr>
          <w:p w14:paraId="404381B1"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78D32E73" w14:textId="1A6D0586" w:rsidR="003F4980" w:rsidRPr="00E20618" w:rsidRDefault="003F4980" w:rsidP="000649FA">
            <w:pPr>
              <w:pStyle w:val="TableTextLeft"/>
              <w:jc w:val="right"/>
              <w:rPr>
                <w:rFonts w:cstheme="minorHAnsi"/>
              </w:rPr>
            </w:pPr>
            <w:r w:rsidRPr="00E20618">
              <w:rPr>
                <w:rFonts w:cstheme="minorHAnsi"/>
              </w:rPr>
              <w:t>0.7</w:t>
            </w:r>
          </w:p>
        </w:tc>
        <w:tc>
          <w:tcPr>
            <w:tcW w:w="996" w:type="dxa"/>
            <w:tcBorders>
              <w:top w:val="nil"/>
              <w:left w:val="nil"/>
              <w:bottom w:val="single" w:sz="4" w:space="0" w:color="auto"/>
              <w:right w:val="nil"/>
            </w:tcBorders>
            <w:shd w:val="clear" w:color="auto" w:fill="D2EDFF" w:themeFill="accent1" w:themeFillTint="1A"/>
          </w:tcPr>
          <w:p w14:paraId="58A9F919" w14:textId="4BA4BD50" w:rsidR="003F4980" w:rsidRPr="00E20618" w:rsidRDefault="003F4980" w:rsidP="000649FA">
            <w:pPr>
              <w:pStyle w:val="TableTextLeft"/>
              <w:jc w:val="right"/>
              <w:rPr>
                <w:rFonts w:cstheme="minorHAnsi"/>
              </w:rPr>
            </w:pPr>
            <w:r w:rsidRPr="00E20618">
              <w:rPr>
                <w:rFonts w:cstheme="minorHAnsi"/>
              </w:rPr>
              <w:t>2.4</w:t>
            </w:r>
          </w:p>
        </w:tc>
        <w:tc>
          <w:tcPr>
            <w:tcW w:w="996" w:type="dxa"/>
            <w:tcBorders>
              <w:top w:val="nil"/>
              <w:left w:val="nil"/>
              <w:bottom w:val="single" w:sz="4" w:space="0" w:color="auto"/>
              <w:right w:val="nil"/>
            </w:tcBorders>
          </w:tcPr>
          <w:p w14:paraId="0BC60FB9" w14:textId="2C5B95C0" w:rsidR="003F4980" w:rsidRPr="00E20618" w:rsidRDefault="003F4980" w:rsidP="000649FA">
            <w:pPr>
              <w:pStyle w:val="TableTextLeft"/>
              <w:jc w:val="right"/>
              <w:rPr>
                <w:rFonts w:cstheme="minorHAnsi"/>
              </w:rPr>
            </w:pPr>
            <w:r w:rsidRPr="00E20618">
              <w:rPr>
                <w:rFonts w:cstheme="minorHAnsi"/>
              </w:rPr>
              <w:t>1.4</w:t>
            </w:r>
          </w:p>
        </w:tc>
        <w:tc>
          <w:tcPr>
            <w:tcW w:w="996" w:type="dxa"/>
            <w:tcBorders>
              <w:top w:val="nil"/>
              <w:left w:val="nil"/>
              <w:bottom w:val="single" w:sz="4" w:space="0" w:color="auto"/>
              <w:right w:val="nil"/>
            </w:tcBorders>
          </w:tcPr>
          <w:p w14:paraId="4855E54D" w14:textId="42F61054" w:rsidR="003F4980" w:rsidRPr="00E20618" w:rsidRDefault="003F4980" w:rsidP="000649FA">
            <w:pPr>
              <w:pStyle w:val="TableTextLeft"/>
              <w:jc w:val="right"/>
              <w:rPr>
                <w:rFonts w:cstheme="minorHAnsi"/>
              </w:rPr>
            </w:pPr>
            <w:r w:rsidRPr="00E20618">
              <w:rPr>
                <w:rFonts w:cstheme="minorHAnsi"/>
              </w:rPr>
              <w:t>0.5</w:t>
            </w:r>
          </w:p>
        </w:tc>
        <w:tc>
          <w:tcPr>
            <w:tcW w:w="996" w:type="dxa"/>
            <w:tcBorders>
              <w:top w:val="nil"/>
              <w:left w:val="nil"/>
              <w:bottom w:val="single" w:sz="4" w:space="0" w:color="auto"/>
              <w:right w:val="single" w:sz="4" w:space="0" w:color="auto"/>
            </w:tcBorders>
          </w:tcPr>
          <w:p w14:paraId="224AA48C" w14:textId="67E949FF" w:rsidR="003F4980" w:rsidRPr="00E20618" w:rsidRDefault="003F4980" w:rsidP="000649FA">
            <w:pPr>
              <w:pStyle w:val="TableTextLeft"/>
              <w:jc w:val="right"/>
              <w:rPr>
                <w:rFonts w:cstheme="minorHAnsi"/>
              </w:rPr>
            </w:pPr>
            <w:r w:rsidRPr="00E20618">
              <w:rPr>
                <w:rFonts w:cstheme="minorHAnsi"/>
              </w:rPr>
              <w:t>0.6</w:t>
            </w:r>
          </w:p>
        </w:tc>
        <w:tc>
          <w:tcPr>
            <w:tcW w:w="996" w:type="dxa"/>
            <w:tcBorders>
              <w:top w:val="nil"/>
              <w:left w:val="single" w:sz="4" w:space="0" w:color="auto"/>
              <w:bottom w:val="single" w:sz="4" w:space="0" w:color="auto"/>
              <w:right w:val="nil"/>
            </w:tcBorders>
          </w:tcPr>
          <w:p w14:paraId="24976614" w14:textId="59887614" w:rsidR="003F4980" w:rsidRPr="00E20618" w:rsidRDefault="003F4980" w:rsidP="000649FA">
            <w:pPr>
              <w:pStyle w:val="TableTextLeft"/>
              <w:jc w:val="right"/>
              <w:rPr>
                <w:rFonts w:cstheme="minorHAnsi"/>
              </w:rPr>
            </w:pPr>
            <w:r w:rsidRPr="00E20618">
              <w:rPr>
                <w:rFonts w:cstheme="minorHAnsi"/>
              </w:rPr>
              <w:t>1.3</w:t>
            </w:r>
          </w:p>
        </w:tc>
      </w:tr>
      <w:tr w:rsidR="003F4980" w:rsidRPr="00485E58" w14:paraId="6C1DA74F" w14:textId="77777777" w:rsidTr="00854EAB">
        <w:tc>
          <w:tcPr>
            <w:tcW w:w="3096" w:type="dxa"/>
            <w:tcBorders>
              <w:top w:val="single" w:sz="4" w:space="0" w:color="auto"/>
              <w:bottom w:val="nil"/>
            </w:tcBorders>
          </w:tcPr>
          <w:p w14:paraId="61EE6E3E"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1308280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shd w:val="clear" w:color="auto" w:fill="D2EDFF" w:themeFill="accent1" w:themeFillTint="1A"/>
          </w:tcPr>
          <w:p w14:paraId="3AF35BEC"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251A30FF"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nil"/>
            </w:tcBorders>
          </w:tcPr>
          <w:p w14:paraId="78D66C51" w14:textId="77777777" w:rsidR="003F4980" w:rsidRPr="00E20618" w:rsidRDefault="003F4980" w:rsidP="000649FA">
            <w:pPr>
              <w:pStyle w:val="TableTextLeft"/>
              <w:jc w:val="right"/>
              <w:rPr>
                <w:rFonts w:cstheme="minorHAnsi"/>
              </w:rPr>
            </w:pPr>
          </w:p>
        </w:tc>
        <w:tc>
          <w:tcPr>
            <w:tcW w:w="996" w:type="dxa"/>
            <w:tcBorders>
              <w:top w:val="single" w:sz="4" w:space="0" w:color="auto"/>
              <w:left w:val="nil"/>
              <w:bottom w:val="nil"/>
              <w:right w:val="single" w:sz="4" w:space="0" w:color="auto"/>
            </w:tcBorders>
          </w:tcPr>
          <w:p w14:paraId="55065CC8" w14:textId="77777777" w:rsidR="003F4980" w:rsidRPr="00E20618" w:rsidRDefault="003F4980" w:rsidP="000649FA">
            <w:pPr>
              <w:pStyle w:val="TableTextLeft"/>
              <w:jc w:val="right"/>
              <w:rPr>
                <w:rFonts w:cstheme="minorHAnsi"/>
              </w:rPr>
            </w:pPr>
          </w:p>
        </w:tc>
        <w:tc>
          <w:tcPr>
            <w:tcW w:w="996" w:type="dxa"/>
            <w:tcBorders>
              <w:top w:val="single" w:sz="4" w:space="0" w:color="auto"/>
              <w:left w:val="single" w:sz="4" w:space="0" w:color="auto"/>
              <w:bottom w:val="nil"/>
              <w:right w:val="nil"/>
            </w:tcBorders>
          </w:tcPr>
          <w:p w14:paraId="70223A26" w14:textId="77777777" w:rsidR="003F4980" w:rsidRPr="00E20618" w:rsidRDefault="003F4980" w:rsidP="000649FA">
            <w:pPr>
              <w:pStyle w:val="TableTextLeft"/>
              <w:jc w:val="right"/>
              <w:rPr>
                <w:rFonts w:cstheme="minorHAnsi"/>
              </w:rPr>
            </w:pPr>
          </w:p>
        </w:tc>
      </w:tr>
      <w:tr w:rsidR="003F4980" w:rsidRPr="00485E58" w14:paraId="02315C03" w14:textId="77777777" w:rsidTr="00854EAB">
        <w:tc>
          <w:tcPr>
            <w:tcW w:w="3096" w:type="dxa"/>
            <w:tcBorders>
              <w:top w:val="nil"/>
              <w:bottom w:val="nil"/>
            </w:tcBorders>
          </w:tcPr>
          <w:p w14:paraId="48A863EE" w14:textId="77777777" w:rsidR="003F4980" w:rsidRPr="00363EFE" w:rsidRDefault="003F4980" w:rsidP="001F0F1C">
            <w:pPr>
              <w:pStyle w:val="TableTextLeft"/>
              <w:rPr>
                <w:i/>
                <w:iCs/>
                <w:color w:val="002C47" w:themeColor="accent1"/>
              </w:rPr>
            </w:pPr>
            <w:r w:rsidRPr="00363EFE">
              <w:rPr>
                <w:color w:val="002C47" w:themeColor="accent1"/>
              </w:rPr>
              <w:t>Tasmania</w:t>
            </w:r>
          </w:p>
        </w:tc>
        <w:tc>
          <w:tcPr>
            <w:tcW w:w="996" w:type="dxa"/>
            <w:tcBorders>
              <w:top w:val="nil"/>
              <w:left w:val="nil"/>
              <w:bottom w:val="nil"/>
              <w:right w:val="nil"/>
            </w:tcBorders>
          </w:tcPr>
          <w:p w14:paraId="7F0E8064" w14:textId="5EC15EB0" w:rsidR="003F4980" w:rsidRPr="00E20618" w:rsidRDefault="003F4980" w:rsidP="000649FA">
            <w:pPr>
              <w:pStyle w:val="TableTextLeft"/>
              <w:jc w:val="right"/>
              <w:rPr>
                <w:rFonts w:cstheme="minorHAnsi"/>
              </w:rPr>
            </w:pPr>
            <w:r w:rsidRPr="00E20618">
              <w:rPr>
                <w:rFonts w:cstheme="minorHAnsi"/>
              </w:rPr>
              <w:t>41.6</w:t>
            </w:r>
          </w:p>
        </w:tc>
        <w:tc>
          <w:tcPr>
            <w:tcW w:w="996" w:type="dxa"/>
            <w:tcBorders>
              <w:top w:val="nil"/>
              <w:left w:val="nil"/>
              <w:bottom w:val="nil"/>
              <w:right w:val="nil"/>
            </w:tcBorders>
            <w:shd w:val="clear" w:color="auto" w:fill="D2EDFF" w:themeFill="accent1" w:themeFillTint="1A"/>
          </w:tcPr>
          <w:p w14:paraId="6A6081D9" w14:textId="15EDDD66" w:rsidR="003F4980" w:rsidRPr="00E20618" w:rsidRDefault="003F4980" w:rsidP="000649FA">
            <w:pPr>
              <w:pStyle w:val="TableTextLeft"/>
              <w:jc w:val="right"/>
              <w:rPr>
                <w:rFonts w:cstheme="minorHAnsi"/>
              </w:rPr>
            </w:pPr>
            <w:r w:rsidRPr="00E20618">
              <w:rPr>
                <w:rFonts w:cstheme="minorHAnsi"/>
              </w:rPr>
              <w:t>41.7</w:t>
            </w:r>
          </w:p>
        </w:tc>
        <w:tc>
          <w:tcPr>
            <w:tcW w:w="996" w:type="dxa"/>
            <w:tcBorders>
              <w:top w:val="nil"/>
              <w:left w:val="nil"/>
              <w:bottom w:val="nil"/>
              <w:right w:val="nil"/>
            </w:tcBorders>
          </w:tcPr>
          <w:p w14:paraId="1362560D" w14:textId="52D8C17E" w:rsidR="003F4980" w:rsidRPr="00E20618" w:rsidRDefault="003F4980" w:rsidP="000649FA">
            <w:pPr>
              <w:pStyle w:val="TableTextLeft"/>
              <w:jc w:val="right"/>
              <w:rPr>
                <w:rFonts w:cstheme="minorHAnsi"/>
              </w:rPr>
            </w:pPr>
            <w:r w:rsidRPr="00E20618">
              <w:rPr>
                <w:rFonts w:cstheme="minorHAnsi"/>
              </w:rPr>
              <w:t>41.9</w:t>
            </w:r>
          </w:p>
        </w:tc>
        <w:tc>
          <w:tcPr>
            <w:tcW w:w="996" w:type="dxa"/>
            <w:tcBorders>
              <w:top w:val="nil"/>
              <w:left w:val="nil"/>
              <w:bottom w:val="nil"/>
              <w:right w:val="nil"/>
            </w:tcBorders>
          </w:tcPr>
          <w:p w14:paraId="3E8BD9A2" w14:textId="3C2E1B50" w:rsidR="003F4980" w:rsidRPr="00E20618" w:rsidRDefault="003F4980" w:rsidP="000649FA">
            <w:pPr>
              <w:pStyle w:val="TableTextLeft"/>
              <w:jc w:val="right"/>
              <w:rPr>
                <w:rFonts w:cstheme="minorHAnsi"/>
              </w:rPr>
            </w:pPr>
            <w:r w:rsidRPr="00E20618">
              <w:rPr>
                <w:rFonts w:cstheme="minorHAnsi"/>
              </w:rPr>
              <w:t>42.1</w:t>
            </w:r>
          </w:p>
        </w:tc>
        <w:tc>
          <w:tcPr>
            <w:tcW w:w="996" w:type="dxa"/>
            <w:tcBorders>
              <w:top w:val="nil"/>
              <w:left w:val="nil"/>
              <w:bottom w:val="nil"/>
              <w:right w:val="single" w:sz="4" w:space="0" w:color="auto"/>
            </w:tcBorders>
          </w:tcPr>
          <w:p w14:paraId="1628FC70" w14:textId="10F06E0B" w:rsidR="003F4980" w:rsidRPr="00E20618" w:rsidRDefault="003F4980" w:rsidP="000649FA">
            <w:pPr>
              <w:pStyle w:val="TableTextLeft"/>
              <w:jc w:val="right"/>
              <w:rPr>
                <w:rFonts w:cstheme="minorHAnsi"/>
              </w:rPr>
            </w:pPr>
            <w:r w:rsidRPr="00E20618">
              <w:rPr>
                <w:rFonts w:cstheme="minorHAnsi"/>
              </w:rPr>
              <w:t>42.3</w:t>
            </w:r>
          </w:p>
        </w:tc>
        <w:tc>
          <w:tcPr>
            <w:tcW w:w="996" w:type="dxa"/>
            <w:tcBorders>
              <w:top w:val="nil"/>
              <w:left w:val="single" w:sz="4" w:space="0" w:color="auto"/>
              <w:bottom w:val="nil"/>
              <w:right w:val="nil"/>
            </w:tcBorders>
          </w:tcPr>
          <w:p w14:paraId="3D690D55" w14:textId="71735C05" w:rsidR="003F4980" w:rsidRPr="00E20618" w:rsidRDefault="003F4980" w:rsidP="000649FA">
            <w:pPr>
              <w:pStyle w:val="TableTextLeft"/>
              <w:jc w:val="right"/>
              <w:rPr>
                <w:rFonts w:cstheme="minorHAnsi"/>
              </w:rPr>
            </w:pPr>
            <w:r w:rsidRPr="00E20618">
              <w:rPr>
                <w:rFonts w:cstheme="minorHAnsi"/>
              </w:rPr>
              <w:t>44.3</w:t>
            </w:r>
          </w:p>
        </w:tc>
      </w:tr>
      <w:tr w:rsidR="003F4980" w:rsidRPr="00485E58" w14:paraId="576E9A43" w14:textId="77777777" w:rsidTr="00854EAB">
        <w:tc>
          <w:tcPr>
            <w:tcW w:w="3096" w:type="dxa"/>
            <w:tcBorders>
              <w:bottom w:val="nil"/>
            </w:tcBorders>
          </w:tcPr>
          <w:p w14:paraId="3AA3824F" w14:textId="77777777" w:rsidR="003F4980" w:rsidRPr="00363EFE" w:rsidRDefault="003F4980" w:rsidP="001F0F1C">
            <w:pPr>
              <w:pStyle w:val="Tabletextleftindent"/>
              <w:rPr>
                <w:color w:val="002C47" w:themeColor="accent1"/>
              </w:rPr>
            </w:pPr>
            <w:r w:rsidRPr="00363EFE">
              <w:rPr>
                <w:color w:val="002C47" w:themeColor="accent1"/>
              </w:rPr>
              <w:t>Greater Hobart</w:t>
            </w:r>
          </w:p>
        </w:tc>
        <w:tc>
          <w:tcPr>
            <w:tcW w:w="996" w:type="dxa"/>
            <w:tcBorders>
              <w:top w:val="nil"/>
              <w:left w:val="nil"/>
              <w:bottom w:val="nil"/>
              <w:right w:val="nil"/>
            </w:tcBorders>
          </w:tcPr>
          <w:p w14:paraId="2DCAD26A" w14:textId="5D1401AA" w:rsidR="003F4980" w:rsidRPr="00E20618" w:rsidRDefault="003F4980" w:rsidP="000649FA">
            <w:pPr>
              <w:pStyle w:val="TableTextLeft"/>
              <w:jc w:val="right"/>
              <w:rPr>
                <w:rFonts w:cstheme="minorHAnsi"/>
              </w:rPr>
            </w:pPr>
            <w:r w:rsidRPr="00E20618">
              <w:rPr>
                <w:rFonts w:cstheme="minorHAnsi"/>
              </w:rPr>
              <w:t>38.6</w:t>
            </w:r>
          </w:p>
        </w:tc>
        <w:tc>
          <w:tcPr>
            <w:tcW w:w="996" w:type="dxa"/>
            <w:tcBorders>
              <w:top w:val="nil"/>
              <w:left w:val="nil"/>
              <w:bottom w:val="nil"/>
              <w:right w:val="nil"/>
            </w:tcBorders>
            <w:shd w:val="clear" w:color="auto" w:fill="D2EDFF" w:themeFill="accent1" w:themeFillTint="1A"/>
          </w:tcPr>
          <w:p w14:paraId="58F70273" w14:textId="427D1C1D" w:rsidR="003F4980" w:rsidRPr="00E20618" w:rsidRDefault="003F4980" w:rsidP="000649FA">
            <w:pPr>
              <w:pStyle w:val="TableTextLeft"/>
              <w:jc w:val="right"/>
              <w:rPr>
                <w:rFonts w:cstheme="minorHAnsi"/>
              </w:rPr>
            </w:pPr>
            <w:r w:rsidRPr="00E20618">
              <w:rPr>
                <w:rFonts w:cstheme="minorHAnsi"/>
              </w:rPr>
              <w:t>38.8</w:t>
            </w:r>
          </w:p>
        </w:tc>
        <w:tc>
          <w:tcPr>
            <w:tcW w:w="996" w:type="dxa"/>
            <w:tcBorders>
              <w:top w:val="nil"/>
              <w:left w:val="nil"/>
              <w:bottom w:val="nil"/>
              <w:right w:val="nil"/>
            </w:tcBorders>
          </w:tcPr>
          <w:p w14:paraId="1725DCBB" w14:textId="74319498" w:rsidR="003F4980" w:rsidRPr="00E20618" w:rsidRDefault="003F4980" w:rsidP="000649FA">
            <w:pPr>
              <w:pStyle w:val="TableTextLeft"/>
              <w:jc w:val="right"/>
              <w:rPr>
                <w:rFonts w:cstheme="minorHAnsi"/>
              </w:rPr>
            </w:pPr>
            <w:r w:rsidRPr="00E20618">
              <w:rPr>
                <w:rFonts w:cstheme="minorHAnsi"/>
              </w:rPr>
              <w:t>39</w:t>
            </w:r>
          </w:p>
        </w:tc>
        <w:tc>
          <w:tcPr>
            <w:tcW w:w="996" w:type="dxa"/>
            <w:tcBorders>
              <w:top w:val="nil"/>
              <w:left w:val="nil"/>
              <w:bottom w:val="nil"/>
              <w:right w:val="nil"/>
            </w:tcBorders>
          </w:tcPr>
          <w:p w14:paraId="2291BB71" w14:textId="081C7CE2" w:rsidR="003F4980" w:rsidRPr="00E20618" w:rsidRDefault="003F4980" w:rsidP="000649FA">
            <w:pPr>
              <w:pStyle w:val="TableTextLeft"/>
              <w:jc w:val="right"/>
              <w:rPr>
                <w:rFonts w:cstheme="minorHAnsi"/>
              </w:rPr>
            </w:pPr>
            <w:r w:rsidRPr="00E20618">
              <w:rPr>
                <w:rFonts w:cstheme="minorHAnsi"/>
              </w:rPr>
              <w:t>39.3</w:t>
            </w:r>
          </w:p>
        </w:tc>
        <w:tc>
          <w:tcPr>
            <w:tcW w:w="996" w:type="dxa"/>
            <w:tcBorders>
              <w:top w:val="nil"/>
              <w:left w:val="nil"/>
              <w:bottom w:val="nil"/>
              <w:right w:val="single" w:sz="4" w:space="0" w:color="auto"/>
            </w:tcBorders>
          </w:tcPr>
          <w:p w14:paraId="4BD098CB" w14:textId="4C244377" w:rsidR="003F4980" w:rsidRPr="00E20618" w:rsidRDefault="003F4980" w:rsidP="000649FA">
            <w:pPr>
              <w:pStyle w:val="TableTextLeft"/>
              <w:jc w:val="right"/>
              <w:rPr>
                <w:rFonts w:cstheme="minorHAnsi"/>
              </w:rPr>
            </w:pPr>
            <w:r w:rsidRPr="00E20618">
              <w:rPr>
                <w:rFonts w:cstheme="minorHAnsi"/>
              </w:rPr>
              <w:t>39.6</w:t>
            </w:r>
          </w:p>
        </w:tc>
        <w:tc>
          <w:tcPr>
            <w:tcW w:w="996" w:type="dxa"/>
            <w:tcBorders>
              <w:top w:val="nil"/>
              <w:left w:val="single" w:sz="4" w:space="0" w:color="auto"/>
              <w:bottom w:val="nil"/>
              <w:right w:val="nil"/>
            </w:tcBorders>
          </w:tcPr>
          <w:p w14:paraId="1C828D2C" w14:textId="10A5751E" w:rsidR="003F4980" w:rsidRPr="00E20618" w:rsidRDefault="003F4980" w:rsidP="000649FA">
            <w:pPr>
              <w:pStyle w:val="TableTextLeft"/>
              <w:jc w:val="right"/>
              <w:rPr>
                <w:rFonts w:cstheme="minorHAnsi"/>
              </w:rPr>
            </w:pPr>
            <w:r w:rsidRPr="00E20618">
              <w:rPr>
                <w:rFonts w:cstheme="minorHAnsi"/>
              </w:rPr>
              <w:t>41.9</w:t>
            </w:r>
          </w:p>
        </w:tc>
      </w:tr>
      <w:tr w:rsidR="003F4980" w:rsidRPr="00485E58" w14:paraId="32EED9CE" w14:textId="77777777" w:rsidTr="00854EAB">
        <w:tc>
          <w:tcPr>
            <w:tcW w:w="3096" w:type="dxa"/>
            <w:tcBorders>
              <w:bottom w:val="single" w:sz="4" w:space="0" w:color="auto"/>
            </w:tcBorders>
          </w:tcPr>
          <w:p w14:paraId="4920EEE8" w14:textId="77777777" w:rsidR="003F4980" w:rsidRPr="00363EFE" w:rsidRDefault="003F4980" w:rsidP="001F0F1C">
            <w:pPr>
              <w:pStyle w:val="Tabletextleftindent"/>
              <w:rPr>
                <w:color w:val="002C47" w:themeColor="accent1"/>
              </w:rPr>
            </w:pPr>
            <w:r w:rsidRPr="00363EFE">
              <w:rPr>
                <w:color w:val="002C47" w:themeColor="accent1"/>
              </w:rPr>
              <w:t>Rest of Tasmania</w:t>
            </w:r>
          </w:p>
        </w:tc>
        <w:tc>
          <w:tcPr>
            <w:tcW w:w="996" w:type="dxa"/>
            <w:tcBorders>
              <w:top w:val="nil"/>
              <w:left w:val="nil"/>
              <w:bottom w:val="single" w:sz="4" w:space="0" w:color="auto"/>
              <w:right w:val="nil"/>
            </w:tcBorders>
          </w:tcPr>
          <w:p w14:paraId="0F7A09B5" w14:textId="0104E794" w:rsidR="003F4980" w:rsidRPr="00E20618" w:rsidRDefault="003F4980" w:rsidP="000649FA">
            <w:pPr>
              <w:pStyle w:val="TableTextLeft"/>
              <w:jc w:val="right"/>
              <w:rPr>
                <w:rFonts w:cstheme="minorHAnsi"/>
              </w:rPr>
            </w:pPr>
            <w:r w:rsidRPr="00E20618">
              <w:rPr>
                <w:rFonts w:cstheme="minorHAnsi"/>
              </w:rPr>
              <w:t>44.4</w:t>
            </w:r>
          </w:p>
        </w:tc>
        <w:tc>
          <w:tcPr>
            <w:tcW w:w="996" w:type="dxa"/>
            <w:tcBorders>
              <w:top w:val="nil"/>
              <w:left w:val="nil"/>
              <w:bottom w:val="single" w:sz="4" w:space="0" w:color="auto"/>
              <w:right w:val="nil"/>
            </w:tcBorders>
            <w:shd w:val="clear" w:color="auto" w:fill="D2EDFF" w:themeFill="accent1" w:themeFillTint="1A"/>
          </w:tcPr>
          <w:p w14:paraId="57D32CE9" w14:textId="686C999E" w:rsidR="003F4980" w:rsidRPr="00E20618" w:rsidRDefault="003F4980" w:rsidP="000649FA">
            <w:pPr>
              <w:pStyle w:val="TableTextLeft"/>
              <w:jc w:val="right"/>
              <w:rPr>
                <w:rFonts w:cstheme="minorHAnsi"/>
              </w:rPr>
            </w:pPr>
            <w:r w:rsidRPr="00E20618">
              <w:rPr>
                <w:rFonts w:cstheme="minorHAnsi"/>
              </w:rPr>
              <w:t>44.5</w:t>
            </w:r>
          </w:p>
        </w:tc>
        <w:tc>
          <w:tcPr>
            <w:tcW w:w="996" w:type="dxa"/>
            <w:tcBorders>
              <w:top w:val="nil"/>
              <w:left w:val="nil"/>
              <w:bottom w:val="single" w:sz="4" w:space="0" w:color="auto"/>
              <w:right w:val="nil"/>
            </w:tcBorders>
          </w:tcPr>
          <w:p w14:paraId="5B6EBD69" w14:textId="375172B1" w:rsidR="003F4980" w:rsidRPr="00E20618" w:rsidRDefault="003F4980" w:rsidP="000649FA">
            <w:pPr>
              <w:pStyle w:val="TableTextLeft"/>
              <w:jc w:val="right"/>
              <w:rPr>
                <w:rFonts w:cstheme="minorHAnsi"/>
              </w:rPr>
            </w:pPr>
            <w:r w:rsidRPr="00E20618">
              <w:rPr>
                <w:rFonts w:cstheme="minorHAnsi"/>
              </w:rPr>
              <w:t>44.6</w:t>
            </w:r>
          </w:p>
        </w:tc>
        <w:tc>
          <w:tcPr>
            <w:tcW w:w="996" w:type="dxa"/>
            <w:tcBorders>
              <w:top w:val="nil"/>
              <w:left w:val="nil"/>
              <w:bottom w:val="single" w:sz="4" w:space="0" w:color="auto"/>
              <w:right w:val="nil"/>
            </w:tcBorders>
          </w:tcPr>
          <w:p w14:paraId="42654C05" w14:textId="6F18949C" w:rsidR="003F4980" w:rsidRPr="00E20618" w:rsidRDefault="003F4980" w:rsidP="000649FA">
            <w:pPr>
              <w:pStyle w:val="TableTextLeft"/>
              <w:jc w:val="right"/>
              <w:rPr>
                <w:rFonts w:cstheme="minorHAnsi"/>
              </w:rPr>
            </w:pPr>
            <w:r w:rsidRPr="00E20618">
              <w:rPr>
                <w:rFonts w:cstheme="minorHAnsi"/>
              </w:rPr>
              <w:t>44.9</w:t>
            </w:r>
          </w:p>
        </w:tc>
        <w:tc>
          <w:tcPr>
            <w:tcW w:w="996" w:type="dxa"/>
            <w:tcBorders>
              <w:top w:val="nil"/>
              <w:left w:val="nil"/>
              <w:bottom w:val="single" w:sz="4" w:space="0" w:color="auto"/>
              <w:right w:val="single" w:sz="4" w:space="0" w:color="auto"/>
            </w:tcBorders>
          </w:tcPr>
          <w:p w14:paraId="432244B7" w14:textId="26A054DE" w:rsidR="003F4980" w:rsidRPr="00E20618" w:rsidRDefault="003F4980" w:rsidP="000649FA">
            <w:pPr>
              <w:pStyle w:val="TableTextLeft"/>
              <w:jc w:val="right"/>
              <w:rPr>
                <w:rFonts w:cstheme="minorHAnsi"/>
              </w:rPr>
            </w:pPr>
            <w:r w:rsidRPr="00E20618">
              <w:rPr>
                <w:rFonts w:cstheme="minorHAnsi"/>
              </w:rPr>
              <w:t>45.1</w:t>
            </w:r>
          </w:p>
        </w:tc>
        <w:tc>
          <w:tcPr>
            <w:tcW w:w="996" w:type="dxa"/>
            <w:tcBorders>
              <w:top w:val="nil"/>
              <w:left w:val="single" w:sz="4" w:space="0" w:color="auto"/>
              <w:bottom w:val="single" w:sz="4" w:space="0" w:color="auto"/>
              <w:right w:val="nil"/>
            </w:tcBorders>
          </w:tcPr>
          <w:p w14:paraId="14B305B6" w14:textId="30854F3B" w:rsidR="003F4980" w:rsidRPr="00E20618" w:rsidRDefault="003F4980" w:rsidP="000649FA">
            <w:pPr>
              <w:pStyle w:val="TableTextLeft"/>
              <w:jc w:val="right"/>
              <w:rPr>
                <w:rFonts w:cstheme="minorHAnsi"/>
              </w:rPr>
            </w:pPr>
            <w:r w:rsidRPr="00E20618">
              <w:rPr>
                <w:rFonts w:cstheme="minorHAnsi"/>
              </w:rPr>
              <w:t>46.8</w:t>
            </w:r>
          </w:p>
        </w:tc>
      </w:tr>
    </w:tbl>
    <w:p w14:paraId="102680A4" w14:textId="75EA707B" w:rsidR="00CD158B" w:rsidRPr="00F44C6E" w:rsidRDefault="00CD158B" w:rsidP="00CD158B">
      <w:pPr>
        <w:pStyle w:val="Source"/>
      </w:pPr>
      <w:r w:rsidRPr="00485E58">
        <w:t xml:space="preserve">Source: </w:t>
      </w:r>
      <w:r w:rsidR="00F04148">
        <w:rPr>
          <w:noProof/>
        </w:rPr>
        <w:t>Australian Bureau of Statistics, National, state and territory population, March 2022, 2022</w:t>
      </w:r>
      <w:r w:rsidR="004C49AF">
        <w:t>;</w:t>
      </w:r>
      <w:r w:rsidRPr="00485E58">
        <w:t xml:space="preserve"> </w:t>
      </w:r>
      <w:r w:rsidR="00F04148">
        <w:rPr>
          <w:noProof/>
        </w:rPr>
        <w:t>Australian Bureau of Statistics, Regional population, 2022</w:t>
      </w:r>
      <w:r w:rsidRPr="00485E58">
        <w:t xml:space="preserve"> and Centre for Population projections.</w:t>
      </w:r>
    </w:p>
    <w:p w14:paraId="1817AC7B" w14:textId="77777777" w:rsidR="009017AC" w:rsidRDefault="009017AC">
      <w:pPr>
        <w:spacing w:before="0" w:after="160" w:line="259" w:lineRule="auto"/>
      </w:pPr>
      <w:r>
        <w:br w:type="page"/>
      </w:r>
    </w:p>
    <w:p w14:paraId="5FBD2F56" w14:textId="5F0E0A3C" w:rsidR="00472C9A" w:rsidRDefault="00472C9A" w:rsidP="0039767A">
      <w:pPr>
        <w:pStyle w:val="Heading2Numbered"/>
      </w:pPr>
      <w:bookmarkStart w:id="183" w:name="_Toc122618385"/>
      <w:r>
        <w:lastRenderedPageBreak/>
        <w:t>Northern Territory</w:t>
      </w:r>
      <w:bookmarkEnd w:id="183"/>
    </w:p>
    <w:p w14:paraId="4FB2EE6E" w14:textId="139D2A22" w:rsidR="009949F1" w:rsidRPr="009949F1" w:rsidRDefault="009949F1" w:rsidP="0039767A">
      <w:bookmarkStart w:id="184" w:name="_Hlk116581112"/>
      <w:r w:rsidRPr="009949F1">
        <w:t xml:space="preserve">The population of the Northern Territory on 30 June 2021 was 249,000. Population growth increased from </w:t>
      </w:r>
      <w:r w:rsidRPr="009949F1">
        <w:noBreakHyphen/>
        <w:t xml:space="preserve">0.1 per cent in 2018–19 to 0.3 per cent in 2019–20. It was the only jurisdiction to increase population growth early in the pandemic. After population growth moderated to 0.1 per cent in 2020–21, it is forecast to reach 2.2 per cent in 2021–22. Population growth is projected to </w:t>
      </w:r>
      <w:proofErr w:type="gramStart"/>
      <w:r w:rsidRPr="009949F1">
        <w:t>then slowly decline to</w:t>
      </w:r>
      <w:proofErr w:type="gramEnd"/>
      <w:r w:rsidRPr="009949F1">
        <w:t xml:space="preserve"> 1.2 per cent in 2032</w:t>
      </w:r>
      <w:r w:rsidR="00917DFF">
        <w:sym w:font="Symbol" w:char="F02D"/>
      </w:r>
      <w:r w:rsidRPr="009949F1">
        <w:t xml:space="preserve">33, when the Northern Territory’s population is projected to reach 293,000. However, like Western Australia, population growth in the Northern Territory is highly variable and </w:t>
      </w:r>
      <w:r w:rsidR="00E552D6">
        <w:t xml:space="preserve">is impacted by </w:t>
      </w:r>
      <w:r w:rsidRPr="009949F1">
        <w:t>changes in economic conditions.</w:t>
      </w:r>
    </w:p>
    <w:p w14:paraId="7769F94B" w14:textId="180841A2" w:rsidR="00927644" w:rsidRPr="009949F1" w:rsidRDefault="00927644" w:rsidP="0039767A">
      <w:pPr>
        <w:rPr>
          <w:rStyle w:val="Hyperlink"/>
          <w:color w:val="auto"/>
        </w:rPr>
      </w:pPr>
      <w:r w:rsidRPr="009949F1">
        <w:t>Net overseas migration to the Northern Territory is forecast to increase to 2,100 by 2023</w:t>
      </w:r>
      <w:r w:rsidR="0033101B" w:rsidRPr="009949F1">
        <w:t>–</w:t>
      </w:r>
      <w:r w:rsidRPr="009949F1">
        <w:t xml:space="preserve">24. Flows of </w:t>
      </w:r>
      <w:r w:rsidR="00574A44" w:rsidRPr="009949F1">
        <w:t>overseas</w:t>
      </w:r>
      <w:r w:rsidRPr="009949F1">
        <w:t xml:space="preserve"> migrants to the Northern Territory are more diverse than in larger states</w:t>
      </w:r>
      <w:r w:rsidR="00967918" w:rsidRPr="009949F1">
        <w:t>. S</w:t>
      </w:r>
      <w:r w:rsidRPr="009949F1">
        <w:t xml:space="preserve">killed permanent migrants are forecast to contribute most strongly to the recovery of overseas migration. Net overseas migration is forecast to contribute 0.8 </w:t>
      </w:r>
      <w:r w:rsidR="008F7993" w:rsidRPr="009949F1">
        <w:t>percent</w:t>
      </w:r>
      <w:r w:rsidR="00AF15B5">
        <w:t>age points</w:t>
      </w:r>
      <w:r w:rsidRPr="009949F1">
        <w:t xml:space="preserve"> to the Northern Territory’s population growth rate</w:t>
      </w:r>
      <w:r w:rsidRPr="009949F1">
        <w:rPr>
          <w:b/>
          <w:bCs/>
        </w:rPr>
        <w:t xml:space="preserve"> </w:t>
      </w:r>
      <w:r w:rsidRPr="009949F1">
        <w:t>in 2025</w:t>
      </w:r>
      <w:r w:rsidR="0033101B" w:rsidRPr="009949F1">
        <w:t>–</w:t>
      </w:r>
      <w:r w:rsidRPr="009949F1">
        <w:t xml:space="preserve">26, up from </w:t>
      </w:r>
      <w:r w:rsidR="00AF15B5">
        <w:noBreakHyphen/>
      </w:r>
      <w:r w:rsidRPr="009949F1">
        <w:t>0.2</w:t>
      </w:r>
      <w:r w:rsidRPr="009949F1">
        <w:rPr>
          <w:b/>
          <w:bCs/>
        </w:rPr>
        <w:t xml:space="preserve"> </w:t>
      </w:r>
      <w:r w:rsidRPr="009949F1">
        <w:t>in 2020</w:t>
      </w:r>
      <w:r w:rsidR="00967918" w:rsidRPr="009949F1">
        <w:sym w:font="Symbol" w:char="F02D"/>
      </w:r>
      <w:r w:rsidRPr="009949F1">
        <w:t xml:space="preserve">21. </w:t>
      </w:r>
      <w:r w:rsidR="00967918" w:rsidRPr="009949F1">
        <w:t>T</w:t>
      </w:r>
      <w:r w:rsidRPr="009949F1">
        <w:t xml:space="preserve">he Northern Territory’s </w:t>
      </w:r>
      <w:r w:rsidR="00574A44" w:rsidRPr="009949F1">
        <w:t>national</w:t>
      </w:r>
      <w:r w:rsidRPr="009949F1">
        <w:t xml:space="preserve"> share of </w:t>
      </w:r>
      <w:r w:rsidR="00574A44" w:rsidRPr="009949F1">
        <w:t>net overseas</w:t>
      </w:r>
      <w:r w:rsidRPr="009949F1">
        <w:t xml:space="preserve"> migration is forecast to remain steady</w:t>
      </w:r>
      <w:r w:rsidR="00967918" w:rsidRPr="009949F1">
        <w:t xml:space="preserve"> over the projection period</w:t>
      </w:r>
      <w:r w:rsidRPr="009949F1">
        <w:t xml:space="preserve"> at 0.9 per cent. </w:t>
      </w:r>
      <w:bookmarkEnd w:id="184"/>
    </w:p>
    <w:p w14:paraId="093BFA10" w14:textId="43BDF254" w:rsidR="00027AC6" w:rsidRPr="009949F1" w:rsidRDefault="00027AC6" w:rsidP="0039767A">
      <w:bookmarkStart w:id="185" w:name="_Ref115341013"/>
      <w:r w:rsidRPr="009949F1">
        <w:rPr>
          <w:rFonts w:eastAsiaTheme="minorHAnsi"/>
        </w:rPr>
        <w:t>Natural increase is expected to</w:t>
      </w:r>
      <w:r w:rsidRPr="009949F1">
        <w:t xml:space="preserve"> continue</w:t>
      </w:r>
      <w:r w:rsidRPr="009949F1">
        <w:rPr>
          <w:rFonts w:eastAsiaTheme="minorHAnsi"/>
        </w:rPr>
        <w:t xml:space="preserve"> to make the largest contribution to the Northern Territory’s population growth </w:t>
      </w:r>
      <w:r w:rsidRPr="009949F1">
        <w:t xml:space="preserve">over the projection period. </w:t>
      </w:r>
      <w:r w:rsidR="00A35173" w:rsidRPr="009949F1">
        <w:t xml:space="preserve">This reflects its high fertility rate and younger population. The median age in the Northern Territory was 33.4 years in 2020–21. </w:t>
      </w:r>
      <w:r w:rsidRPr="009949F1">
        <w:t xml:space="preserve">It is </w:t>
      </w:r>
      <w:r w:rsidR="00D93672">
        <w:t>5</w:t>
      </w:r>
      <w:r w:rsidRPr="009949F1">
        <w:t xml:space="preserve"> years lower than the national median age. The median age is expected to reach 3</w:t>
      </w:r>
      <w:r w:rsidR="00B4343B">
        <w:t>5.7</w:t>
      </w:r>
      <w:r w:rsidRPr="009949F1">
        <w:t xml:space="preserve"> years by 2032–33. While natural increase is expected to </w:t>
      </w:r>
      <w:r w:rsidR="00C43848" w:rsidRPr="009949F1">
        <w:t>decrease</w:t>
      </w:r>
      <w:r w:rsidRPr="009949F1">
        <w:t xml:space="preserve"> during 2021–22 and</w:t>
      </w:r>
      <w:r w:rsidR="00D93672">
        <w:t xml:space="preserve"> remain low in</w:t>
      </w:r>
      <w:r w:rsidRPr="009949F1">
        <w:t xml:space="preserve"> 2022–23 due to a rise in the number of deaths, it is expected to </w:t>
      </w:r>
      <w:r w:rsidR="00D93672">
        <w:t xml:space="preserve">begin to </w:t>
      </w:r>
      <w:r w:rsidRPr="009949F1">
        <w:t>recover from 202</w:t>
      </w:r>
      <w:r w:rsidR="00D93672">
        <w:t>2</w:t>
      </w:r>
      <w:r w:rsidRPr="009949F1">
        <w:t>–2</w:t>
      </w:r>
      <w:r w:rsidR="00D93672">
        <w:t>3</w:t>
      </w:r>
      <w:r w:rsidRPr="009949F1">
        <w:t xml:space="preserve">. </w:t>
      </w:r>
      <w:r w:rsidR="007D1CD2" w:rsidRPr="009949F1">
        <w:t>In</w:t>
      </w:r>
      <w:r w:rsidRPr="009949F1">
        <w:t xml:space="preserve"> line with broader national trends, fertility rates are projected to gradually decrease from 2025–26.</w:t>
      </w:r>
    </w:p>
    <w:p w14:paraId="70B63217" w14:textId="06D266B7" w:rsidR="009949F1" w:rsidRPr="00485E58" w:rsidRDefault="009949F1" w:rsidP="0039767A">
      <w:r w:rsidRPr="009949F1">
        <w:t>Net interstate migration</w:t>
      </w:r>
      <w:r w:rsidR="00077C32">
        <w:t xml:space="preserve"> to the Northern Territory, which has generally been negative in recent years,</w:t>
      </w:r>
      <w:r w:rsidRPr="009949F1">
        <w:t xml:space="preserve"> is </w:t>
      </w:r>
      <w:r w:rsidR="00077C32">
        <w:t>forecast</w:t>
      </w:r>
      <w:r w:rsidR="00077C32" w:rsidRPr="009949F1">
        <w:t xml:space="preserve"> </w:t>
      </w:r>
      <w:r w:rsidRPr="009949F1">
        <w:t>to reach 1,000 in</w:t>
      </w:r>
      <w:r w:rsidRPr="009949F1">
        <w:rPr>
          <w:i/>
          <w:iCs/>
        </w:rPr>
        <w:t xml:space="preserve"> </w:t>
      </w:r>
      <w:r w:rsidRPr="009949F1">
        <w:t>2021–22</w:t>
      </w:r>
      <w:r w:rsidR="00077C32">
        <w:t>. This is due to significantly fewer</w:t>
      </w:r>
      <w:r w:rsidR="0078357C">
        <w:t xml:space="preserve"> expected</w:t>
      </w:r>
      <w:r w:rsidR="00077C32">
        <w:t xml:space="preserve"> departures of interstate migrants</w:t>
      </w:r>
      <w:r w:rsidR="0078357C">
        <w:t xml:space="preserve"> </w:t>
      </w:r>
      <w:r w:rsidR="00077C32">
        <w:t>due to lockdowns in other jurisdictions</w:t>
      </w:r>
      <w:r w:rsidRPr="009949F1">
        <w:t>. After this</w:t>
      </w:r>
      <w:r w:rsidR="0078357C">
        <w:t>,</w:t>
      </w:r>
      <w:r w:rsidRPr="009949F1">
        <w:t xml:space="preserve"> net interstate migration </w:t>
      </w:r>
      <w:r w:rsidR="00077C32">
        <w:t xml:space="preserve">to </w:t>
      </w:r>
      <w:r w:rsidRPr="009949F1">
        <w:t xml:space="preserve">the Northern Territory is projected to return to long-run trends, </w:t>
      </w:r>
      <w:r w:rsidR="00077C32">
        <w:t xml:space="preserve">falling </w:t>
      </w:r>
      <w:r w:rsidR="00077C32" w:rsidRPr="009949F1">
        <w:t>to</w:t>
      </w:r>
      <w:r w:rsidRPr="009949F1">
        <w:t xml:space="preserve"> 1,300</w:t>
      </w:r>
      <w:r w:rsidRPr="009949F1">
        <w:rPr>
          <w:i/>
          <w:iCs/>
        </w:rPr>
        <w:t xml:space="preserve"> </w:t>
      </w:r>
      <w:r w:rsidRPr="009949F1">
        <w:t>in 2023–24 and remaining at similar levels thereafter.</w:t>
      </w:r>
      <w:r w:rsidRPr="00485E58">
        <w:t xml:space="preserve"> </w:t>
      </w:r>
    </w:p>
    <w:p w14:paraId="712B9969" w14:textId="77777777" w:rsidR="00CD158B" w:rsidRPr="00485E58" w:rsidRDefault="00CD158B" w:rsidP="00CD158B">
      <w:pPr>
        <w:pStyle w:val="Heading9"/>
      </w:pPr>
      <w:bookmarkStart w:id="186" w:name="_Ref120633121"/>
      <w:r w:rsidRPr="00485E58">
        <w:t>Population growth and components, Northern Territory</w:t>
      </w:r>
      <w:bookmarkEnd w:id="185"/>
      <w:bookmarkEnd w:id="186"/>
    </w:p>
    <w:p w14:paraId="30A93613" w14:textId="1443214A" w:rsidR="00CD158B" w:rsidRPr="00485E58" w:rsidRDefault="00C279EC" w:rsidP="001A3279">
      <w:pPr>
        <w:jc w:val="center"/>
      </w:pPr>
      <w:r w:rsidRPr="00C279EC">
        <w:rPr>
          <w:noProof/>
        </w:rPr>
        <w:drawing>
          <wp:inline distT="0" distB="0" distL="0" distR="0" wp14:anchorId="0E857E3B" wp14:editId="0D0A12F8">
            <wp:extent cx="5581650" cy="2524125"/>
            <wp:effectExtent l="0" t="0" r="0" b="0"/>
            <wp:docPr id="99" name="Picture 99" descr="A chart showing total population growth in the Northern Territory, disaggregated into its components: natural increase, net overseas migration, and net interstate migration. Intercensal difference is also shown. Population growth was relatively low until 2020-21 but is forecast to grow sharply in 2021-22. It is then projected to decline slightly in 2022-23 before remaining relatively stable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chart showing total population growth in the Northern Territory, disaggregated into its components: natural increase, net overseas migration, and net interstate migration. Intercensal difference is also shown. Population growth was relatively low until 2020-21 but is forecast to grow sharply in 2021-22. It is then projected to decline slightly in 2022-23 before remaining relatively stable through to 2032-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668C4427" w14:textId="68166388" w:rsidR="00CD158B" w:rsidRPr="00485E58" w:rsidRDefault="00CD158B" w:rsidP="00CD158B">
      <w:pPr>
        <w:pStyle w:val="Source"/>
        <w:rPr>
          <w:rStyle w:val="Hyperlink"/>
        </w:rPr>
      </w:pPr>
      <w:r w:rsidRPr="00485E58">
        <w:t xml:space="preserve">Source: </w:t>
      </w:r>
      <w:r w:rsidR="00193D2D">
        <w:rPr>
          <w:noProof/>
        </w:rPr>
        <w:t>Australian Bureau of Statistics, National, state and territory population, March 2022, 2022</w:t>
      </w:r>
      <w:r w:rsidRPr="00485E58">
        <w:t xml:space="preserve"> and Centre for Population projections.</w:t>
      </w:r>
      <w:r w:rsidR="00F211BF" w:rsidRPr="00485E58" w:rsidDel="00F211BF">
        <w:t xml:space="preserve"> </w:t>
      </w:r>
    </w:p>
    <w:p w14:paraId="60589019" w14:textId="77777777" w:rsidR="009949F1" w:rsidRDefault="009949F1">
      <w:pPr>
        <w:spacing w:before="0" w:after="160" w:line="259" w:lineRule="auto"/>
        <w:rPr>
          <w:b/>
          <w:smallCaps/>
          <w:color w:val="002C47" w:themeColor="accent1"/>
          <w:spacing w:val="15"/>
        </w:rPr>
      </w:pPr>
      <w:r>
        <w:br w:type="page"/>
      </w:r>
    </w:p>
    <w:p w14:paraId="0B87CB16" w14:textId="44E3559F" w:rsidR="000E6EBD" w:rsidRPr="00485E58" w:rsidRDefault="000E6EBD" w:rsidP="009D5E0B">
      <w:pPr>
        <w:pStyle w:val="Heading3"/>
      </w:pPr>
      <w:bookmarkStart w:id="187" w:name="_Toc120635126"/>
      <w:bookmarkStart w:id="188" w:name="_Toc122617959"/>
      <w:bookmarkStart w:id="189" w:name="_Toc122618386"/>
      <w:r w:rsidRPr="00485E58">
        <w:lastRenderedPageBreak/>
        <w:t>Greater Darwin and the Rest of the Northern Territory</w:t>
      </w:r>
      <w:bookmarkEnd w:id="187"/>
      <w:bookmarkEnd w:id="188"/>
      <w:bookmarkEnd w:id="189"/>
    </w:p>
    <w:p w14:paraId="16902463" w14:textId="7FEEA886" w:rsidR="00977581" w:rsidRPr="00977581" w:rsidRDefault="00977581" w:rsidP="0039767A">
      <w:r w:rsidRPr="00977581">
        <w:t>The population of Greater Darwin was 149,000 on 30 June 2021. This represents 60 per cent of the population of the Northern Territory. Darwin experienced slow population growth before the pandemic, but is forecast to grow by 2.6 per cent in 2021–22 due to the return of overseas migration and higher net internal migration. Population growth is projected to decline slightly to 1.9 per cent in 2022–23 and then slow to 1.4 per cent by 2032–33. Darwin’s population is projected to be 18</w:t>
      </w:r>
      <w:r w:rsidR="00FE4E71">
        <w:t>2</w:t>
      </w:r>
      <w:r w:rsidRPr="00977581">
        <w:t xml:space="preserve">,000 in 2032–33. </w:t>
      </w:r>
    </w:p>
    <w:p w14:paraId="32D0998C" w14:textId="75E6C118" w:rsidR="00977581" w:rsidRPr="00485E58" w:rsidRDefault="00977581" w:rsidP="0039767A">
      <w:r w:rsidRPr="00977581">
        <w:t>The rest of the Northern Territory had a population of 100,000 on 30 June 2021. The population of the rest of the Northern Territory is the youngest jurisdiction in Australia and is projected to be 2.7 years younger than Darwin (the second youngest area) in 2021-22. Population growth in the rest of the Northern Territory remained relatively steady in the early years of the pandemic. It increased from 0.3 per cent in 2018–19 to 0.5</w:t>
      </w:r>
      <w:r w:rsidR="00C3334D">
        <w:t> </w:t>
      </w:r>
      <w:r w:rsidRPr="00977581">
        <w:t>per cent in 2019</w:t>
      </w:r>
      <w:r w:rsidR="00EF30A0">
        <w:t>–</w:t>
      </w:r>
      <w:r w:rsidRPr="00977581">
        <w:t>20, before declining to 0.3 per cent in 2020–21. Growth is forecast to increase to 1.5 per</w:t>
      </w:r>
      <w:r w:rsidR="00895C95">
        <w:t> </w:t>
      </w:r>
      <w:r w:rsidRPr="00977581">
        <w:t xml:space="preserve">cent in 2021–22 due to increased overseas and internal migration, and then decline to 0.5 per cent in 2023–24. Growth is </w:t>
      </w:r>
      <w:r w:rsidR="0078357C">
        <w:t xml:space="preserve">then </w:t>
      </w:r>
      <w:r w:rsidRPr="00977581">
        <w:t>projected to slowly increase to 0.9 per cent in 2032–33, when the population is projected to be 110,000.</w:t>
      </w:r>
    </w:p>
    <w:p w14:paraId="747C74AF" w14:textId="081F87C4" w:rsidR="000E6EBD" w:rsidRPr="00485E58" w:rsidRDefault="000E6EBD" w:rsidP="00FC0158">
      <w:pPr>
        <w:pStyle w:val="Heading9"/>
        <w:ind w:left="964" w:hanging="964"/>
      </w:pPr>
      <w:r w:rsidRPr="00485E58">
        <w:t xml:space="preserve">Population growth in the Northern Territory, Greater Darwin and the Rest of </w:t>
      </w:r>
      <w:r w:rsidR="00EB17BD" w:rsidRPr="00485E58">
        <w:t>the Northern</w:t>
      </w:r>
      <w:r w:rsidRPr="00485E58">
        <w:t xml:space="preserve"> Territory</w:t>
      </w:r>
    </w:p>
    <w:p w14:paraId="659559CE" w14:textId="38FFDE1B" w:rsidR="000E6EBD" w:rsidRPr="00485E58" w:rsidRDefault="00894F9D" w:rsidP="000E6EBD">
      <w:pPr>
        <w:spacing w:after="0"/>
        <w:jc w:val="center"/>
      </w:pPr>
      <w:r w:rsidRPr="00894F9D">
        <w:t xml:space="preserve"> </w:t>
      </w:r>
      <w:r w:rsidR="00D6550C" w:rsidRPr="00D6550C">
        <w:rPr>
          <w:noProof/>
        </w:rPr>
        <w:drawing>
          <wp:inline distT="0" distB="0" distL="0" distR="0" wp14:anchorId="369CFA6B" wp14:editId="5BFC9317">
            <wp:extent cx="5581650" cy="2524125"/>
            <wp:effectExtent l="0" t="0" r="0" b="0"/>
            <wp:docPr id="100" name="Picture 100" descr="A line chart showing population growth in the Northern Territory, Darwin, and the rest of the Northern Territory. Population growth was relatively low up until 2020-21. In 2021-22, growth is forecast to increase sharply in all 3 areas, before moderating by 2023-24. Population growth is then projected to decline slowly in Darwin and the Northern Territory, and slowly increase in the rest of the Northern Territory through to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line chart showing population growth in the Northern Territory, Darwin, and the rest of the Northern Territory. Population growth was relatively low up until 2020-21. In 2021-22, growth is forecast to increase sharply in all 3 areas, before moderating by 2023-24. Population growth is then projected to decline slowly in Darwin and the Northern Territory, and slowly increase in the rest of the Northern Territory through to 2032-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2DA313F8" w14:textId="0666C097" w:rsidR="000E6EBD" w:rsidRPr="00485E58" w:rsidRDefault="000E6EBD" w:rsidP="000E6EBD">
      <w:pPr>
        <w:pStyle w:val="Source"/>
      </w:pPr>
      <w:r w:rsidRPr="00485E58">
        <w:t xml:space="preserve">Source: </w:t>
      </w:r>
      <w:r w:rsidR="00193D2D">
        <w:rPr>
          <w:noProof/>
        </w:rPr>
        <w:t>Australian Bureau of Statistics, Regional population, 2022</w:t>
      </w:r>
      <w:r w:rsidR="004C49AF">
        <w:t>;</w:t>
      </w:r>
      <w:r w:rsidRPr="00485E58">
        <w:t xml:space="preserve"> </w:t>
      </w:r>
      <w:r w:rsidR="00193D2D">
        <w:rPr>
          <w:noProof/>
        </w:rPr>
        <w:t>Australian Bureau of Statistics, National, state and territory population, March 2022, 2022</w:t>
      </w:r>
      <w:r w:rsidRPr="00485E58">
        <w:t xml:space="preserve"> and Centre for Population projections.</w:t>
      </w:r>
      <w:r w:rsidR="00F211BF" w:rsidRPr="00485E58" w:rsidDel="00F211BF">
        <w:t xml:space="preserve"> </w:t>
      </w:r>
    </w:p>
    <w:p w14:paraId="0FEB2ADB" w14:textId="1E02044E" w:rsidR="00CD158B" w:rsidRPr="00485E58" w:rsidRDefault="00CD158B">
      <w:pPr>
        <w:spacing w:before="0" w:after="160" w:line="259" w:lineRule="auto"/>
      </w:pPr>
    </w:p>
    <w:p w14:paraId="58EFE868" w14:textId="77777777" w:rsidR="004F7906" w:rsidRDefault="004F7906">
      <w:pPr>
        <w:spacing w:before="0" w:after="160" w:line="259" w:lineRule="auto"/>
        <w:rPr>
          <w:b/>
          <w:bCs/>
          <w:smallCaps/>
          <w:color w:val="002C47" w:themeColor="accent1"/>
          <w:spacing w:val="15"/>
        </w:rPr>
      </w:pPr>
      <w:r>
        <w:br w:type="page"/>
      </w:r>
    </w:p>
    <w:p w14:paraId="1D22F721" w14:textId="1F09E055" w:rsidR="000E6EBD" w:rsidRPr="00485E58" w:rsidRDefault="000E6EBD" w:rsidP="005540BC">
      <w:pPr>
        <w:pStyle w:val="TableMainHeading"/>
      </w:pPr>
      <w:r w:rsidRPr="00485E58">
        <w:lastRenderedPageBreak/>
        <w:t>Population projections, Northern Territory</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0E6EBD" w:rsidRPr="00485E58" w14:paraId="4EA6AEF1" w14:textId="77777777" w:rsidTr="001F0F1C">
        <w:trPr>
          <w:cnfStyle w:val="100000000000" w:firstRow="1" w:lastRow="0" w:firstColumn="0" w:lastColumn="0" w:oddVBand="0" w:evenVBand="0" w:oddHBand="0" w:evenHBand="0" w:firstRowFirstColumn="0" w:firstRowLastColumn="0" w:lastRowFirstColumn="0" w:lastRowLastColumn="0"/>
        </w:trPr>
        <w:tc>
          <w:tcPr>
            <w:tcW w:w="3096" w:type="dxa"/>
          </w:tcPr>
          <w:p w14:paraId="616F7332" w14:textId="77777777" w:rsidR="000E6EBD" w:rsidRPr="00485E58" w:rsidRDefault="000E6EBD" w:rsidP="00676947">
            <w:pPr>
              <w:spacing w:after="0"/>
            </w:pPr>
          </w:p>
        </w:tc>
        <w:tc>
          <w:tcPr>
            <w:tcW w:w="996" w:type="dxa"/>
          </w:tcPr>
          <w:p w14:paraId="0BA32693" w14:textId="2ACAB318" w:rsidR="000E6EBD" w:rsidRPr="00485E58" w:rsidRDefault="000E6EBD" w:rsidP="002C06DC">
            <w:pPr>
              <w:pStyle w:val="TableColumnHeadingLeft"/>
            </w:pPr>
            <w:r w:rsidRPr="00485E58">
              <w:t>2020</w:t>
            </w:r>
            <w:r w:rsidR="0033101B">
              <w:t>–</w:t>
            </w:r>
            <w:r w:rsidRPr="00485E58">
              <w:t>21</w:t>
            </w:r>
          </w:p>
        </w:tc>
        <w:tc>
          <w:tcPr>
            <w:tcW w:w="996" w:type="dxa"/>
            <w:shd w:val="clear" w:color="auto" w:fill="D2EDFF" w:themeFill="accent1" w:themeFillTint="1A"/>
          </w:tcPr>
          <w:p w14:paraId="0D0B8DFA" w14:textId="3D456EFE" w:rsidR="000E6EBD" w:rsidRPr="00485E58" w:rsidRDefault="000E6EBD" w:rsidP="002C06DC">
            <w:pPr>
              <w:pStyle w:val="TableColumnHeadingLeft"/>
            </w:pPr>
            <w:r w:rsidRPr="00485E58">
              <w:t>2021</w:t>
            </w:r>
            <w:r w:rsidR="0033101B">
              <w:t>–</w:t>
            </w:r>
            <w:r w:rsidRPr="00485E58">
              <w:t>22</w:t>
            </w:r>
          </w:p>
        </w:tc>
        <w:tc>
          <w:tcPr>
            <w:tcW w:w="996" w:type="dxa"/>
          </w:tcPr>
          <w:p w14:paraId="0F52689F" w14:textId="2BBFE6DC" w:rsidR="000E6EBD" w:rsidRPr="00485E58" w:rsidRDefault="000E6EBD" w:rsidP="002C06DC">
            <w:pPr>
              <w:pStyle w:val="TableColumnHeadingLeft"/>
            </w:pPr>
            <w:r w:rsidRPr="00485E58">
              <w:t>2022</w:t>
            </w:r>
            <w:r w:rsidR="0033101B">
              <w:t>–</w:t>
            </w:r>
            <w:r w:rsidRPr="00485E58">
              <w:t>23</w:t>
            </w:r>
          </w:p>
        </w:tc>
        <w:tc>
          <w:tcPr>
            <w:tcW w:w="996" w:type="dxa"/>
          </w:tcPr>
          <w:p w14:paraId="67844319" w14:textId="7C083E90" w:rsidR="000E6EBD" w:rsidRPr="00485E58" w:rsidRDefault="000E6EBD" w:rsidP="002C06DC">
            <w:pPr>
              <w:pStyle w:val="TableColumnHeadingLeft"/>
            </w:pPr>
            <w:r w:rsidRPr="00485E58">
              <w:t>2023</w:t>
            </w:r>
            <w:r w:rsidR="0033101B">
              <w:t>–</w:t>
            </w:r>
            <w:r w:rsidRPr="00485E58">
              <w:t>24</w:t>
            </w:r>
          </w:p>
        </w:tc>
        <w:tc>
          <w:tcPr>
            <w:tcW w:w="996" w:type="dxa"/>
            <w:tcBorders>
              <w:right w:val="single" w:sz="4" w:space="0" w:color="auto"/>
            </w:tcBorders>
          </w:tcPr>
          <w:p w14:paraId="580EFDC8" w14:textId="635526CD" w:rsidR="000E6EBD" w:rsidRPr="00485E58" w:rsidRDefault="000E6EBD" w:rsidP="002C06DC">
            <w:pPr>
              <w:pStyle w:val="TableColumnHeadingLeft"/>
            </w:pPr>
            <w:r w:rsidRPr="00485E58">
              <w:t>2024</w:t>
            </w:r>
            <w:r w:rsidR="0033101B">
              <w:t>–</w:t>
            </w:r>
            <w:r w:rsidRPr="00485E58">
              <w:t>25</w:t>
            </w:r>
          </w:p>
        </w:tc>
        <w:tc>
          <w:tcPr>
            <w:tcW w:w="996" w:type="dxa"/>
            <w:tcBorders>
              <w:left w:val="single" w:sz="4" w:space="0" w:color="auto"/>
            </w:tcBorders>
          </w:tcPr>
          <w:p w14:paraId="522ACA7B" w14:textId="54BE767D" w:rsidR="000E6EBD" w:rsidRPr="00485E58" w:rsidRDefault="000E6EBD" w:rsidP="002C06DC">
            <w:pPr>
              <w:pStyle w:val="TableColumnHeadingLeft"/>
            </w:pPr>
            <w:r w:rsidRPr="00485E58">
              <w:t>2032</w:t>
            </w:r>
            <w:r w:rsidR="0033101B">
              <w:t>–</w:t>
            </w:r>
            <w:r w:rsidRPr="00485E58">
              <w:t>33</w:t>
            </w:r>
          </w:p>
        </w:tc>
      </w:tr>
      <w:tr w:rsidR="003F4980" w:rsidRPr="00485E58" w14:paraId="24BC08C6" w14:textId="77777777" w:rsidTr="00676947">
        <w:tc>
          <w:tcPr>
            <w:tcW w:w="3096" w:type="dxa"/>
          </w:tcPr>
          <w:p w14:paraId="6B9240B8" w14:textId="77777777" w:rsidR="003F4980" w:rsidRPr="00363EFE" w:rsidRDefault="003F4980" w:rsidP="001F0F1C">
            <w:pPr>
              <w:pStyle w:val="TableColumnHeadingLeft"/>
              <w:rPr>
                <w:color w:val="002C47" w:themeColor="accent1"/>
              </w:rPr>
            </w:pPr>
            <w:r w:rsidRPr="00363EFE">
              <w:rPr>
                <w:color w:val="002C47" w:themeColor="accent1"/>
              </w:rPr>
              <w:t>Population (‘000)</w:t>
            </w:r>
          </w:p>
        </w:tc>
        <w:tc>
          <w:tcPr>
            <w:tcW w:w="996" w:type="dxa"/>
          </w:tcPr>
          <w:p w14:paraId="64C9C5A2" w14:textId="77777777" w:rsidR="003F4980" w:rsidRPr="00E20618" w:rsidRDefault="003F4980" w:rsidP="001F0F1C">
            <w:pPr>
              <w:pStyle w:val="TableTextLeft"/>
            </w:pPr>
          </w:p>
        </w:tc>
        <w:tc>
          <w:tcPr>
            <w:tcW w:w="996" w:type="dxa"/>
            <w:shd w:val="clear" w:color="auto" w:fill="D2EDFF" w:themeFill="accent1" w:themeFillTint="1A"/>
          </w:tcPr>
          <w:p w14:paraId="2BAFBC2F" w14:textId="77777777" w:rsidR="003F4980" w:rsidRPr="00E20618" w:rsidRDefault="003F4980" w:rsidP="001F0F1C">
            <w:pPr>
              <w:pStyle w:val="TableTextLeft"/>
            </w:pPr>
          </w:p>
        </w:tc>
        <w:tc>
          <w:tcPr>
            <w:tcW w:w="996" w:type="dxa"/>
          </w:tcPr>
          <w:p w14:paraId="0FD312DF" w14:textId="77777777" w:rsidR="003F4980" w:rsidRPr="00E20618" w:rsidRDefault="003F4980" w:rsidP="001F0F1C">
            <w:pPr>
              <w:pStyle w:val="TableTextLeft"/>
            </w:pPr>
          </w:p>
        </w:tc>
        <w:tc>
          <w:tcPr>
            <w:tcW w:w="996" w:type="dxa"/>
          </w:tcPr>
          <w:p w14:paraId="2F87A68A" w14:textId="77777777" w:rsidR="003F4980" w:rsidRPr="00E20618" w:rsidRDefault="003F4980" w:rsidP="001F0F1C">
            <w:pPr>
              <w:pStyle w:val="TableTextLeft"/>
            </w:pPr>
          </w:p>
        </w:tc>
        <w:tc>
          <w:tcPr>
            <w:tcW w:w="996" w:type="dxa"/>
            <w:tcBorders>
              <w:right w:val="single" w:sz="4" w:space="0" w:color="auto"/>
            </w:tcBorders>
          </w:tcPr>
          <w:p w14:paraId="020CD873" w14:textId="77777777" w:rsidR="003F4980" w:rsidRPr="00E20618" w:rsidRDefault="003F4980" w:rsidP="001F0F1C">
            <w:pPr>
              <w:pStyle w:val="TableTextLeft"/>
            </w:pPr>
          </w:p>
        </w:tc>
        <w:tc>
          <w:tcPr>
            <w:tcW w:w="996" w:type="dxa"/>
            <w:tcBorders>
              <w:top w:val="single" w:sz="4" w:space="0" w:color="000000" w:themeColor="text1"/>
              <w:left w:val="single" w:sz="4" w:space="0" w:color="auto"/>
              <w:bottom w:val="nil"/>
            </w:tcBorders>
          </w:tcPr>
          <w:p w14:paraId="41D85EDD" w14:textId="77777777" w:rsidR="003F4980" w:rsidRPr="00E20618" w:rsidRDefault="003F4980" w:rsidP="001F0F1C">
            <w:pPr>
              <w:pStyle w:val="TableTextLeft"/>
            </w:pPr>
          </w:p>
        </w:tc>
      </w:tr>
      <w:tr w:rsidR="003F4980" w:rsidRPr="00485E58" w14:paraId="029191C5" w14:textId="77777777" w:rsidTr="00854EAB">
        <w:tc>
          <w:tcPr>
            <w:tcW w:w="3096" w:type="dxa"/>
          </w:tcPr>
          <w:p w14:paraId="5CA95F28"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68B46974" w14:textId="6F696664" w:rsidR="003F4980" w:rsidRPr="00E20618" w:rsidRDefault="003F4980" w:rsidP="000649FA">
            <w:pPr>
              <w:pStyle w:val="TableTextLeft"/>
              <w:jc w:val="right"/>
            </w:pPr>
            <w:r w:rsidRPr="00E20618">
              <w:rPr>
                <w:rFonts w:cstheme="minorHAnsi"/>
              </w:rPr>
              <w:t>249</w:t>
            </w:r>
          </w:p>
        </w:tc>
        <w:tc>
          <w:tcPr>
            <w:tcW w:w="996" w:type="dxa"/>
            <w:tcBorders>
              <w:top w:val="nil"/>
              <w:left w:val="nil"/>
              <w:bottom w:val="nil"/>
              <w:right w:val="nil"/>
            </w:tcBorders>
            <w:shd w:val="clear" w:color="auto" w:fill="D2EDFF" w:themeFill="accent1" w:themeFillTint="1A"/>
          </w:tcPr>
          <w:p w14:paraId="6C3E84DE" w14:textId="7ECBA046" w:rsidR="003F4980" w:rsidRPr="00E20618" w:rsidRDefault="003F4980" w:rsidP="000649FA">
            <w:pPr>
              <w:pStyle w:val="TableTextLeft"/>
              <w:jc w:val="right"/>
            </w:pPr>
            <w:r w:rsidRPr="00E20618">
              <w:rPr>
                <w:rFonts w:cstheme="minorHAnsi"/>
              </w:rPr>
              <w:t>255</w:t>
            </w:r>
          </w:p>
        </w:tc>
        <w:tc>
          <w:tcPr>
            <w:tcW w:w="996" w:type="dxa"/>
            <w:tcBorders>
              <w:top w:val="nil"/>
              <w:left w:val="nil"/>
              <w:bottom w:val="nil"/>
              <w:right w:val="nil"/>
            </w:tcBorders>
          </w:tcPr>
          <w:p w14:paraId="357C30E9" w14:textId="2ED528B6" w:rsidR="003F4980" w:rsidRPr="00E20618" w:rsidRDefault="003F4980" w:rsidP="000649FA">
            <w:pPr>
              <w:pStyle w:val="TableTextLeft"/>
              <w:jc w:val="right"/>
            </w:pPr>
            <w:r w:rsidRPr="00E20618">
              <w:rPr>
                <w:rFonts w:cstheme="minorHAnsi"/>
              </w:rPr>
              <w:t>258</w:t>
            </w:r>
          </w:p>
        </w:tc>
        <w:tc>
          <w:tcPr>
            <w:tcW w:w="996" w:type="dxa"/>
            <w:tcBorders>
              <w:top w:val="nil"/>
              <w:left w:val="nil"/>
              <w:bottom w:val="nil"/>
              <w:right w:val="nil"/>
            </w:tcBorders>
          </w:tcPr>
          <w:p w14:paraId="786D22A6" w14:textId="6699F253" w:rsidR="003F4980" w:rsidRPr="00E20618" w:rsidRDefault="003F4980" w:rsidP="000649FA">
            <w:pPr>
              <w:pStyle w:val="TableTextLeft"/>
              <w:jc w:val="right"/>
            </w:pPr>
            <w:r w:rsidRPr="00E20618">
              <w:rPr>
                <w:rFonts w:cstheme="minorHAnsi"/>
              </w:rPr>
              <w:t>262</w:t>
            </w:r>
          </w:p>
        </w:tc>
        <w:tc>
          <w:tcPr>
            <w:tcW w:w="996" w:type="dxa"/>
            <w:tcBorders>
              <w:top w:val="nil"/>
              <w:left w:val="nil"/>
              <w:bottom w:val="nil"/>
              <w:right w:val="single" w:sz="4" w:space="0" w:color="auto"/>
            </w:tcBorders>
          </w:tcPr>
          <w:p w14:paraId="0DD72980" w14:textId="7B53AB54" w:rsidR="003F4980" w:rsidRPr="00E20618" w:rsidRDefault="003F4980" w:rsidP="000649FA">
            <w:pPr>
              <w:pStyle w:val="TableTextLeft"/>
              <w:jc w:val="right"/>
            </w:pPr>
            <w:r w:rsidRPr="00E20618">
              <w:rPr>
                <w:rFonts w:cstheme="minorHAnsi"/>
              </w:rPr>
              <w:t>265</w:t>
            </w:r>
          </w:p>
        </w:tc>
        <w:tc>
          <w:tcPr>
            <w:tcW w:w="996" w:type="dxa"/>
            <w:tcBorders>
              <w:top w:val="nil"/>
              <w:left w:val="single" w:sz="4" w:space="0" w:color="auto"/>
              <w:bottom w:val="nil"/>
              <w:right w:val="nil"/>
            </w:tcBorders>
          </w:tcPr>
          <w:p w14:paraId="125FDC42" w14:textId="6B246E24" w:rsidR="003F4980" w:rsidRPr="00E20618" w:rsidRDefault="003F4980" w:rsidP="000649FA">
            <w:pPr>
              <w:pStyle w:val="TableTextLeft"/>
              <w:jc w:val="right"/>
            </w:pPr>
            <w:r w:rsidRPr="00E20618">
              <w:rPr>
                <w:rFonts w:cstheme="minorHAnsi"/>
              </w:rPr>
              <w:t>293</w:t>
            </w:r>
          </w:p>
        </w:tc>
      </w:tr>
      <w:tr w:rsidR="003F4980" w:rsidRPr="00485E58" w14:paraId="11BE000B" w14:textId="77777777" w:rsidTr="00854EAB">
        <w:tc>
          <w:tcPr>
            <w:tcW w:w="3096" w:type="dxa"/>
          </w:tcPr>
          <w:p w14:paraId="2591D21D"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66366812" w14:textId="426F4CA9" w:rsidR="003F4980" w:rsidRPr="00E20618" w:rsidRDefault="003F4980" w:rsidP="000649FA">
            <w:pPr>
              <w:pStyle w:val="TableTextLeft"/>
              <w:jc w:val="right"/>
            </w:pPr>
            <w:r w:rsidRPr="00E20618">
              <w:rPr>
                <w:rFonts w:cstheme="minorHAnsi"/>
              </w:rPr>
              <w:t>149</w:t>
            </w:r>
          </w:p>
        </w:tc>
        <w:tc>
          <w:tcPr>
            <w:tcW w:w="996" w:type="dxa"/>
            <w:tcBorders>
              <w:top w:val="nil"/>
              <w:left w:val="nil"/>
              <w:bottom w:val="nil"/>
              <w:right w:val="nil"/>
            </w:tcBorders>
            <w:shd w:val="clear" w:color="auto" w:fill="D2EDFF" w:themeFill="accent1" w:themeFillTint="1A"/>
          </w:tcPr>
          <w:p w14:paraId="50435A99" w14:textId="29B0E506" w:rsidR="003F4980" w:rsidRPr="00E20618" w:rsidRDefault="003F4980" w:rsidP="000649FA">
            <w:pPr>
              <w:pStyle w:val="TableTextLeft"/>
              <w:jc w:val="right"/>
            </w:pPr>
            <w:r w:rsidRPr="00E20618">
              <w:rPr>
                <w:rFonts w:cstheme="minorHAnsi"/>
              </w:rPr>
              <w:t>153</w:t>
            </w:r>
          </w:p>
        </w:tc>
        <w:tc>
          <w:tcPr>
            <w:tcW w:w="996" w:type="dxa"/>
            <w:tcBorders>
              <w:top w:val="nil"/>
              <w:left w:val="nil"/>
              <w:bottom w:val="nil"/>
              <w:right w:val="nil"/>
            </w:tcBorders>
          </w:tcPr>
          <w:p w14:paraId="42F7742D" w14:textId="27FFEFD2" w:rsidR="003F4980" w:rsidRPr="00E20618" w:rsidRDefault="003F4980" w:rsidP="000649FA">
            <w:pPr>
              <w:pStyle w:val="TableTextLeft"/>
              <w:jc w:val="right"/>
            </w:pPr>
            <w:r w:rsidRPr="00E20618">
              <w:rPr>
                <w:rFonts w:cstheme="minorHAnsi"/>
              </w:rPr>
              <w:t>156</w:t>
            </w:r>
          </w:p>
        </w:tc>
        <w:tc>
          <w:tcPr>
            <w:tcW w:w="996" w:type="dxa"/>
            <w:tcBorders>
              <w:top w:val="nil"/>
              <w:left w:val="nil"/>
              <w:bottom w:val="nil"/>
              <w:right w:val="nil"/>
            </w:tcBorders>
          </w:tcPr>
          <w:p w14:paraId="2A30BEF6" w14:textId="3730F488" w:rsidR="003F4980" w:rsidRPr="00E20618" w:rsidRDefault="003F4980" w:rsidP="000649FA">
            <w:pPr>
              <w:pStyle w:val="TableTextLeft"/>
              <w:jc w:val="right"/>
            </w:pPr>
            <w:r w:rsidRPr="00E20618">
              <w:rPr>
                <w:rFonts w:cstheme="minorHAnsi"/>
              </w:rPr>
              <w:t>158</w:t>
            </w:r>
          </w:p>
        </w:tc>
        <w:tc>
          <w:tcPr>
            <w:tcW w:w="996" w:type="dxa"/>
            <w:tcBorders>
              <w:top w:val="nil"/>
              <w:left w:val="nil"/>
              <w:bottom w:val="nil"/>
              <w:right w:val="single" w:sz="4" w:space="0" w:color="auto"/>
            </w:tcBorders>
          </w:tcPr>
          <w:p w14:paraId="2B1AAA53" w14:textId="68C0B99A" w:rsidR="003F4980" w:rsidRPr="00E20618" w:rsidRDefault="003F4980" w:rsidP="000649FA">
            <w:pPr>
              <w:pStyle w:val="TableTextLeft"/>
              <w:jc w:val="right"/>
            </w:pPr>
            <w:r w:rsidRPr="00E20618">
              <w:rPr>
                <w:rFonts w:cstheme="minorHAnsi"/>
              </w:rPr>
              <w:t>161</w:t>
            </w:r>
          </w:p>
        </w:tc>
        <w:tc>
          <w:tcPr>
            <w:tcW w:w="996" w:type="dxa"/>
            <w:tcBorders>
              <w:top w:val="nil"/>
              <w:left w:val="single" w:sz="4" w:space="0" w:color="auto"/>
              <w:bottom w:val="nil"/>
              <w:right w:val="nil"/>
            </w:tcBorders>
          </w:tcPr>
          <w:p w14:paraId="39050C84" w14:textId="5EFB2045" w:rsidR="003F4980" w:rsidRPr="00E20618" w:rsidRDefault="003F4980" w:rsidP="000649FA">
            <w:pPr>
              <w:pStyle w:val="TableTextLeft"/>
              <w:jc w:val="right"/>
            </w:pPr>
            <w:r w:rsidRPr="00E20618">
              <w:rPr>
                <w:rFonts w:cstheme="minorHAnsi"/>
              </w:rPr>
              <w:t>182</w:t>
            </w:r>
          </w:p>
        </w:tc>
      </w:tr>
      <w:tr w:rsidR="003F4980" w:rsidRPr="00485E58" w14:paraId="10209708" w14:textId="77777777" w:rsidTr="00854EAB">
        <w:tc>
          <w:tcPr>
            <w:tcW w:w="3096" w:type="dxa"/>
            <w:tcBorders>
              <w:bottom w:val="nil"/>
            </w:tcBorders>
          </w:tcPr>
          <w:p w14:paraId="4114628A" w14:textId="668AD543"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461518FB" w14:textId="41DDB409" w:rsidR="003F4980" w:rsidRPr="00E20618" w:rsidRDefault="003F4980" w:rsidP="000649FA">
            <w:pPr>
              <w:pStyle w:val="TableTextLeft"/>
              <w:jc w:val="right"/>
            </w:pPr>
            <w:r w:rsidRPr="00E20618">
              <w:rPr>
                <w:rFonts w:cstheme="minorHAnsi"/>
              </w:rPr>
              <w:t>100</w:t>
            </w:r>
          </w:p>
        </w:tc>
        <w:tc>
          <w:tcPr>
            <w:tcW w:w="996" w:type="dxa"/>
            <w:tcBorders>
              <w:top w:val="nil"/>
              <w:left w:val="nil"/>
              <w:bottom w:val="nil"/>
              <w:right w:val="nil"/>
            </w:tcBorders>
            <w:shd w:val="clear" w:color="auto" w:fill="D2EDFF" w:themeFill="accent1" w:themeFillTint="1A"/>
          </w:tcPr>
          <w:p w14:paraId="326C2EA6" w14:textId="39047E66" w:rsidR="003F4980" w:rsidRPr="00E20618" w:rsidRDefault="003F4980" w:rsidP="000649FA">
            <w:pPr>
              <w:pStyle w:val="TableTextLeft"/>
              <w:jc w:val="right"/>
            </w:pPr>
            <w:r w:rsidRPr="00E20618">
              <w:rPr>
                <w:rFonts w:cstheme="minorHAnsi"/>
              </w:rPr>
              <w:t>102</w:t>
            </w:r>
          </w:p>
        </w:tc>
        <w:tc>
          <w:tcPr>
            <w:tcW w:w="996" w:type="dxa"/>
            <w:tcBorders>
              <w:top w:val="nil"/>
              <w:left w:val="nil"/>
              <w:bottom w:val="nil"/>
              <w:right w:val="nil"/>
            </w:tcBorders>
          </w:tcPr>
          <w:p w14:paraId="7B466B7F" w14:textId="3A2B5D6A" w:rsidR="003F4980" w:rsidRPr="00E20618" w:rsidRDefault="003F4980" w:rsidP="000649FA">
            <w:pPr>
              <w:pStyle w:val="TableTextLeft"/>
              <w:jc w:val="right"/>
            </w:pPr>
            <w:r w:rsidRPr="00E20618">
              <w:rPr>
                <w:rFonts w:cstheme="minorHAnsi"/>
              </w:rPr>
              <w:t>103</w:t>
            </w:r>
          </w:p>
        </w:tc>
        <w:tc>
          <w:tcPr>
            <w:tcW w:w="996" w:type="dxa"/>
            <w:tcBorders>
              <w:top w:val="nil"/>
              <w:left w:val="nil"/>
              <w:bottom w:val="nil"/>
              <w:right w:val="nil"/>
            </w:tcBorders>
          </w:tcPr>
          <w:p w14:paraId="5796D521" w14:textId="4A1F04E7" w:rsidR="003F4980" w:rsidRPr="00E20618" w:rsidRDefault="003F4980" w:rsidP="000649FA">
            <w:pPr>
              <w:pStyle w:val="TableTextLeft"/>
              <w:jc w:val="right"/>
            </w:pPr>
            <w:r w:rsidRPr="00E20618">
              <w:rPr>
                <w:rFonts w:cstheme="minorHAnsi"/>
              </w:rPr>
              <w:t>103</w:t>
            </w:r>
          </w:p>
        </w:tc>
        <w:tc>
          <w:tcPr>
            <w:tcW w:w="996" w:type="dxa"/>
            <w:tcBorders>
              <w:top w:val="nil"/>
              <w:left w:val="nil"/>
              <w:bottom w:val="nil"/>
              <w:right w:val="single" w:sz="4" w:space="0" w:color="auto"/>
            </w:tcBorders>
          </w:tcPr>
          <w:p w14:paraId="507B45B4" w14:textId="1AA28BB0" w:rsidR="003F4980" w:rsidRPr="00E20618" w:rsidRDefault="003F4980" w:rsidP="000649FA">
            <w:pPr>
              <w:pStyle w:val="TableTextLeft"/>
              <w:jc w:val="right"/>
            </w:pPr>
            <w:r w:rsidRPr="00E20618">
              <w:rPr>
                <w:rFonts w:cstheme="minorHAnsi"/>
              </w:rPr>
              <w:t>104</w:t>
            </w:r>
          </w:p>
        </w:tc>
        <w:tc>
          <w:tcPr>
            <w:tcW w:w="996" w:type="dxa"/>
            <w:tcBorders>
              <w:top w:val="nil"/>
              <w:left w:val="single" w:sz="4" w:space="0" w:color="auto"/>
              <w:bottom w:val="nil"/>
              <w:right w:val="nil"/>
            </w:tcBorders>
          </w:tcPr>
          <w:p w14:paraId="242DE7C1" w14:textId="64D1B901" w:rsidR="003F4980" w:rsidRPr="00E20618" w:rsidRDefault="003F4980" w:rsidP="000649FA">
            <w:pPr>
              <w:pStyle w:val="TableTextLeft"/>
              <w:jc w:val="right"/>
            </w:pPr>
            <w:r w:rsidRPr="00E20618">
              <w:rPr>
                <w:rFonts w:cstheme="minorHAnsi"/>
              </w:rPr>
              <w:t>110</w:t>
            </w:r>
          </w:p>
        </w:tc>
      </w:tr>
      <w:tr w:rsidR="003F4980" w:rsidRPr="00485E58" w14:paraId="4B2D57D4" w14:textId="77777777" w:rsidTr="00854EAB">
        <w:tc>
          <w:tcPr>
            <w:tcW w:w="3096" w:type="dxa"/>
            <w:tcBorders>
              <w:bottom w:val="nil"/>
            </w:tcBorders>
          </w:tcPr>
          <w:p w14:paraId="4D4EBF0F" w14:textId="77777777" w:rsidR="003F4980" w:rsidRPr="00363EFE" w:rsidRDefault="003F4980" w:rsidP="001F0F1C">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61048248"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506EA36" w14:textId="77777777" w:rsidR="003F4980" w:rsidRPr="00E20618" w:rsidRDefault="003F4980" w:rsidP="000649FA">
            <w:pPr>
              <w:pStyle w:val="TableTextLeft"/>
              <w:jc w:val="right"/>
            </w:pPr>
          </w:p>
        </w:tc>
        <w:tc>
          <w:tcPr>
            <w:tcW w:w="996" w:type="dxa"/>
            <w:tcBorders>
              <w:top w:val="nil"/>
              <w:left w:val="nil"/>
              <w:bottom w:val="nil"/>
              <w:right w:val="nil"/>
            </w:tcBorders>
          </w:tcPr>
          <w:p w14:paraId="7553DC3A" w14:textId="77777777" w:rsidR="003F4980" w:rsidRPr="00E20618" w:rsidRDefault="003F4980" w:rsidP="000649FA">
            <w:pPr>
              <w:pStyle w:val="TableTextLeft"/>
              <w:jc w:val="right"/>
            </w:pPr>
          </w:p>
        </w:tc>
        <w:tc>
          <w:tcPr>
            <w:tcW w:w="996" w:type="dxa"/>
            <w:tcBorders>
              <w:top w:val="nil"/>
              <w:left w:val="nil"/>
              <w:bottom w:val="nil"/>
              <w:right w:val="nil"/>
            </w:tcBorders>
          </w:tcPr>
          <w:p w14:paraId="2D348945"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382DAA1"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E0A4607" w14:textId="77777777" w:rsidR="003F4980" w:rsidRPr="00E20618" w:rsidRDefault="003F4980" w:rsidP="000649FA">
            <w:pPr>
              <w:pStyle w:val="TableTextLeft"/>
              <w:jc w:val="right"/>
            </w:pPr>
          </w:p>
        </w:tc>
      </w:tr>
      <w:tr w:rsidR="003F4980" w:rsidRPr="00485E58" w14:paraId="0CCF20F7" w14:textId="77777777" w:rsidTr="00854EAB">
        <w:tc>
          <w:tcPr>
            <w:tcW w:w="3096" w:type="dxa"/>
            <w:tcBorders>
              <w:top w:val="nil"/>
            </w:tcBorders>
          </w:tcPr>
          <w:p w14:paraId="258F3F54"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037D2ECB" w14:textId="66066FC7"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7478DAD7" w14:textId="00A0CD66" w:rsidR="003F4980" w:rsidRPr="00E20618" w:rsidRDefault="003F4980" w:rsidP="000649FA">
            <w:pPr>
              <w:pStyle w:val="TableTextLeft"/>
              <w:jc w:val="right"/>
            </w:pPr>
            <w:r w:rsidRPr="00E20618">
              <w:rPr>
                <w:rFonts w:cstheme="minorHAnsi"/>
              </w:rPr>
              <w:t>2.2</w:t>
            </w:r>
          </w:p>
        </w:tc>
        <w:tc>
          <w:tcPr>
            <w:tcW w:w="996" w:type="dxa"/>
            <w:tcBorders>
              <w:top w:val="nil"/>
              <w:left w:val="nil"/>
              <w:bottom w:val="nil"/>
              <w:right w:val="nil"/>
            </w:tcBorders>
          </w:tcPr>
          <w:p w14:paraId="5B7053AE" w14:textId="4516EB07" w:rsidR="003F4980" w:rsidRPr="00E20618" w:rsidRDefault="003F4980" w:rsidP="000649FA">
            <w:pPr>
              <w:pStyle w:val="TableTextLeft"/>
              <w:jc w:val="right"/>
            </w:pPr>
            <w:r w:rsidRPr="00E20618">
              <w:rPr>
                <w:rFonts w:cstheme="minorHAnsi"/>
              </w:rPr>
              <w:t>1.4</w:t>
            </w:r>
          </w:p>
        </w:tc>
        <w:tc>
          <w:tcPr>
            <w:tcW w:w="996" w:type="dxa"/>
            <w:tcBorders>
              <w:top w:val="nil"/>
              <w:left w:val="nil"/>
              <w:bottom w:val="nil"/>
              <w:right w:val="nil"/>
            </w:tcBorders>
          </w:tcPr>
          <w:p w14:paraId="7F471180" w14:textId="7D74F1A2" w:rsidR="003F4980" w:rsidRPr="00E20618" w:rsidRDefault="003F4980" w:rsidP="000649FA">
            <w:pPr>
              <w:pStyle w:val="TableTextLeft"/>
              <w:jc w:val="right"/>
            </w:pPr>
            <w:r w:rsidRPr="00E20618">
              <w:rPr>
                <w:rFonts w:cstheme="minorHAnsi"/>
              </w:rPr>
              <w:t>1.3</w:t>
            </w:r>
          </w:p>
        </w:tc>
        <w:tc>
          <w:tcPr>
            <w:tcW w:w="996" w:type="dxa"/>
            <w:tcBorders>
              <w:top w:val="nil"/>
              <w:left w:val="nil"/>
              <w:bottom w:val="nil"/>
              <w:right w:val="single" w:sz="4" w:space="0" w:color="auto"/>
            </w:tcBorders>
          </w:tcPr>
          <w:p w14:paraId="64774CCA" w14:textId="24C83B82" w:rsidR="003F4980" w:rsidRPr="00E20618" w:rsidRDefault="003F4980" w:rsidP="000649FA">
            <w:pPr>
              <w:pStyle w:val="TableTextLeft"/>
              <w:jc w:val="right"/>
            </w:pPr>
            <w:r w:rsidRPr="00E20618">
              <w:rPr>
                <w:rFonts w:cstheme="minorHAnsi"/>
              </w:rPr>
              <w:t>1.3</w:t>
            </w:r>
          </w:p>
        </w:tc>
        <w:tc>
          <w:tcPr>
            <w:tcW w:w="996" w:type="dxa"/>
            <w:tcBorders>
              <w:top w:val="nil"/>
              <w:left w:val="single" w:sz="4" w:space="0" w:color="auto"/>
              <w:bottom w:val="nil"/>
              <w:right w:val="nil"/>
            </w:tcBorders>
          </w:tcPr>
          <w:p w14:paraId="4FC9D3CC" w14:textId="7A7405E4" w:rsidR="003F4980" w:rsidRPr="00E20618" w:rsidRDefault="003F4980" w:rsidP="000649FA">
            <w:pPr>
              <w:pStyle w:val="TableTextLeft"/>
              <w:jc w:val="right"/>
            </w:pPr>
            <w:r w:rsidRPr="00E20618">
              <w:rPr>
                <w:rFonts w:cstheme="minorHAnsi"/>
              </w:rPr>
              <w:t>1.2</w:t>
            </w:r>
          </w:p>
        </w:tc>
      </w:tr>
      <w:tr w:rsidR="003F4980" w:rsidRPr="00485E58" w14:paraId="3B648E7C" w14:textId="77777777" w:rsidTr="00854EAB">
        <w:tc>
          <w:tcPr>
            <w:tcW w:w="3096" w:type="dxa"/>
          </w:tcPr>
          <w:p w14:paraId="01304DC5"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5242E39" w14:textId="0147C8A8" w:rsidR="003F4980" w:rsidRPr="00E20618" w:rsidRDefault="003F4980"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480E0844" w14:textId="50714607" w:rsidR="003F4980" w:rsidRPr="00E20618" w:rsidRDefault="003F4980" w:rsidP="000649FA">
            <w:pPr>
              <w:pStyle w:val="TableTextLeft"/>
              <w:jc w:val="right"/>
            </w:pPr>
            <w:r w:rsidRPr="00E20618">
              <w:rPr>
                <w:rFonts w:cstheme="minorHAnsi"/>
              </w:rPr>
              <w:t>2.6</w:t>
            </w:r>
          </w:p>
        </w:tc>
        <w:tc>
          <w:tcPr>
            <w:tcW w:w="996" w:type="dxa"/>
            <w:tcBorders>
              <w:top w:val="nil"/>
              <w:left w:val="nil"/>
              <w:bottom w:val="nil"/>
              <w:right w:val="nil"/>
            </w:tcBorders>
          </w:tcPr>
          <w:p w14:paraId="5D5FE996" w14:textId="028849AD" w:rsidR="003F4980" w:rsidRPr="00E20618" w:rsidRDefault="003F4980" w:rsidP="000649FA">
            <w:pPr>
              <w:pStyle w:val="TableTextLeft"/>
              <w:jc w:val="right"/>
            </w:pPr>
            <w:r w:rsidRPr="00E20618">
              <w:rPr>
                <w:rFonts w:cstheme="minorHAnsi"/>
              </w:rPr>
              <w:t>1.9</w:t>
            </w:r>
          </w:p>
        </w:tc>
        <w:tc>
          <w:tcPr>
            <w:tcW w:w="996" w:type="dxa"/>
            <w:tcBorders>
              <w:top w:val="nil"/>
              <w:left w:val="nil"/>
              <w:bottom w:val="nil"/>
              <w:right w:val="nil"/>
            </w:tcBorders>
          </w:tcPr>
          <w:p w14:paraId="43910F96" w14:textId="43B6CA9F" w:rsidR="003F4980" w:rsidRPr="00E20618" w:rsidRDefault="003F4980" w:rsidP="000649FA">
            <w:pPr>
              <w:pStyle w:val="TableTextLeft"/>
              <w:jc w:val="right"/>
            </w:pPr>
            <w:r w:rsidRPr="00E20618">
              <w:rPr>
                <w:rFonts w:cstheme="minorHAnsi"/>
              </w:rPr>
              <w:t>1.8</w:t>
            </w:r>
          </w:p>
        </w:tc>
        <w:tc>
          <w:tcPr>
            <w:tcW w:w="996" w:type="dxa"/>
            <w:tcBorders>
              <w:top w:val="nil"/>
              <w:left w:val="nil"/>
              <w:bottom w:val="nil"/>
              <w:right w:val="single" w:sz="4" w:space="0" w:color="auto"/>
            </w:tcBorders>
          </w:tcPr>
          <w:p w14:paraId="2F0FBD24" w14:textId="3ED3A136" w:rsidR="003F4980" w:rsidRPr="00E20618" w:rsidRDefault="003F4980" w:rsidP="000649FA">
            <w:pPr>
              <w:pStyle w:val="TableTextLeft"/>
              <w:jc w:val="right"/>
            </w:pPr>
            <w:r w:rsidRPr="00E20618">
              <w:rPr>
                <w:rFonts w:cstheme="minorHAnsi"/>
              </w:rPr>
              <w:t>1.8</w:t>
            </w:r>
          </w:p>
        </w:tc>
        <w:tc>
          <w:tcPr>
            <w:tcW w:w="996" w:type="dxa"/>
            <w:tcBorders>
              <w:top w:val="nil"/>
              <w:left w:val="single" w:sz="4" w:space="0" w:color="auto"/>
              <w:bottom w:val="nil"/>
              <w:right w:val="nil"/>
            </w:tcBorders>
          </w:tcPr>
          <w:p w14:paraId="09D7EB25" w14:textId="3BE88E4F" w:rsidR="003F4980" w:rsidRPr="00E20618" w:rsidRDefault="003F4980" w:rsidP="000649FA">
            <w:pPr>
              <w:pStyle w:val="TableTextLeft"/>
              <w:jc w:val="right"/>
            </w:pPr>
            <w:r w:rsidRPr="00E20618">
              <w:rPr>
                <w:rFonts w:cstheme="minorHAnsi"/>
              </w:rPr>
              <w:t>1.4</w:t>
            </w:r>
          </w:p>
        </w:tc>
      </w:tr>
      <w:tr w:rsidR="003F4980" w:rsidRPr="00485E58" w14:paraId="5853D541" w14:textId="77777777" w:rsidTr="00854EAB">
        <w:tc>
          <w:tcPr>
            <w:tcW w:w="3096" w:type="dxa"/>
          </w:tcPr>
          <w:p w14:paraId="1BBAECB0"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6D16D3E8" w14:textId="49C0CCA4"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FCC5F6C" w14:textId="78FF3E1E"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7E757AB0" w14:textId="3B56F4EC" w:rsidR="003F4980" w:rsidRPr="00E20618" w:rsidRDefault="003F4980" w:rsidP="000649FA">
            <w:pPr>
              <w:pStyle w:val="TableTextLeft"/>
              <w:jc w:val="right"/>
            </w:pPr>
            <w:r w:rsidRPr="00E20618">
              <w:rPr>
                <w:rFonts w:cstheme="minorHAnsi"/>
              </w:rPr>
              <w:t>0.8</w:t>
            </w:r>
          </w:p>
        </w:tc>
        <w:tc>
          <w:tcPr>
            <w:tcW w:w="996" w:type="dxa"/>
            <w:tcBorders>
              <w:top w:val="nil"/>
              <w:left w:val="nil"/>
              <w:bottom w:val="nil"/>
              <w:right w:val="nil"/>
            </w:tcBorders>
          </w:tcPr>
          <w:p w14:paraId="7BF0A493" w14:textId="771280E7"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59E6984E" w14:textId="309F369E" w:rsidR="003F4980" w:rsidRPr="00E20618" w:rsidRDefault="003F4980" w:rsidP="000649FA">
            <w:pPr>
              <w:pStyle w:val="TableTextLeft"/>
              <w:jc w:val="right"/>
            </w:pPr>
            <w:r w:rsidRPr="00E20618">
              <w:rPr>
                <w:rFonts w:cstheme="minorHAnsi"/>
              </w:rPr>
              <w:t>0.6</w:t>
            </w:r>
          </w:p>
        </w:tc>
        <w:tc>
          <w:tcPr>
            <w:tcW w:w="996" w:type="dxa"/>
            <w:tcBorders>
              <w:top w:val="nil"/>
              <w:left w:val="single" w:sz="4" w:space="0" w:color="auto"/>
              <w:bottom w:val="nil"/>
              <w:right w:val="nil"/>
            </w:tcBorders>
          </w:tcPr>
          <w:p w14:paraId="7E6DE0BE" w14:textId="620B6BF2" w:rsidR="003F4980" w:rsidRPr="00E20618" w:rsidRDefault="003F4980" w:rsidP="000649FA">
            <w:pPr>
              <w:pStyle w:val="TableTextLeft"/>
              <w:jc w:val="right"/>
            </w:pPr>
            <w:r w:rsidRPr="00E20618">
              <w:rPr>
                <w:rFonts w:cstheme="minorHAnsi"/>
              </w:rPr>
              <w:t>0.9</w:t>
            </w:r>
          </w:p>
        </w:tc>
      </w:tr>
      <w:tr w:rsidR="003F4980" w:rsidRPr="00485E58" w14:paraId="152EEC45" w14:textId="77777777" w:rsidTr="00854EAB">
        <w:tc>
          <w:tcPr>
            <w:tcW w:w="3096" w:type="dxa"/>
          </w:tcPr>
          <w:p w14:paraId="2328FEC0" w14:textId="77777777" w:rsidR="003F4980" w:rsidRPr="00363EFE" w:rsidRDefault="003F4980" w:rsidP="001F0F1C">
            <w:pPr>
              <w:pStyle w:val="TableColumnHeadingLeft"/>
              <w:rPr>
                <w:color w:val="002C47" w:themeColor="accent1"/>
              </w:rPr>
            </w:pPr>
            <w:r w:rsidRPr="00363EFE">
              <w:rPr>
                <w:color w:val="002C47" w:themeColor="accent1"/>
              </w:rPr>
              <w:t>Population growth (‘000)</w:t>
            </w:r>
          </w:p>
        </w:tc>
        <w:tc>
          <w:tcPr>
            <w:tcW w:w="996" w:type="dxa"/>
            <w:tcBorders>
              <w:top w:val="nil"/>
              <w:left w:val="nil"/>
              <w:bottom w:val="nil"/>
              <w:right w:val="nil"/>
            </w:tcBorders>
          </w:tcPr>
          <w:p w14:paraId="76C1C0F2"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21402C6" w14:textId="77777777" w:rsidR="003F4980" w:rsidRPr="00E20618" w:rsidRDefault="003F4980" w:rsidP="000649FA">
            <w:pPr>
              <w:pStyle w:val="TableTextLeft"/>
              <w:jc w:val="right"/>
            </w:pPr>
          </w:p>
        </w:tc>
        <w:tc>
          <w:tcPr>
            <w:tcW w:w="996" w:type="dxa"/>
            <w:tcBorders>
              <w:top w:val="nil"/>
              <w:left w:val="nil"/>
              <w:bottom w:val="nil"/>
              <w:right w:val="nil"/>
            </w:tcBorders>
          </w:tcPr>
          <w:p w14:paraId="54BB06F9" w14:textId="77777777" w:rsidR="003F4980" w:rsidRPr="00E20618" w:rsidRDefault="003F4980" w:rsidP="000649FA">
            <w:pPr>
              <w:pStyle w:val="TableTextLeft"/>
              <w:jc w:val="right"/>
            </w:pPr>
          </w:p>
        </w:tc>
        <w:tc>
          <w:tcPr>
            <w:tcW w:w="996" w:type="dxa"/>
            <w:tcBorders>
              <w:top w:val="nil"/>
              <w:left w:val="nil"/>
              <w:bottom w:val="nil"/>
              <w:right w:val="nil"/>
            </w:tcBorders>
          </w:tcPr>
          <w:p w14:paraId="26075C46"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036B9D6F"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5283610C" w14:textId="77777777" w:rsidR="003F4980" w:rsidRPr="00E20618" w:rsidRDefault="003F4980" w:rsidP="000649FA">
            <w:pPr>
              <w:pStyle w:val="TableTextLeft"/>
              <w:jc w:val="right"/>
            </w:pPr>
          </w:p>
        </w:tc>
      </w:tr>
      <w:tr w:rsidR="003F4980" w:rsidRPr="00485E58" w14:paraId="7DDE5889" w14:textId="77777777" w:rsidTr="00854EAB">
        <w:tc>
          <w:tcPr>
            <w:tcW w:w="3096" w:type="dxa"/>
          </w:tcPr>
          <w:p w14:paraId="442ABD8D"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6B6A3B0" w14:textId="08F9B39A"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17B26C22" w14:textId="38BE1833" w:rsidR="003F4980" w:rsidRPr="00E20618" w:rsidRDefault="003F4980" w:rsidP="000649FA">
            <w:pPr>
              <w:pStyle w:val="TableTextLeft"/>
              <w:jc w:val="right"/>
            </w:pPr>
            <w:r w:rsidRPr="00E20618">
              <w:rPr>
                <w:rFonts w:cstheme="minorHAnsi"/>
              </w:rPr>
              <w:t>5.4</w:t>
            </w:r>
          </w:p>
        </w:tc>
        <w:tc>
          <w:tcPr>
            <w:tcW w:w="996" w:type="dxa"/>
            <w:tcBorders>
              <w:top w:val="nil"/>
              <w:left w:val="nil"/>
              <w:bottom w:val="nil"/>
              <w:right w:val="nil"/>
            </w:tcBorders>
          </w:tcPr>
          <w:p w14:paraId="32EB1BFC" w14:textId="499581AE" w:rsidR="003F4980" w:rsidRPr="00E20618" w:rsidRDefault="003F4980" w:rsidP="000649FA">
            <w:pPr>
              <w:pStyle w:val="TableTextLeft"/>
              <w:jc w:val="right"/>
            </w:pPr>
            <w:r w:rsidRPr="00E20618">
              <w:rPr>
                <w:rFonts w:cstheme="minorHAnsi"/>
              </w:rPr>
              <w:t>3.6</w:t>
            </w:r>
          </w:p>
        </w:tc>
        <w:tc>
          <w:tcPr>
            <w:tcW w:w="996" w:type="dxa"/>
            <w:tcBorders>
              <w:top w:val="nil"/>
              <w:left w:val="nil"/>
              <w:bottom w:val="nil"/>
              <w:right w:val="nil"/>
            </w:tcBorders>
          </w:tcPr>
          <w:p w14:paraId="009D5EE7" w14:textId="283081AB" w:rsidR="003F4980" w:rsidRPr="00E20618" w:rsidRDefault="003F4980" w:rsidP="000649FA">
            <w:pPr>
              <w:pStyle w:val="TableTextLeft"/>
              <w:jc w:val="right"/>
            </w:pPr>
            <w:r w:rsidRPr="00E20618">
              <w:rPr>
                <w:rFonts w:cstheme="minorHAnsi"/>
              </w:rPr>
              <w:t>3.4</w:t>
            </w:r>
          </w:p>
        </w:tc>
        <w:tc>
          <w:tcPr>
            <w:tcW w:w="996" w:type="dxa"/>
            <w:tcBorders>
              <w:top w:val="nil"/>
              <w:left w:val="nil"/>
              <w:bottom w:val="nil"/>
              <w:right w:val="single" w:sz="4" w:space="0" w:color="auto"/>
            </w:tcBorders>
          </w:tcPr>
          <w:p w14:paraId="304E7AEB" w14:textId="47774F71" w:rsidR="003F4980" w:rsidRPr="00E20618" w:rsidRDefault="003F4980" w:rsidP="000649FA">
            <w:pPr>
              <w:pStyle w:val="TableTextLeft"/>
              <w:jc w:val="right"/>
            </w:pPr>
            <w:r w:rsidRPr="00E20618">
              <w:rPr>
                <w:rFonts w:cstheme="minorHAnsi"/>
              </w:rPr>
              <w:t>3.4</w:t>
            </w:r>
          </w:p>
        </w:tc>
        <w:tc>
          <w:tcPr>
            <w:tcW w:w="996" w:type="dxa"/>
            <w:tcBorders>
              <w:top w:val="nil"/>
              <w:left w:val="single" w:sz="4" w:space="0" w:color="auto"/>
              <w:bottom w:val="nil"/>
              <w:right w:val="nil"/>
            </w:tcBorders>
          </w:tcPr>
          <w:p w14:paraId="4DCE4949" w14:textId="012CC879" w:rsidR="003F4980" w:rsidRPr="00E20618" w:rsidRDefault="003F4980" w:rsidP="000649FA">
            <w:pPr>
              <w:pStyle w:val="TableTextLeft"/>
              <w:jc w:val="right"/>
            </w:pPr>
            <w:r w:rsidRPr="00E20618">
              <w:rPr>
                <w:rFonts w:cstheme="minorHAnsi"/>
              </w:rPr>
              <w:t>3.5</w:t>
            </w:r>
          </w:p>
        </w:tc>
      </w:tr>
      <w:tr w:rsidR="003F4980" w:rsidRPr="00485E58" w14:paraId="1DE1ED84" w14:textId="77777777" w:rsidTr="00854EAB">
        <w:tc>
          <w:tcPr>
            <w:tcW w:w="3096" w:type="dxa"/>
          </w:tcPr>
          <w:p w14:paraId="55F76E36"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104C03EF" w14:textId="3D0A99A3" w:rsidR="003F4980" w:rsidRPr="00E20618" w:rsidRDefault="003F4980" w:rsidP="000649FA">
            <w:pPr>
              <w:pStyle w:val="TableTextLeft"/>
              <w:jc w:val="right"/>
            </w:pPr>
            <w:r w:rsidRPr="00E20618">
              <w:rPr>
                <w:rFonts w:cstheme="minorHAnsi"/>
              </w:rPr>
              <w:t>0</w:t>
            </w:r>
          </w:p>
        </w:tc>
        <w:tc>
          <w:tcPr>
            <w:tcW w:w="996" w:type="dxa"/>
            <w:tcBorders>
              <w:top w:val="nil"/>
              <w:left w:val="nil"/>
              <w:bottom w:val="nil"/>
              <w:right w:val="nil"/>
            </w:tcBorders>
            <w:shd w:val="clear" w:color="auto" w:fill="D2EDFF" w:themeFill="accent1" w:themeFillTint="1A"/>
          </w:tcPr>
          <w:p w14:paraId="4F3F9408" w14:textId="6483C839" w:rsidR="003F4980" w:rsidRPr="00E20618" w:rsidRDefault="003F4980" w:rsidP="000649FA">
            <w:pPr>
              <w:pStyle w:val="TableTextLeft"/>
              <w:jc w:val="right"/>
            </w:pPr>
            <w:r w:rsidRPr="00E20618">
              <w:rPr>
                <w:rFonts w:cstheme="minorHAnsi"/>
              </w:rPr>
              <w:t>3.9</w:t>
            </w:r>
          </w:p>
        </w:tc>
        <w:tc>
          <w:tcPr>
            <w:tcW w:w="996" w:type="dxa"/>
            <w:tcBorders>
              <w:top w:val="nil"/>
              <w:left w:val="nil"/>
              <w:bottom w:val="nil"/>
              <w:right w:val="nil"/>
            </w:tcBorders>
          </w:tcPr>
          <w:p w14:paraId="551ED730" w14:textId="11BEB068"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nil"/>
            </w:tcBorders>
          </w:tcPr>
          <w:p w14:paraId="1B3235F0" w14:textId="2FF7D256" w:rsidR="003F4980" w:rsidRPr="00E20618" w:rsidRDefault="003F4980" w:rsidP="000649FA">
            <w:pPr>
              <w:pStyle w:val="TableTextLeft"/>
              <w:jc w:val="right"/>
            </w:pPr>
            <w:r w:rsidRPr="00E20618">
              <w:rPr>
                <w:rFonts w:cstheme="minorHAnsi"/>
              </w:rPr>
              <w:t>2.9</w:t>
            </w:r>
          </w:p>
        </w:tc>
        <w:tc>
          <w:tcPr>
            <w:tcW w:w="996" w:type="dxa"/>
            <w:tcBorders>
              <w:top w:val="nil"/>
              <w:left w:val="nil"/>
              <w:bottom w:val="nil"/>
              <w:right w:val="single" w:sz="4" w:space="0" w:color="auto"/>
            </w:tcBorders>
          </w:tcPr>
          <w:p w14:paraId="704C086F" w14:textId="11E4D003" w:rsidR="003F4980" w:rsidRPr="00E20618" w:rsidRDefault="003F4980" w:rsidP="000649FA">
            <w:pPr>
              <w:pStyle w:val="TableTextLeft"/>
              <w:jc w:val="right"/>
            </w:pPr>
            <w:r w:rsidRPr="00E20618">
              <w:rPr>
                <w:rFonts w:cstheme="minorHAnsi"/>
              </w:rPr>
              <w:t>2.8</w:t>
            </w:r>
          </w:p>
        </w:tc>
        <w:tc>
          <w:tcPr>
            <w:tcW w:w="996" w:type="dxa"/>
            <w:tcBorders>
              <w:top w:val="nil"/>
              <w:left w:val="single" w:sz="4" w:space="0" w:color="auto"/>
              <w:bottom w:val="nil"/>
              <w:right w:val="nil"/>
            </w:tcBorders>
          </w:tcPr>
          <w:p w14:paraId="2FEC78C5" w14:textId="0EEC9185" w:rsidR="003F4980" w:rsidRPr="00E20618" w:rsidRDefault="003F4980" w:rsidP="000649FA">
            <w:pPr>
              <w:pStyle w:val="TableTextLeft"/>
              <w:jc w:val="right"/>
            </w:pPr>
            <w:r w:rsidRPr="00E20618">
              <w:rPr>
                <w:rFonts w:cstheme="minorHAnsi"/>
              </w:rPr>
              <w:t>2.6</w:t>
            </w:r>
          </w:p>
        </w:tc>
      </w:tr>
      <w:tr w:rsidR="003F4980" w:rsidRPr="00485E58" w14:paraId="358EE26D" w14:textId="77777777" w:rsidTr="00854EAB">
        <w:tc>
          <w:tcPr>
            <w:tcW w:w="3096" w:type="dxa"/>
            <w:tcBorders>
              <w:bottom w:val="single" w:sz="4" w:space="0" w:color="auto"/>
            </w:tcBorders>
          </w:tcPr>
          <w:p w14:paraId="7F61B385"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6230FBF6" w14:textId="5DCD3B5D" w:rsidR="003F4980" w:rsidRPr="00E20618" w:rsidRDefault="003F4980" w:rsidP="000649FA">
            <w:pPr>
              <w:pStyle w:val="TableTextLeft"/>
              <w:jc w:val="right"/>
            </w:pPr>
            <w:r w:rsidRPr="00E20618">
              <w:rPr>
                <w:rFonts w:cstheme="minorHAnsi"/>
              </w:rPr>
              <w:t>0.3</w:t>
            </w:r>
          </w:p>
        </w:tc>
        <w:tc>
          <w:tcPr>
            <w:tcW w:w="996" w:type="dxa"/>
            <w:tcBorders>
              <w:top w:val="nil"/>
              <w:left w:val="nil"/>
              <w:bottom w:val="single" w:sz="4" w:space="0" w:color="auto"/>
              <w:right w:val="nil"/>
            </w:tcBorders>
            <w:shd w:val="clear" w:color="auto" w:fill="D2EDFF" w:themeFill="accent1" w:themeFillTint="1A"/>
          </w:tcPr>
          <w:p w14:paraId="0C3EF5F2" w14:textId="1D73A348" w:rsidR="003F4980" w:rsidRPr="00E20618" w:rsidRDefault="003F4980" w:rsidP="000649FA">
            <w:pPr>
              <w:pStyle w:val="TableTextLeft"/>
              <w:jc w:val="right"/>
            </w:pPr>
            <w:r w:rsidRPr="00E20618">
              <w:rPr>
                <w:rFonts w:cstheme="minorHAnsi"/>
              </w:rPr>
              <w:t>1.5</w:t>
            </w:r>
          </w:p>
        </w:tc>
        <w:tc>
          <w:tcPr>
            <w:tcW w:w="996" w:type="dxa"/>
            <w:tcBorders>
              <w:top w:val="nil"/>
              <w:left w:val="nil"/>
              <w:bottom w:val="single" w:sz="4" w:space="0" w:color="auto"/>
              <w:right w:val="nil"/>
            </w:tcBorders>
          </w:tcPr>
          <w:p w14:paraId="666DF5C4" w14:textId="0E93978A" w:rsidR="003F4980" w:rsidRPr="00E20618" w:rsidRDefault="003F4980" w:rsidP="000649FA">
            <w:pPr>
              <w:pStyle w:val="TableTextLeft"/>
              <w:jc w:val="right"/>
            </w:pPr>
            <w:r w:rsidRPr="00E20618">
              <w:rPr>
                <w:rFonts w:cstheme="minorHAnsi"/>
              </w:rPr>
              <w:t>0.8</w:t>
            </w:r>
          </w:p>
        </w:tc>
        <w:tc>
          <w:tcPr>
            <w:tcW w:w="996" w:type="dxa"/>
            <w:tcBorders>
              <w:top w:val="nil"/>
              <w:left w:val="nil"/>
              <w:bottom w:val="single" w:sz="4" w:space="0" w:color="auto"/>
              <w:right w:val="nil"/>
            </w:tcBorders>
          </w:tcPr>
          <w:p w14:paraId="237A4A87" w14:textId="7D8DECC1" w:rsidR="003F4980" w:rsidRPr="00E20618" w:rsidRDefault="003F4980" w:rsidP="000649FA">
            <w:pPr>
              <w:pStyle w:val="TableTextLeft"/>
              <w:jc w:val="right"/>
            </w:pPr>
            <w:r w:rsidRPr="00E20618">
              <w:rPr>
                <w:rFonts w:cstheme="minorHAnsi"/>
              </w:rPr>
              <w:t>0.5</w:t>
            </w:r>
          </w:p>
        </w:tc>
        <w:tc>
          <w:tcPr>
            <w:tcW w:w="996" w:type="dxa"/>
            <w:tcBorders>
              <w:top w:val="nil"/>
              <w:left w:val="nil"/>
              <w:bottom w:val="single" w:sz="4" w:space="0" w:color="auto"/>
              <w:right w:val="single" w:sz="4" w:space="0" w:color="auto"/>
            </w:tcBorders>
          </w:tcPr>
          <w:p w14:paraId="2589ED38" w14:textId="1E73E64D" w:rsidR="003F4980" w:rsidRPr="00E20618" w:rsidRDefault="003F4980" w:rsidP="000649FA">
            <w:pPr>
              <w:pStyle w:val="TableTextLeft"/>
              <w:jc w:val="right"/>
            </w:pPr>
            <w:r w:rsidRPr="00E20618">
              <w:rPr>
                <w:rFonts w:cstheme="minorHAnsi"/>
              </w:rPr>
              <w:t>0.6</w:t>
            </w:r>
          </w:p>
        </w:tc>
        <w:tc>
          <w:tcPr>
            <w:tcW w:w="996" w:type="dxa"/>
            <w:tcBorders>
              <w:top w:val="nil"/>
              <w:left w:val="single" w:sz="4" w:space="0" w:color="auto"/>
              <w:bottom w:val="single" w:sz="4" w:space="0" w:color="auto"/>
              <w:right w:val="nil"/>
            </w:tcBorders>
          </w:tcPr>
          <w:p w14:paraId="375E3E75" w14:textId="21AD9698" w:rsidR="003F4980" w:rsidRPr="00E20618" w:rsidRDefault="003F4980" w:rsidP="000649FA">
            <w:pPr>
              <w:pStyle w:val="TableTextLeft"/>
              <w:jc w:val="right"/>
            </w:pPr>
            <w:r w:rsidRPr="00E20618">
              <w:rPr>
                <w:rFonts w:cstheme="minorHAnsi"/>
              </w:rPr>
              <w:t>0.9</w:t>
            </w:r>
          </w:p>
        </w:tc>
      </w:tr>
      <w:tr w:rsidR="003F4980" w:rsidRPr="00485E58" w14:paraId="2183111C" w14:textId="77777777" w:rsidTr="00854EAB">
        <w:tc>
          <w:tcPr>
            <w:tcW w:w="3096" w:type="dxa"/>
            <w:tcBorders>
              <w:top w:val="single" w:sz="4" w:space="0" w:color="auto"/>
              <w:bottom w:val="nil"/>
            </w:tcBorders>
          </w:tcPr>
          <w:p w14:paraId="459133DB" w14:textId="0ACE65FC" w:rsidR="003F4980" w:rsidRPr="00363EFE" w:rsidRDefault="003F4980" w:rsidP="001F0F1C">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6E7F449A"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2377C54D"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44D8F077"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518DE8BC"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4C265687"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75D257E6" w14:textId="77777777" w:rsidR="003F4980" w:rsidRPr="00E20618" w:rsidRDefault="003F4980" w:rsidP="000649FA">
            <w:pPr>
              <w:pStyle w:val="TableTextLeft"/>
              <w:jc w:val="right"/>
            </w:pPr>
          </w:p>
        </w:tc>
      </w:tr>
      <w:tr w:rsidR="003F4980" w:rsidRPr="00485E58" w14:paraId="4FD32DE1" w14:textId="77777777" w:rsidTr="00854EAB">
        <w:tc>
          <w:tcPr>
            <w:tcW w:w="3096" w:type="dxa"/>
            <w:tcBorders>
              <w:top w:val="nil"/>
            </w:tcBorders>
          </w:tcPr>
          <w:p w14:paraId="3C343112"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94B4779" w14:textId="42FAFF1D" w:rsidR="003F4980" w:rsidRPr="00E20618" w:rsidRDefault="003F4980" w:rsidP="000649FA">
            <w:pPr>
              <w:pStyle w:val="TableTextLeft"/>
              <w:jc w:val="right"/>
            </w:pPr>
            <w:r w:rsidRPr="00E20618">
              <w:rPr>
                <w:rFonts w:cstheme="minorHAnsi"/>
              </w:rPr>
              <w:t>2.7</w:t>
            </w:r>
          </w:p>
        </w:tc>
        <w:tc>
          <w:tcPr>
            <w:tcW w:w="996" w:type="dxa"/>
            <w:tcBorders>
              <w:top w:val="nil"/>
              <w:left w:val="nil"/>
              <w:bottom w:val="nil"/>
              <w:right w:val="nil"/>
            </w:tcBorders>
            <w:shd w:val="clear" w:color="auto" w:fill="D2EDFF" w:themeFill="accent1" w:themeFillTint="1A"/>
          </w:tcPr>
          <w:p w14:paraId="1801AED2" w14:textId="24CAEDA9"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tcPr>
          <w:p w14:paraId="139C7B2B" w14:textId="26B082D9"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tcPr>
          <w:p w14:paraId="752DE208" w14:textId="5F96F02C" w:rsidR="003F4980" w:rsidRPr="00E20618" w:rsidRDefault="003F4980" w:rsidP="000649FA">
            <w:pPr>
              <w:pStyle w:val="TableTextLeft"/>
              <w:jc w:val="right"/>
            </w:pPr>
            <w:r w:rsidRPr="00E20618">
              <w:rPr>
                <w:rFonts w:cstheme="minorHAnsi"/>
              </w:rPr>
              <w:t>2.6</w:t>
            </w:r>
          </w:p>
        </w:tc>
        <w:tc>
          <w:tcPr>
            <w:tcW w:w="996" w:type="dxa"/>
            <w:tcBorders>
              <w:top w:val="nil"/>
              <w:left w:val="nil"/>
              <w:bottom w:val="nil"/>
              <w:right w:val="single" w:sz="4" w:space="0" w:color="auto"/>
            </w:tcBorders>
          </w:tcPr>
          <w:p w14:paraId="7C453CB2" w14:textId="61A38297" w:rsidR="003F4980" w:rsidRPr="00E20618" w:rsidRDefault="003F4980" w:rsidP="000649FA">
            <w:pPr>
              <w:pStyle w:val="TableTextLeft"/>
              <w:jc w:val="right"/>
            </w:pPr>
            <w:r w:rsidRPr="00E20618">
              <w:rPr>
                <w:rFonts w:cstheme="minorHAnsi"/>
              </w:rPr>
              <w:t>2.6</w:t>
            </w:r>
          </w:p>
        </w:tc>
        <w:tc>
          <w:tcPr>
            <w:tcW w:w="996" w:type="dxa"/>
            <w:tcBorders>
              <w:top w:val="nil"/>
              <w:left w:val="single" w:sz="4" w:space="0" w:color="auto"/>
              <w:bottom w:val="nil"/>
              <w:right w:val="nil"/>
            </w:tcBorders>
          </w:tcPr>
          <w:p w14:paraId="0736792B" w14:textId="19EC3D8E" w:rsidR="003F4980" w:rsidRPr="00E20618" w:rsidRDefault="003F4980" w:rsidP="000649FA">
            <w:pPr>
              <w:pStyle w:val="TableTextLeft"/>
              <w:jc w:val="right"/>
            </w:pPr>
            <w:r w:rsidRPr="00E20618">
              <w:rPr>
                <w:rFonts w:cstheme="minorHAnsi"/>
              </w:rPr>
              <w:t>2.5</w:t>
            </w:r>
          </w:p>
        </w:tc>
      </w:tr>
      <w:tr w:rsidR="003F4980" w:rsidRPr="00485E58" w14:paraId="41BD436C" w14:textId="77777777" w:rsidTr="00854EAB">
        <w:tc>
          <w:tcPr>
            <w:tcW w:w="3096" w:type="dxa"/>
          </w:tcPr>
          <w:p w14:paraId="7393E09C"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0B1CB2A4" w14:textId="48426A94"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66FDFBB1" w14:textId="05AAA156"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38ADA565" w14:textId="4A7EEC29"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78AEE356" w14:textId="0BAEAD0E"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single" w:sz="4" w:space="0" w:color="auto"/>
            </w:tcBorders>
          </w:tcPr>
          <w:p w14:paraId="68545DAA" w14:textId="56926F03" w:rsidR="003F4980" w:rsidRPr="00E20618" w:rsidRDefault="003F4980" w:rsidP="000649FA">
            <w:pPr>
              <w:pStyle w:val="TableTextLeft"/>
              <w:jc w:val="right"/>
            </w:pPr>
            <w:r w:rsidRPr="00E20618">
              <w:rPr>
                <w:rFonts w:cstheme="minorHAnsi"/>
              </w:rPr>
              <w:t>1.6</w:t>
            </w:r>
          </w:p>
        </w:tc>
        <w:tc>
          <w:tcPr>
            <w:tcW w:w="996" w:type="dxa"/>
            <w:tcBorders>
              <w:top w:val="nil"/>
              <w:left w:val="single" w:sz="4" w:space="0" w:color="auto"/>
              <w:bottom w:val="nil"/>
              <w:right w:val="nil"/>
            </w:tcBorders>
          </w:tcPr>
          <w:p w14:paraId="079A33AE" w14:textId="4F729109" w:rsidR="003F4980" w:rsidRPr="00E20618" w:rsidRDefault="003F4980" w:rsidP="000649FA">
            <w:pPr>
              <w:pStyle w:val="TableTextLeft"/>
              <w:jc w:val="right"/>
            </w:pPr>
            <w:r w:rsidRPr="00E20618">
              <w:rPr>
                <w:rFonts w:cstheme="minorHAnsi"/>
              </w:rPr>
              <w:t>1.6</w:t>
            </w:r>
          </w:p>
        </w:tc>
      </w:tr>
      <w:tr w:rsidR="003F4980" w:rsidRPr="00485E58" w14:paraId="36676F92" w14:textId="77777777" w:rsidTr="00854EAB">
        <w:tc>
          <w:tcPr>
            <w:tcW w:w="3096" w:type="dxa"/>
          </w:tcPr>
          <w:p w14:paraId="14D05C54"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1872D10B" w14:textId="3167715A" w:rsidR="003F4980" w:rsidRPr="00E20618" w:rsidRDefault="003F4980" w:rsidP="000649FA">
            <w:pPr>
              <w:pStyle w:val="TableTextLeft"/>
              <w:jc w:val="right"/>
            </w:pPr>
            <w:r w:rsidRPr="00E20618">
              <w:rPr>
                <w:rFonts w:cstheme="minorHAnsi"/>
              </w:rPr>
              <w:t>0.9</w:t>
            </w:r>
          </w:p>
        </w:tc>
        <w:tc>
          <w:tcPr>
            <w:tcW w:w="996" w:type="dxa"/>
            <w:tcBorders>
              <w:top w:val="nil"/>
              <w:left w:val="nil"/>
              <w:bottom w:val="nil"/>
              <w:right w:val="nil"/>
            </w:tcBorders>
            <w:shd w:val="clear" w:color="auto" w:fill="D2EDFF" w:themeFill="accent1" w:themeFillTint="1A"/>
          </w:tcPr>
          <w:p w14:paraId="07CA5443" w14:textId="51F92903"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780F49D4" w14:textId="517DAEC0"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7D9052C2" w14:textId="3E6D0E9D"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single" w:sz="4" w:space="0" w:color="auto"/>
            </w:tcBorders>
          </w:tcPr>
          <w:p w14:paraId="24C3C959" w14:textId="56114741" w:rsidR="003F4980" w:rsidRPr="00E20618" w:rsidRDefault="003F4980" w:rsidP="000649FA">
            <w:pPr>
              <w:pStyle w:val="TableTextLeft"/>
              <w:jc w:val="right"/>
            </w:pPr>
            <w:r w:rsidRPr="00E20618">
              <w:rPr>
                <w:rFonts w:cstheme="minorHAnsi"/>
              </w:rPr>
              <w:t>1</w:t>
            </w:r>
          </w:p>
        </w:tc>
        <w:tc>
          <w:tcPr>
            <w:tcW w:w="996" w:type="dxa"/>
            <w:tcBorders>
              <w:top w:val="nil"/>
              <w:left w:val="single" w:sz="4" w:space="0" w:color="auto"/>
              <w:bottom w:val="nil"/>
              <w:right w:val="nil"/>
            </w:tcBorders>
          </w:tcPr>
          <w:p w14:paraId="06103254" w14:textId="1B9343FC" w:rsidR="003F4980" w:rsidRPr="00E20618" w:rsidRDefault="003F4980" w:rsidP="000649FA">
            <w:pPr>
              <w:pStyle w:val="TableTextLeft"/>
              <w:jc w:val="right"/>
            </w:pPr>
            <w:r w:rsidRPr="00E20618">
              <w:rPr>
                <w:rFonts w:cstheme="minorHAnsi"/>
              </w:rPr>
              <w:t>0.9</w:t>
            </w:r>
          </w:p>
        </w:tc>
      </w:tr>
      <w:tr w:rsidR="003F4980" w:rsidRPr="00485E58" w14:paraId="55247AFC" w14:textId="77777777" w:rsidTr="00854EAB">
        <w:tc>
          <w:tcPr>
            <w:tcW w:w="3096" w:type="dxa"/>
          </w:tcPr>
          <w:p w14:paraId="39301094" w14:textId="77777777" w:rsidR="003F4980" w:rsidRPr="00363EFE" w:rsidRDefault="003F4980" w:rsidP="001F0F1C">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03F8BDC2"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78947398" w14:textId="77777777" w:rsidR="003F4980" w:rsidRPr="00E20618" w:rsidRDefault="003F4980" w:rsidP="000649FA">
            <w:pPr>
              <w:pStyle w:val="TableTextLeft"/>
              <w:jc w:val="right"/>
            </w:pPr>
          </w:p>
        </w:tc>
        <w:tc>
          <w:tcPr>
            <w:tcW w:w="996" w:type="dxa"/>
            <w:tcBorders>
              <w:top w:val="nil"/>
              <w:left w:val="nil"/>
              <w:bottom w:val="nil"/>
              <w:right w:val="nil"/>
            </w:tcBorders>
          </w:tcPr>
          <w:p w14:paraId="7223904B" w14:textId="77777777" w:rsidR="003F4980" w:rsidRPr="00E20618" w:rsidRDefault="003F4980" w:rsidP="000649FA">
            <w:pPr>
              <w:pStyle w:val="TableTextLeft"/>
              <w:jc w:val="right"/>
            </w:pPr>
          </w:p>
        </w:tc>
        <w:tc>
          <w:tcPr>
            <w:tcW w:w="996" w:type="dxa"/>
            <w:tcBorders>
              <w:top w:val="nil"/>
              <w:left w:val="nil"/>
              <w:bottom w:val="nil"/>
              <w:right w:val="nil"/>
            </w:tcBorders>
          </w:tcPr>
          <w:p w14:paraId="596373AC"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7597303"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1D9E18A7" w14:textId="77777777" w:rsidR="003F4980" w:rsidRPr="00E20618" w:rsidRDefault="003F4980" w:rsidP="000649FA">
            <w:pPr>
              <w:pStyle w:val="TableTextLeft"/>
              <w:jc w:val="right"/>
            </w:pPr>
          </w:p>
        </w:tc>
      </w:tr>
      <w:tr w:rsidR="003F4980" w:rsidRPr="00485E58" w14:paraId="675AF4BE" w14:textId="77777777" w:rsidTr="00854EAB">
        <w:tc>
          <w:tcPr>
            <w:tcW w:w="3096" w:type="dxa"/>
          </w:tcPr>
          <w:p w14:paraId="738EF7DA"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4EC74C06" w14:textId="5AE65704"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shd w:val="clear" w:color="auto" w:fill="D2EDFF" w:themeFill="accent1" w:themeFillTint="1A"/>
          </w:tcPr>
          <w:p w14:paraId="4EBC5653" w14:textId="46B1876E" w:rsidR="003F4980" w:rsidRPr="00E20618" w:rsidRDefault="003F4980" w:rsidP="000649FA">
            <w:pPr>
              <w:pStyle w:val="TableTextLeft"/>
              <w:jc w:val="right"/>
            </w:pPr>
            <w:r w:rsidRPr="00E20618">
              <w:rPr>
                <w:rFonts w:cstheme="minorHAnsi"/>
              </w:rPr>
              <w:t>1.9</w:t>
            </w:r>
          </w:p>
        </w:tc>
        <w:tc>
          <w:tcPr>
            <w:tcW w:w="996" w:type="dxa"/>
            <w:tcBorders>
              <w:top w:val="nil"/>
              <w:left w:val="nil"/>
              <w:bottom w:val="nil"/>
              <w:right w:val="nil"/>
            </w:tcBorders>
          </w:tcPr>
          <w:p w14:paraId="2A488752" w14:textId="1D59894C" w:rsidR="003F4980" w:rsidRPr="00E20618" w:rsidRDefault="003F4980" w:rsidP="000649FA">
            <w:pPr>
              <w:pStyle w:val="TableTextLeft"/>
              <w:jc w:val="right"/>
            </w:pPr>
            <w:r w:rsidRPr="00E20618">
              <w:rPr>
                <w:rFonts w:cstheme="minorHAnsi"/>
              </w:rPr>
              <w:t>1.3</w:t>
            </w:r>
          </w:p>
        </w:tc>
        <w:tc>
          <w:tcPr>
            <w:tcW w:w="996" w:type="dxa"/>
            <w:tcBorders>
              <w:top w:val="nil"/>
              <w:left w:val="nil"/>
              <w:bottom w:val="nil"/>
              <w:right w:val="nil"/>
            </w:tcBorders>
          </w:tcPr>
          <w:p w14:paraId="3B7C0E1C" w14:textId="66B6DB1B" w:rsidR="003F4980" w:rsidRPr="00E20618" w:rsidRDefault="003F4980" w:rsidP="000649FA">
            <w:pPr>
              <w:pStyle w:val="TableTextLeft"/>
              <w:jc w:val="right"/>
            </w:pPr>
            <w:r w:rsidRPr="00E20618">
              <w:rPr>
                <w:rFonts w:cstheme="minorHAnsi"/>
              </w:rPr>
              <w:t>2.1</w:t>
            </w:r>
          </w:p>
        </w:tc>
        <w:tc>
          <w:tcPr>
            <w:tcW w:w="996" w:type="dxa"/>
            <w:tcBorders>
              <w:top w:val="nil"/>
              <w:left w:val="nil"/>
              <w:bottom w:val="nil"/>
              <w:right w:val="single" w:sz="4" w:space="0" w:color="auto"/>
            </w:tcBorders>
          </w:tcPr>
          <w:p w14:paraId="2136204A" w14:textId="7E598106" w:rsidR="003F4980" w:rsidRPr="00E20618" w:rsidRDefault="003F4980" w:rsidP="000649FA">
            <w:pPr>
              <w:pStyle w:val="TableTextLeft"/>
              <w:jc w:val="right"/>
            </w:pPr>
            <w:r w:rsidRPr="00E20618">
              <w:rPr>
                <w:rFonts w:cstheme="minorHAnsi"/>
              </w:rPr>
              <w:t>2.1</w:t>
            </w:r>
          </w:p>
        </w:tc>
        <w:tc>
          <w:tcPr>
            <w:tcW w:w="996" w:type="dxa"/>
            <w:tcBorders>
              <w:top w:val="nil"/>
              <w:left w:val="single" w:sz="4" w:space="0" w:color="auto"/>
              <w:bottom w:val="nil"/>
              <w:right w:val="nil"/>
            </w:tcBorders>
          </w:tcPr>
          <w:p w14:paraId="348181BD" w14:textId="046DF3C5" w:rsidR="003F4980" w:rsidRPr="00E20618" w:rsidRDefault="003F4980" w:rsidP="000649FA">
            <w:pPr>
              <w:pStyle w:val="TableTextLeft"/>
              <w:jc w:val="right"/>
            </w:pPr>
            <w:r w:rsidRPr="00E20618">
              <w:rPr>
                <w:rFonts w:cstheme="minorHAnsi"/>
              </w:rPr>
              <w:t>2.1</w:t>
            </w:r>
          </w:p>
        </w:tc>
      </w:tr>
      <w:tr w:rsidR="003F4980" w:rsidRPr="00485E58" w14:paraId="35EBEF4C" w14:textId="77777777" w:rsidTr="00854EAB">
        <w:tc>
          <w:tcPr>
            <w:tcW w:w="3096" w:type="dxa"/>
          </w:tcPr>
          <w:p w14:paraId="276C08FF"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76A1EEA8" w14:textId="31429B6B"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shd w:val="clear" w:color="auto" w:fill="D2EDFF" w:themeFill="accent1" w:themeFillTint="1A"/>
          </w:tcPr>
          <w:p w14:paraId="3D4DA2EF" w14:textId="3D853DEF" w:rsidR="003F4980" w:rsidRPr="00E20618" w:rsidRDefault="003F4980" w:rsidP="000649FA">
            <w:pPr>
              <w:pStyle w:val="TableTextLeft"/>
              <w:jc w:val="right"/>
            </w:pPr>
            <w:r w:rsidRPr="00E20618">
              <w:rPr>
                <w:rFonts w:cstheme="minorHAnsi"/>
              </w:rPr>
              <w:t>1.5</w:t>
            </w:r>
          </w:p>
        </w:tc>
        <w:tc>
          <w:tcPr>
            <w:tcW w:w="996" w:type="dxa"/>
            <w:tcBorders>
              <w:top w:val="nil"/>
              <w:left w:val="nil"/>
              <w:bottom w:val="nil"/>
              <w:right w:val="nil"/>
            </w:tcBorders>
          </w:tcPr>
          <w:p w14:paraId="6670870F" w14:textId="6567FEE6"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05FA3B4C" w14:textId="6CE87C89"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single" w:sz="4" w:space="0" w:color="auto"/>
            </w:tcBorders>
          </w:tcPr>
          <w:p w14:paraId="6BC174D9" w14:textId="192F386A" w:rsidR="003F4980" w:rsidRPr="00E20618" w:rsidRDefault="003F4980" w:rsidP="000649FA">
            <w:pPr>
              <w:pStyle w:val="TableTextLeft"/>
              <w:jc w:val="right"/>
            </w:pPr>
            <w:r w:rsidRPr="00E20618">
              <w:rPr>
                <w:rFonts w:cstheme="minorHAnsi"/>
              </w:rPr>
              <w:t>1.6</w:t>
            </w:r>
          </w:p>
        </w:tc>
        <w:tc>
          <w:tcPr>
            <w:tcW w:w="996" w:type="dxa"/>
            <w:tcBorders>
              <w:top w:val="nil"/>
              <w:left w:val="single" w:sz="4" w:space="0" w:color="auto"/>
              <w:bottom w:val="nil"/>
              <w:right w:val="nil"/>
            </w:tcBorders>
          </w:tcPr>
          <w:p w14:paraId="77ACA968" w14:textId="1CA7D386" w:rsidR="003F4980" w:rsidRPr="00E20618" w:rsidRDefault="003F4980" w:rsidP="000649FA">
            <w:pPr>
              <w:pStyle w:val="TableTextLeft"/>
              <w:jc w:val="right"/>
            </w:pPr>
            <w:r w:rsidRPr="00E20618">
              <w:rPr>
                <w:rFonts w:cstheme="minorHAnsi"/>
              </w:rPr>
              <w:t>1.6</w:t>
            </w:r>
          </w:p>
        </w:tc>
      </w:tr>
      <w:tr w:rsidR="003F4980" w:rsidRPr="00485E58" w14:paraId="2B47E15F" w14:textId="77777777" w:rsidTr="00854EAB">
        <w:tc>
          <w:tcPr>
            <w:tcW w:w="3096" w:type="dxa"/>
          </w:tcPr>
          <w:p w14:paraId="3747FB78"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nil"/>
              <w:right w:val="nil"/>
            </w:tcBorders>
          </w:tcPr>
          <w:p w14:paraId="5F8701A9" w14:textId="2978E936" w:rsidR="003F4980" w:rsidRPr="00E20618" w:rsidRDefault="003F4980" w:rsidP="000649FA">
            <w:pPr>
              <w:pStyle w:val="TableTextLeft"/>
              <w:jc w:val="right"/>
            </w:pPr>
            <w:r w:rsidRPr="00E20618">
              <w:rPr>
                <w:rFonts w:cstheme="minorHAnsi"/>
              </w:rPr>
              <w:t>-0.1</w:t>
            </w:r>
          </w:p>
        </w:tc>
        <w:tc>
          <w:tcPr>
            <w:tcW w:w="996" w:type="dxa"/>
            <w:tcBorders>
              <w:top w:val="nil"/>
              <w:left w:val="nil"/>
              <w:bottom w:val="nil"/>
              <w:right w:val="nil"/>
            </w:tcBorders>
            <w:shd w:val="clear" w:color="auto" w:fill="D2EDFF" w:themeFill="accent1" w:themeFillTint="1A"/>
          </w:tcPr>
          <w:p w14:paraId="59578CC8" w14:textId="34FE8002"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nil"/>
            </w:tcBorders>
          </w:tcPr>
          <w:p w14:paraId="0EC0AD13" w14:textId="634D156E" w:rsidR="003F4980" w:rsidRPr="00E20618" w:rsidRDefault="003F4980" w:rsidP="000649FA">
            <w:pPr>
              <w:pStyle w:val="TableTextLeft"/>
              <w:jc w:val="right"/>
            </w:pPr>
            <w:r w:rsidRPr="00E20618">
              <w:rPr>
                <w:rFonts w:cstheme="minorHAnsi"/>
              </w:rPr>
              <w:t>0.3</w:t>
            </w:r>
          </w:p>
        </w:tc>
        <w:tc>
          <w:tcPr>
            <w:tcW w:w="996" w:type="dxa"/>
            <w:tcBorders>
              <w:top w:val="nil"/>
              <w:left w:val="nil"/>
              <w:bottom w:val="nil"/>
              <w:right w:val="nil"/>
            </w:tcBorders>
          </w:tcPr>
          <w:p w14:paraId="10BC7245" w14:textId="5FADAC23" w:rsidR="003F4980" w:rsidRPr="00E20618" w:rsidRDefault="003F4980" w:rsidP="000649FA">
            <w:pPr>
              <w:pStyle w:val="TableTextLeft"/>
              <w:jc w:val="right"/>
            </w:pPr>
            <w:r w:rsidRPr="00E20618">
              <w:rPr>
                <w:rFonts w:cstheme="minorHAnsi"/>
              </w:rPr>
              <w:t>0.5</w:t>
            </w:r>
          </w:p>
        </w:tc>
        <w:tc>
          <w:tcPr>
            <w:tcW w:w="996" w:type="dxa"/>
            <w:tcBorders>
              <w:top w:val="nil"/>
              <w:left w:val="nil"/>
              <w:bottom w:val="nil"/>
              <w:right w:val="single" w:sz="4" w:space="0" w:color="auto"/>
            </w:tcBorders>
          </w:tcPr>
          <w:p w14:paraId="287875AB" w14:textId="4C7193B0" w:rsidR="003F4980" w:rsidRPr="00E20618" w:rsidRDefault="003F4980" w:rsidP="000649FA">
            <w:pPr>
              <w:pStyle w:val="TableTextLeft"/>
              <w:jc w:val="right"/>
            </w:pPr>
            <w:r w:rsidRPr="00E20618">
              <w:rPr>
                <w:rFonts w:cstheme="minorHAnsi"/>
              </w:rPr>
              <w:t>0.5</w:t>
            </w:r>
          </w:p>
        </w:tc>
        <w:tc>
          <w:tcPr>
            <w:tcW w:w="996" w:type="dxa"/>
            <w:tcBorders>
              <w:top w:val="nil"/>
              <w:left w:val="single" w:sz="4" w:space="0" w:color="auto"/>
              <w:bottom w:val="nil"/>
              <w:right w:val="nil"/>
            </w:tcBorders>
          </w:tcPr>
          <w:p w14:paraId="3046E83B" w14:textId="56CD4161" w:rsidR="003F4980" w:rsidRPr="00E20618" w:rsidRDefault="003F4980" w:rsidP="000649FA">
            <w:pPr>
              <w:pStyle w:val="TableTextLeft"/>
              <w:jc w:val="right"/>
            </w:pPr>
            <w:r w:rsidRPr="00E20618">
              <w:rPr>
                <w:rFonts w:cstheme="minorHAnsi"/>
              </w:rPr>
              <w:t>0.5</w:t>
            </w:r>
          </w:p>
        </w:tc>
      </w:tr>
      <w:tr w:rsidR="003F4980" w:rsidRPr="00485E58" w14:paraId="3901C5C1" w14:textId="77777777" w:rsidTr="00854EAB">
        <w:tc>
          <w:tcPr>
            <w:tcW w:w="3096" w:type="dxa"/>
          </w:tcPr>
          <w:p w14:paraId="7F9DCD5A" w14:textId="77777777" w:rsidR="003F4980" w:rsidRPr="00363EFE" w:rsidRDefault="003F4980" w:rsidP="001F0F1C">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nil"/>
              <w:right w:val="nil"/>
            </w:tcBorders>
          </w:tcPr>
          <w:p w14:paraId="63DBFFB6" w14:textId="77777777" w:rsidR="003F4980" w:rsidRPr="00E20618" w:rsidRDefault="003F4980" w:rsidP="000649FA">
            <w:pPr>
              <w:pStyle w:val="TableTextLeft"/>
              <w:jc w:val="right"/>
            </w:pPr>
          </w:p>
        </w:tc>
        <w:tc>
          <w:tcPr>
            <w:tcW w:w="996" w:type="dxa"/>
            <w:tcBorders>
              <w:top w:val="nil"/>
              <w:left w:val="nil"/>
              <w:bottom w:val="nil"/>
              <w:right w:val="nil"/>
            </w:tcBorders>
            <w:shd w:val="clear" w:color="auto" w:fill="D2EDFF" w:themeFill="accent1" w:themeFillTint="1A"/>
          </w:tcPr>
          <w:p w14:paraId="09EDD970" w14:textId="77777777" w:rsidR="003F4980" w:rsidRPr="00E20618" w:rsidRDefault="003F4980" w:rsidP="000649FA">
            <w:pPr>
              <w:pStyle w:val="TableTextLeft"/>
              <w:jc w:val="right"/>
            </w:pPr>
          </w:p>
        </w:tc>
        <w:tc>
          <w:tcPr>
            <w:tcW w:w="996" w:type="dxa"/>
            <w:tcBorders>
              <w:top w:val="nil"/>
              <w:left w:val="nil"/>
              <w:bottom w:val="nil"/>
              <w:right w:val="nil"/>
            </w:tcBorders>
          </w:tcPr>
          <w:p w14:paraId="04BB5BE2" w14:textId="77777777" w:rsidR="003F4980" w:rsidRPr="00E20618" w:rsidRDefault="003F4980" w:rsidP="000649FA">
            <w:pPr>
              <w:pStyle w:val="TableTextLeft"/>
              <w:jc w:val="right"/>
            </w:pPr>
          </w:p>
        </w:tc>
        <w:tc>
          <w:tcPr>
            <w:tcW w:w="996" w:type="dxa"/>
            <w:tcBorders>
              <w:top w:val="nil"/>
              <w:left w:val="nil"/>
              <w:bottom w:val="nil"/>
              <w:right w:val="nil"/>
            </w:tcBorders>
          </w:tcPr>
          <w:p w14:paraId="22C09770" w14:textId="77777777" w:rsidR="003F4980" w:rsidRPr="00E20618" w:rsidRDefault="003F4980" w:rsidP="000649FA">
            <w:pPr>
              <w:pStyle w:val="TableTextLeft"/>
              <w:jc w:val="right"/>
            </w:pPr>
          </w:p>
        </w:tc>
        <w:tc>
          <w:tcPr>
            <w:tcW w:w="996" w:type="dxa"/>
            <w:tcBorders>
              <w:top w:val="nil"/>
              <w:left w:val="nil"/>
              <w:bottom w:val="nil"/>
              <w:right w:val="single" w:sz="4" w:space="0" w:color="auto"/>
            </w:tcBorders>
          </w:tcPr>
          <w:p w14:paraId="517E6F37" w14:textId="77777777" w:rsidR="003F4980" w:rsidRPr="00E20618" w:rsidRDefault="003F4980" w:rsidP="000649FA">
            <w:pPr>
              <w:pStyle w:val="TableTextLeft"/>
              <w:jc w:val="right"/>
            </w:pPr>
          </w:p>
        </w:tc>
        <w:tc>
          <w:tcPr>
            <w:tcW w:w="996" w:type="dxa"/>
            <w:tcBorders>
              <w:top w:val="nil"/>
              <w:left w:val="single" w:sz="4" w:space="0" w:color="auto"/>
              <w:bottom w:val="nil"/>
              <w:right w:val="nil"/>
            </w:tcBorders>
          </w:tcPr>
          <w:p w14:paraId="7A7D6E6A" w14:textId="77777777" w:rsidR="003F4980" w:rsidRPr="00E20618" w:rsidRDefault="003F4980" w:rsidP="000649FA">
            <w:pPr>
              <w:pStyle w:val="TableTextLeft"/>
              <w:jc w:val="right"/>
            </w:pPr>
          </w:p>
        </w:tc>
      </w:tr>
      <w:tr w:rsidR="003F4980" w:rsidRPr="00485E58" w14:paraId="3AA3E958" w14:textId="77777777" w:rsidTr="00854EAB">
        <w:tc>
          <w:tcPr>
            <w:tcW w:w="3096" w:type="dxa"/>
          </w:tcPr>
          <w:p w14:paraId="140C50A9" w14:textId="77777777" w:rsidR="003F4980" w:rsidRPr="00363EFE" w:rsidRDefault="003F4980" w:rsidP="001F0F1C">
            <w:pPr>
              <w:pStyle w:val="TableTextLeft"/>
              <w:rPr>
                <w:color w:val="002C47" w:themeColor="accent1"/>
              </w:rPr>
            </w:pPr>
            <w:r w:rsidRPr="00363EFE">
              <w:rPr>
                <w:color w:val="002C47" w:themeColor="accent1"/>
              </w:rPr>
              <w:t>Northern Territory</w:t>
            </w:r>
          </w:p>
        </w:tc>
        <w:tc>
          <w:tcPr>
            <w:tcW w:w="996" w:type="dxa"/>
            <w:tcBorders>
              <w:top w:val="nil"/>
              <w:left w:val="nil"/>
              <w:bottom w:val="nil"/>
              <w:right w:val="nil"/>
            </w:tcBorders>
          </w:tcPr>
          <w:p w14:paraId="377F2B2D" w14:textId="32EE1B8B" w:rsidR="003F4980" w:rsidRPr="00E20618" w:rsidRDefault="003F4980" w:rsidP="000649FA">
            <w:pPr>
              <w:pStyle w:val="TableTextLeft"/>
              <w:jc w:val="right"/>
            </w:pPr>
            <w:r w:rsidRPr="00E20618">
              <w:rPr>
                <w:rFonts w:cstheme="minorHAnsi"/>
              </w:rPr>
              <w:t>-2.5</w:t>
            </w:r>
          </w:p>
        </w:tc>
        <w:tc>
          <w:tcPr>
            <w:tcW w:w="996" w:type="dxa"/>
            <w:tcBorders>
              <w:top w:val="nil"/>
              <w:left w:val="nil"/>
              <w:bottom w:val="nil"/>
              <w:right w:val="nil"/>
            </w:tcBorders>
            <w:shd w:val="clear" w:color="auto" w:fill="D2EDFF" w:themeFill="accent1" w:themeFillTint="1A"/>
          </w:tcPr>
          <w:p w14:paraId="24A837A3" w14:textId="60E12B5D"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646B3D55" w14:textId="5CF68A85" w:rsidR="003F4980" w:rsidRPr="00E20618" w:rsidRDefault="00822F22" w:rsidP="000649FA">
            <w:pPr>
              <w:pStyle w:val="TableTextLeft"/>
              <w:jc w:val="right"/>
            </w:pPr>
            <w:r w:rsidRPr="00E20618">
              <w:rPr>
                <w:rFonts w:cstheme="minorHAnsi"/>
              </w:rPr>
              <w:t>-</w:t>
            </w:r>
            <w:r w:rsidR="003F4980" w:rsidRPr="00E20618">
              <w:rPr>
                <w:rFonts w:cstheme="minorHAnsi"/>
              </w:rPr>
              <w:t>0.2</w:t>
            </w:r>
          </w:p>
        </w:tc>
        <w:tc>
          <w:tcPr>
            <w:tcW w:w="996" w:type="dxa"/>
            <w:tcBorders>
              <w:top w:val="nil"/>
              <w:left w:val="nil"/>
              <w:bottom w:val="nil"/>
              <w:right w:val="nil"/>
            </w:tcBorders>
          </w:tcPr>
          <w:p w14:paraId="011CCCE9" w14:textId="792D0979" w:rsidR="003F4980" w:rsidRPr="00E20618" w:rsidRDefault="00822F22" w:rsidP="000649FA">
            <w:pPr>
              <w:pStyle w:val="TableTextLeft"/>
              <w:jc w:val="right"/>
            </w:pPr>
            <w:r w:rsidRPr="00E20618">
              <w:rPr>
                <w:rFonts w:cstheme="minorHAnsi"/>
              </w:rPr>
              <w:t>-</w:t>
            </w:r>
            <w:r w:rsidR="003F4980" w:rsidRPr="00E20618">
              <w:rPr>
                <w:rFonts w:cstheme="minorHAnsi"/>
              </w:rPr>
              <w:t>1.3</w:t>
            </w:r>
          </w:p>
        </w:tc>
        <w:tc>
          <w:tcPr>
            <w:tcW w:w="996" w:type="dxa"/>
            <w:tcBorders>
              <w:top w:val="nil"/>
              <w:left w:val="nil"/>
              <w:bottom w:val="nil"/>
              <w:right w:val="single" w:sz="4" w:space="0" w:color="auto"/>
            </w:tcBorders>
          </w:tcPr>
          <w:p w14:paraId="48EDB0C1" w14:textId="4FD15C25" w:rsidR="003F4980" w:rsidRPr="00E20618" w:rsidRDefault="00822F22" w:rsidP="000649FA">
            <w:pPr>
              <w:pStyle w:val="TableTextLeft"/>
              <w:jc w:val="right"/>
            </w:pPr>
            <w:r w:rsidRPr="00E20618">
              <w:rPr>
                <w:rFonts w:cstheme="minorHAnsi"/>
              </w:rPr>
              <w:t>-</w:t>
            </w:r>
            <w:r w:rsidR="003F4980" w:rsidRPr="00E20618">
              <w:rPr>
                <w:rFonts w:cstheme="minorHAnsi"/>
              </w:rPr>
              <w:t>1.3</w:t>
            </w:r>
          </w:p>
        </w:tc>
        <w:tc>
          <w:tcPr>
            <w:tcW w:w="996" w:type="dxa"/>
            <w:tcBorders>
              <w:top w:val="nil"/>
              <w:left w:val="single" w:sz="4" w:space="0" w:color="auto"/>
              <w:bottom w:val="nil"/>
              <w:right w:val="nil"/>
            </w:tcBorders>
          </w:tcPr>
          <w:p w14:paraId="61A2B919" w14:textId="2DC8D494" w:rsidR="003F4980" w:rsidRPr="00E20618" w:rsidRDefault="00822F22" w:rsidP="000649FA">
            <w:pPr>
              <w:pStyle w:val="TableTextLeft"/>
              <w:jc w:val="right"/>
            </w:pPr>
            <w:r w:rsidRPr="00E20618">
              <w:rPr>
                <w:rFonts w:cstheme="minorHAnsi"/>
              </w:rPr>
              <w:t>-</w:t>
            </w:r>
            <w:r w:rsidR="003F4980" w:rsidRPr="00E20618">
              <w:rPr>
                <w:rFonts w:cstheme="minorHAnsi"/>
              </w:rPr>
              <w:t>1.1</w:t>
            </w:r>
          </w:p>
        </w:tc>
      </w:tr>
      <w:tr w:rsidR="003F4980" w:rsidRPr="00485E58" w14:paraId="07F7400F" w14:textId="77777777" w:rsidTr="00854EAB">
        <w:tc>
          <w:tcPr>
            <w:tcW w:w="3096" w:type="dxa"/>
          </w:tcPr>
          <w:p w14:paraId="3D3BB913"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737DB27" w14:textId="1EAD2325" w:rsidR="003F4980" w:rsidRPr="00E20618" w:rsidRDefault="003F4980" w:rsidP="000649FA">
            <w:pPr>
              <w:pStyle w:val="TableTextLeft"/>
              <w:jc w:val="right"/>
            </w:pPr>
            <w:r w:rsidRPr="00E20618">
              <w:rPr>
                <w:rFonts w:cstheme="minorHAnsi"/>
              </w:rPr>
              <w:t>-1.6</w:t>
            </w:r>
          </w:p>
        </w:tc>
        <w:tc>
          <w:tcPr>
            <w:tcW w:w="996" w:type="dxa"/>
            <w:tcBorders>
              <w:top w:val="nil"/>
              <w:left w:val="nil"/>
              <w:bottom w:val="nil"/>
              <w:right w:val="nil"/>
            </w:tcBorders>
            <w:shd w:val="clear" w:color="auto" w:fill="D2EDFF" w:themeFill="accent1" w:themeFillTint="1A"/>
          </w:tcPr>
          <w:p w14:paraId="74DF4B6B" w14:textId="2C111554" w:rsidR="003F4980" w:rsidRPr="00E20618" w:rsidRDefault="003F4980" w:rsidP="000649FA">
            <w:pPr>
              <w:pStyle w:val="TableTextLeft"/>
              <w:jc w:val="right"/>
            </w:pPr>
            <w:r w:rsidRPr="00E20618">
              <w:rPr>
                <w:rFonts w:cstheme="minorHAnsi"/>
              </w:rPr>
              <w:t>1</w:t>
            </w:r>
          </w:p>
        </w:tc>
        <w:tc>
          <w:tcPr>
            <w:tcW w:w="996" w:type="dxa"/>
            <w:tcBorders>
              <w:top w:val="nil"/>
              <w:left w:val="nil"/>
              <w:bottom w:val="nil"/>
              <w:right w:val="nil"/>
            </w:tcBorders>
          </w:tcPr>
          <w:p w14:paraId="355D496C" w14:textId="16CC50CF" w:rsidR="003F4980" w:rsidRPr="00E20618" w:rsidRDefault="003F4980" w:rsidP="000649FA">
            <w:pPr>
              <w:pStyle w:val="TableTextLeft"/>
              <w:jc w:val="right"/>
            </w:pPr>
            <w:r w:rsidRPr="00E20618">
              <w:rPr>
                <w:rFonts w:cstheme="minorHAnsi"/>
              </w:rPr>
              <w:t>0.4</w:t>
            </w:r>
          </w:p>
        </w:tc>
        <w:tc>
          <w:tcPr>
            <w:tcW w:w="996" w:type="dxa"/>
            <w:tcBorders>
              <w:top w:val="nil"/>
              <w:left w:val="nil"/>
              <w:bottom w:val="nil"/>
              <w:right w:val="nil"/>
            </w:tcBorders>
          </w:tcPr>
          <w:p w14:paraId="56D69052" w14:textId="0C900324" w:rsidR="003F4980" w:rsidRPr="00E20618" w:rsidRDefault="00822F22" w:rsidP="000649FA">
            <w:pPr>
              <w:pStyle w:val="TableTextLeft"/>
              <w:jc w:val="right"/>
            </w:pPr>
            <w:r w:rsidRPr="00E20618">
              <w:rPr>
                <w:rFonts w:cstheme="minorHAnsi"/>
              </w:rPr>
              <w:t>-</w:t>
            </w:r>
            <w:r w:rsidR="003F4980" w:rsidRPr="00E20618">
              <w:rPr>
                <w:rFonts w:cstheme="minorHAnsi"/>
              </w:rPr>
              <w:t>0.3</w:t>
            </w:r>
          </w:p>
        </w:tc>
        <w:tc>
          <w:tcPr>
            <w:tcW w:w="996" w:type="dxa"/>
            <w:tcBorders>
              <w:top w:val="nil"/>
              <w:left w:val="nil"/>
              <w:bottom w:val="nil"/>
              <w:right w:val="single" w:sz="4" w:space="0" w:color="auto"/>
            </w:tcBorders>
          </w:tcPr>
          <w:p w14:paraId="006B7CB3" w14:textId="0BD53999" w:rsidR="003F4980" w:rsidRPr="00E20618" w:rsidRDefault="00822F22" w:rsidP="000649FA">
            <w:pPr>
              <w:pStyle w:val="TableTextLeft"/>
              <w:jc w:val="right"/>
            </w:pPr>
            <w:r w:rsidRPr="00E20618">
              <w:rPr>
                <w:rFonts w:cstheme="minorHAnsi"/>
              </w:rPr>
              <w:t>-</w:t>
            </w:r>
            <w:r w:rsidR="003F4980" w:rsidRPr="00E20618">
              <w:rPr>
                <w:rFonts w:cstheme="minorHAnsi"/>
              </w:rPr>
              <w:t>0.4</w:t>
            </w:r>
          </w:p>
        </w:tc>
        <w:tc>
          <w:tcPr>
            <w:tcW w:w="996" w:type="dxa"/>
            <w:tcBorders>
              <w:top w:val="nil"/>
              <w:left w:val="single" w:sz="4" w:space="0" w:color="auto"/>
              <w:bottom w:val="nil"/>
              <w:right w:val="nil"/>
            </w:tcBorders>
          </w:tcPr>
          <w:p w14:paraId="369B8983" w14:textId="0E0F5AEE" w:rsidR="003F4980" w:rsidRPr="00E20618" w:rsidRDefault="00822F22" w:rsidP="000649FA">
            <w:pPr>
              <w:pStyle w:val="TableTextLeft"/>
              <w:jc w:val="right"/>
            </w:pPr>
            <w:r w:rsidRPr="00E20618">
              <w:rPr>
                <w:rFonts w:cstheme="minorHAnsi"/>
              </w:rPr>
              <w:t>-</w:t>
            </w:r>
            <w:r w:rsidR="003F4980" w:rsidRPr="00E20618">
              <w:rPr>
                <w:rFonts w:cstheme="minorHAnsi"/>
              </w:rPr>
              <w:t>0.6</w:t>
            </w:r>
          </w:p>
        </w:tc>
      </w:tr>
      <w:tr w:rsidR="003F4980" w:rsidRPr="00485E58" w14:paraId="29B2F5DA" w14:textId="77777777" w:rsidTr="00854EAB">
        <w:tc>
          <w:tcPr>
            <w:tcW w:w="3096" w:type="dxa"/>
            <w:tcBorders>
              <w:bottom w:val="single" w:sz="4" w:space="0" w:color="auto"/>
            </w:tcBorders>
          </w:tcPr>
          <w:p w14:paraId="336139BF"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33F11400" w14:textId="2B6BB978" w:rsidR="003F4980" w:rsidRPr="00E20618" w:rsidRDefault="003F4980" w:rsidP="000649FA">
            <w:pPr>
              <w:pStyle w:val="TableTextLeft"/>
              <w:jc w:val="right"/>
            </w:pPr>
            <w:r w:rsidRPr="00E20618">
              <w:rPr>
                <w:rFonts w:cstheme="minorHAnsi"/>
              </w:rPr>
              <w:t>-0.9</w:t>
            </w:r>
          </w:p>
        </w:tc>
        <w:tc>
          <w:tcPr>
            <w:tcW w:w="996" w:type="dxa"/>
            <w:tcBorders>
              <w:top w:val="nil"/>
              <w:left w:val="nil"/>
              <w:bottom w:val="single" w:sz="4" w:space="0" w:color="auto"/>
              <w:right w:val="nil"/>
            </w:tcBorders>
            <w:shd w:val="clear" w:color="auto" w:fill="D2EDFF" w:themeFill="accent1" w:themeFillTint="1A"/>
          </w:tcPr>
          <w:p w14:paraId="42992602" w14:textId="2A554CD5" w:rsidR="003F4980" w:rsidRPr="00E20618" w:rsidRDefault="003F4980" w:rsidP="000649FA">
            <w:pPr>
              <w:pStyle w:val="TableTextLeft"/>
              <w:jc w:val="right"/>
            </w:pPr>
            <w:r w:rsidRPr="00E20618">
              <w:rPr>
                <w:rFonts w:cstheme="minorHAnsi"/>
              </w:rPr>
              <w:t>0</w:t>
            </w:r>
          </w:p>
        </w:tc>
        <w:tc>
          <w:tcPr>
            <w:tcW w:w="996" w:type="dxa"/>
            <w:tcBorders>
              <w:top w:val="nil"/>
              <w:left w:val="nil"/>
              <w:bottom w:val="single" w:sz="4" w:space="0" w:color="auto"/>
              <w:right w:val="nil"/>
            </w:tcBorders>
          </w:tcPr>
          <w:p w14:paraId="0853E4AF" w14:textId="7E2026B6" w:rsidR="003F4980" w:rsidRPr="00E20618" w:rsidRDefault="00822F22" w:rsidP="000649FA">
            <w:pPr>
              <w:pStyle w:val="TableTextLeft"/>
              <w:jc w:val="right"/>
            </w:pPr>
            <w:r w:rsidRPr="00E20618">
              <w:rPr>
                <w:rFonts w:cstheme="minorHAnsi"/>
              </w:rPr>
              <w:t>-</w:t>
            </w:r>
            <w:r w:rsidR="003F4980" w:rsidRPr="00E20618">
              <w:rPr>
                <w:rFonts w:cstheme="minorHAnsi"/>
              </w:rPr>
              <w:t>0.6</w:t>
            </w:r>
          </w:p>
        </w:tc>
        <w:tc>
          <w:tcPr>
            <w:tcW w:w="996" w:type="dxa"/>
            <w:tcBorders>
              <w:top w:val="nil"/>
              <w:left w:val="nil"/>
              <w:bottom w:val="single" w:sz="4" w:space="0" w:color="auto"/>
              <w:right w:val="nil"/>
            </w:tcBorders>
          </w:tcPr>
          <w:p w14:paraId="1578CBC5" w14:textId="327A148C" w:rsidR="003F4980" w:rsidRPr="00E20618" w:rsidRDefault="00822F22" w:rsidP="000649FA">
            <w:pPr>
              <w:pStyle w:val="TableTextLeft"/>
              <w:jc w:val="right"/>
            </w:pPr>
            <w:r w:rsidRPr="00E20618">
              <w:rPr>
                <w:rFonts w:cstheme="minorHAnsi"/>
              </w:rPr>
              <w:t>-</w:t>
            </w:r>
            <w:r w:rsidR="003F4980" w:rsidRPr="00E20618">
              <w:rPr>
                <w:rFonts w:cstheme="minorHAnsi"/>
              </w:rPr>
              <w:t>1</w:t>
            </w:r>
          </w:p>
        </w:tc>
        <w:tc>
          <w:tcPr>
            <w:tcW w:w="996" w:type="dxa"/>
            <w:tcBorders>
              <w:top w:val="nil"/>
              <w:left w:val="nil"/>
              <w:bottom w:val="single" w:sz="4" w:space="0" w:color="auto"/>
              <w:right w:val="single" w:sz="4" w:space="0" w:color="auto"/>
            </w:tcBorders>
          </w:tcPr>
          <w:p w14:paraId="562DEEE6" w14:textId="1072FF3A" w:rsidR="003F4980" w:rsidRPr="00E20618" w:rsidRDefault="00822F22" w:rsidP="000649FA">
            <w:pPr>
              <w:pStyle w:val="TableTextLeft"/>
              <w:jc w:val="right"/>
            </w:pPr>
            <w:r w:rsidRPr="00E20618">
              <w:rPr>
                <w:rFonts w:cstheme="minorHAnsi"/>
              </w:rPr>
              <w:t>-</w:t>
            </w:r>
            <w:r w:rsidR="003F4980" w:rsidRPr="00E20618">
              <w:rPr>
                <w:rFonts w:cstheme="minorHAnsi"/>
              </w:rPr>
              <w:t>0.9</w:t>
            </w:r>
          </w:p>
        </w:tc>
        <w:tc>
          <w:tcPr>
            <w:tcW w:w="996" w:type="dxa"/>
            <w:tcBorders>
              <w:top w:val="nil"/>
              <w:left w:val="single" w:sz="4" w:space="0" w:color="auto"/>
              <w:bottom w:val="single" w:sz="4" w:space="0" w:color="auto"/>
              <w:right w:val="nil"/>
            </w:tcBorders>
          </w:tcPr>
          <w:p w14:paraId="3B32DF72" w14:textId="26B608AC" w:rsidR="003F4980" w:rsidRPr="00E20618" w:rsidRDefault="00822F22" w:rsidP="000649FA">
            <w:pPr>
              <w:pStyle w:val="TableTextLeft"/>
              <w:jc w:val="right"/>
            </w:pPr>
            <w:r w:rsidRPr="00E20618">
              <w:rPr>
                <w:rFonts w:cstheme="minorHAnsi"/>
              </w:rPr>
              <w:t>-</w:t>
            </w:r>
            <w:r w:rsidR="003F4980" w:rsidRPr="00E20618">
              <w:rPr>
                <w:rFonts w:cstheme="minorHAnsi"/>
              </w:rPr>
              <w:t>0.5</w:t>
            </w:r>
          </w:p>
        </w:tc>
      </w:tr>
      <w:tr w:rsidR="003F4980" w:rsidRPr="00485E58" w14:paraId="4D000D99" w14:textId="77777777" w:rsidTr="00854EAB">
        <w:tc>
          <w:tcPr>
            <w:tcW w:w="3096" w:type="dxa"/>
            <w:tcBorders>
              <w:top w:val="single" w:sz="4" w:space="0" w:color="auto"/>
              <w:bottom w:val="nil"/>
            </w:tcBorders>
          </w:tcPr>
          <w:p w14:paraId="518E7314" w14:textId="77777777" w:rsidR="003F4980" w:rsidRPr="00363EFE" w:rsidRDefault="003F4980" w:rsidP="001F0F1C">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nil"/>
              <w:right w:val="nil"/>
            </w:tcBorders>
          </w:tcPr>
          <w:p w14:paraId="60E199A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shd w:val="clear" w:color="auto" w:fill="D2EDFF" w:themeFill="accent1" w:themeFillTint="1A"/>
          </w:tcPr>
          <w:p w14:paraId="49D0C89A"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69AC9E79" w14:textId="77777777" w:rsidR="003F4980" w:rsidRPr="00E20618" w:rsidRDefault="003F4980" w:rsidP="000649FA">
            <w:pPr>
              <w:pStyle w:val="TableTextLeft"/>
              <w:jc w:val="right"/>
            </w:pPr>
          </w:p>
        </w:tc>
        <w:tc>
          <w:tcPr>
            <w:tcW w:w="996" w:type="dxa"/>
            <w:tcBorders>
              <w:top w:val="single" w:sz="4" w:space="0" w:color="auto"/>
              <w:left w:val="nil"/>
              <w:bottom w:val="nil"/>
              <w:right w:val="nil"/>
            </w:tcBorders>
          </w:tcPr>
          <w:p w14:paraId="1E4882B1" w14:textId="77777777" w:rsidR="003F4980" w:rsidRPr="00E20618" w:rsidRDefault="003F4980" w:rsidP="000649FA">
            <w:pPr>
              <w:pStyle w:val="TableTextLeft"/>
              <w:jc w:val="right"/>
            </w:pPr>
          </w:p>
        </w:tc>
        <w:tc>
          <w:tcPr>
            <w:tcW w:w="996" w:type="dxa"/>
            <w:tcBorders>
              <w:top w:val="single" w:sz="4" w:space="0" w:color="auto"/>
              <w:left w:val="nil"/>
              <w:bottom w:val="nil"/>
              <w:right w:val="single" w:sz="4" w:space="0" w:color="auto"/>
            </w:tcBorders>
          </w:tcPr>
          <w:p w14:paraId="5ECA8801" w14:textId="77777777" w:rsidR="003F4980" w:rsidRPr="00E20618" w:rsidRDefault="003F4980" w:rsidP="000649FA">
            <w:pPr>
              <w:pStyle w:val="TableTextLeft"/>
              <w:jc w:val="right"/>
            </w:pPr>
          </w:p>
        </w:tc>
        <w:tc>
          <w:tcPr>
            <w:tcW w:w="996" w:type="dxa"/>
            <w:tcBorders>
              <w:top w:val="single" w:sz="4" w:space="0" w:color="auto"/>
              <w:left w:val="single" w:sz="4" w:space="0" w:color="auto"/>
              <w:bottom w:val="nil"/>
              <w:right w:val="nil"/>
            </w:tcBorders>
          </w:tcPr>
          <w:p w14:paraId="1AD0880D" w14:textId="77777777" w:rsidR="003F4980" w:rsidRPr="00E20618" w:rsidRDefault="003F4980" w:rsidP="000649FA">
            <w:pPr>
              <w:pStyle w:val="TableTextLeft"/>
              <w:jc w:val="right"/>
            </w:pPr>
          </w:p>
        </w:tc>
      </w:tr>
      <w:tr w:rsidR="003F4980" w:rsidRPr="00485E58" w14:paraId="1D6F5FE6" w14:textId="77777777" w:rsidTr="00854EAB">
        <w:tc>
          <w:tcPr>
            <w:tcW w:w="3096" w:type="dxa"/>
            <w:tcBorders>
              <w:bottom w:val="nil"/>
            </w:tcBorders>
          </w:tcPr>
          <w:p w14:paraId="16168D3D" w14:textId="77777777" w:rsidR="003F4980" w:rsidRPr="00363EFE" w:rsidRDefault="003F4980" w:rsidP="001F0F1C">
            <w:pPr>
              <w:pStyle w:val="TableTextLeft"/>
              <w:rPr>
                <w:i/>
                <w:iCs/>
                <w:color w:val="002C47" w:themeColor="accent1"/>
              </w:rPr>
            </w:pPr>
            <w:r w:rsidRPr="00363EFE">
              <w:rPr>
                <w:color w:val="002C47" w:themeColor="accent1"/>
              </w:rPr>
              <w:t>Northern Territory</w:t>
            </w:r>
          </w:p>
        </w:tc>
        <w:tc>
          <w:tcPr>
            <w:tcW w:w="996" w:type="dxa"/>
            <w:tcBorders>
              <w:top w:val="nil"/>
              <w:left w:val="nil"/>
              <w:bottom w:val="nil"/>
              <w:right w:val="nil"/>
            </w:tcBorders>
          </w:tcPr>
          <w:p w14:paraId="7A350ACA" w14:textId="0143F3E0" w:rsidR="003F4980" w:rsidRPr="00E20618" w:rsidRDefault="003F4980" w:rsidP="000649FA">
            <w:pPr>
              <w:pStyle w:val="TableTextLeft"/>
              <w:jc w:val="right"/>
            </w:pPr>
            <w:r w:rsidRPr="00E20618">
              <w:rPr>
                <w:rFonts w:cstheme="minorHAnsi"/>
              </w:rPr>
              <w:t>33.4</w:t>
            </w:r>
          </w:p>
        </w:tc>
        <w:tc>
          <w:tcPr>
            <w:tcW w:w="996" w:type="dxa"/>
            <w:tcBorders>
              <w:top w:val="nil"/>
              <w:left w:val="nil"/>
              <w:bottom w:val="nil"/>
              <w:right w:val="nil"/>
            </w:tcBorders>
            <w:shd w:val="clear" w:color="auto" w:fill="D2EDFF" w:themeFill="accent1" w:themeFillTint="1A"/>
          </w:tcPr>
          <w:p w14:paraId="5FEBD8F9" w14:textId="4FF46EEF" w:rsidR="003F4980" w:rsidRPr="00E20618" w:rsidRDefault="003F4980" w:rsidP="000649FA">
            <w:pPr>
              <w:pStyle w:val="TableTextLeft"/>
              <w:jc w:val="right"/>
            </w:pPr>
            <w:r w:rsidRPr="00E20618">
              <w:rPr>
                <w:rFonts w:cstheme="minorHAnsi"/>
              </w:rPr>
              <w:t>33.6</w:t>
            </w:r>
          </w:p>
        </w:tc>
        <w:tc>
          <w:tcPr>
            <w:tcW w:w="996" w:type="dxa"/>
            <w:tcBorders>
              <w:top w:val="nil"/>
              <w:left w:val="nil"/>
              <w:bottom w:val="nil"/>
              <w:right w:val="nil"/>
            </w:tcBorders>
          </w:tcPr>
          <w:p w14:paraId="75EFB061" w14:textId="0653D753" w:rsidR="003F4980" w:rsidRPr="00E20618" w:rsidRDefault="003F4980" w:rsidP="000649FA">
            <w:pPr>
              <w:pStyle w:val="TableTextLeft"/>
              <w:jc w:val="right"/>
            </w:pPr>
            <w:r w:rsidRPr="00E20618">
              <w:rPr>
                <w:rFonts w:cstheme="minorHAnsi"/>
              </w:rPr>
              <w:t>33.9</w:t>
            </w:r>
          </w:p>
        </w:tc>
        <w:tc>
          <w:tcPr>
            <w:tcW w:w="996" w:type="dxa"/>
            <w:tcBorders>
              <w:top w:val="nil"/>
              <w:left w:val="nil"/>
              <w:bottom w:val="nil"/>
              <w:right w:val="nil"/>
            </w:tcBorders>
          </w:tcPr>
          <w:p w14:paraId="074E76F9" w14:textId="7557F489" w:rsidR="003F4980" w:rsidRPr="00E20618" w:rsidRDefault="003F4980" w:rsidP="000649FA">
            <w:pPr>
              <w:pStyle w:val="TableTextLeft"/>
              <w:jc w:val="right"/>
            </w:pPr>
            <w:r w:rsidRPr="00E20618">
              <w:rPr>
                <w:rFonts w:cstheme="minorHAnsi"/>
              </w:rPr>
              <w:t>34.2</w:t>
            </w:r>
          </w:p>
        </w:tc>
        <w:tc>
          <w:tcPr>
            <w:tcW w:w="996" w:type="dxa"/>
            <w:tcBorders>
              <w:top w:val="nil"/>
              <w:left w:val="nil"/>
              <w:bottom w:val="nil"/>
              <w:right w:val="single" w:sz="4" w:space="0" w:color="auto"/>
            </w:tcBorders>
          </w:tcPr>
          <w:p w14:paraId="6836DA23" w14:textId="0D800280" w:rsidR="003F4980" w:rsidRPr="00E20618" w:rsidRDefault="003F4980" w:rsidP="000649FA">
            <w:pPr>
              <w:pStyle w:val="TableTextLeft"/>
              <w:jc w:val="right"/>
            </w:pPr>
            <w:r w:rsidRPr="00E20618">
              <w:rPr>
                <w:rFonts w:cstheme="minorHAnsi"/>
              </w:rPr>
              <w:t>34.4</w:t>
            </w:r>
          </w:p>
        </w:tc>
        <w:tc>
          <w:tcPr>
            <w:tcW w:w="996" w:type="dxa"/>
            <w:tcBorders>
              <w:top w:val="nil"/>
              <w:left w:val="single" w:sz="4" w:space="0" w:color="auto"/>
              <w:bottom w:val="nil"/>
              <w:right w:val="nil"/>
            </w:tcBorders>
          </w:tcPr>
          <w:p w14:paraId="1B5B6CF3" w14:textId="4B8FE753" w:rsidR="003F4980" w:rsidRPr="00E20618" w:rsidRDefault="003F4980" w:rsidP="000649FA">
            <w:pPr>
              <w:pStyle w:val="TableTextLeft"/>
              <w:jc w:val="right"/>
            </w:pPr>
            <w:r w:rsidRPr="00E20618">
              <w:rPr>
                <w:rFonts w:cstheme="minorHAnsi"/>
              </w:rPr>
              <w:t>35.7</w:t>
            </w:r>
          </w:p>
        </w:tc>
      </w:tr>
      <w:tr w:rsidR="003F4980" w:rsidRPr="00485E58" w14:paraId="48F3FA6D" w14:textId="77777777" w:rsidTr="00854EAB">
        <w:tc>
          <w:tcPr>
            <w:tcW w:w="3096" w:type="dxa"/>
            <w:tcBorders>
              <w:bottom w:val="nil"/>
            </w:tcBorders>
          </w:tcPr>
          <w:p w14:paraId="54BEC82E" w14:textId="77777777" w:rsidR="003F4980" w:rsidRPr="00363EFE" w:rsidRDefault="003F4980" w:rsidP="001F0F1C">
            <w:pPr>
              <w:pStyle w:val="Tabletextleftindent"/>
              <w:rPr>
                <w:color w:val="002C47" w:themeColor="accent1"/>
              </w:rPr>
            </w:pPr>
            <w:r w:rsidRPr="00363EFE">
              <w:rPr>
                <w:color w:val="002C47" w:themeColor="accent1"/>
              </w:rPr>
              <w:t>Greater Darwin</w:t>
            </w:r>
          </w:p>
        </w:tc>
        <w:tc>
          <w:tcPr>
            <w:tcW w:w="996" w:type="dxa"/>
            <w:tcBorders>
              <w:top w:val="nil"/>
              <w:left w:val="nil"/>
              <w:bottom w:val="nil"/>
              <w:right w:val="nil"/>
            </w:tcBorders>
          </w:tcPr>
          <w:p w14:paraId="36126D72" w14:textId="21F8D7D5" w:rsidR="003F4980" w:rsidRPr="00E20618" w:rsidRDefault="003F4980" w:rsidP="000649FA">
            <w:pPr>
              <w:pStyle w:val="TableTextLeft"/>
              <w:jc w:val="right"/>
            </w:pPr>
            <w:r w:rsidRPr="00E20618">
              <w:rPr>
                <w:rFonts w:cstheme="minorHAnsi"/>
              </w:rPr>
              <w:t>34.5</w:t>
            </w:r>
          </w:p>
        </w:tc>
        <w:tc>
          <w:tcPr>
            <w:tcW w:w="996" w:type="dxa"/>
            <w:tcBorders>
              <w:top w:val="nil"/>
              <w:left w:val="nil"/>
              <w:bottom w:val="nil"/>
              <w:right w:val="nil"/>
            </w:tcBorders>
            <w:shd w:val="clear" w:color="auto" w:fill="D2EDFF" w:themeFill="accent1" w:themeFillTint="1A"/>
          </w:tcPr>
          <w:p w14:paraId="7BFD74FE" w14:textId="6B3F9B30" w:rsidR="003F4980" w:rsidRPr="00E20618" w:rsidRDefault="003F4980" w:rsidP="000649FA">
            <w:pPr>
              <w:pStyle w:val="TableTextLeft"/>
              <w:jc w:val="right"/>
            </w:pPr>
            <w:r w:rsidRPr="00E20618">
              <w:rPr>
                <w:rFonts w:cstheme="minorHAnsi"/>
              </w:rPr>
              <w:t>34.7</w:t>
            </w:r>
          </w:p>
        </w:tc>
        <w:tc>
          <w:tcPr>
            <w:tcW w:w="996" w:type="dxa"/>
            <w:tcBorders>
              <w:top w:val="nil"/>
              <w:left w:val="nil"/>
              <w:bottom w:val="nil"/>
              <w:right w:val="nil"/>
            </w:tcBorders>
          </w:tcPr>
          <w:p w14:paraId="457E3886" w14:textId="3C04D4A9" w:rsidR="003F4980" w:rsidRPr="00E20618" w:rsidRDefault="003F4980" w:rsidP="000649FA">
            <w:pPr>
              <w:pStyle w:val="TableTextLeft"/>
              <w:jc w:val="right"/>
            </w:pPr>
            <w:r w:rsidRPr="00E20618">
              <w:rPr>
                <w:rFonts w:cstheme="minorHAnsi"/>
              </w:rPr>
              <w:t>34.9</w:t>
            </w:r>
          </w:p>
        </w:tc>
        <w:tc>
          <w:tcPr>
            <w:tcW w:w="996" w:type="dxa"/>
            <w:tcBorders>
              <w:top w:val="nil"/>
              <w:left w:val="nil"/>
              <w:bottom w:val="nil"/>
              <w:right w:val="nil"/>
            </w:tcBorders>
          </w:tcPr>
          <w:p w14:paraId="164B3716" w14:textId="7BFCB57B" w:rsidR="003F4980" w:rsidRPr="00E20618" w:rsidRDefault="003F4980" w:rsidP="000649FA">
            <w:pPr>
              <w:pStyle w:val="TableTextLeft"/>
              <w:jc w:val="right"/>
            </w:pPr>
            <w:r w:rsidRPr="00E20618">
              <w:rPr>
                <w:rFonts w:cstheme="minorHAnsi"/>
              </w:rPr>
              <w:t>35.1</w:t>
            </w:r>
          </w:p>
        </w:tc>
        <w:tc>
          <w:tcPr>
            <w:tcW w:w="996" w:type="dxa"/>
            <w:tcBorders>
              <w:top w:val="nil"/>
              <w:left w:val="nil"/>
              <w:bottom w:val="nil"/>
              <w:right w:val="single" w:sz="4" w:space="0" w:color="auto"/>
            </w:tcBorders>
          </w:tcPr>
          <w:p w14:paraId="5E8D08A1" w14:textId="15FEA8F5" w:rsidR="003F4980" w:rsidRPr="00E20618" w:rsidRDefault="003F4980" w:rsidP="000649FA">
            <w:pPr>
              <w:pStyle w:val="TableTextLeft"/>
              <w:jc w:val="right"/>
            </w:pPr>
            <w:r w:rsidRPr="00E20618">
              <w:rPr>
                <w:rFonts w:cstheme="minorHAnsi"/>
              </w:rPr>
              <w:t>35.3</w:t>
            </w:r>
          </w:p>
        </w:tc>
        <w:tc>
          <w:tcPr>
            <w:tcW w:w="996" w:type="dxa"/>
            <w:tcBorders>
              <w:top w:val="nil"/>
              <w:left w:val="single" w:sz="4" w:space="0" w:color="auto"/>
              <w:bottom w:val="nil"/>
              <w:right w:val="nil"/>
            </w:tcBorders>
          </w:tcPr>
          <w:p w14:paraId="6390E6D2" w14:textId="70868D54" w:rsidR="003F4980" w:rsidRPr="00E20618" w:rsidRDefault="003F4980" w:rsidP="000649FA">
            <w:pPr>
              <w:pStyle w:val="TableTextLeft"/>
              <w:jc w:val="right"/>
            </w:pPr>
            <w:r w:rsidRPr="00E20618">
              <w:rPr>
                <w:rFonts w:cstheme="minorHAnsi"/>
              </w:rPr>
              <w:t>36.6</w:t>
            </w:r>
          </w:p>
        </w:tc>
      </w:tr>
      <w:tr w:rsidR="003F4980" w:rsidRPr="00485E58" w14:paraId="665EA44A" w14:textId="77777777" w:rsidTr="00854EAB">
        <w:tc>
          <w:tcPr>
            <w:tcW w:w="3096" w:type="dxa"/>
            <w:tcBorders>
              <w:bottom w:val="single" w:sz="4" w:space="0" w:color="auto"/>
            </w:tcBorders>
          </w:tcPr>
          <w:p w14:paraId="52DB1644" w14:textId="77777777" w:rsidR="003F4980" w:rsidRPr="00363EFE" w:rsidRDefault="003F4980" w:rsidP="001F0F1C">
            <w:pPr>
              <w:pStyle w:val="Tabletextleftindent"/>
              <w:rPr>
                <w:color w:val="002C47" w:themeColor="accent1"/>
              </w:rPr>
            </w:pPr>
            <w:r w:rsidRPr="00363EFE">
              <w:rPr>
                <w:color w:val="002C47" w:themeColor="accent1"/>
              </w:rPr>
              <w:t>Rest of Northern Territory</w:t>
            </w:r>
          </w:p>
        </w:tc>
        <w:tc>
          <w:tcPr>
            <w:tcW w:w="996" w:type="dxa"/>
            <w:tcBorders>
              <w:top w:val="nil"/>
              <w:left w:val="nil"/>
              <w:bottom w:val="single" w:sz="4" w:space="0" w:color="auto"/>
              <w:right w:val="nil"/>
            </w:tcBorders>
          </w:tcPr>
          <w:p w14:paraId="39F21368" w14:textId="1F595B7E" w:rsidR="003F4980" w:rsidRPr="00E20618" w:rsidRDefault="003F4980" w:rsidP="000649FA">
            <w:pPr>
              <w:pStyle w:val="TableTextLeft"/>
              <w:jc w:val="right"/>
            </w:pPr>
            <w:r w:rsidRPr="00E20618">
              <w:rPr>
                <w:rFonts w:cstheme="minorHAnsi"/>
              </w:rPr>
              <w:t>31.7</w:t>
            </w:r>
          </w:p>
        </w:tc>
        <w:tc>
          <w:tcPr>
            <w:tcW w:w="996" w:type="dxa"/>
            <w:tcBorders>
              <w:top w:val="nil"/>
              <w:left w:val="nil"/>
              <w:bottom w:val="single" w:sz="4" w:space="0" w:color="auto"/>
              <w:right w:val="nil"/>
            </w:tcBorders>
            <w:shd w:val="clear" w:color="auto" w:fill="D2EDFF" w:themeFill="accent1" w:themeFillTint="1A"/>
          </w:tcPr>
          <w:p w14:paraId="16DF5B6B" w14:textId="20A5F5AF" w:rsidR="003F4980" w:rsidRPr="00E20618" w:rsidRDefault="003F4980" w:rsidP="000649FA">
            <w:pPr>
              <w:pStyle w:val="TableTextLeft"/>
              <w:jc w:val="right"/>
            </w:pPr>
            <w:r w:rsidRPr="00E20618">
              <w:rPr>
                <w:rFonts w:cstheme="minorHAnsi"/>
              </w:rPr>
              <w:t>32</w:t>
            </w:r>
          </w:p>
        </w:tc>
        <w:tc>
          <w:tcPr>
            <w:tcW w:w="996" w:type="dxa"/>
            <w:tcBorders>
              <w:top w:val="nil"/>
              <w:left w:val="nil"/>
              <w:bottom w:val="single" w:sz="4" w:space="0" w:color="auto"/>
              <w:right w:val="nil"/>
            </w:tcBorders>
          </w:tcPr>
          <w:p w14:paraId="11C2DB29" w14:textId="3266FC35" w:rsidR="003F4980" w:rsidRPr="00E20618" w:rsidRDefault="003F4980" w:rsidP="000649FA">
            <w:pPr>
              <w:pStyle w:val="TableTextLeft"/>
              <w:jc w:val="right"/>
            </w:pPr>
            <w:r w:rsidRPr="00E20618">
              <w:rPr>
                <w:rFonts w:cstheme="minorHAnsi"/>
              </w:rPr>
              <w:t>32.4</w:t>
            </w:r>
          </w:p>
        </w:tc>
        <w:tc>
          <w:tcPr>
            <w:tcW w:w="996" w:type="dxa"/>
            <w:tcBorders>
              <w:top w:val="nil"/>
              <w:left w:val="nil"/>
              <w:bottom w:val="single" w:sz="4" w:space="0" w:color="auto"/>
              <w:right w:val="nil"/>
            </w:tcBorders>
          </w:tcPr>
          <w:p w14:paraId="7B5E6BB6" w14:textId="23BCA704" w:rsidR="003F4980" w:rsidRPr="00E20618" w:rsidRDefault="003F4980" w:rsidP="000649FA">
            <w:pPr>
              <w:pStyle w:val="TableTextLeft"/>
              <w:jc w:val="right"/>
            </w:pPr>
            <w:r w:rsidRPr="00E20618">
              <w:rPr>
                <w:rFonts w:cstheme="minorHAnsi"/>
              </w:rPr>
              <w:t>32.6</w:t>
            </w:r>
          </w:p>
        </w:tc>
        <w:tc>
          <w:tcPr>
            <w:tcW w:w="996" w:type="dxa"/>
            <w:tcBorders>
              <w:top w:val="nil"/>
              <w:left w:val="nil"/>
              <w:bottom w:val="single" w:sz="4" w:space="0" w:color="auto"/>
              <w:right w:val="single" w:sz="4" w:space="0" w:color="auto"/>
            </w:tcBorders>
          </w:tcPr>
          <w:p w14:paraId="705731AE" w14:textId="5CFE3A59" w:rsidR="003F4980" w:rsidRPr="00E20618" w:rsidRDefault="003F4980" w:rsidP="000649FA">
            <w:pPr>
              <w:pStyle w:val="TableTextLeft"/>
              <w:jc w:val="right"/>
            </w:pPr>
            <w:r w:rsidRPr="00E20618">
              <w:rPr>
                <w:rFonts w:cstheme="minorHAnsi"/>
              </w:rPr>
              <w:t>32.8</w:t>
            </w:r>
          </w:p>
        </w:tc>
        <w:tc>
          <w:tcPr>
            <w:tcW w:w="996" w:type="dxa"/>
            <w:tcBorders>
              <w:top w:val="nil"/>
              <w:left w:val="single" w:sz="4" w:space="0" w:color="auto"/>
              <w:bottom w:val="single" w:sz="4" w:space="0" w:color="auto"/>
              <w:right w:val="nil"/>
            </w:tcBorders>
          </w:tcPr>
          <w:p w14:paraId="5C19D71F" w14:textId="5404428C" w:rsidR="003F4980" w:rsidRPr="00E20618" w:rsidRDefault="003F4980" w:rsidP="000649FA">
            <w:pPr>
              <w:pStyle w:val="TableTextLeft"/>
              <w:jc w:val="right"/>
            </w:pPr>
            <w:r w:rsidRPr="00E20618">
              <w:rPr>
                <w:rFonts w:cstheme="minorHAnsi"/>
              </w:rPr>
              <w:t>34</w:t>
            </w:r>
          </w:p>
        </w:tc>
      </w:tr>
    </w:tbl>
    <w:p w14:paraId="57D19787" w14:textId="2A7F45B7" w:rsidR="000E6EBD" w:rsidRPr="00BC7C8A" w:rsidRDefault="000E6EBD" w:rsidP="000E6EBD">
      <w:pPr>
        <w:pStyle w:val="Source"/>
      </w:pPr>
      <w:r w:rsidRPr="00485E58">
        <w:t xml:space="preserve">Source: </w:t>
      </w:r>
      <w:r w:rsidR="001228F2">
        <w:rPr>
          <w:noProof/>
        </w:rPr>
        <w:t>Australian Bureau of Statistics, National, state and territory population, March 2022, 2022</w:t>
      </w:r>
      <w:r w:rsidR="004C49AF">
        <w:t>;</w:t>
      </w:r>
      <w:r w:rsidRPr="00485E58">
        <w:t xml:space="preserve"> </w:t>
      </w:r>
      <w:r w:rsidR="001228F2">
        <w:rPr>
          <w:noProof/>
        </w:rPr>
        <w:t>Australian Bureau of Statistics, Regional population, 2022</w:t>
      </w:r>
      <w:r w:rsidRPr="00485E58">
        <w:t xml:space="preserve"> and Centre for Population projections.</w:t>
      </w:r>
    </w:p>
    <w:p w14:paraId="4E6BEAFE" w14:textId="70B17DB7" w:rsidR="004F7906" w:rsidRDefault="004F7906">
      <w:pPr>
        <w:spacing w:before="0" w:after="160" w:line="259" w:lineRule="auto"/>
      </w:pPr>
      <w:r>
        <w:br w:type="page"/>
      </w:r>
    </w:p>
    <w:p w14:paraId="5C7D6247" w14:textId="3E099AAE" w:rsidR="00472C9A" w:rsidRPr="00E47BB8" w:rsidRDefault="00472C9A" w:rsidP="0039767A">
      <w:pPr>
        <w:pStyle w:val="Heading2Numbered"/>
      </w:pPr>
      <w:bookmarkStart w:id="190" w:name="_Toc122618387"/>
      <w:r>
        <w:lastRenderedPageBreak/>
        <w:t>Australian Capital Territory</w:t>
      </w:r>
      <w:bookmarkEnd w:id="190"/>
    </w:p>
    <w:p w14:paraId="6EEF241A" w14:textId="1E2CCED0" w:rsidR="000E6EBD" w:rsidRPr="00485E58" w:rsidRDefault="00A6780D" w:rsidP="0039767A">
      <w:r>
        <w:t>T</w:t>
      </w:r>
      <w:r w:rsidR="000E6EBD" w:rsidRPr="00485E58">
        <w:t>he population of the Australian Capital Territory was 454,000</w:t>
      </w:r>
      <w:r>
        <w:t xml:space="preserve"> on 30 June 2021. It was</w:t>
      </w:r>
      <w:r w:rsidR="000E6EBD" w:rsidRPr="00485E58">
        <w:t xml:space="preserve"> revised upwards by 5.1</w:t>
      </w:r>
      <w:r w:rsidR="00C3334D">
        <w:t> </w:t>
      </w:r>
      <w:r w:rsidR="000E6EBD" w:rsidRPr="00485E58">
        <w:t>per cent following the 2021 Census – the largest revision of any state or territory. This gave the Australian Capital Territor</w:t>
      </w:r>
      <w:r w:rsidR="000960F5">
        <w:t>y</w:t>
      </w:r>
      <w:r w:rsidR="000E6EBD" w:rsidRPr="00485E58">
        <w:t xml:space="preserve"> the highest average annual growth across the </w:t>
      </w:r>
      <w:r w:rsidR="005522BA">
        <w:t>five-year</w:t>
      </w:r>
      <w:r w:rsidR="00856E3B">
        <w:t xml:space="preserve"> </w:t>
      </w:r>
      <w:r w:rsidR="00455A78">
        <w:t>intercensal</w:t>
      </w:r>
      <w:r w:rsidR="00455A78" w:rsidRPr="00485E58">
        <w:t xml:space="preserve"> </w:t>
      </w:r>
      <w:r w:rsidR="000E6EBD" w:rsidRPr="00485E58">
        <w:t xml:space="preserve">period </w:t>
      </w:r>
      <w:r w:rsidR="00856E3B">
        <w:t>from 2016</w:t>
      </w:r>
      <w:r w:rsidR="005317DD">
        <w:t xml:space="preserve"> to 2021</w:t>
      </w:r>
      <w:r w:rsidR="00856E3B">
        <w:t xml:space="preserve"> </w:t>
      </w:r>
      <w:r w:rsidR="000E6EBD" w:rsidRPr="00485E58">
        <w:t xml:space="preserve">(2.4 per cent). </w:t>
      </w:r>
      <w:r>
        <w:t>P</w:t>
      </w:r>
      <w:r w:rsidR="000E6EBD" w:rsidRPr="00485E58">
        <w:t>opulation growth fell to 0.7 per cent</w:t>
      </w:r>
      <w:r>
        <w:t xml:space="preserve"> in 2020–21</w:t>
      </w:r>
      <w:r w:rsidR="000E6EBD" w:rsidRPr="00485E58">
        <w:t xml:space="preserve">, reflecting the </w:t>
      </w:r>
      <w:r>
        <w:t xml:space="preserve">national </w:t>
      </w:r>
      <w:r w:rsidR="000E6EBD" w:rsidRPr="00485E58">
        <w:t xml:space="preserve">drop in overseas migration. </w:t>
      </w:r>
      <w:r w:rsidR="00856E3B" w:rsidRPr="00485E58">
        <w:t>P</w:t>
      </w:r>
      <w:r w:rsidR="000E6EBD" w:rsidRPr="00485E58">
        <w:t xml:space="preserve">opulation growth is projected to recover, </w:t>
      </w:r>
      <w:r>
        <w:t xml:space="preserve">but </w:t>
      </w:r>
      <w:r w:rsidR="000E6EBD" w:rsidRPr="00485E58">
        <w:t>at more moderate rates than immediately before the pandemic</w:t>
      </w:r>
      <w:r>
        <w:t>. It is projected to</w:t>
      </w:r>
      <w:r w:rsidR="00856E3B">
        <w:t xml:space="preserve"> peak at </w:t>
      </w:r>
      <w:r w:rsidR="000E6EBD" w:rsidRPr="00485E58">
        <w:t>1.9 per cent by 2024</w:t>
      </w:r>
      <w:r w:rsidR="0033101B">
        <w:t>–</w:t>
      </w:r>
      <w:r w:rsidR="000E6EBD" w:rsidRPr="00485E58">
        <w:t>25 before slowly declining to 1.5 per cent by 2032</w:t>
      </w:r>
      <w:r w:rsidR="008C61B5">
        <w:sym w:font="Symbol" w:char="F02D"/>
      </w:r>
      <w:r w:rsidR="000E6EBD" w:rsidRPr="00485E58">
        <w:t>33, when the population is projected to reach 550,000.</w:t>
      </w:r>
    </w:p>
    <w:p w14:paraId="1BD47BF0" w14:textId="29ED883E" w:rsidR="000F119B" w:rsidRPr="00485E58" w:rsidRDefault="00927644" w:rsidP="0039767A">
      <w:r w:rsidRPr="00485E58">
        <w:t xml:space="preserve">Net overseas migration to the Australian Capital Territory is forecast to increase from a low of </w:t>
      </w:r>
      <w:r w:rsidR="005522BA">
        <w:t>-</w:t>
      </w:r>
      <w:r w:rsidRPr="00485E58">
        <w:t>3,200 in 2020</w:t>
      </w:r>
      <w:r w:rsidR="005522BA">
        <w:sym w:font="Symbol" w:char="F02D"/>
      </w:r>
      <w:r w:rsidRPr="00485E58">
        <w:t>21 to 4,500 by 2024</w:t>
      </w:r>
      <w:r w:rsidR="0033101B">
        <w:t>–</w:t>
      </w:r>
      <w:r w:rsidRPr="00485E58">
        <w:t xml:space="preserve">25, primarily due to the return of international students. Net overseas migration is forecast to contribute 0.9 </w:t>
      </w:r>
      <w:r w:rsidR="008F7993">
        <w:t>percent</w:t>
      </w:r>
      <w:r w:rsidR="00C12A76">
        <w:t>age points</w:t>
      </w:r>
      <w:r w:rsidRPr="00485E58">
        <w:t xml:space="preserve"> to the </w:t>
      </w:r>
      <w:r w:rsidR="0028496E">
        <w:t>Australian Capital T</w:t>
      </w:r>
      <w:r w:rsidRPr="00485E58">
        <w:t>erritory’s population growth rate in 2025</w:t>
      </w:r>
      <w:r w:rsidR="0033101B">
        <w:t>–</w:t>
      </w:r>
      <w:r w:rsidRPr="00485E58">
        <w:t xml:space="preserve">26, up from </w:t>
      </w:r>
      <w:r w:rsidR="005522BA">
        <w:t>-</w:t>
      </w:r>
      <w:r w:rsidRPr="00485E58">
        <w:t>0.7</w:t>
      </w:r>
      <w:r w:rsidR="0078357C">
        <w:t xml:space="preserve"> </w:t>
      </w:r>
      <w:r w:rsidRPr="00485E58">
        <w:t>in 2020</w:t>
      </w:r>
      <w:r w:rsidR="005522BA">
        <w:sym w:font="Symbol" w:char="F02D"/>
      </w:r>
      <w:r w:rsidRPr="00485E58">
        <w:t xml:space="preserve">21. </w:t>
      </w:r>
      <w:r w:rsidR="00A6780D">
        <w:t>T</w:t>
      </w:r>
      <w:r w:rsidRPr="00485E58">
        <w:t>he Australian Capital Territory is forecast to receive 1.</w:t>
      </w:r>
      <w:r w:rsidR="00005D0B">
        <w:t>6</w:t>
      </w:r>
      <w:r w:rsidRPr="00485E58">
        <w:t xml:space="preserve"> per cent of national net overseas migration</w:t>
      </w:r>
      <w:r w:rsidR="00A6780D">
        <w:t xml:space="preserve"> over the forecast period</w:t>
      </w:r>
      <w:r w:rsidRPr="00485E58">
        <w:t>.</w:t>
      </w:r>
    </w:p>
    <w:p w14:paraId="0CB6CAD1" w14:textId="5B82C0A3" w:rsidR="00027AC6" w:rsidRPr="00485E58" w:rsidRDefault="00027AC6" w:rsidP="0039767A">
      <w:bookmarkStart w:id="191" w:name="_Ref115340819"/>
      <w:r w:rsidRPr="005522BA">
        <w:t xml:space="preserve">Natural increase has been a strong contributor to population growth in the Australian Capital Territory, despite having the lowest fertility rate of all states and territories in 2020–21. Natural increase is expected to contribute </w:t>
      </w:r>
      <w:r w:rsidR="00D93672">
        <w:t>around</w:t>
      </w:r>
      <w:r w:rsidR="00D93672" w:rsidRPr="005522BA">
        <w:t xml:space="preserve"> </w:t>
      </w:r>
      <w:r w:rsidRPr="005522BA">
        <w:t xml:space="preserve">half the population growth in 2021–22, reflecting the territory’s younger age structure. Natural increase </w:t>
      </w:r>
      <w:r w:rsidR="00D93672">
        <w:t xml:space="preserve">remained relatively steady during COVID-19 and </w:t>
      </w:r>
      <w:r w:rsidRPr="005522BA">
        <w:t xml:space="preserve">is forecast to </w:t>
      </w:r>
      <w:r w:rsidR="00D93672">
        <w:t>steadily decline from 2025</w:t>
      </w:r>
      <w:r w:rsidR="00D93672" w:rsidRPr="005522BA">
        <w:t>–</w:t>
      </w:r>
      <w:r w:rsidR="00D93672">
        <w:t>26</w:t>
      </w:r>
      <w:r w:rsidRPr="005522BA">
        <w:t xml:space="preserve"> over the remainder of the projection period.</w:t>
      </w:r>
      <w:r w:rsidRPr="00485E58">
        <w:t xml:space="preserve"> </w:t>
      </w:r>
    </w:p>
    <w:p w14:paraId="2A4F2B02" w14:textId="76503BCD" w:rsidR="00977581" w:rsidRPr="00485E58" w:rsidRDefault="00977581" w:rsidP="0039767A">
      <w:r w:rsidRPr="00977581">
        <w:t>The Australian Capital Territory typically has a high number of interstate arrivals and departures</w:t>
      </w:r>
      <w:r w:rsidR="00154470">
        <w:t xml:space="preserve"> relative to the size of its population</w:t>
      </w:r>
      <w:r w:rsidR="00090ABD">
        <w:t>. These</w:t>
      </w:r>
      <w:r w:rsidRPr="00977581">
        <w:t xml:space="preserve"> largely offset</w:t>
      </w:r>
      <w:r w:rsidR="00090ABD">
        <w:t xml:space="preserve"> each other</w:t>
      </w:r>
      <w:r w:rsidR="00C92DA6">
        <w:t>,</w:t>
      </w:r>
      <w:r w:rsidRPr="00977581">
        <w:t xml:space="preserve"> resulting in small net interstate migration flows each year. </w:t>
      </w:r>
      <w:r w:rsidR="00193943" w:rsidRPr="00193943">
        <w:t xml:space="preserve">High population turnover, along with inflows of young adults who move to the </w:t>
      </w:r>
      <w:r w:rsidR="004C488C">
        <w:t>Australian Capital T</w:t>
      </w:r>
      <w:r w:rsidR="00193943" w:rsidRPr="00193943">
        <w:t xml:space="preserve">erritory for education or employment opportunities, </w:t>
      </w:r>
      <w:r w:rsidR="00DC0877">
        <w:t>lowers</w:t>
      </w:r>
      <w:r w:rsidR="00193943" w:rsidRPr="00193943">
        <w:t xml:space="preserve"> the median age of the population </w:t>
      </w:r>
      <w:r w:rsidR="00193943">
        <w:t>which was 35.4 in 2020</w:t>
      </w:r>
      <w:r w:rsidR="008C61B5">
        <w:sym w:font="Symbol" w:char="F02D"/>
      </w:r>
      <w:r w:rsidR="00193943">
        <w:t>21</w:t>
      </w:r>
      <w:r w:rsidR="008A152E">
        <w:t xml:space="preserve">, </w:t>
      </w:r>
      <w:r w:rsidR="00193943">
        <w:t>the second youngest after the Northern Territory.</w:t>
      </w:r>
      <w:r w:rsidR="00193943" w:rsidRPr="00977581">
        <w:t xml:space="preserve"> </w:t>
      </w:r>
      <w:r w:rsidRPr="00977581">
        <w:t>Net interstate migration in 2020–21 was 400, after 2 years of small net outflows. Net interstate migration is projected to increase to 800 in 2021–22 driven by a decline in departures outweighing a smaller decline in arrivals. Net interstate migration is projected to slowly decline to 200 by 2032–33.</w:t>
      </w:r>
    </w:p>
    <w:p w14:paraId="51A890C8" w14:textId="3D04472D" w:rsidR="000E6EBD" w:rsidRPr="00485E58" w:rsidRDefault="000E6EBD" w:rsidP="000E6EBD">
      <w:pPr>
        <w:pStyle w:val="Heading9"/>
      </w:pPr>
      <w:r w:rsidRPr="00485E58">
        <w:t>Population growth and components, Australian Capital Territory</w:t>
      </w:r>
      <w:bookmarkEnd w:id="191"/>
    </w:p>
    <w:p w14:paraId="4AC734A1" w14:textId="40D1CA5C" w:rsidR="000E6EBD" w:rsidRPr="00485E58" w:rsidRDefault="00894F9D" w:rsidP="000E6EBD">
      <w:pPr>
        <w:spacing w:after="0"/>
        <w:jc w:val="center"/>
      </w:pPr>
      <w:r w:rsidRPr="00894F9D">
        <w:t xml:space="preserve"> </w:t>
      </w:r>
      <w:r w:rsidR="00D6550C" w:rsidRPr="00D6550C">
        <w:rPr>
          <w:noProof/>
        </w:rPr>
        <w:drawing>
          <wp:inline distT="0" distB="0" distL="0" distR="0" wp14:anchorId="0EA95F1E" wp14:editId="1A407EB2">
            <wp:extent cx="5581650" cy="2524125"/>
            <wp:effectExtent l="0" t="0" r="0" b="0"/>
            <wp:docPr id="102" name="Picture 102" descr="A chart showing total population growth in the Australian Capital Territory, disaggregated into its components: natural increase, net overseas migration, and net interstate migration. Intercensal difference is also shown. Population growth declined from its peak in 2016-17 to 0.7 per cent in 2020-21. Population growth is forecast to increase to 1.9 per cent in 2024-25, before slowly declining to 1.5 per cent in 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hart showing total population growth in the Australian Capital Territory, disaggregated into its components: natural increase, net overseas migration, and net interstate migration. Intercensal difference is also shown. Population growth declined from its peak in 2016-17 to 0.7 per cent in 2020-21. Population growth is forecast to increase to 1.9 per cent in 2024-25, before slowly declining to 1.5 per cent in 2032-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73AD483" w14:textId="5A7FF3C5" w:rsidR="000E6EBD" w:rsidRPr="00485E58" w:rsidRDefault="000E6EBD" w:rsidP="000E6EBD">
      <w:pPr>
        <w:pStyle w:val="Source"/>
        <w:rPr>
          <w:rStyle w:val="Hyperlink"/>
        </w:rPr>
      </w:pPr>
      <w:r w:rsidRPr="00485E58">
        <w:t xml:space="preserve">Source: </w:t>
      </w:r>
      <w:r w:rsidR="001228F2">
        <w:rPr>
          <w:noProof/>
        </w:rPr>
        <w:t>Australian Bureau of Statistics, National, state and territory population, March 2022, 2022</w:t>
      </w:r>
      <w:r w:rsidRPr="00485E58">
        <w:t xml:space="preserve"> and Centre for Population projections.</w:t>
      </w:r>
      <w:r w:rsidR="006009AF" w:rsidRPr="00485E58" w:rsidDel="006009AF">
        <w:t xml:space="preserve"> </w:t>
      </w:r>
    </w:p>
    <w:p w14:paraId="76D3EBCC" w14:textId="7FD222C6" w:rsidR="00B5564D" w:rsidRPr="00485E58" w:rsidRDefault="00B5564D" w:rsidP="007D55C1"/>
    <w:p w14:paraId="1162D62E" w14:textId="77777777" w:rsidR="000E6EBD" w:rsidRPr="00485E58" w:rsidRDefault="000E6EBD" w:rsidP="005540BC">
      <w:pPr>
        <w:pStyle w:val="TableMainHeading"/>
      </w:pPr>
      <w:r w:rsidRPr="00485E58">
        <w:lastRenderedPageBreak/>
        <w:t>Population projections, Australian Capital Territory</w:t>
      </w:r>
    </w:p>
    <w:tbl>
      <w:tblPr>
        <w:tblStyle w:val="CPOPTable"/>
        <w:tblW w:w="0" w:type="auto"/>
        <w:tblLook w:val="04A0" w:firstRow="1" w:lastRow="0" w:firstColumn="1" w:lastColumn="0" w:noHBand="0" w:noVBand="1"/>
        <w:tblCaption w:val="Table"/>
      </w:tblPr>
      <w:tblGrid>
        <w:gridCol w:w="3094"/>
        <w:gridCol w:w="996"/>
        <w:gridCol w:w="996"/>
        <w:gridCol w:w="996"/>
        <w:gridCol w:w="996"/>
        <w:gridCol w:w="996"/>
        <w:gridCol w:w="996"/>
      </w:tblGrid>
      <w:tr w:rsidR="000E6EBD" w:rsidRPr="00485E58" w14:paraId="1471F4C1" w14:textId="77777777" w:rsidTr="00676947">
        <w:trPr>
          <w:cnfStyle w:val="100000000000" w:firstRow="1" w:lastRow="0" w:firstColumn="0" w:lastColumn="0" w:oddVBand="0" w:evenVBand="0" w:oddHBand="0" w:evenHBand="0" w:firstRowFirstColumn="0" w:firstRowLastColumn="0" w:lastRowFirstColumn="0" w:lastRowLastColumn="0"/>
        </w:trPr>
        <w:tc>
          <w:tcPr>
            <w:tcW w:w="3096" w:type="dxa"/>
          </w:tcPr>
          <w:p w14:paraId="17BF4DDF" w14:textId="77777777" w:rsidR="000E6EBD" w:rsidRPr="00485E58" w:rsidRDefault="000E6EBD" w:rsidP="00676947">
            <w:pPr>
              <w:spacing w:after="0"/>
            </w:pPr>
          </w:p>
        </w:tc>
        <w:tc>
          <w:tcPr>
            <w:tcW w:w="996" w:type="dxa"/>
          </w:tcPr>
          <w:p w14:paraId="211B2F77" w14:textId="7122FD1D" w:rsidR="000E6EBD" w:rsidRPr="00485E58" w:rsidRDefault="000E6EBD" w:rsidP="002C06DC">
            <w:pPr>
              <w:pStyle w:val="TableColumnHeadingLeft"/>
            </w:pPr>
            <w:r w:rsidRPr="00485E58">
              <w:t>2020</w:t>
            </w:r>
            <w:r w:rsidR="0033101B">
              <w:t>–</w:t>
            </w:r>
            <w:r w:rsidRPr="00485E58">
              <w:t>21</w:t>
            </w:r>
          </w:p>
        </w:tc>
        <w:tc>
          <w:tcPr>
            <w:tcW w:w="996" w:type="dxa"/>
            <w:shd w:val="clear" w:color="auto" w:fill="D2EDFF" w:themeFill="accent1" w:themeFillTint="1A"/>
          </w:tcPr>
          <w:p w14:paraId="2AF8BEB3" w14:textId="66553AB1" w:rsidR="000E6EBD" w:rsidRPr="00485E58" w:rsidRDefault="000E6EBD" w:rsidP="002C06DC">
            <w:pPr>
              <w:pStyle w:val="TableColumnHeadingLeft"/>
            </w:pPr>
            <w:r w:rsidRPr="00485E58">
              <w:t>2021</w:t>
            </w:r>
            <w:r w:rsidR="0033101B">
              <w:t>–</w:t>
            </w:r>
            <w:r w:rsidRPr="00485E58">
              <w:t>22</w:t>
            </w:r>
          </w:p>
        </w:tc>
        <w:tc>
          <w:tcPr>
            <w:tcW w:w="996" w:type="dxa"/>
          </w:tcPr>
          <w:p w14:paraId="23B8A408" w14:textId="6EB98D90" w:rsidR="000E6EBD" w:rsidRPr="00485E58" w:rsidRDefault="000E6EBD" w:rsidP="002C06DC">
            <w:pPr>
              <w:pStyle w:val="TableColumnHeadingLeft"/>
            </w:pPr>
            <w:r w:rsidRPr="00485E58">
              <w:t>2022</w:t>
            </w:r>
            <w:r w:rsidR="0033101B">
              <w:t>–</w:t>
            </w:r>
            <w:r w:rsidRPr="00485E58">
              <w:t>23</w:t>
            </w:r>
          </w:p>
        </w:tc>
        <w:tc>
          <w:tcPr>
            <w:tcW w:w="996" w:type="dxa"/>
          </w:tcPr>
          <w:p w14:paraId="7D7999EC" w14:textId="5F78B16A" w:rsidR="000E6EBD" w:rsidRPr="00485E58" w:rsidRDefault="000E6EBD" w:rsidP="002C06DC">
            <w:pPr>
              <w:pStyle w:val="TableColumnHeadingLeft"/>
            </w:pPr>
            <w:r w:rsidRPr="00485E58">
              <w:t>2023</w:t>
            </w:r>
            <w:r w:rsidR="0033101B">
              <w:t>–</w:t>
            </w:r>
            <w:r w:rsidRPr="00485E58">
              <w:t>24</w:t>
            </w:r>
          </w:p>
        </w:tc>
        <w:tc>
          <w:tcPr>
            <w:tcW w:w="996" w:type="dxa"/>
          </w:tcPr>
          <w:p w14:paraId="3D12FCD4" w14:textId="343B2320" w:rsidR="000E6EBD" w:rsidRPr="00485E58" w:rsidRDefault="000E6EBD" w:rsidP="002C06DC">
            <w:pPr>
              <w:pStyle w:val="TableColumnHeadingLeft"/>
            </w:pPr>
            <w:r w:rsidRPr="00485E58">
              <w:t>2024</w:t>
            </w:r>
            <w:r w:rsidR="0033101B">
              <w:t>–</w:t>
            </w:r>
            <w:r w:rsidRPr="00485E58">
              <w:t>25</w:t>
            </w:r>
          </w:p>
        </w:tc>
        <w:tc>
          <w:tcPr>
            <w:tcW w:w="996" w:type="dxa"/>
          </w:tcPr>
          <w:p w14:paraId="1C7A21DE" w14:textId="5BBF4084" w:rsidR="000E6EBD" w:rsidRPr="00485E58" w:rsidRDefault="000E6EBD" w:rsidP="002C06DC">
            <w:pPr>
              <w:pStyle w:val="TableColumnHeadingLeft"/>
            </w:pPr>
            <w:r w:rsidRPr="00485E58">
              <w:t>2032</w:t>
            </w:r>
            <w:r w:rsidR="0033101B">
              <w:t>–</w:t>
            </w:r>
            <w:r w:rsidRPr="00485E58">
              <w:t>33</w:t>
            </w:r>
          </w:p>
        </w:tc>
      </w:tr>
      <w:tr w:rsidR="003F4980" w:rsidRPr="00485E58" w14:paraId="0ED87090" w14:textId="77777777" w:rsidTr="00854EAB">
        <w:tc>
          <w:tcPr>
            <w:tcW w:w="3096" w:type="dxa"/>
          </w:tcPr>
          <w:p w14:paraId="72C73EF1" w14:textId="77777777" w:rsidR="003F4980" w:rsidRPr="00363EFE" w:rsidRDefault="003F4980" w:rsidP="005C264F">
            <w:pPr>
              <w:pStyle w:val="TableColumnHeadingLeft"/>
              <w:rPr>
                <w:color w:val="002C47" w:themeColor="accent1"/>
              </w:rPr>
            </w:pPr>
            <w:r w:rsidRPr="00363EFE">
              <w:rPr>
                <w:color w:val="002C47" w:themeColor="accent1"/>
              </w:rPr>
              <w:t>Population (‘000)</w:t>
            </w:r>
          </w:p>
        </w:tc>
        <w:tc>
          <w:tcPr>
            <w:tcW w:w="996" w:type="dxa"/>
            <w:tcBorders>
              <w:top w:val="nil"/>
              <w:left w:val="nil"/>
              <w:bottom w:val="nil"/>
              <w:right w:val="nil"/>
            </w:tcBorders>
          </w:tcPr>
          <w:p w14:paraId="60C6918B" w14:textId="3E5F6319" w:rsidR="003F4980" w:rsidRPr="000C46CC" w:rsidRDefault="003F4980" w:rsidP="000649FA">
            <w:pPr>
              <w:pStyle w:val="TableTextLeft"/>
              <w:jc w:val="right"/>
              <w:rPr>
                <w:rFonts w:cstheme="minorHAnsi"/>
              </w:rPr>
            </w:pPr>
            <w:r w:rsidRPr="000C46CC">
              <w:rPr>
                <w:rFonts w:cstheme="minorHAnsi"/>
              </w:rPr>
              <w:t>454</w:t>
            </w:r>
          </w:p>
        </w:tc>
        <w:tc>
          <w:tcPr>
            <w:tcW w:w="996" w:type="dxa"/>
            <w:tcBorders>
              <w:top w:val="nil"/>
              <w:left w:val="nil"/>
              <w:bottom w:val="nil"/>
              <w:right w:val="nil"/>
            </w:tcBorders>
            <w:shd w:val="clear" w:color="auto" w:fill="D2EDFF" w:themeFill="accent1" w:themeFillTint="1A"/>
          </w:tcPr>
          <w:p w14:paraId="3CCA7436" w14:textId="2578E84D" w:rsidR="003F4980" w:rsidRPr="000C46CC" w:rsidRDefault="003F4980" w:rsidP="000649FA">
            <w:pPr>
              <w:pStyle w:val="TableTextLeft"/>
              <w:jc w:val="right"/>
            </w:pPr>
            <w:r w:rsidRPr="000C46CC">
              <w:rPr>
                <w:rFonts w:cstheme="minorHAnsi"/>
              </w:rPr>
              <w:t>460</w:t>
            </w:r>
          </w:p>
        </w:tc>
        <w:tc>
          <w:tcPr>
            <w:tcW w:w="996" w:type="dxa"/>
            <w:tcBorders>
              <w:top w:val="nil"/>
              <w:left w:val="nil"/>
              <w:bottom w:val="nil"/>
              <w:right w:val="nil"/>
            </w:tcBorders>
          </w:tcPr>
          <w:p w14:paraId="3DD918FA" w14:textId="55DC7FAB" w:rsidR="003F4980" w:rsidRPr="000C46CC" w:rsidRDefault="003F4980" w:rsidP="000649FA">
            <w:pPr>
              <w:pStyle w:val="TableTextLeft"/>
              <w:jc w:val="right"/>
            </w:pPr>
            <w:r w:rsidRPr="000C46CC">
              <w:rPr>
                <w:rFonts w:cstheme="minorHAnsi"/>
              </w:rPr>
              <w:t>467</w:t>
            </w:r>
          </w:p>
        </w:tc>
        <w:tc>
          <w:tcPr>
            <w:tcW w:w="996" w:type="dxa"/>
            <w:tcBorders>
              <w:top w:val="nil"/>
              <w:left w:val="nil"/>
              <w:bottom w:val="nil"/>
              <w:right w:val="nil"/>
            </w:tcBorders>
          </w:tcPr>
          <w:p w14:paraId="4CA01519" w14:textId="25713F1B" w:rsidR="003F4980" w:rsidRPr="000C46CC" w:rsidRDefault="003F4980" w:rsidP="000649FA">
            <w:pPr>
              <w:pStyle w:val="TableTextLeft"/>
              <w:jc w:val="right"/>
            </w:pPr>
            <w:r w:rsidRPr="000C46CC">
              <w:rPr>
                <w:rFonts w:cstheme="minorHAnsi"/>
              </w:rPr>
              <w:t>474</w:t>
            </w:r>
          </w:p>
        </w:tc>
        <w:tc>
          <w:tcPr>
            <w:tcW w:w="996" w:type="dxa"/>
            <w:tcBorders>
              <w:top w:val="nil"/>
              <w:left w:val="nil"/>
              <w:bottom w:val="nil"/>
              <w:right w:val="nil"/>
            </w:tcBorders>
          </w:tcPr>
          <w:p w14:paraId="34563799" w14:textId="73782833" w:rsidR="003F4980" w:rsidRPr="000C46CC" w:rsidRDefault="003F4980" w:rsidP="000649FA">
            <w:pPr>
              <w:pStyle w:val="TableTextLeft"/>
              <w:jc w:val="right"/>
            </w:pPr>
            <w:r w:rsidRPr="000C46CC">
              <w:rPr>
                <w:rFonts w:cstheme="minorHAnsi"/>
              </w:rPr>
              <w:t>483</w:t>
            </w:r>
          </w:p>
        </w:tc>
        <w:tc>
          <w:tcPr>
            <w:tcW w:w="996" w:type="dxa"/>
            <w:tcBorders>
              <w:top w:val="nil"/>
              <w:left w:val="nil"/>
              <w:bottom w:val="nil"/>
              <w:right w:val="nil"/>
            </w:tcBorders>
          </w:tcPr>
          <w:p w14:paraId="6A9FC86A" w14:textId="37C0609D" w:rsidR="003F4980" w:rsidRPr="000C46CC" w:rsidRDefault="003F4980" w:rsidP="000649FA">
            <w:pPr>
              <w:pStyle w:val="TableTextLeft"/>
              <w:jc w:val="right"/>
            </w:pPr>
            <w:r w:rsidRPr="000C46CC">
              <w:rPr>
                <w:rFonts w:cstheme="minorHAnsi"/>
              </w:rPr>
              <w:t>550</w:t>
            </w:r>
          </w:p>
        </w:tc>
      </w:tr>
      <w:tr w:rsidR="003F4980" w:rsidRPr="00485E58" w14:paraId="05E44972" w14:textId="77777777" w:rsidTr="00854EAB">
        <w:tc>
          <w:tcPr>
            <w:tcW w:w="3096" w:type="dxa"/>
            <w:tcBorders>
              <w:bottom w:val="nil"/>
            </w:tcBorders>
          </w:tcPr>
          <w:p w14:paraId="206306ED" w14:textId="77777777" w:rsidR="003F4980" w:rsidRPr="00363EFE" w:rsidRDefault="003F4980" w:rsidP="005C264F">
            <w:pPr>
              <w:pStyle w:val="TableColumnHeadingLeft"/>
              <w:rPr>
                <w:color w:val="002C47" w:themeColor="accent1"/>
              </w:rPr>
            </w:pPr>
            <w:r w:rsidRPr="00363EFE">
              <w:rPr>
                <w:color w:val="002C47" w:themeColor="accent1"/>
              </w:rPr>
              <w:t>Population growth (per cent)</w:t>
            </w:r>
          </w:p>
        </w:tc>
        <w:tc>
          <w:tcPr>
            <w:tcW w:w="996" w:type="dxa"/>
            <w:tcBorders>
              <w:top w:val="nil"/>
              <w:left w:val="nil"/>
              <w:bottom w:val="nil"/>
              <w:right w:val="nil"/>
            </w:tcBorders>
          </w:tcPr>
          <w:p w14:paraId="120D77EF" w14:textId="4A0F48DE" w:rsidR="003F4980" w:rsidRPr="000C46CC" w:rsidRDefault="003F4980" w:rsidP="000649FA">
            <w:pPr>
              <w:pStyle w:val="TableTextLeft"/>
              <w:jc w:val="right"/>
            </w:pPr>
            <w:r w:rsidRPr="000C46CC">
              <w:rPr>
                <w:rFonts w:cstheme="minorHAnsi"/>
              </w:rPr>
              <w:t>0.6</w:t>
            </w:r>
          </w:p>
        </w:tc>
        <w:tc>
          <w:tcPr>
            <w:tcW w:w="996" w:type="dxa"/>
            <w:tcBorders>
              <w:top w:val="nil"/>
              <w:left w:val="nil"/>
              <w:bottom w:val="nil"/>
              <w:right w:val="nil"/>
            </w:tcBorders>
            <w:shd w:val="clear" w:color="auto" w:fill="D2EDFF" w:themeFill="accent1" w:themeFillTint="1A"/>
          </w:tcPr>
          <w:p w14:paraId="29BECA64" w14:textId="787666D9"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17672B82" w14:textId="533DC1BD"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6BFCD126" w14:textId="099BEDE6" w:rsidR="003F4980" w:rsidRPr="000C46CC" w:rsidRDefault="003F4980" w:rsidP="000649FA">
            <w:pPr>
              <w:pStyle w:val="TableTextLeft"/>
              <w:jc w:val="right"/>
            </w:pPr>
            <w:r w:rsidRPr="000C46CC">
              <w:rPr>
                <w:rFonts w:cstheme="minorHAnsi"/>
              </w:rPr>
              <w:t>1.5</w:t>
            </w:r>
          </w:p>
        </w:tc>
        <w:tc>
          <w:tcPr>
            <w:tcW w:w="996" w:type="dxa"/>
            <w:tcBorders>
              <w:top w:val="nil"/>
              <w:left w:val="nil"/>
              <w:bottom w:val="nil"/>
              <w:right w:val="nil"/>
            </w:tcBorders>
          </w:tcPr>
          <w:p w14:paraId="5CF07E1D" w14:textId="75F92697" w:rsidR="003F4980" w:rsidRPr="000C46CC" w:rsidRDefault="003F4980" w:rsidP="000649FA">
            <w:pPr>
              <w:pStyle w:val="TableTextLeft"/>
              <w:jc w:val="right"/>
            </w:pPr>
            <w:r w:rsidRPr="000C46CC">
              <w:rPr>
                <w:rFonts w:cstheme="minorHAnsi"/>
              </w:rPr>
              <w:t>1.9</w:t>
            </w:r>
          </w:p>
        </w:tc>
        <w:tc>
          <w:tcPr>
            <w:tcW w:w="996" w:type="dxa"/>
            <w:tcBorders>
              <w:top w:val="nil"/>
              <w:left w:val="nil"/>
              <w:bottom w:val="nil"/>
              <w:right w:val="nil"/>
            </w:tcBorders>
          </w:tcPr>
          <w:p w14:paraId="1122FA2D" w14:textId="298E2710" w:rsidR="003F4980" w:rsidRPr="000C46CC" w:rsidRDefault="003F4980" w:rsidP="000649FA">
            <w:pPr>
              <w:pStyle w:val="TableTextLeft"/>
              <w:jc w:val="right"/>
            </w:pPr>
            <w:r w:rsidRPr="000C46CC">
              <w:rPr>
                <w:rFonts w:cstheme="minorHAnsi"/>
              </w:rPr>
              <w:t>1.5</w:t>
            </w:r>
          </w:p>
        </w:tc>
      </w:tr>
      <w:tr w:rsidR="003F4980" w:rsidRPr="00485E58" w14:paraId="0065C6F7" w14:textId="77777777" w:rsidTr="00854EAB">
        <w:tc>
          <w:tcPr>
            <w:tcW w:w="3096" w:type="dxa"/>
            <w:tcBorders>
              <w:bottom w:val="single" w:sz="4" w:space="0" w:color="auto"/>
            </w:tcBorders>
          </w:tcPr>
          <w:p w14:paraId="21E25DA0" w14:textId="77777777" w:rsidR="003F4980" w:rsidRPr="00363EFE" w:rsidRDefault="003F4980" w:rsidP="005C264F">
            <w:pPr>
              <w:pStyle w:val="TableColumnHeadingLeft"/>
              <w:rPr>
                <w:color w:val="002C47" w:themeColor="accent1"/>
              </w:rPr>
            </w:pPr>
            <w:r w:rsidRPr="00363EFE">
              <w:rPr>
                <w:color w:val="002C47" w:themeColor="accent1"/>
              </w:rPr>
              <w:t>Population growth (‘000)</w:t>
            </w:r>
          </w:p>
        </w:tc>
        <w:tc>
          <w:tcPr>
            <w:tcW w:w="996" w:type="dxa"/>
            <w:tcBorders>
              <w:top w:val="nil"/>
              <w:left w:val="nil"/>
              <w:bottom w:val="single" w:sz="4" w:space="0" w:color="auto"/>
              <w:right w:val="nil"/>
            </w:tcBorders>
          </w:tcPr>
          <w:p w14:paraId="042E9A58" w14:textId="5B218C00" w:rsidR="003F4980" w:rsidRPr="000C46CC" w:rsidRDefault="003F4980" w:rsidP="000649FA">
            <w:pPr>
              <w:pStyle w:val="TableTextLeft"/>
              <w:jc w:val="right"/>
            </w:pPr>
            <w:r w:rsidRPr="000C46CC">
              <w:rPr>
                <w:rFonts w:cstheme="minorHAnsi"/>
              </w:rPr>
              <w:t>2.9</w:t>
            </w:r>
          </w:p>
        </w:tc>
        <w:tc>
          <w:tcPr>
            <w:tcW w:w="996" w:type="dxa"/>
            <w:tcBorders>
              <w:top w:val="nil"/>
              <w:left w:val="nil"/>
              <w:bottom w:val="single" w:sz="4" w:space="0" w:color="auto"/>
              <w:right w:val="nil"/>
            </w:tcBorders>
            <w:shd w:val="clear" w:color="auto" w:fill="D2EDFF" w:themeFill="accent1" w:themeFillTint="1A"/>
          </w:tcPr>
          <w:p w14:paraId="0AE3E5EF" w14:textId="1E1F7B00" w:rsidR="003F4980" w:rsidRPr="000C46CC" w:rsidRDefault="003F4980" w:rsidP="000649FA">
            <w:pPr>
              <w:pStyle w:val="TableTextLeft"/>
              <w:jc w:val="right"/>
            </w:pPr>
            <w:r w:rsidRPr="000C46CC">
              <w:rPr>
                <w:rFonts w:cstheme="minorHAnsi"/>
              </w:rPr>
              <w:t>6.8</w:t>
            </w:r>
          </w:p>
        </w:tc>
        <w:tc>
          <w:tcPr>
            <w:tcW w:w="996" w:type="dxa"/>
            <w:tcBorders>
              <w:top w:val="nil"/>
              <w:left w:val="nil"/>
              <w:bottom w:val="single" w:sz="4" w:space="0" w:color="auto"/>
              <w:right w:val="nil"/>
            </w:tcBorders>
          </w:tcPr>
          <w:p w14:paraId="63F8ABA2" w14:textId="7FE7F989" w:rsidR="003F4980" w:rsidRPr="000C46CC" w:rsidRDefault="003F4980" w:rsidP="000649FA">
            <w:pPr>
              <w:pStyle w:val="TableTextLeft"/>
              <w:jc w:val="right"/>
            </w:pPr>
            <w:r w:rsidRPr="000C46CC">
              <w:rPr>
                <w:rFonts w:cstheme="minorHAnsi"/>
              </w:rPr>
              <w:t>6.8</w:t>
            </w:r>
          </w:p>
        </w:tc>
        <w:tc>
          <w:tcPr>
            <w:tcW w:w="996" w:type="dxa"/>
            <w:tcBorders>
              <w:top w:val="nil"/>
              <w:left w:val="nil"/>
              <w:bottom w:val="single" w:sz="4" w:space="0" w:color="auto"/>
              <w:right w:val="nil"/>
            </w:tcBorders>
          </w:tcPr>
          <w:p w14:paraId="55DD4D54" w14:textId="642013B5" w:rsidR="003F4980" w:rsidRPr="000C46CC" w:rsidRDefault="003F4980" w:rsidP="000649FA">
            <w:pPr>
              <w:pStyle w:val="TableTextLeft"/>
              <w:jc w:val="right"/>
            </w:pPr>
            <w:r w:rsidRPr="000C46CC">
              <w:rPr>
                <w:rFonts w:cstheme="minorHAnsi"/>
              </w:rPr>
              <w:t>7.2</w:t>
            </w:r>
          </w:p>
        </w:tc>
        <w:tc>
          <w:tcPr>
            <w:tcW w:w="996" w:type="dxa"/>
            <w:tcBorders>
              <w:top w:val="nil"/>
              <w:left w:val="nil"/>
              <w:bottom w:val="single" w:sz="4" w:space="0" w:color="auto"/>
              <w:right w:val="nil"/>
            </w:tcBorders>
          </w:tcPr>
          <w:p w14:paraId="25EC6370" w14:textId="61AF4F04" w:rsidR="003F4980" w:rsidRPr="000C46CC" w:rsidRDefault="003F4980" w:rsidP="000649FA">
            <w:pPr>
              <w:pStyle w:val="TableTextLeft"/>
              <w:jc w:val="right"/>
            </w:pPr>
            <w:r w:rsidRPr="000C46CC">
              <w:rPr>
                <w:rFonts w:cstheme="minorHAnsi"/>
              </w:rPr>
              <w:t>8.8</w:t>
            </w:r>
          </w:p>
        </w:tc>
        <w:tc>
          <w:tcPr>
            <w:tcW w:w="996" w:type="dxa"/>
            <w:tcBorders>
              <w:top w:val="nil"/>
              <w:left w:val="nil"/>
              <w:bottom w:val="single" w:sz="4" w:space="0" w:color="auto"/>
              <w:right w:val="nil"/>
            </w:tcBorders>
          </w:tcPr>
          <w:p w14:paraId="78AF83F2" w14:textId="7F55594B" w:rsidR="003F4980" w:rsidRPr="000C46CC" w:rsidRDefault="003F4980" w:rsidP="000649FA">
            <w:pPr>
              <w:pStyle w:val="TableTextLeft"/>
              <w:jc w:val="right"/>
            </w:pPr>
            <w:r w:rsidRPr="000C46CC">
              <w:rPr>
                <w:rFonts w:cstheme="minorHAnsi"/>
              </w:rPr>
              <w:t>8</w:t>
            </w:r>
          </w:p>
        </w:tc>
      </w:tr>
      <w:tr w:rsidR="003F4980" w:rsidRPr="00485E58" w14:paraId="379CF2A2" w14:textId="77777777" w:rsidTr="00854EAB">
        <w:tc>
          <w:tcPr>
            <w:tcW w:w="3096" w:type="dxa"/>
            <w:tcBorders>
              <w:top w:val="single" w:sz="4" w:space="0" w:color="auto"/>
            </w:tcBorders>
          </w:tcPr>
          <w:p w14:paraId="5B8EA282" w14:textId="77777777" w:rsidR="003F4980" w:rsidRPr="00363EFE" w:rsidRDefault="003F4980" w:rsidP="005C264F">
            <w:pPr>
              <w:pStyle w:val="TableColumnHeadingLeft"/>
              <w:rPr>
                <w:color w:val="002C47" w:themeColor="accent1"/>
              </w:rPr>
            </w:pPr>
            <w:r w:rsidRPr="00363EFE">
              <w:rPr>
                <w:color w:val="002C47" w:themeColor="accent1"/>
              </w:rPr>
              <w:t>Natural increase (‘000)</w:t>
            </w:r>
          </w:p>
        </w:tc>
        <w:tc>
          <w:tcPr>
            <w:tcW w:w="996" w:type="dxa"/>
            <w:tcBorders>
              <w:top w:val="single" w:sz="4" w:space="0" w:color="auto"/>
              <w:left w:val="nil"/>
              <w:bottom w:val="nil"/>
              <w:right w:val="nil"/>
            </w:tcBorders>
          </w:tcPr>
          <w:p w14:paraId="09FD3896" w14:textId="6F9558D1" w:rsidR="003F4980" w:rsidRPr="000C46CC" w:rsidRDefault="003F4980" w:rsidP="000649FA">
            <w:pPr>
              <w:pStyle w:val="TableTextLeft"/>
              <w:jc w:val="right"/>
            </w:pPr>
            <w:r w:rsidRPr="000C46CC">
              <w:rPr>
                <w:rFonts w:cstheme="minorHAnsi"/>
              </w:rPr>
              <w:t>3.3</w:t>
            </w:r>
          </w:p>
        </w:tc>
        <w:tc>
          <w:tcPr>
            <w:tcW w:w="996" w:type="dxa"/>
            <w:tcBorders>
              <w:top w:val="single" w:sz="4" w:space="0" w:color="auto"/>
              <w:left w:val="nil"/>
              <w:bottom w:val="nil"/>
              <w:right w:val="nil"/>
            </w:tcBorders>
            <w:shd w:val="clear" w:color="auto" w:fill="D2EDFF" w:themeFill="accent1" w:themeFillTint="1A"/>
          </w:tcPr>
          <w:p w14:paraId="52708ECF" w14:textId="103937B6" w:rsidR="003F4980" w:rsidRPr="000C46CC" w:rsidRDefault="003F4980" w:rsidP="000649FA">
            <w:pPr>
              <w:pStyle w:val="TableTextLeft"/>
              <w:jc w:val="right"/>
            </w:pPr>
            <w:r w:rsidRPr="000C46CC">
              <w:rPr>
                <w:rFonts w:cstheme="minorHAnsi"/>
              </w:rPr>
              <w:t>3.3</w:t>
            </w:r>
          </w:p>
        </w:tc>
        <w:tc>
          <w:tcPr>
            <w:tcW w:w="996" w:type="dxa"/>
            <w:tcBorders>
              <w:top w:val="single" w:sz="4" w:space="0" w:color="auto"/>
              <w:left w:val="nil"/>
              <w:bottom w:val="nil"/>
              <w:right w:val="nil"/>
            </w:tcBorders>
          </w:tcPr>
          <w:p w14:paraId="43237D81" w14:textId="6E5F37C6" w:rsidR="003F4980" w:rsidRPr="000C46CC" w:rsidRDefault="003F4980" w:rsidP="000649FA">
            <w:pPr>
              <w:pStyle w:val="TableTextLeft"/>
              <w:jc w:val="right"/>
            </w:pPr>
            <w:r w:rsidRPr="000C46CC">
              <w:rPr>
                <w:rFonts w:cstheme="minorHAnsi"/>
              </w:rPr>
              <w:t>3.4</w:t>
            </w:r>
          </w:p>
        </w:tc>
        <w:tc>
          <w:tcPr>
            <w:tcW w:w="996" w:type="dxa"/>
            <w:tcBorders>
              <w:top w:val="single" w:sz="4" w:space="0" w:color="auto"/>
              <w:left w:val="nil"/>
              <w:bottom w:val="nil"/>
              <w:right w:val="nil"/>
            </w:tcBorders>
          </w:tcPr>
          <w:p w14:paraId="4392A3B1" w14:textId="47A38CB5" w:rsidR="003F4980" w:rsidRPr="000C46CC" w:rsidRDefault="003F4980" w:rsidP="000649FA">
            <w:pPr>
              <w:pStyle w:val="TableTextLeft"/>
              <w:jc w:val="right"/>
            </w:pPr>
            <w:r w:rsidRPr="000C46CC">
              <w:rPr>
                <w:rFonts w:cstheme="minorHAnsi"/>
              </w:rPr>
              <w:t>3.6</w:t>
            </w:r>
          </w:p>
        </w:tc>
        <w:tc>
          <w:tcPr>
            <w:tcW w:w="996" w:type="dxa"/>
            <w:tcBorders>
              <w:top w:val="single" w:sz="4" w:space="0" w:color="auto"/>
              <w:left w:val="nil"/>
              <w:bottom w:val="nil"/>
              <w:right w:val="nil"/>
            </w:tcBorders>
          </w:tcPr>
          <w:p w14:paraId="6B9E915E" w14:textId="5B77C1F7" w:rsidR="003F4980" w:rsidRPr="000C46CC" w:rsidRDefault="003F4980" w:rsidP="000649FA">
            <w:pPr>
              <w:pStyle w:val="TableTextLeft"/>
              <w:jc w:val="right"/>
            </w:pPr>
            <w:r w:rsidRPr="000C46CC">
              <w:rPr>
                <w:rFonts w:cstheme="minorHAnsi"/>
              </w:rPr>
              <w:t>3.7</w:t>
            </w:r>
          </w:p>
        </w:tc>
        <w:tc>
          <w:tcPr>
            <w:tcW w:w="996" w:type="dxa"/>
            <w:tcBorders>
              <w:top w:val="single" w:sz="4" w:space="0" w:color="auto"/>
              <w:left w:val="nil"/>
              <w:bottom w:val="nil"/>
              <w:right w:val="nil"/>
            </w:tcBorders>
          </w:tcPr>
          <w:p w14:paraId="3D3BBBB5" w14:textId="1D3B1D15" w:rsidR="003F4980" w:rsidRPr="000C46CC" w:rsidRDefault="003F4980" w:rsidP="000649FA">
            <w:pPr>
              <w:pStyle w:val="TableTextLeft"/>
              <w:jc w:val="right"/>
            </w:pPr>
            <w:r w:rsidRPr="000C46CC">
              <w:rPr>
                <w:rFonts w:cstheme="minorHAnsi"/>
              </w:rPr>
              <w:t>3.4</w:t>
            </w:r>
          </w:p>
        </w:tc>
      </w:tr>
      <w:tr w:rsidR="003F4980" w:rsidRPr="00485E58" w14:paraId="51719514" w14:textId="77777777" w:rsidTr="00854EAB">
        <w:tc>
          <w:tcPr>
            <w:tcW w:w="3096" w:type="dxa"/>
          </w:tcPr>
          <w:p w14:paraId="1B150F90" w14:textId="77777777" w:rsidR="003F4980" w:rsidRPr="00363EFE" w:rsidRDefault="003F4980" w:rsidP="005C264F">
            <w:pPr>
              <w:pStyle w:val="TableColumnHeadingLeft"/>
              <w:rPr>
                <w:color w:val="002C47" w:themeColor="accent1"/>
              </w:rPr>
            </w:pPr>
            <w:r w:rsidRPr="00363EFE">
              <w:rPr>
                <w:color w:val="002C47" w:themeColor="accent1"/>
              </w:rPr>
              <w:t>Net overseas migration (‘000)</w:t>
            </w:r>
          </w:p>
        </w:tc>
        <w:tc>
          <w:tcPr>
            <w:tcW w:w="996" w:type="dxa"/>
            <w:tcBorders>
              <w:top w:val="nil"/>
              <w:left w:val="nil"/>
              <w:bottom w:val="nil"/>
              <w:right w:val="nil"/>
            </w:tcBorders>
          </w:tcPr>
          <w:p w14:paraId="1202D192" w14:textId="0898AC6B" w:rsidR="003F4980" w:rsidRPr="000C46CC" w:rsidRDefault="003F4980" w:rsidP="000649FA">
            <w:pPr>
              <w:pStyle w:val="TableTextLeft"/>
              <w:jc w:val="right"/>
            </w:pPr>
            <w:r w:rsidRPr="000C46CC">
              <w:rPr>
                <w:rFonts w:cstheme="minorHAnsi"/>
              </w:rPr>
              <w:t>-3.2</w:t>
            </w:r>
          </w:p>
        </w:tc>
        <w:tc>
          <w:tcPr>
            <w:tcW w:w="996" w:type="dxa"/>
            <w:tcBorders>
              <w:top w:val="nil"/>
              <w:left w:val="nil"/>
              <w:bottom w:val="nil"/>
              <w:right w:val="nil"/>
            </w:tcBorders>
            <w:shd w:val="clear" w:color="auto" w:fill="D2EDFF" w:themeFill="accent1" w:themeFillTint="1A"/>
          </w:tcPr>
          <w:p w14:paraId="112E81BE" w14:textId="048F7186" w:rsidR="003F4980" w:rsidRPr="000C46CC" w:rsidRDefault="003F4980" w:rsidP="000649FA">
            <w:pPr>
              <w:pStyle w:val="TableTextLeft"/>
              <w:jc w:val="right"/>
            </w:pPr>
            <w:r w:rsidRPr="000C46CC">
              <w:rPr>
                <w:rFonts w:cstheme="minorHAnsi"/>
              </w:rPr>
              <w:t>2.6</w:t>
            </w:r>
          </w:p>
        </w:tc>
        <w:tc>
          <w:tcPr>
            <w:tcW w:w="996" w:type="dxa"/>
            <w:tcBorders>
              <w:top w:val="nil"/>
              <w:left w:val="nil"/>
              <w:bottom w:val="nil"/>
              <w:right w:val="nil"/>
            </w:tcBorders>
          </w:tcPr>
          <w:p w14:paraId="4034163D" w14:textId="1D78F40D" w:rsidR="003F4980" w:rsidRPr="000C46CC" w:rsidRDefault="003F4980" w:rsidP="000649FA">
            <w:pPr>
              <w:pStyle w:val="TableTextLeft"/>
              <w:jc w:val="right"/>
            </w:pPr>
            <w:r w:rsidRPr="000C46CC">
              <w:rPr>
                <w:rFonts w:cstheme="minorHAnsi"/>
              </w:rPr>
              <w:t>2.7</w:t>
            </w:r>
          </w:p>
        </w:tc>
        <w:tc>
          <w:tcPr>
            <w:tcW w:w="996" w:type="dxa"/>
            <w:tcBorders>
              <w:top w:val="nil"/>
              <w:left w:val="nil"/>
              <w:bottom w:val="nil"/>
              <w:right w:val="nil"/>
            </w:tcBorders>
          </w:tcPr>
          <w:p w14:paraId="2945EF30" w14:textId="1A2BC0EC" w:rsidR="003F4980" w:rsidRPr="000C46CC" w:rsidRDefault="003F4980" w:rsidP="000649FA">
            <w:pPr>
              <w:pStyle w:val="TableTextLeft"/>
              <w:jc w:val="right"/>
            </w:pPr>
            <w:r w:rsidRPr="000C46CC">
              <w:rPr>
                <w:rFonts w:cstheme="minorHAnsi"/>
              </w:rPr>
              <w:t>2.8</w:t>
            </w:r>
          </w:p>
        </w:tc>
        <w:tc>
          <w:tcPr>
            <w:tcW w:w="996" w:type="dxa"/>
            <w:tcBorders>
              <w:top w:val="nil"/>
              <w:left w:val="nil"/>
              <w:bottom w:val="nil"/>
              <w:right w:val="nil"/>
            </w:tcBorders>
          </w:tcPr>
          <w:p w14:paraId="7AF5D3C9" w14:textId="3AEAEB18" w:rsidR="003F4980" w:rsidRPr="000C46CC" w:rsidRDefault="003F4980" w:rsidP="000649FA">
            <w:pPr>
              <w:pStyle w:val="TableTextLeft"/>
              <w:jc w:val="right"/>
            </w:pPr>
            <w:r w:rsidRPr="000C46CC">
              <w:rPr>
                <w:rFonts w:cstheme="minorHAnsi"/>
              </w:rPr>
              <w:t>4.5</w:t>
            </w:r>
          </w:p>
        </w:tc>
        <w:tc>
          <w:tcPr>
            <w:tcW w:w="996" w:type="dxa"/>
            <w:tcBorders>
              <w:top w:val="nil"/>
              <w:left w:val="nil"/>
              <w:bottom w:val="nil"/>
              <w:right w:val="nil"/>
            </w:tcBorders>
          </w:tcPr>
          <w:p w14:paraId="43CAAD92" w14:textId="689A2560" w:rsidR="003F4980" w:rsidRPr="000C46CC" w:rsidRDefault="003F4980" w:rsidP="000649FA">
            <w:pPr>
              <w:pStyle w:val="TableTextLeft"/>
              <w:jc w:val="right"/>
            </w:pPr>
            <w:r w:rsidRPr="000C46CC">
              <w:rPr>
                <w:rFonts w:cstheme="minorHAnsi"/>
              </w:rPr>
              <w:t>4.4</w:t>
            </w:r>
          </w:p>
        </w:tc>
      </w:tr>
      <w:tr w:rsidR="003F4980" w:rsidRPr="00485E58" w14:paraId="2945F9B2" w14:textId="77777777" w:rsidTr="00854EAB">
        <w:tc>
          <w:tcPr>
            <w:tcW w:w="3096" w:type="dxa"/>
            <w:tcBorders>
              <w:bottom w:val="single" w:sz="4" w:space="0" w:color="auto"/>
            </w:tcBorders>
          </w:tcPr>
          <w:p w14:paraId="0D70EE58" w14:textId="77777777" w:rsidR="003F4980" w:rsidRPr="00363EFE" w:rsidRDefault="003F4980" w:rsidP="005C264F">
            <w:pPr>
              <w:pStyle w:val="TableColumnHeadingLeft"/>
              <w:rPr>
                <w:color w:val="002C47" w:themeColor="accent1"/>
              </w:rPr>
            </w:pPr>
            <w:r w:rsidRPr="00363EFE">
              <w:rPr>
                <w:color w:val="002C47" w:themeColor="accent1"/>
              </w:rPr>
              <w:t>Net internal migration (‘000)</w:t>
            </w:r>
          </w:p>
        </w:tc>
        <w:tc>
          <w:tcPr>
            <w:tcW w:w="996" w:type="dxa"/>
            <w:tcBorders>
              <w:top w:val="nil"/>
              <w:left w:val="nil"/>
              <w:bottom w:val="single" w:sz="4" w:space="0" w:color="auto"/>
              <w:right w:val="nil"/>
            </w:tcBorders>
          </w:tcPr>
          <w:p w14:paraId="407463C9" w14:textId="0DE496C0" w:rsidR="003F4980" w:rsidRPr="000C46CC" w:rsidRDefault="003F4980" w:rsidP="000649FA">
            <w:pPr>
              <w:pStyle w:val="TableTextLeft"/>
              <w:jc w:val="right"/>
            </w:pPr>
            <w:r w:rsidRPr="000C46CC">
              <w:rPr>
                <w:rFonts w:cstheme="minorHAnsi"/>
              </w:rPr>
              <w:t>0.4</w:t>
            </w:r>
          </w:p>
        </w:tc>
        <w:tc>
          <w:tcPr>
            <w:tcW w:w="996" w:type="dxa"/>
            <w:tcBorders>
              <w:top w:val="nil"/>
              <w:left w:val="nil"/>
              <w:bottom w:val="single" w:sz="4" w:space="0" w:color="auto"/>
              <w:right w:val="nil"/>
            </w:tcBorders>
            <w:shd w:val="clear" w:color="auto" w:fill="D2EDFF" w:themeFill="accent1" w:themeFillTint="1A"/>
          </w:tcPr>
          <w:p w14:paraId="4C24EA3D" w14:textId="39289D27" w:rsidR="003F4980" w:rsidRPr="000C46CC" w:rsidRDefault="003F4980" w:rsidP="000649FA">
            <w:pPr>
              <w:pStyle w:val="TableTextLeft"/>
              <w:jc w:val="right"/>
            </w:pPr>
            <w:r w:rsidRPr="000C46CC">
              <w:rPr>
                <w:rFonts w:cstheme="minorHAnsi"/>
              </w:rPr>
              <w:t>0.8</w:t>
            </w:r>
          </w:p>
        </w:tc>
        <w:tc>
          <w:tcPr>
            <w:tcW w:w="996" w:type="dxa"/>
            <w:tcBorders>
              <w:top w:val="nil"/>
              <w:left w:val="nil"/>
              <w:bottom w:val="single" w:sz="4" w:space="0" w:color="auto"/>
              <w:right w:val="nil"/>
            </w:tcBorders>
          </w:tcPr>
          <w:p w14:paraId="3F3B064B" w14:textId="369752D5"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566D46CF" w14:textId="5F104A1F"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39424BB1" w14:textId="6C8093C9" w:rsidR="003F4980" w:rsidRPr="000C46CC" w:rsidRDefault="003F4980" w:rsidP="000649FA">
            <w:pPr>
              <w:pStyle w:val="TableTextLeft"/>
              <w:jc w:val="right"/>
            </w:pPr>
            <w:r w:rsidRPr="000C46CC">
              <w:rPr>
                <w:rFonts w:cstheme="minorHAnsi"/>
              </w:rPr>
              <w:t>0.7</w:t>
            </w:r>
          </w:p>
        </w:tc>
        <w:tc>
          <w:tcPr>
            <w:tcW w:w="996" w:type="dxa"/>
            <w:tcBorders>
              <w:top w:val="nil"/>
              <w:left w:val="nil"/>
              <w:bottom w:val="single" w:sz="4" w:space="0" w:color="auto"/>
              <w:right w:val="nil"/>
            </w:tcBorders>
          </w:tcPr>
          <w:p w14:paraId="3F5E8CA2" w14:textId="25D7C3E0" w:rsidR="003F4980" w:rsidRPr="000C46CC" w:rsidRDefault="003F4980" w:rsidP="000649FA">
            <w:pPr>
              <w:pStyle w:val="TableTextLeft"/>
              <w:jc w:val="right"/>
            </w:pPr>
            <w:r w:rsidRPr="000C46CC">
              <w:rPr>
                <w:rFonts w:cstheme="minorHAnsi"/>
              </w:rPr>
              <w:t>0.2</w:t>
            </w:r>
          </w:p>
        </w:tc>
      </w:tr>
      <w:tr w:rsidR="003F4980" w:rsidRPr="00485E58" w14:paraId="20F5CCA0" w14:textId="77777777" w:rsidTr="00854EAB">
        <w:tc>
          <w:tcPr>
            <w:tcW w:w="3096" w:type="dxa"/>
            <w:tcBorders>
              <w:top w:val="single" w:sz="4" w:space="0" w:color="auto"/>
              <w:bottom w:val="single" w:sz="8" w:space="0" w:color="000000" w:themeColor="text1"/>
            </w:tcBorders>
          </w:tcPr>
          <w:p w14:paraId="7C88E924" w14:textId="77777777" w:rsidR="003F4980" w:rsidRPr="00363EFE" w:rsidRDefault="003F4980" w:rsidP="005C264F">
            <w:pPr>
              <w:pStyle w:val="TableColumnHeadingLeft"/>
              <w:rPr>
                <w:color w:val="002C47" w:themeColor="accent1"/>
              </w:rPr>
            </w:pPr>
            <w:r w:rsidRPr="00363EFE">
              <w:rPr>
                <w:color w:val="002C47" w:themeColor="accent1"/>
              </w:rPr>
              <w:t>Median age (years)</w:t>
            </w:r>
          </w:p>
        </w:tc>
        <w:tc>
          <w:tcPr>
            <w:tcW w:w="996" w:type="dxa"/>
            <w:tcBorders>
              <w:top w:val="single" w:sz="4" w:space="0" w:color="auto"/>
              <w:left w:val="nil"/>
              <w:bottom w:val="single" w:sz="4" w:space="0" w:color="auto"/>
              <w:right w:val="nil"/>
            </w:tcBorders>
          </w:tcPr>
          <w:p w14:paraId="2B651539" w14:textId="5C6CB293" w:rsidR="003F4980" w:rsidRPr="000C46CC" w:rsidRDefault="003F4980" w:rsidP="000649FA">
            <w:pPr>
              <w:pStyle w:val="TableTextLeft"/>
              <w:jc w:val="right"/>
            </w:pPr>
            <w:r w:rsidRPr="000C46CC">
              <w:rPr>
                <w:rFonts w:cstheme="minorHAnsi"/>
              </w:rPr>
              <w:t>35.4</w:t>
            </w:r>
          </w:p>
        </w:tc>
        <w:tc>
          <w:tcPr>
            <w:tcW w:w="996" w:type="dxa"/>
            <w:tcBorders>
              <w:top w:val="single" w:sz="4" w:space="0" w:color="auto"/>
              <w:left w:val="nil"/>
              <w:bottom w:val="single" w:sz="4" w:space="0" w:color="auto"/>
              <w:right w:val="nil"/>
            </w:tcBorders>
            <w:shd w:val="clear" w:color="auto" w:fill="D2EDFF" w:themeFill="accent1" w:themeFillTint="1A"/>
          </w:tcPr>
          <w:p w14:paraId="5FEBEB05" w14:textId="4536E0AF" w:rsidR="003F4980" w:rsidRPr="000C46CC" w:rsidRDefault="003F4980" w:rsidP="000649FA">
            <w:pPr>
              <w:pStyle w:val="TableTextLeft"/>
              <w:jc w:val="right"/>
            </w:pPr>
            <w:r w:rsidRPr="000C46CC">
              <w:rPr>
                <w:rFonts w:cstheme="minorHAnsi"/>
              </w:rPr>
              <w:t>35.6</w:t>
            </w:r>
          </w:p>
        </w:tc>
        <w:tc>
          <w:tcPr>
            <w:tcW w:w="996" w:type="dxa"/>
            <w:tcBorders>
              <w:top w:val="single" w:sz="4" w:space="0" w:color="auto"/>
              <w:left w:val="nil"/>
              <w:bottom w:val="single" w:sz="4" w:space="0" w:color="auto"/>
              <w:right w:val="nil"/>
            </w:tcBorders>
          </w:tcPr>
          <w:p w14:paraId="78A40B4F" w14:textId="40659D61" w:rsidR="003F4980" w:rsidRPr="000C46CC" w:rsidRDefault="003F4980" w:rsidP="000649FA">
            <w:pPr>
              <w:pStyle w:val="TableTextLeft"/>
              <w:jc w:val="right"/>
            </w:pPr>
            <w:r w:rsidRPr="000C46CC">
              <w:rPr>
                <w:rFonts w:cstheme="minorHAnsi"/>
              </w:rPr>
              <w:t>35.8</w:t>
            </w:r>
          </w:p>
        </w:tc>
        <w:tc>
          <w:tcPr>
            <w:tcW w:w="996" w:type="dxa"/>
            <w:tcBorders>
              <w:top w:val="single" w:sz="4" w:space="0" w:color="auto"/>
              <w:left w:val="nil"/>
              <w:bottom w:val="single" w:sz="4" w:space="0" w:color="auto"/>
              <w:right w:val="nil"/>
            </w:tcBorders>
          </w:tcPr>
          <w:p w14:paraId="4852D680" w14:textId="3B54F939" w:rsidR="003F4980" w:rsidRPr="000C46CC" w:rsidRDefault="003F4980" w:rsidP="000649FA">
            <w:pPr>
              <w:pStyle w:val="TableTextLeft"/>
              <w:jc w:val="right"/>
            </w:pPr>
            <w:r w:rsidRPr="000C46CC">
              <w:rPr>
                <w:rFonts w:cstheme="minorHAnsi"/>
              </w:rPr>
              <w:t>36</w:t>
            </w:r>
          </w:p>
        </w:tc>
        <w:tc>
          <w:tcPr>
            <w:tcW w:w="996" w:type="dxa"/>
            <w:tcBorders>
              <w:top w:val="single" w:sz="4" w:space="0" w:color="auto"/>
              <w:left w:val="nil"/>
              <w:bottom w:val="single" w:sz="4" w:space="0" w:color="auto"/>
              <w:right w:val="nil"/>
            </w:tcBorders>
          </w:tcPr>
          <w:p w14:paraId="2CFBCFA2" w14:textId="386834BB" w:rsidR="003F4980" w:rsidRPr="000C46CC" w:rsidRDefault="003F4980" w:rsidP="000649FA">
            <w:pPr>
              <w:pStyle w:val="TableTextLeft"/>
              <w:jc w:val="right"/>
            </w:pPr>
            <w:r w:rsidRPr="000C46CC">
              <w:rPr>
                <w:rFonts w:cstheme="minorHAnsi"/>
              </w:rPr>
              <w:t>36.2</w:t>
            </w:r>
          </w:p>
        </w:tc>
        <w:tc>
          <w:tcPr>
            <w:tcW w:w="996" w:type="dxa"/>
            <w:tcBorders>
              <w:top w:val="single" w:sz="4" w:space="0" w:color="auto"/>
              <w:left w:val="nil"/>
              <w:bottom w:val="single" w:sz="4" w:space="0" w:color="auto"/>
              <w:right w:val="nil"/>
            </w:tcBorders>
          </w:tcPr>
          <w:p w14:paraId="5359393D" w14:textId="0A9ADF69" w:rsidR="003F4980" w:rsidRPr="000C46CC" w:rsidRDefault="003F4980" w:rsidP="000649FA">
            <w:pPr>
              <w:pStyle w:val="TableTextLeft"/>
              <w:jc w:val="right"/>
            </w:pPr>
            <w:r w:rsidRPr="000C46CC">
              <w:rPr>
                <w:rFonts w:cstheme="minorHAnsi"/>
              </w:rPr>
              <w:t>37.4</w:t>
            </w:r>
          </w:p>
        </w:tc>
      </w:tr>
    </w:tbl>
    <w:p w14:paraId="358C6281" w14:textId="3463CB52" w:rsidR="00B5564D" w:rsidRDefault="000E6EBD" w:rsidP="00FC0158">
      <w:pPr>
        <w:pStyle w:val="Source"/>
      </w:pPr>
      <w:r w:rsidRPr="00485E58">
        <w:t xml:space="preserve">Source: </w:t>
      </w:r>
      <w:r w:rsidR="001228F2">
        <w:rPr>
          <w:noProof/>
        </w:rPr>
        <w:t>Australian Bureau of Statistics, National, state and territory population, March 2022, 2022</w:t>
      </w:r>
      <w:r w:rsidRPr="00485E58">
        <w:t xml:space="preserve"> and Centre for Population projections</w:t>
      </w:r>
    </w:p>
    <w:p w14:paraId="44964CD0" w14:textId="53DC325A" w:rsidR="00B5564D" w:rsidRDefault="00B5564D" w:rsidP="007D55C1"/>
    <w:p w14:paraId="418476F2" w14:textId="58F1AC52" w:rsidR="00B5564D" w:rsidRDefault="00B5564D" w:rsidP="007D55C1"/>
    <w:p w14:paraId="4A6CAE50" w14:textId="4B22897D" w:rsidR="00B5564D" w:rsidRDefault="00B5564D" w:rsidP="007D55C1"/>
    <w:p w14:paraId="07014C77" w14:textId="0B9C598B" w:rsidR="00B5564D" w:rsidRDefault="00B5564D" w:rsidP="007D55C1"/>
    <w:p w14:paraId="0823F10E" w14:textId="44A20ACE" w:rsidR="00B5564D" w:rsidRDefault="00B5564D" w:rsidP="007D55C1"/>
    <w:p w14:paraId="17855BE0" w14:textId="07FB2C4D" w:rsidR="00B5564D" w:rsidRDefault="00B5564D" w:rsidP="007D55C1"/>
    <w:p w14:paraId="49DF46B6" w14:textId="31F7A6BD" w:rsidR="00B5564D" w:rsidRDefault="00B5564D" w:rsidP="007D55C1"/>
    <w:p w14:paraId="04C462FA" w14:textId="599D4081" w:rsidR="00B5564D" w:rsidRDefault="00B5564D" w:rsidP="007D55C1"/>
    <w:p w14:paraId="00C08735" w14:textId="154282F6" w:rsidR="00B5564D" w:rsidRDefault="00B5564D" w:rsidP="007D55C1"/>
    <w:p w14:paraId="33A6E179" w14:textId="5AF68F0E" w:rsidR="00B5564D" w:rsidRDefault="00B5564D" w:rsidP="007D55C1"/>
    <w:p w14:paraId="0FC5AD5E" w14:textId="77777777" w:rsidR="00B5564D" w:rsidRDefault="00B5564D" w:rsidP="007D55C1"/>
    <w:p w14:paraId="1E97F1EA" w14:textId="4628512F" w:rsidR="005E2095" w:rsidRDefault="005E2095" w:rsidP="007D55C1"/>
    <w:p w14:paraId="13BF543D" w14:textId="2935692D" w:rsidR="005E2095" w:rsidRDefault="005E2095" w:rsidP="007D55C1"/>
    <w:p w14:paraId="0110BCBE" w14:textId="0A1497F0" w:rsidR="005E2095" w:rsidRDefault="005E2095" w:rsidP="007D55C1"/>
    <w:p w14:paraId="531592A0" w14:textId="23B5DB27" w:rsidR="005E2095" w:rsidRDefault="005E2095" w:rsidP="007D55C1"/>
    <w:p w14:paraId="12A51F11" w14:textId="24CD24CA" w:rsidR="005E2095" w:rsidRDefault="005E2095" w:rsidP="007D55C1"/>
    <w:p w14:paraId="6D09152C" w14:textId="60D40246" w:rsidR="005E2095" w:rsidRDefault="005E2095" w:rsidP="007D55C1"/>
    <w:p w14:paraId="40681E28" w14:textId="77777777" w:rsidR="005E2095" w:rsidRDefault="005E2095" w:rsidP="007D55C1"/>
    <w:p w14:paraId="2740F95C" w14:textId="198900A0" w:rsidR="008B5521" w:rsidRDefault="00AF4508" w:rsidP="0039767A">
      <w:pPr>
        <w:pStyle w:val="Heading1Numbered"/>
      </w:pPr>
      <w:bookmarkStart w:id="192" w:name="_Ref116890259"/>
      <w:bookmarkStart w:id="193" w:name="_Toc122618388"/>
      <w:r>
        <w:lastRenderedPageBreak/>
        <w:t>Technical appendix</w:t>
      </w:r>
      <w:bookmarkEnd w:id="192"/>
      <w:bookmarkEnd w:id="193"/>
    </w:p>
    <w:p w14:paraId="5F544C44" w14:textId="0D9068C0" w:rsidR="00AF4508" w:rsidRDefault="00AF4508" w:rsidP="0039767A">
      <w:pPr>
        <w:pStyle w:val="Heading2Numbered"/>
      </w:pPr>
      <w:bookmarkStart w:id="194" w:name="_Ref116889001"/>
      <w:bookmarkStart w:id="195" w:name="_Ref116889010"/>
      <w:bookmarkStart w:id="196" w:name="_Ref116889017"/>
      <w:bookmarkStart w:id="197" w:name="_Ref116889023"/>
      <w:bookmarkStart w:id="198" w:name="_Ref116889027"/>
      <w:bookmarkStart w:id="199" w:name="_Ref116889045"/>
      <w:bookmarkStart w:id="200" w:name="_Toc122618389"/>
      <w:r>
        <w:t>Forecast context and limitations</w:t>
      </w:r>
      <w:bookmarkEnd w:id="194"/>
      <w:bookmarkEnd w:id="195"/>
      <w:bookmarkEnd w:id="196"/>
      <w:bookmarkEnd w:id="197"/>
      <w:bookmarkEnd w:id="198"/>
      <w:bookmarkEnd w:id="199"/>
      <w:bookmarkEnd w:id="200"/>
    </w:p>
    <w:p w14:paraId="62C6A82F" w14:textId="006C87D2" w:rsidR="00027AC6" w:rsidRPr="00D22F33" w:rsidRDefault="00027AC6" w:rsidP="0039767A">
      <w:r w:rsidRPr="00D22F33">
        <w:t>Population projections are uncertain under normal conditions and are more uncertain during unprecedented shocks such as the COVID</w:t>
      </w:r>
      <w:r w:rsidR="009B78C6" w:rsidRPr="00D22F33">
        <w:t>-</w:t>
      </w:r>
      <w:r w:rsidRPr="00D22F33">
        <w:t>19 pandemic. The data used to underpin the analysis in the Statement will also be superseded by new data and revisions to previous reference periods. The key assumptions that underpin the population forecasts are set out below. Outcomes could be substantially different to the forecasts, depending on the extent to which these assumptions hold</w:t>
      </w:r>
      <w:r w:rsidR="001F1842">
        <w:t>:</w:t>
      </w:r>
    </w:p>
    <w:p w14:paraId="7A2F0543" w14:textId="510978C3" w:rsidR="00027AC6" w:rsidRPr="00D22F33" w:rsidRDefault="00027AC6" w:rsidP="003E2F68">
      <w:pPr>
        <w:pStyle w:val="bulletv2"/>
      </w:pPr>
      <w:r w:rsidRPr="00D22F33">
        <w:t>Community transmission of COVID</w:t>
      </w:r>
      <w:r w:rsidR="009B78C6" w:rsidRPr="00D22F33">
        <w:t>-</w:t>
      </w:r>
      <w:r w:rsidRPr="00D22F33">
        <w:t>19 will continue to occur.</w:t>
      </w:r>
    </w:p>
    <w:p w14:paraId="78E9D4A5" w14:textId="389C98AD" w:rsidR="00027AC6" w:rsidRPr="00D22F33" w:rsidRDefault="00027AC6" w:rsidP="003E2F68">
      <w:pPr>
        <w:pStyle w:val="bulletv2"/>
      </w:pPr>
      <w:r w:rsidRPr="00D22F33">
        <w:t>Australia will continue to experience intermittent, localised waves of Omicron, or other new COVID</w:t>
      </w:r>
      <w:r w:rsidR="009B78C6" w:rsidRPr="00D22F33">
        <w:t>-</w:t>
      </w:r>
      <w:r w:rsidRPr="00D22F33">
        <w:t>19 variants. However, it is assumed high vaccination rates and improved medical treatments, together with continued community adaptation to COVID</w:t>
      </w:r>
      <w:r w:rsidR="009B78C6" w:rsidRPr="00D22F33">
        <w:t>-</w:t>
      </w:r>
      <w:r w:rsidRPr="00D22F33">
        <w:t xml:space="preserve">19, will see </w:t>
      </w:r>
      <w:r w:rsidR="00441479">
        <w:t>limited re-introductions</w:t>
      </w:r>
      <w:r w:rsidRPr="00D22F33">
        <w:t xml:space="preserve"> of public health measures such as physical distancing and density restrictions, as well as continued freedom of movement across domestic borders. </w:t>
      </w:r>
    </w:p>
    <w:p w14:paraId="3D8FC124" w14:textId="3E32DD58" w:rsidR="00027AC6" w:rsidRDefault="00027AC6" w:rsidP="003E2F68">
      <w:pPr>
        <w:pStyle w:val="bulletv2"/>
      </w:pPr>
      <w:r w:rsidRPr="00D22F33">
        <w:t>Australia’s international borders are assumed to be open to migrants and tourists and the recovery in inwards and outwards overseas movements is assumed to continue.</w:t>
      </w:r>
    </w:p>
    <w:p w14:paraId="40625654" w14:textId="26152772" w:rsidR="00456FA7" w:rsidRPr="00D22F33" w:rsidRDefault="000A0C85" w:rsidP="003E2F68">
      <w:pPr>
        <w:pStyle w:val="bulletv2"/>
      </w:pPr>
      <w:r>
        <w:t>Subnational</w:t>
      </w:r>
      <w:r w:rsidR="00044026">
        <w:t xml:space="preserve"> population projections take account of information in the 2021 Census </w:t>
      </w:r>
      <w:r w:rsidR="00CD29E1">
        <w:t xml:space="preserve">and </w:t>
      </w:r>
      <w:r w:rsidR="00044026">
        <w:t xml:space="preserve">revised growth rates between </w:t>
      </w:r>
      <w:r w:rsidR="00D939CA">
        <w:t xml:space="preserve">June </w:t>
      </w:r>
      <w:r w:rsidR="00044026">
        <w:t xml:space="preserve">2016 and </w:t>
      </w:r>
      <w:r w:rsidR="00D939CA">
        <w:t xml:space="preserve">June </w:t>
      </w:r>
      <w:r w:rsidR="00044026">
        <w:t xml:space="preserve">2021. </w:t>
      </w:r>
      <w:r w:rsidR="000E742E" w:rsidRPr="000E742E">
        <w:t>While the Australian Bureau of Statistics has not attributed intercensal difference to the components of population growth, it is important to account for the intercensal difference when forecasting the components of growth. For this reason, the subnational projections in this Statement attribute some of the intercensal difference to overseas migration and internal migration.</w:t>
      </w:r>
      <w:r w:rsidR="002E5065">
        <w:t xml:space="preserve"> </w:t>
      </w:r>
      <w:r w:rsidR="002E5065" w:rsidRPr="00485E58">
        <w:rPr>
          <w:bCs/>
        </w:rPr>
        <w:t xml:space="preserve">Natural increase has the highest quality administrative data coverage and is the most stable of the population components and was therefore excluded from this attribution. </w:t>
      </w:r>
      <w:r w:rsidR="004A2591">
        <w:rPr>
          <w:bCs/>
        </w:rPr>
        <w:t xml:space="preserve">This attribution is based on preliminary population estimates and as intercensal difference and the components of growth are finalised by the Australian Bureau of Statistics in June 2023, the Centre for Population will review this assumption. </w:t>
      </w:r>
    </w:p>
    <w:p w14:paraId="4EF15E04" w14:textId="2BDD1D43" w:rsidR="00027AC6" w:rsidRPr="00485E58" w:rsidRDefault="00027AC6" w:rsidP="0039767A">
      <w:r w:rsidRPr="00D22F33">
        <w:t>Analysis for the projections is based on Australian Bureau of Statistics’ population statistics up to and including the National, state and territory population, March 2022</w:t>
      </w:r>
      <w:r w:rsidRPr="00D22F33">
        <w:rPr>
          <w:i/>
          <w:iCs/>
        </w:rPr>
        <w:t xml:space="preserve">, </w:t>
      </w:r>
      <w:r w:rsidRPr="00D22F33">
        <w:t xml:space="preserve">released in September 2022. Further information about data considered is in </w:t>
      </w:r>
      <w:r w:rsidR="002C2CC1" w:rsidRPr="002C2CC1">
        <w:t>Box 4</w:t>
      </w:r>
      <w:r w:rsidRPr="00D22F33">
        <w:t xml:space="preserve"> below.</w:t>
      </w:r>
    </w:p>
    <w:p w14:paraId="1E079364" w14:textId="2B930BF8" w:rsidR="00AF4508" w:rsidRPr="00485E58" w:rsidRDefault="007E71DC" w:rsidP="00870349">
      <w:pPr>
        <w:pStyle w:val="Heading3Numbered"/>
        <w:numPr>
          <w:ilvl w:val="0"/>
          <w:numId w:val="0"/>
        </w:numPr>
      </w:pPr>
      <w:bookmarkStart w:id="201" w:name="_Toc122618390"/>
      <w:r w:rsidRPr="00485E58">
        <w:t>3</w:t>
      </w:r>
      <w:r w:rsidR="00AF4508" w:rsidRPr="00485E58">
        <w:t>.1.1</w:t>
      </w:r>
      <w:r w:rsidR="00AF4508" w:rsidRPr="00485E58">
        <w:tab/>
        <w:t>Net overseas migration</w:t>
      </w:r>
      <w:bookmarkEnd w:id="201"/>
    </w:p>
    <w:p w14:paraId="3C71E142" w14:textId="6A99F2FF" w:rsidR="00927644" w:rsidRPr="00485E58" w:rsidRDefault="00927644" w:rsidP="0039767A">
      <w:r w:rsidRPr="00485E58">
        <w:t xml:space="preserve">Net overseas migration forecasts are based on </w:t>
      </w:r>
      <w:r w:rsidR="00B97F58">
        <w:t>customised</w:t>
      </w:r>
      <w:r w:rsidR="00B97F58" w:rsidRPr="00485E58">
        <w:t xml:space="preserve"> </w:t>
      </w:r>
      <w:r w:rsidRPr="00485E58">
        <w:t xml:space="preserve">Australian Bureau of Statistics estimates of quarterly overseas migrant arrivals and departures by visa group and by state. The Australian Bureau of Statistics provides preliminary estimates of overseas migration 6 months after the reference period and final estimates a further 12 months later. </w:t>
      </w:r>
    </w:p>
    <w:p w14:paraId="77DB7CD6" w14:textId="15382D28" w:rsidR="00927644" w:rsidRPr="00485E58" w:rsidRDefault="00927644" w:rsidP="0039767A">
      <w:r w:rsidRPr="00485E58">
        <w:t xml:space="preserve">The timing of the Australian Bureau of Statistics’ final estimates reflects that a migrant arrival is defined as someone </w:t>
      </w:r>
      <w:r w:rsidR="006826E3">
        <w:t xml:space="preserve">who </w:t>
      </w:r>
      <w:r w:rsidRPr="00485E58">
        <w:t>has arrived in Australia and stayed for at least 12 out of 16 consecutive months. Similarly, a migrant departure is defined as someone who has departed Australia and remained overseas for at least 12 out of 16 consecutive months. This can only be determined once 16 months have elapsed from the arrival or departure date. The current definition of overseas migration was incorporated into population estimates in the September quarter of 2006 to account for short</w:t>
      </w:r>
      <w:r w:rsidR="00F434D0">
        <w:t>-</w:t>
      </w:r>
      <w:r w:rsidRPr="00485E58">
        <w:t>term interruptions to a longer period of stay or absence and to better reflect someone’s changed usual residence. Prior to the pandemic, data on permanent and long</w:t>
      </w:r>
      <w:r w:rsidR="00D2700C">
        <w:t>-</w:t>
      </w:r>
      <w:r w:rsidRPr="00485E58">
        <w:t>term arrivals and departures provided some early insight into net overseas migration trends</w:t>
      </w:r>
      <w:r w:rsidR="007A6AD9">
        <w:t xml:space="preserve">. </w:t>
      </w:r>
      <w:r w:rsidR="002C7189" w:rsidRPr="00485E58">
        <w:t xml:space="preserve">These historical </w:t>
      </w:r>
      <w:r w:rsidR="002C7189" w:rsidRPr="00485E58">
        <w:lastRenderedPageBreak/>
        <w:t xml:space="preserve">relationships have been affected by the pandemic and </w:t>
      </w:r>
      <w:r w:rsidR="00DC0877">
        <w:t xml:space="preserve">do not </w:t>
      </w:r>
      <w:r w:rsidR="00473D73">
        <w:t xml:space="preserve">currently </w:t>
      </w:r>
      <w:r w:rsidR="002C7189" w:rsidRPr="00485E58">
        <w:t>appear</w:t>
      </w:r>
      <w:r w:rsidR="00473D73">
        <w:t xml:space="preserve"> to be</w:t>
      </w:r>
      <w:r w:rsidR="002C7189" w:rsidRPr="00485E58">
        <w:t xml:space="preserve"> a reliable indicator of net overseas migration.</w:t>
      </w:r>
    </w:p>
    <w:p w14:paraId="3A51121B" w14:textId="7962699F" w:rsidR="00927644" w:rsidRPr="00485E58" w:rsidRDefault="00927644" w:rsidP="0039767A">
      <w:r w:rsidRPr="00485E58">
        <w:t>Preliminary estimates use modelling based on behaviour of similar travellers in the past as the actual duration of stay or absence is not yet known. These estimates are revised several times before finalisation as more data become available. The pandemic has added uncertainty to the preliminary estimates because recent historical behaviour is much less reliable for predicting future behaviour. Therefore, differences between the first issuance of preliminary estimates and the final figures may be larger than in the years leading up to the pandemic.</w:t>
      </w:r>
    </w:p>
    <w:p w14:paraId="53307318" w14:textId="77777777" w:rsidR="00927644" w:rsidRPr="00485E58" w:rsidRDefault="00927644" w:rsidP="0039767A">
      <w:r w:rsidRPr="00485E58">
        <w:t>The loss of overseas migration since the onset of the pandemic and subsequent recovery has disrupted trends and made historical data less reliable for forecasting. For example:</w:t>
      </w:r>
    </w:p>
    <w:p w14:paraId="04BC3F08" w14:textId="6B43BB8E" w:rsidR="00927644" w:rsidRPr="00485E58" w:rsidRDefault="00927644" w:rsidP="003E2F68">
      <w:pPr>
        <w:pStyle w:val="bulletv2"/>
      </w:pPr>
      <w:r w:rsidRPr="00485E58">
        <w:t>The stock of migrants holding temporary visas has decreased, which means there is an upside risk of fewer departures in the short</w:t>
      </w:r>
      <w:r w:rsidR="00EC685D">
        <w:t>-</w:t>
      </w:r>
      <w:r w:rsidRPr="00485E58">
        <w:t>term as there are fewer people in the country who could depart. Conversely, with fewer Australian citizens leaving during the pandemic, there is a downside risk of higher Australian citizen departures.</w:t>
      </w:r>
    </w:p>
    <w:p w14:paraId="44CACB2E" w14:textId="6F952CD5" w:rsidR="00927644" w:rsidRPr="00485E58" w:rsidRDefault="00927644" w:rsidP="003E2F68">
      <w:pPr>
        <w:pStyle w:val="bulletv2"/>
      </w:pPr>
      <w:r w:rsidRPr="00485E58">
        <w:t xml:space="preserve">The proportion of temporary visa holders who transition onto permanent visas may change, for various reasons including changing economic conditions, </w:t>
      </w:r>
      <w:r w:rsidR="004709A2">
        <w:t xml:space="preserve">employment </w:t>
      </w:r>
      <w:r w:rsidRPr="00485E58">
        <w:t>opportunities in Australia, government policy, administration</w:t>
      </w:r>
      <w:r w:rsidR="004709A2">
        <w:t xml:space="preserve"> </w:t>
      </w:r>
      <w:r w:rsidRPr="00485E58">
        <w:t>and legislation.</w:t>
      </w:r>
    </w:p>
    <w:p w14:paraId="32E1832C" w14:textId="3F997EF3" w:rsidR="00927644" w:rsidRPr="00485E58" w:rsidRDefault="00C04243" w:rsidP="003E2F68">
      <w:pPr>
        <w:pStyle w:val="bulletv2"/>
      </w:pPr>
      <w:r>
        <w:t xml:space="preserve">There is </w:t>
      </w:r>
      <w:r w:rsidR="00927644" w:rsidRPr="00485E58">
        <w:t>potential for international students to increasingly choose to study online outside Australia. Timely data is available from the Department of Home Affairs on offshore visa grants, but there is uncertainty about how that data will relate to future migrant arrivals.</w:t>
      </w:r>
    </w:p>
    <w:p w14:paraId="1071F233" w14:textId="77777777" w:rsidR="00927644" w:rsidRPr="00485E58" w:rsidRDefault="00927644" w:rsidP="003E2F68">
      <w:pPr>
        <w:pStyle w:val="bulletv2"/>
      </w:pPr>
      <w:r w:rsidRPr="00485E58">
        <w:t>The risk to migrant arrivals due to changes in Australia’s global market share of international students.</w:t>
      </w:r>
    </w:p>
    <w:p w14:paraId="7480122C" w14:textId="48241AA2" w:rsidR="00AF4508" w:rsidRPr="00485E58" w:rsidRDefault="00927644" w:rsidP="003E2F68">
      <w:pPr>
        <w:pStyle w:val="bulletv2"/>
      </w:pPr>
      <w:r w:rsidRPr="00485E58">
        <w:t>Permanent and long</w:t>
      </w:r>
      <w:r w:rsidR="00EC685D">
        <w:t>-</w:t>
      </w:r>
      <w:r w:rsidRPr="00485E58">
        <w:t>term overseas movements are a weaker leading indicator of overseas migration than they have historically been. The relationship between net permanent and long</w:t>
      </w:r>
      <w:r w:rsidR="00EC685D">
        <w:t>-</w:t>
      </w:r>
      <w:r w:rsidRPr="00485E58">
        <w:t>term overseas movements and overseas migration is no longer stable. Since 2020, a much greater proportion of overseas arrivals and departures have been estimated as migrants, and this proportion continues to vary.</w:t>
      </w:r>
    </w:p>
    <w:p w14:paraId="4F0592B0" w14:textId="31EFCD6B" w:rsidR="002A4D43" w:rsidRPr="00485E58" w:rsidRDefault="002A4D43" w:rsidP="0039767A">
      <w:r w:rsidRPr="009D38A4">
        <w:t>The 2021 Census-based revisions to the population resulted in intercensal difference. A proportion of the intercensal difference has been attributed to error in the state-level overseas migration estimates from 2016</w:t>
      </w:r>
      <w:r w:rsidR="003A631A">
        <w:sym w:font="Symbol" w:char="F02D"/>
      </w:r>
      <w:r w:rsidRPr="009D38A4">
        <w:t>17 to 2020–21</w:t>
      </w:r>
      <w:r>
        <w:t xml:space="preserve"> </w:t>
      </w:r>
      <w:r w:rsidRPr="002A4D43">
        <w:t>and carried forward in the forecasts</w:t>
      </w:r>
      <w:r>
        <w:t xml:space="preserve"> to 2025</w:t>
      </w:r>
      <w:r w:rsidRPr="00B14C56">
        <w:t>–</w:t>
      </w:r>
      <w:r>
        <w:t>26.</w:t>
      </w:r>
    </w:p>
    <w:p w14:paraId="4CB187BC" w14:textId="000288DE" w:rsidR="00AF4508" w:rsidRPr="00485E58" w:rsidRDefault="007E71DC" w:rsidP="00870349">
      <w:pPr>
        <w:pStyle w:val="Heading3Numbered"/>
        <w:numPr>
          <w:ilvl w:val="0"/>
          <w:numId w:val="0"/>
        </w:numPr>
      </w:pPr>
      <w:bookmarkStart w:id="202" w:name="_Toc122618391"/>
      <w:r w:rsidRPr="00485E58">
        <w:t>3</w:t>
      </w:r>
      <w:r w:rsidR="00AF4508" w:rsidRPr="00485E58">
        <w:t>.1.2</w:t>
      </w:r>
      <w:r w:rsidR="00AF4508" w:rsidRPr="00485E58">
        <w:tab/>
      </w:r>
      <w:r w:rsidR="001F08CF" w:rsidRPr="00485E58">
        <w:t>Natural increase</w:t>
      </w:r>
      <w:bookmarkEnd w:id="202"/>
    </w:p>
    <w:p w14:paraId="72810334" w14:textId="77777777" w:rsidR="00027AC6" w:rsidRPr="00152209" w:rsidRDefault="00027AC6" w:rsidP="00152209">
      <w:pPr>
        <w:pStyle w:val="Heading4"/>
      </w:pPr>
      <w:bookmarkStart w:id="203" w:name="_Ref116893148"/>
      <w:r w:rsidRPr="00152209">
        <w:t>Fertility</w:t>
      </w:r>
    </w:p>
    <w:p w14:paraId="5A64E2C4" w14:textId="77777777" w:rsidR="00027AC6" w:rsidRPr="008B2B1C" w:rsidRDefault="00027AC6" w:rsidP="0039767A">
      <w:r w:rsidRPr="008B2B1C">
        <w:t>Official births and fertility statistics are published by the Australian Bureau of Statistics based on information provided by each state registry of births, deaths and marriages. There is usually an interval between the occurrence and registration of a birth (referred to as a registration lag). As a result, some births occurring in one period are not registered until the following period or later. See the 2021 Population Statement Technical Appendix for more information.</w:t>
      </w:r>
    </w:p>
    <w:p w14:paraId="6B5C6339" w14:textId="79B7B696" w:rsidR="00027AC6" w:rsidRPr="008B2B1C" w:rsidRDefault="00027AC6" w:rsidP="0039767A">
      <w:r w:rsidRPr="008B2B1C">
        <w:t>The Australian Bureau of Statistics revises the most recent financial year of births from a registration basis to an occurrence basis in the March quarter release of National, state and territory population. The March 2022 population statistics, released in September 2022, included an upward revision to births for 2020–21. This resulted in a higher total fertility rate in 2020–21 than was originally estimated in the December 2021 release</w:t>
      </w:r>
      <w:r w:rsidR="00D06AD9">
        <w:t> </w:t>
      </w:r>
      <w:r w:rsidRPr="008B2B1C">
        <w:t xml:space="preserve">— from 298,000 revised up to 305,000. The total fertility rate of 1.63 babies per woman was </w:t>
      </w:r>
      <w:r w:rsidRPr="008B2B1C" w:rsidDel="00EB4C4A">
        <w:t>also</w:t>
      </w:r>
      <w:r w:rsidRPr="008B2B1C" w:rsidDel="0052787B">
        <w:t xml:space="preserve"> </w:t>
      </w:r>
      <w:r w:rsidRPr="008B2B1C">
        <w:t>revised up to 1.66 babies per woman.</w:t>
      </w:r>
    </w:p>
    <w:p w14:paraId="08D43859" w14:textId="15484E72" w:rsidR="00A35173" w:rsidRPr="00485E58" w:rsidRDefault="00A35173" w:rsidP="0039767A">
      <w:r w:rsidRPr="008B2B1C">
        <w:lastRenderedPageBreak/>
        <w:t xml:space="preserve">The latest total fertility rate reported by the Australian Bureau of Statistics was partially revised to reflect the 2021 Census preliminary rebased female estimated resident population. </w:t>
      </w:r>
      <w:r>
        <w:t xml:space="preserve">The total fertility rate is equal to the sum of age-specific fertility rates, which is </w:t>
      </w:r>
      <w:r w:rsidRPr="008B2B1C">
        <w:t xml:space="preserve">the number of births by age of mother relative to the population of females at that age. </w:t>
      </w:r>
      <w:r>
        <w:t xml:space="preserve">The Census rebasing has revised the population of females aged 15 to 49 years. </w:t>
      </w:r>
      <w:r w:rsidRPr="008B2B1C">
        <w:t>However, the births numbers have not been revised. Births will be revised in June 2023. At that point</w:t>
      </w:r>
      <w:r w:rsidR="004709A2">
        <w:t>,</w:t>
      </w:r>
      <w:r w:rsidRPr="008B2B1C">
        <w:t xml:space="preserve"> the total fertility rate outcome for 2020–21, and the </w:t>
      </w:r>
      <w:r w:rsidR="004709A2">
        <w:t>4</w:t>
      </w:r>
      <w:r w:rsidRPr="008B2B1C">
        <w:t xml:space="preserve"> preceding years, will be finalised.</w:t>
      </w:r>
    </w:p>
    <w:p w14:paraId="023F380C" w14:textId="77777777" w:rsidR="00027AC6" w:rsidRPr="00B4298B" w:rsidRDefault="00027AC6" w:rsidP="001E4102">
      <w:pPr>
        <w:pStyle w:val="Heading4"/>
      </w:pPr>
      <w:r w:rsidRPr="00B4298B">
        <w:t>Mortality</w:t>
      </w:r>
    </w:p>
    <w:p w14:paraId="4E55DE5A" w14:textId="73AACE1A" w:rsidR="00027AC6" w:rsidRPr="00B4298B" w:rsidRDefault="00027AC6" w:rsidP="0039767A">
      <w:pPr>
        <w:rPr>
          <w:color w:val="FF0000"/>
        </w:rPr>
      </w:pPr>
      <w:r w:rsidRPr="00B4298B">
        <w:t>The Australian Government Actuary’s projections of state mortality rates apply the same national future mortality improvements to all states. The application of the same mortality improvement factors to each state implies that present differences between state and national mortality will be predominantly maintained into the future. Although the national age</w:t>
      </w:r>
      <w:r w:rsidR="00B4298B">
        <w:t>-</w:t>
      </w:r>
      <w:r w:rsidRPr="00B4298B">
        <w:t>specific mortality improvements may not be exactly representative of age</w:t>
      </w:r>
      <w:r w:rsidR="00B4298B">
        <w:t>-</w:t>
      </w:r>
      <w:r w:rsidRPr="00B4298B">
        <w:t>specific state improvements, they provide a good approximation of them over the short and medium term.</w:t>
      </w:r>
    </w:p>
    <w:p w14:paraId="4F40132A" w14:textId="3C72F56A" w:rsidR="00027AC6" w:rsidRPr="00485E58" w:rsidRDefault="00027AC6" w:rsidP="0039767A">
      <w:pPr>
        <w:rPr>
          <w:rFonts w:cstheme="minorHAnsi"/>
        </w:rPr>
      </w:pPr>
      <w:r w:rsidRPr="00B4298B">
        <w:rPr>
          <w:rFonts w:cstheme="minorHAnsi"/>
        </w:rPr>
        <w:t>The Australian Government Actuary’s projections of mortality rates have been adjusted in 2021–22 and 2022</w:t>
      </w:r>
      <w:r w:rsidR="00B4298B">
        <w:rPr>
          <w:rFonts w:cstheme="minorHAnsi"/>
        </w:rPr>
        <w:sym w:font="Symbol" w:char="F02D"/>
      </w:r>
      <w:r w:rsidRPr="00B4298B">
        <w:rPr>
          <w:rFonts w:cstheme="minorHAnsi"/>
        </w:rPr>
        <w:t>23 to account for an observed increase in deaths in the first part of 2022. The projections assume that the increase in mortality for those aged 60 years and over will persist until 2022–23. However, the long</w:t>
      </w:r>
      <w:r w:rsidR="00B4298B">
        <w:rPr>
          <w:rFonts w:cstheme="minorHAnsi"/>
        </w:rPr>
        <w:t>-</w:t>
      </w:r>
      <w:r w:rsidRPr="00B4298B">
        <w:rPr>
          <w:rFonts w:cstheme="minorHAnsi"/>
        </w:rPr>
        <w:t>term impacts of COVID</w:t>
      </w:r>
      <w:r w:rsidR="009B78C6" w:rsidRPr="00B4298B">
        <w:rPr>
          <w:rFonts w:cstheme="minorHAnsi"/>
        </w:rPr>
        <w:t>-</w:t>
      </w:r>
      <w:r w:rsidRPr="00B4298B">
        <w:rPr>
          <w:rFonts w:cstheme="minorHAnsi"/>
        </w:rPr>
        <w:t>19 on mortality are highly uncertain. The degree to which ‘long</w:t>
      </w:r>
      <w:r w:rsidR="00B4298B">
        <w:rPr>
          <w:rFonts w:cstheme="minorHAnsi"/>
        </w:rPr>
        <w:t>-</w:t>
      </w:r>
      <w:r w:rsidRPr="00B4298B">
        <w:rPr>
          <w:rFonts w:cstheme="minorHAnsi"/>
        </w:rPr>
        <w:t>COVID’, ongoing mutations of the virus, and public health responses affect future mortality is unknown, which is a material uncertainty for future projections.</w:t>
      </w:r>
    </w:p>
    <w:p w14:paraId="3BD12AD4" w14:textId="2777CC1A" w:rsidR="00AF4508" w:rsidRDefault="007E71DC" w:rsidP="00870349">
      <w:pPr>
        <w:pStyle w:val="Heading3Numbered"/>
        <w:numPr>
          <w:ilvl w:val="0"/>
          <w:numId w:val="0"/>
        </w:numPr>
      </w:pPr>
      <w:bookmarkStart w:id="204" w:name="_Toc122618392"/>
      <w:r>
        <w:t>3</w:t>
      </w:r>
      <w:r w:rsidR="00AF4508">
        <w:t>.1.3</w:t>
      </w:r>
      <w:r w:rsidR="00AF4508">
        <w:tab/>
      </w:r>
      <w:r w:rsidR="001F08CF">
        <w:t>Net internal migration</w:t>
      </w:r>
      <w:bookmarkEnd w:id="203"/>
      <w:bookmarkEnd w:id="204"/>
    </w:p>
    <w:p w14:paraId="02A1B272" w14:textId="152080BE" w:rsidR="008F25BB" w:rsidRPr="00485E58" w:rsidRDefault="008F25BB" w:rsidP="008F25BB">
      <w:r w:rsidRPr="00485E58">
        <w:t xml:space="preserve">The </w:t>
      </w:r>
      <w:r w:rsidR="00DC0877">
        <w:t>Centre for Population</w:t>
      </w:r>
      <w:r w:rsidRPr="00485E58">
        <w:t xml:space="preserve"> constructs internal migration rates by single year of age and sex</w:t>
      </w:r>
      <w:r w:rsidR="00B16B1D">
        <w:t>,</w:t>
      </w:r>
      <w:r w:rsidRPr="00485E58">
        <w:t xml:space="preserve"> and for arrivals and departures </w:t>
      </w:r>
      <w:r w:rsidR="006A732A">
        <w:t>(</w:t>
      </w:r>
      <w:r w:rsidR="003A5E26">
        <w:t xml:space="preserve">when </w:t>
      </w:r>
      <w:r w:rsidR="00036C77">
        <w:t xml:space="preserve">age groups are </w:t>
      </w:r>
      <w:r w:rsidR="003A5E26">
        <w:t>aggregated into summary measure</w:t>
      </w:r>
      <w:r w:rsidR="006A732A">
        <w:t>s</w:t>
      </w:r>
      <w:r w:rsidR="003A5E26">
        <w:t xml:space="preserve"> </w:t>
      </w:r>
      <w:r w:rsidR="006A732A">
        <w:t xml:space="preserve">they </w:t>
      </w:r>
      <w:r w:rsidR="00036C77">
        <w:t>are</w:t>
      </w:r>
      <w:r w:rsidR="003A5E26">
        <w:t xml:space="preserve"> </w:t>
      </w:r>
      <w:r w:rsidRPr="00485E58">
        <w:t xml:space="preserve">called ‘gross </w:t>
      </w:r>
      <w:proofErr w:type="spellStart"/>
      <w:r w:rsidRPr="00485E58">
        <w:t>migraproduction</w:t>
      </w:r>
      <w:proofErr w:type="spellEnd"/>
      <w:r w:rsidRPr="00485E58">
        <w:t xml:space="preserve"> rate</w:t>
      </w:r>
      <w:r w:rsidR="00036C77">
        <w:t>s</w:t>
      </w:r>
      <w:r w:rsidRPr="00485E58">
        <w:t>’</w:t>
      </w:r>
      <w:r w:rsidR="006A732A">
        <w:t>)</w:t>
      </w:r>
      <w:r w:rsidR="00DC0877">
        <w:t>,</w:t>
      </w:r>
      <w:r w:rsidR="00C3334D">
        <w:rPr>
          <w:rStyle w:val="FootnoteReference"/>
        </w:rPr>
        <w:footnoteReference w:id="41"/>
      </w:r>
      <w:r w:rsidRPr="00485E58">
        <w:t xml:space="preserve"> </w:t>
      </w:r>
      <w:r w:rsidR="00DC0877">
        <w:t xml:space="preserve">using </w:t>
      </w:r>
      <w:r w:rsidRPr="00485E58">
        <w:t>a model migration schedule</w:t>
      </w:r>
      <w:r w:rsidR="003A5E26">
        <w:t>, published by Dr Tom Wilson</w:t>
      </w:r>
      <w:r w:rsidR="00897FFB">
        <w:t>,</w:t>
      </w:r>
      <w:r w:rsidR="003A5E26">
        <w:rPr>
          <w:rStyle w:val="FootnoteReference"/>
        </w:rPr>
        <w:footnoteReference w:id="42"/>
      </w:r>
      <w:r w:rsidRPr="00485E58">
        <w:t xml:space="preserve"> to </w:t>
      </w:r>
      <w:r w:rsidR="00CE0768">
        <w:t xml:space="preserve">create </w:t>
      </w:r>
      <w:r w:rsidRPr="00485E58">
        <w:t>smooth age and sex migration profiles</w:t>
      </w:r>
      <w:r w:rsidR="00064068">
        <w:t>.</w:t>
      </w:r>
      <w:r w:rsidRPr="00485E58">
        <w:t xml:space="preserve"> </w:t>
      </w:r>
      <w:r w:rsidR="00064068">
        <w:t xml:space="preserve">The smoothed profiles are scaled to the assumed gross </w:t>
      </w:r>
      <w:proofErr w:type="spellStart"/>
      <w:r w:rsidR="00064068">
        <w:t>migraproduction</w:t>
      </w:r>
      <w:proofErr w:type="spellEnd"/>
      <w:r w:rsidR="00064068">
        <w:t xml:space="preserve"> rates for </w:t>
      </w:r>
      <w:r w:rsidR="003A5E26">
        <w:t>arrival</w:t>
      </w:r>
      <w:r w:rsidR="00CE0768">
        <w:t>s</w:t>
      </w:r>
      <w:r w:rsidR="003A5E26">
        <w:t xml:space="preserve"> and departure</w:t>
      </w:r>
      <w:r w:rsidR="008A5BB9">
        <w:t>s</w:t>
      </w:r>
      <w:r w:rsidR="003A5E26" w:rsidRPr="00485E58">
        <w:t xml:space="preserve"> </w:t>
      </w:r>
      <w:r w:rsidRPr="00485E58">
        <w:t>for each geography.</w:t>
      </w:r>
      <w:r w:rsidR="006826E3">
        <w:t xml:space="preserve"> </w:t>
      </w:r>
      <w:r w:rsidR="003A5E26">
        <w:t xml:space="preserve">These </w:t>
      </w:r>
      <w:r w:rsidR="00CE0768">
        <w:t xml:space="preserve">rates </w:t>
      </w:r>
      <w:r w:rsidR="008A5BB9">
        <w:t xml:space="preserve">are used to produce </w:t>
      </w:r>
      <w:r w:rsidR="003A5E26">
        <w:t xml:space="preserve">flows </w:t>
      </w:r>
      <w:r w:rsidR="008A5BB9">
        <w:t>of arrivals and departure</w:t>
      </w:r>
      <w:r w:rsidR="005D0908">
        <w:t>s</w:t>
      </w:r>
      <w:r w:rsidR="008A5BB9">
        <w:t xml:space="preserve"> which </w:t>
      </w:r>
      <w:r w:rsidR="003A5E26">
        <w:t xml:space="preserve">are then combined to </w:t>
      </w:r>
      <w:r w:rsidR="006A732A">
        <w:t>produce</w:t>
      </w:r>
      <w:r w:rsidR="009A2512">
        <w:t xml:space="preserve"> net internal migration.</w:t>
      </w:r>
      <w:r w:rsidR="006826E3">
        <w:rPr>
          <w:rStyle w:val="CommentReference"/>
        </w:rPr>
        <w:t xml:space="preserve"> </w:t>
      </w:r>
      <w:r w:rsidR="006826E3">
        <w:t>S</w:t>
      </w:r>
      <w:r w:rsidRPr="00485E58">
        <w:t xml:space="preserve">ee the 2021 Population Statement </w:t>
      </w:r>
      <w:r w:rsidR="002A2C56">
        <w:t>T</w:t>
      </w:r>
      <w:r w:rsidRPr="00485E58">
        <w:t xml:space="preserve">echnical </w:t>
      </w:r>
      <w:r w:rsidR="002A2C56">
        <w:t>A</w:t>
      </w:r>
      <w:r w:rsidRPr="00485E58">
        <w:t>ppendix</w:t>
      </w:r>
      <w:r w:rsidR="006826E3">
        <w:t xml:space="preserve"> for further details</w:t>
      </w:r>
      <w:r w:rsidRPr="00485E58">
        <w:t>.</w:t>
      </w:r>
    </w:p>
    <w:p w14:paraId="104779A3" w14:textId="4F7B0314" w:rsidR="008F25BB" w:rsidRDefault="008F25BB" w:rsidP="008F25BB">
      <w:pPr>
        <w:rPr>
          <w:bCs/>
        </w:rPr>
      </w:pPr>
      <w:r w:rsidRPr="00485E58">
        <w:t xml:space="preserve">Revisions </w:t>
      </w:r>
      <w:r w:rsidR="007C1252">
        <w:t>to</w:t>
      </w:r>
      <w:r w:rsidR="003E77FD">
        <w:t xml:space="preserve"> </w:t>
      </w:r>
      <w:r w:rsidRPr="00485E58">
        <w:t>the estimated resident population from the 2021 Census have been incorporated by attributing</w:t>
      </w:r>
      <w:r w:rsidRPr="00485E58">
        <w:rPr>
          <w:b/>
          <w:bCs/>
        </w:rPr>
        <w:t xml:space="preserve"> </w:t>
      </w:r>
      <w:r w:rsidR="008864BA">
        <w:t xml:space="preserve">a proportion of the </w:t>
      </w:r>
      <w:r w:rsidR="008864BA">
        <w:rPr>
          <w:bCs/>
        </w:rPr>
        <w:t>intercensal difference to internal migration.</w:t>
      </w:r>
      <w:r w:rsidR="00CA7B31">
        <w:rPr>
          <w:bCs/>
        </w:rPr>
        <w:t xml:space="preserve"> </w:t>
      </w:r>
      <w:r w:rsidRPr="00485E58">
        <w:rPr>
          <w:bCs/>
        </w:rPr>
        <w:t xml:space="preserve">This </w:t>
      </w:r>
      <w:r w:rsidR="00CA7B31">
        <w:rPr>
          <w:bCs/>
        </w:rPr>
        <w:t xml:space="preserve">has </w:t>
      </w:r>
      <w:r w:rsidR="008864BA">
        <w:t>resulted in changes to</w:t>
      </w:r>
      <w:r w:rsidR="00FB57F1" w:rsidRPr="00485E58">
        <w:t xml:space="preserve"> </w:t>
      </w:r>
      <w:r w:rsidRPr="00485E58">
        <w:rPr>
          <w:bCs/>
        </w:rPr>
        <w:t>the historical long</w:t>
      </w:r>
      <w:r w:rsidR="004842BC">
        <w:t>-</w:t>
      </w:r>
      <w:r w:rsidRPr="00485E58">
        <w:rPr>
          <w:bCs/>
        </w:rPr>
        <w:t>run average</w:t>
      </w:r>
      <w:r w:rsidR="008864BA">
        <w:rPr>
          <w:bCs/>
        </w:rPr>
        <w:t xml:space="preserve"> for each jurisdiction</w:t>
      </w:r>
      <w:r w:rsidR="007C1252">
        <w:rPr>
          <w:bCs/>
        </w:rPr>
        <w:t xml:space="preserve"> (see Section 3.2.3 below)</w:t>
      </w:r>
      <w:r w:rsidR="008864BA">
        <w:rPr>
          <w:bCs/>
        </w:rPr>
        <w:t>.</w:t>
      </w:r>
      <w:r w:rsidRPr="00485E58">
        <w:t xml:space="preserve"> </w:t>
      </w:r>
      <w:r w:rsidR="00E85A56">
        <w:t>T</w:t>
      </w:r>
      <w:r w:rsidR="00E85A56" w:rsidRPr="00485E58">
        <w:t>he calculation of the long</w:t>
      </w:r>
      <w:r w:rsidR="004842BC">
        <w:t>-</w:t>
      </w:r>
      <w:r w:rsidR="00E85A56" w:rsidRPr="00485E58">
        <w:t xml:space="preserve">run average </w:t>
      </w:r>
      <w:r w:rsidR="00E85A56">
        <w:t>excludes</w:t>
      </w:r>
      <w:r w:rsidRPr="00485E58">
        <w:rPr>
          <w:bCs/>
        </w:rPr>
        <w:t xml:space="preserve"> 2019</w:t>
      </w:r>
      <w:r w:rsidR="0033101B">
        <w:rPr>
          <w:bCs/>
        </w:rPr>
        <w:t>–</w:t>
      </w:r>
      <w:r w:rsidRPr="00485E58">
        <w:rPr>
          <w:bCs/>
        </w:rPr>
        <w:t>20 and 2020</w:t>
      </w:r>
      <w:r w:rsidR="0033101B">
        <w:rPr>
          <w:bCs/>
        </w:rPr>
        <w:t>–</w:t>
      </w:r>
      <w:r w:rsidRPr="00485E58">
        <w:rPr>
          <w:bCs/>
        </w:rPr>
        <w:t xml:space="preserve">21 due to the unique impact the pandemic has had on </w:t>
      </w:r>
      <w:r w:rsidR="008864BA">
        <w:rPr>
          <w:bCs/>
        </w:rPr>
        <w:t>internal migration</w:t>
      </w:r>
      <w:r w:rsidR="00E85A56" w:rsidRPr="00485E58">
        <w:t xml:space="preserve"> </w:t>
      </w:r>
      <w:r w:rsidRPr="00485E58">
        <w:rPr>
          <w:bCs/>
        </w:rPr>
        <w:t xml:space="preserve">during </w:t>
      </w:r>
      <w:r w:rsidR="00E85A56">
        <w:t>that period</w:t>
      </w:r>
      <w:r w:rsidRPr="00485E58">
        <w:rPr>
          <w:bCs/>
        </w:rPr>
        <w:t>.</w:t>
      </w:r>
    </w:p>
    <w:p w14:paraId="15DA5087" w14:textId="77777777" w:rsidR="00D972E8" w:rsidRPr="00152209" w:rsidRDefault="00D972E8" w:rsidP="00152209">
      <w:pPr>
        <w:pStyle w:val="Heading4"/>
      </w:pPr>
      <w:r w:rsidRPr="00152209">
        <w:t xml:space="preserve">Medicare address information </w:t>
      </w:r>
    </w:p>
    <w:p w14:paraId="734FF6F3" w14:textId="31616FA2" w:rsidR="00D972E8" w:rsidRDefault="00D972E8" w:rsidP="00D972E8">
      <w:r>
        <w:t>The Australian Bureau of Statistics uses Medicare address information to form estimates of internal migration, as it has the most complete scope and coverage of all available administrative data sources</w:t>
      </w:r>
      <w:r w:rsidR="004842BC">
        <w:t>.</w:t>
      </w:r>
      <w:r w:rsidR="004842BC">
        <w:rPr>
          <w:rStyle w:val="FootnoteReference"/>
        </w:rPr>
        <w:footnoteReference w:id="43"/>
      </w:r>
      <w:r>
        <w:t xml:space="preserve"> However, limitations of this Medicare data include:</w:t>
      </w:r>
    </w:p>
    <w:p w14:paraId="5DC1B30C" w14:textId="77777777" w:rsidR="00D972E8" w:rsidRPr="0007163C" w:rsidRDefault="00D972E8" w:rsidP="0007163C">
      <w:pPr>
        <w:pStyle w:val="bulletv2"/>
      </w:pPr>
      <w:r w:rsidRPr="0007163C">
        <w:t>underestimating total moves due to individuals not updating their Medicare details when they move, especially young adults,</w:t>
      </w:r>
    </w:p>
    <w:p w14:paraId="6AFECD6A" w14:textId="77777777" w:rsidR="00D972E8" w:rsidRPr="0007163C" w:rsidRDefault="00D972E8" w:rsidP="0007163C">
      <w:pPr>
        <w:pStyle w:val="bulletv2"/>
      </w:pPr>
      <w:r w:rsidRPr="0007163C">
        <w:lastRenderedPageBreak/>
        <w:t>incomplete population coverage, as there are people counted in the estimated resident population who may not be fully captured by Medicare (for example temporary migrants or Defence force personnel who do not frequently interact with Medicare), and</w:t>
      </w:r>
    </w:p>
    <w:p w14:paraId="4C1B5797" w14:textId="6919E1DF" w:rsidR="00D972E8" w:rsidRPr="0007163C" w:rsidRDefault="00D972E8" w:rsidP="0007163C">
      <w:pPr>
        <w:pStyle w:val="bulletv2"/>
      </w:pPr>
      <w:r w:rsidRPr="0007163C">
        <w:t>the observed change of address in the data does not always align with when the move occurred, creating a lag between occurrence and observation.</w:t>
      </w:r>
    </w:p>
    <w:p w14:paraId="13AE2CCA" w14:textId="4263C1B7" w:rsidR="00D972E8" w:rsidRDefault="00D972E8" w:rsidP="00D972E8">
      <w:r>
        <w:t>T</w:t>
      </w:r>
      <w:r w:rsidRPr="00AF012A">
        <w:t xml:space="preserve">he </w:t>
      </w:r>
      <w:r>
        <w:t xml:space="preserve">Australian Bureau of Statistics applies a range of treatments to the data to account for these limitations. They calculate and apply </w:t>
      </w:r>
      <w:r w:rsidRPr="00AF012A">
        <w:t xml:space="preserve">expansion factors to account </w:t>
      </w:r>
      <w:r>
        <w:t>for</w:t>
      </w:r>
      <w:r w:rsidRPr="00AF012A">
        <w:t xml:space="preserve"> the inherent underestimat</w:t>
      </w:r>
      <w:r w:rsidR="004709A2">
        <w:t>ion</w:t>
      </w:r>
      <w:r w:rsidRPr="00AF012A">
        <w:t xml:space="preserve"> and calibrate the data to the interstate migration levels and patterns seen every </w:t>
      </w:r>
      <w:r>
        <w:t>5</w:t>
      </w:r>
      <w:r w:rsidRPr="00AF012A">
        <w:t xml:space="preserve"> years in </w:t>
      </w:r>
      <w:r>
        <w:t>the</w:t>
      </w:r>
      <w:r w:rsidRPr="00AF012A">
        <w:t xml:space="preserve"> Census. These factors are applied by age, sex, state and move type (arrival or departure)</w:t>
      </w:r>
      <w:r>
        <w:t xml:space="preserve">. The Australian Bureau of Statistics accounts for the delay between occurrence of the move and updating Medicare addresses by assuming there is a </w:t>
      </w:r>
      <w:r w:rsidR="004A6565">
        <w:t>3-month</w:t>
      </w:r>
      <w:r>
        <w:t xml:space="preserve"> delay between move occurrence and the updating of the Medicare address.</w:t>
      </w:r>
    </w:p>
    <w:p w14:paraId="1BF8FB01" w14:textId="04D17A28" w:rsidR="00D972E8" w:rsidRPr="00EF64D2" w:rsidRDefault="00D972E8" w:rsidP="00B46EC6">
      <w:r>
        <w:t>Australian Bureau of Statistics net interstate migration</w:t>
      </w:r>
      <w:r w:rsidRPr="00295A8D">
        <w:t xml:space="preserve"> estimates for </w:t>
      </w:r>
      <w:r w:rsidR="006C643F">
        <w:t>recent</w:t>
      </w:r>
      <w:r w:rsidRPr="00295A8D">
        <w:t xml:space="preserve"> quarters show a historic spike in the number of interstate </w:t>
      </w:r>
      <w:r>
        <w:t xml:space="preserve">moves </w:t>
      </w:r>
      <w:r w:rsidR="00890BDC" w:rsidRPr="00485E58">
        <w:t>—</w:t>
      </w:r>
      <w:r w:rsidRPr="00295A8D">
        <w:t xml:space="preserve"> driven by increased changes in address data lodged with Medicare prompted by the </w:t>
      </w:r>
      <w:r>
        <w:t>COVID</w:t>
      </w:r>
      <w:r w:rsidR="00947088">
        <w:t>-</w:t>
      </w:r>
      <w:r>
        <w:t xml:space="preserve">19 </w:t>
      </w:r>
      <w:r w:rsidRPr="00295A8D">
        <w:t>vaccine rollout</w:t>
      </w:r>
      <w:r w:rsidR="00BD6680">
        <w:t xml:space="preserve"> (</w:t>
      </w:r>
      <w:r w:rsidR="002C2CC1">
        <w:t>Chart 40</w:t>
      </w:r>
      <w:r w:rsidR="00BD6680">
        <w:t>)</w:t>
      </w:r>
      <w:r w:rsidRPr="006F0310">
        <w:t>.</w:t>
      </w:r>
      <w:r w:rsidR="00D44C73">
        <w:t xml:space="preserve"> </w:t>
      </w:r>
      <w:r w:rsidRPr="00295A8D">
        <w:t>Th</w:t>
      </w:r>
      <w:r>
        <w:t xml:space="preserve">is is </w:t>
      </w:r>
      <w:r w:rsidRPr="00295A8D">
        <w:t xml:space="preserve">an improvement in the estimate of the stock of population but </w:t>
      </w:r>
      <w:r w:rsidRPr="00715D4E">
        <w:t>do</w:t>
      </w:r>
      <w:r>
        <w:t>es</w:t>
      </w:r>
      <w:r w:rsidRPr="00715D4E">
        <w:t xml:space="preserve"> not accurately reflect the occurrence of internal movements during 2021</w:t>
      </w:r>
      <w:r w:rsidRPr="00295A8D">
        <w:t>.</w:t>
      </w:r>
      <w:r w:rsidR="00D44C73">
        <w:t xml:space="preserve"> </w:t>
      </w:r>
      <w:r w:rsidRPr="006F0310">
        <w:t xml:space="preserve">The </w:t>
      </w:r>
      <w:r>
        <w:t xml:space="preserve">Australian Bureau of Statistics </w:t>
      </w:r>
      <w:r w:rsidRPr="006F0310">
        <w:t xml:space="preserve">has </w:t>
      </w:r>
      <w:r>
        <w:t>noted that a</w:t>
      </w:r>
      <w:r w:rsidRPr="006F0310">
        <w:t xml:space="preserve">lmost all states and territories recorded </w:t>
      </w:r>
      <w:r>
        <w:t>implausibly high</w:t>
      </w:r>
      <w:r w:rsidRPr="006F0310">
        <w:t xml:space="preserve"> levels of arrivals </w:t>
      </w:r>
      <w:r w:rsidRPr="00EF64D2">
        <w:t>and departures at the end of 2021</w:t>
      </w:r>
      <w:r w:rsidR="007C1252">
        <w:t xml:space="preserve"> and early in 2022</w:t>
      </w:r>
      <w:r w:rsidRPr="00EF64D2">
        <w:t>.</w:t>
      </w:r>
      <w:r w:rsidRPr="00EF64D2">
        <w:rPr>
          <w:rStyle w:val="FootnoteReference"/>
          <w:bCs/>
        </w:rPr>
        <w:footnoteReference w:id="44"/>
      </w:r>
    </w:p>
    <w:p w14:paraId="4C14C5D5" w14:textId="7E8E1ABD" w:rsidR="00BD5FCA" w:rsidRPr="00EF64D2" w:rsidRDefault="00D447AC" w:rsidP="00AA74B9">
      <w:pPr>
        <w:pStyle w:val="Heading9"/>
      </w:pPr>
      <w:bookmarkStart w:id="205" w:name="_Ref117697843"/>
      <w:r>
        <w:t>Annual i</w:t>
      </w:r>
      <w:r w:rsidR="00BD5FCA" w:rsidRPr="00EF64D2">
        <w:t>nterstate move</w:t>
      </w:r>
      <w:bookmarkEnd w:id="205"/>
      <w:r w:rsidR="00E11FF0">
        <w:t>ments</w:t>
      </w:r>
      <w:r>
        <w:t>, Australia</w:t>
      </w:r>
    </w:p>
    <w:p w14:paraId="53F6602F" w14:textId="7F81B9C5" w:rsidR="00BD5FCA" w:rsidRPr="00EF64D2" w:rsidRDefault="002E1A68" w:rsidP="001A3279">
      <w:pPr>
        <w:spacing w:before="0" w:after="0"/>
        <w:jc w:val="center"/>
      </w:pPr>
      <w:r w:rsidRPr="002E1A68">
        <w:rPr>
          <w:noProof/>
        </w:rPr>
        <w:drawing>
          <wp:inline distT="0" distB="0" distL="0" distR="0" wp14:anchorId="03455015" wp14:editId="2B82FFB9">
            <wp:extent cx="5581650" cy="2524125"/>
            <wp:effectExtent l="0" t="0" r="0" b="0"/>
            <wp:docPr id="104" name="Picture 104" descr="A chart showing the number of Medicare address changes registered for each quarter in the past decade. The number of changes in 2021, when the COVID-19 vaccination program took place, are very high compared to historical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hart showing the number of Medicare address changes registered for each quarter in the past decade. The number of changes in 2021, when the COVID-19 vaccination program took place, are very high compared to historical level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579D2AF0" w14:textId="73AB40F3" w:rsidR="00A00262" w:rsidRDefault="00A00262" w:rsidP="00A00262">
      <w:pPr>
        <w:pStyle w:val="Source"/>
        <w:spacing w:before="0" w:after="0"/>
      </w:pPr>
      <w:r>
        <w:t xml:space="preserve">Note: </w:t>
      </w:r>
      <w:r w:rsidRPr="00655C43">
        <w:t>Quarterly data presented on a year</w:t>
      </w:r>
      <w:r>
        <w:t>-</w:t>
      </w:r>
      <w:r w:rsidRPr="00655C43">
        <w:t>ending basis.</w:t>
      </w:r>
    </w:p>
    <w:p w14:paraId="2DD4C2D1" w14:textId="62784549" w:rsidR="00BD5FCA" w:rsidRPr="001A3782" w:rsidRDefault="00BD5FCA" w:rsidP="00A00262">
      <w:pPr>
        <w:pStyle w:val="Source"/>
        <w:spacing w:before="0" w:after="0"/>
      </w:pPr>
      <w:r w:rsidRPr="00EF64D2">
        <w:t xml:space="preserve">Source: </w:t>
      </w:r>
      <w:r w:rsidR="00712F0D" w:rsidRPr="00EF64D2">
        <w:rPr>
          <w:noProof/>
        </w:rPr>
        <w:t>Australian Bureau of Statistics, National, state and territory population, March 2022, 2022</w:t>
      </w:r>
      <w:r w:rsidRPr="00EF64D2">
        <w:t>.</w:t>
      </w:r>
      <w:r w:rsidR="00EC7182" w:rsidRPr="00EF64D2" w:rsidDel="00EC7182">
        <w:t xml:space="preserve"> </w:t>
      </w:r>
    </w:p>
    <w:tbl>
      <w:tblPr>
        <w:tblStyle w:val="TableGrid"/>
        <w:tblW w:w="0" w:type="auto"/>
        <w:tblLook w:val="04A0" w:firstRow="1" w:lastRow="0" w:firstColumn="1" w:lastColumn="0" w:noHBand="0" w:noVBand="1"/>
      </w:tblPr>
      <w:tblGrid>
        <w:gridCol w:w="9070"/>
      </w:tblGrid>
      <w:tr w:rsidR="000F119B" w14:paraId="50E0A0A4" w14:textId="77777777" w:rsidTr="00676947">
        <w:tc>
          <w:tcPr>
            <w:tcW w:w="9072" w:type="dxa"/>
          </w:tcPr>
          <w:p w14:paraId="7600F015" w14:textId="77777777" w:rsidR="000F119B" w:rsidRDefault="000F119B" w:rsidP="0007163C">
            <w:pPr>
              <w:pStyle w:val="BoxHeading"/>
            </w:pPr>
            <w:bookmarkStart w:id="206" w:name="_Ref116918795"/>
            <w:r>
              <w:lastRenderedPageBreak/>
              <w:t xml:space="preserve">Data </w:t>
            </w:r>
            <w:r w:rsidRPr="0007163C">
              <w:t>availability</w:t>
            </w:r>
            <w:bookmarkEnd w:id="206"/>
          </w:p>
          <w:p w14:paraId="1D07444D" w14:textId="4D357D67" w:rsidR="000F119B" w:rsidRDefault="000F119B" w:rsidP="0007163C">
            <w:pPr>
              <w:pStyle w:val="BoxText"/>
            </w:pPr>
            <w:r>
              <w:t xml:space="preserve">In producing the Statement, the Centre for Population has used the most recent data available to analyse the changes in Australia’s population. Some data released during the preparation of the Statement were not able to be </w:t>
            </w:r>
            <w:proofErr w:type="gramStart"/>
            <w:r>
              <w:t xml:space="preserve">taken into </w:t>
            </w:r>
            <w:r w:rsidRPr="0007163C">
              <w:t>account</w:t>
            </w:r>
            <w:proofErr w:type="gramEnd"/>
            <w:r>
              <w:t xml:space="preserve">. </w:t>
            </w:r>
          </w:p>
          <w:p w14:paraId="3AD3FC63" w14:textId="77777777" w:rsidR="000F119B" w:rsidRDefault="000F119B" w:rsidP="005540BC">
            <w:pPr>
              <w:pStyle w:val="TableMainHeading"/>
            </w:pPr>
            <w:r w:rsidRPr="00EC483F">
              <w:t>Australian</w:t>
            </w:r>
            <w:r>
              <w:t xml:space="preserve"> Bureau of Statistics data sources used in the 2022 Population Statement</w:t>
            </w:r>
          </w:p>
          <w:tbl>
            <w:tblPr>
              <w:tblStyle w:val="TableGrid"/>
              <w:tblW w:w="0" w:type="auto"/>
              <w:tblLook w:val="04A0" w:firstRow="1" w:lastRow="0" w:firstColumn="1" w:lastColumn="0" w:noHBand="0" w:noVBand="1"/>
              <w:tblCaption w:val="Table"/>
            </w:tblPr>
            <w:tblGrid>
              <w:gridCol w:w="2951"/>
              <w:gridCol w:w="2952"/>
              <w:gridCol w:w="2951"/>
            </w:tblGrid>
            <w:tr w:rsidR="00A35173" w14:paraId="651F6654" w14:textId="77777777" w:rsidTr="001E4102">
              <w:tc>
                <w:tcPr>
                  <w:tcW w:w="2952" w:type="dxa"/>
                  <w:tcBorders>
                    <w:top w:val="single" w:sz="4" w:space="0" w:color="auto"/>
                    <w:bottom w:val="single" w:sz="4" w:space="0" w:color="auto"/>
                  </w:tcBorders>
                </w:tcPr>
                <w:p w14:paraId="71864791" w14:textId="3D31FC18" w:rsidR="00A35173" w:rsidRPr="005C264F" w:rsidRDefault="00A35173" w:rsidP="005C264F">
                  <w:pPr>
                    <w:pStyle w:val="TableColumnHeadingCentred"/>
                  </w:pPr>
                  <w:r w:rsidRPr="005C264F">
                    <w:t>R</w:t>
                  </w:r>
                  <w:r w:rsidR="000C46CC" w:rsidRPr="005C264F">
                    <w:t>ELEASE</w:t>
                  </w:r>
                </w:p>
              </w:tc>
              <w:tc>
                <w:tcPr>
                  <w:tcW w:w="2952" w:type="dxa"/>
                  <w:tcBorders>
                    <w:top w:val="single" w:sz="4" w:space="0" w:color="auto"/>
                    <w:bottom w:val="single" w:sz="4" w:space="0" w:color="auto"/>
                  </w:tcBorders>
                </w:tcPr>
                <w:p w14:paraId="47746B34" w14:textId="41A0F8CA" w:rsidR="00A35173" w:rsidRPr="005C264F" w:rsidRDefault="00A35173" w:rsidP="005C264F">
                  <w:pPr>
                    <w:pStyle w:val="TableColumnHeadingCentred"/>
                  </w:pPr>
                  <w:r w:rsidRPr="005C264F">
                    <w:t>L</w:t>
                  </w:r>
                  <w:r w:rsidR="000C46CC" w:rsidRPr="005C264F">
                    <w:t>ATEST RELEASE</w:t>
                  </w:r>
                </w:p>
              </w:tc>
              <w:tc>
                <w:tcPr>
                  <w:tcW w:w="2952" w:type="dxa"/>
                  <w:tcBorders>
                    <w:top w:val="single" w:sz="4" w:space="0" w:color="auto"/>
                    <w:bottom w:val="single" w:sz="4" w:space="0" w:color="auto"/>
                  </w:tcBorders>
                </w:tcPr>
                <w:p w14:paraId="58418886" w14:textId="57752F94" w:rsidR="00A35173" w:rsidRPr="005C264F" w:rsidRDefault="00A35173" w:rsidP="005C264F">
                  <w:pPr>
                    <w:pStyle w:val="TableColumnHeadingCentred"/>
                  </w:pPr>
                  <w:r w:rsidRPr="005C264F">
                    <w:t>N</w:t>
                  </w:r>
                  <w:r w:rsidR="000C46CC" w:rsidRPr="005C264F">
                    <w:t>EXT RELEASE</w:t>
                  </w:r>
                </w:p>
              </w:tc>
            </w:tr>
            <w:tr w:rsidR="000F119B" w14:paraId="4B773518" w14:textId="77777777" w:rsidTr="001E4102">
              <w:tc>
                <w:tcPr>
                  <w:tcW w:w="2952" w:type="dxa"/>
                  <w:tcBorders>
                    <w:top w:val="single" w:sz="4" w:space="0" w:color="auto"/>
                  </w:tcBorders>
                </w:tcPr>
                <w:p w14:paraId="00A582B4" w14:textId="77777777" w:rsidR="000F119B" w:rsidRPr="005C264F" w:rsidRDefault="000F119B" w:rsidP="005C264F">
                  <w:pPr>
                    <w:pStyle w:val="TableTextLeft"/>
                  </w:pPr>
                  <w:r w:rsidRPr="005C264F">
                    <w:t>National, state and territory population (quarterly)</w:t>
                  </w:r>
                </w:p>
              </w:tc>
              <w:tc>
                <w:tcPr>
                  <w:tcW w:w="2952" w:type="dxa"/>
                  <w:tcBorders>
                    <w:top w:val="single" w:sz="4" w:space="0" w:color="auto"/>
                  </w:tcBorders>
                </w:tcPr>
                <w:p w14:paraId="30E66509" w14:textId="77777777" w:rsidR="00A35173" w:rsidRPr="005C264F" w:rsidRDefault="00A35173" w:rsidP="005C264F">
                  <w:pPr>
                    <w:pStyle w:val="TableTextLeft"/>
                  </w:pPr>
                  <w:r w:rsidRPr="005C264F">
                    <w:t xml:space="preserve">March 2022, </w:t>
                  </w:r>
                </w:p>
                <w:p w14:paraId="0EE6EEFC" w14:textId="11BED0B5" w:rsidR="000F119B" w:rsidRPr="005C264F" w:rsidRDefault="00A35173" w:rsidP="005C264F">
                  <w:pPr>
                    <w:pStyle w:val="TableTextLeft"/>
                  </w:pPr>
                  <w:r w:rsidRPr="005C264F">
                    <w:t>release date 21 September 2022</w:t>
                  </w:r>
                </w:p>
              </w:tc>
              <w:tc>
                <w:tcPr>
                  <w:tcW w:w="2952" w:type="dxa"/>
                  <w:tcBorders>
                    <w:top w:val="single" w:sz="4" w:space="0" w:color="auto"/>
                  </w:tcBorders>
                </w:tcPr>
                <w:p w14:paraId="4C6B029A" w14:textId="77777777" w:rsidR="000F119B" w:rsidRPr="005C264F" w:rsidRDefault="000F119B" w:rsidP="005C264F">
                  <w:pPr>
                    <w:pStyle w:val="TableTextLeft"/>
                  </w:pPr>
                  <w:r w:rsidRPr="005C264F">
                    <w:t xml:space="preserve">June 2022, </w:t>
                  </w:r>
                </w:p>
                <w:p w14:paraId="404FAB9B" w14:textId="77777777" w:rsidR="000F119B" w:rsidRPr="005C264F" w:rsidRDefault="000F119B" w:rsidP="005C264F">
                  <w:pPr>
                    <w:pStyle w:val="TableTextLeft"/>
                  </w:pPr>
                  <w:r w:rsidRPr="005C264F">
                    <w:t>release date 15 December 2022</w:t>
                  </w:r>
                </w:p>
              </w:tc>
            </w:tr>
            <w:tr w:rsidR="000F119B" w14:paraId="087D02C1" w14:textId="77777777" w:rsidTr="00676947">
              <w:tc>
                <w:tcPr>
                  <w:tcW w:w="2952" w:type="dxa"/>
                </w:tcPr>
                <w:p w14:paraId="373CC71D" w14:textId="77777777" w:rsidR="000F119B" w:rsidRPr="005C264F" w:rsidRDefault="000F119B" w:rsidP="005C264F">
                  <w:pPr>
                    <w:pStyle w:val="TableTextLeft"/>
                  </w:pPr>
                  <w:r w:rsidRPr="005C264F">
                    <w:t>Births, Australia (calendar year)</w:t>
                  </w:r>
                </w:p>
              </w:tc>
              <w:tc>
                <w:tcPr>
                  <w:tcW w:w="2952" w:type="dxa"/>
                </w:tcPr>
                <w:p w14:paraId="31AF84DE" w14:textId="77777777" w:rsidR="000F119B" w:rsidRPr="005C264F" w:rsidRDefault="000F119B" w:rsidP="005C264F">
                  <w:pPr>
                    <w:pStyle w:val="TableTextLeft"/>
                  </w:pPr>
                  <w:r w:rsidRPr="005C264F">
                    <w:t xml:space="preserve">2021, </w:t>
                  </w:r>
                </w:p>
                <w:p w14:paraId="3589109D" w14:textId="77777777" w:rsidR="000F119B" w:rsidRPr="005C264F" w:rsidRDefault="000F119B" w:rsidP="005C264F">
                  <w:pPr>
                    <w:pStyle w:val="TableTextLeft"/>
                  </w:pPr>
                  <w:r w:rsidRPr="005C264F">
                    <w:t>release date 25 October 2022</w:t>
                  </w:r>
                </w:p>
              </w:tc>
              <w:tc>
                <w:tcPr>
                  <w:tcW w:w="2952" w:type="dxa"/>
                </w:tcPr>
                <w:p w14:paraId="664F3A50" w14:textId="77777777" w:rsidR="000F119B" w:rsidRPr="005C264F" w:rsidRDefault="000F119B" w:rsidP="005C264F">
                  <w:pPr>
                    <w:pStyle w:val="TableTextLeft"/>
                  </w:pPr>
                  <w:r w:rsidRPr="005C264F">
                    <w:t>N/A</w:t>
                  </w:r>
                </w:p>
              </w:tc>
            </w:tr>
            <w:tr w:rsidR="000F119B" w14:paraId="79DB6194" w14:textId="77777777" w:rsidTr="00676947">
              <w:tc>
                <w:tcPr>
                  <w:tcW w:w="2952" w:type="dxa"/>
                </w:tcPr>
                <w:p w14:paraId="3EDF6AF9" w14:textId="77777777" w:rsidR="000F119B" w:rsidRPr="005C264F" w:rsidRDefault="000F119B" w:rsidP="005C264F">
                  <w:pPr>
                    <w:pStyle w:val="TableTextLeft"/>
                  </w:pPr>
                  <w:r w:rsidRPr="005C264F">
                    <w:t>Deaths, Australia (calendar year)</w:t>
                  </w:r>
                </w:p>
              </w:tc>
              <w:tc>
                <w:tcPr>
                  <w:tcW w:w="2952" w:type="dxa"/>
                </w:tcPr>
                <w:p w14:paraId="1C17A987" w14:textId="77777777" w:rsidR="000F119B" w:rsidRPr="005C264F" w:rsidRDefault="000F119B" w:rsidP="005C264F">
                  <w:pPr>
                    <w:pStyle w:val="TableTextLeft"/>
                  </w:pPr>
                  <w:r w:rsidRPr="005C264F">
                    <w:t xml:space="preserve">2021, </w:t>
                  </w:r>
                </w:p>
                <w:p w14:paraId="52CF5611" w14:textId="77777777" w:rsidR="000F119B" w:rsidRPr="005C264F" w:rsidRDefault="000F119B" w:rsidP="005C264F">
                  <w:pPr>
                    <w:pStyle w:val="TableTextLeft"/>
                  </w:pPr>
                  <w:r w:rsidRPr="005C264F">
                    <w:t>release date 29 September 2022</w:t>
                  </w:r>
                </w:p>
              </w:tc>
              <w:tc>
                <w:tcPr>
                  <w:tcW w:w="2952" w:type="dxa"/>
                </w:tcPr>
                <w:p w14:paraId="7725A297" w14:textId="77777777" w:rsidR="000F119B" w:rsidRPr="005C264F" w:rsidRDefault="000F119B" w:rsidP="005C264F">
                  <w:pPr>
                    <w:pStyle w:val="TableTextLeft"/>
                  </w:pPr>
                  <w:r w:rsidRPr="005C264F">
                    <w:t>N/A</w:t>
                  </w:r>
                </w:p>
              </w:tc>
            </w:tr>
            <w:tr w:rsidR="000F119B" w14:paraId="1F809B2B" w14:textId="77777777" w:rsidTr="00676947">
              <w:tc>
                <w:tcPr>
                  <w:tcW w:w="2952" w:type="dxa"/>
                </w:tcPr>
                <w:p w14:paraId="703B6C2A" w14:textId="77777777" w:rsidR="000F119B" w:rsidRPr="005C264F" w:rsidRDefault="000F119B" w:rsidP="005C264F">
                  <w:pPr>
                    <w:pStyle w:val="TableTextLeft"/>
                  </w:pPr>
                  <w:r w:rsidRPr="005C264F">
                    <w:t>Causes of Death, Australia (calendar year)</w:t>
                  </w:r>
                </w:p>
              </w:tc>
              <w:tc>
                <w:tcPr>
                  <w:tcW w:w="2952" w:type="dxa"/>
                </w:tcPr>
                <w:p w14:paraId="32B17BC6" w14:textId="77777777" w:rsidR="000F119B" w:rsidRPr="005C264F" w:rsidRDefault="000F119B" w:rsidP="005C264F">
                  <w:pPr>
                    <w:pStyle w:val="TableTextLeft"/>
                  </w:pPr>
                  <w:r w:rsidRPr="005C264F">
                    <w:t xml:space="preserve">2021, </w:t>
                  </w:r>
                </w:p>
                <w:p w14:paraId="5DE61FCA" w14:textId="77777777" w:rsidR="000F119B" w:rsidRPr="005C264F" w:rsidRDefault="000F119B" w:rsidP="005C264F">
                  <w:pPr>
                    <w:pStyle w:val="TableTextLeft"/>
                  </w:pPr>
                  <w:r w:rsidRPr="005C264F">
                    <w:t>release date 19 October 2022</w:t>
                  </w:r>
                </w:p>
              </w:tc>
              <w:tc>
                <w:tcPr>
                  <w:tcW w:w="2952" w:type="dxa"/>
                </w:tcPr>
                <w:p w14:paraId="605E5F73" w14:textId="77777777" w:rsidR="000F119B" w:rsidRPr="005C264F" w:rsidRDefault="000F119B" w:rsidP="005C264F">
                  <w:pPr>
                    <w:pStyle w:val="TableTextLeft"/>
                  </w:pPr>
                  <w:r w:rsidRPr="005C264F">
                    <w:t>N/A</w:t>
                  </w:r>
                </w:p>
              </w:tc>
            </w:tr>
            <w:tr w:rsidR="000F119B" w14:paraId="6E762A18" w14:textId="77777777" w:rsidTr="001E4102">
              <w:tc>
                <w:tcPr>
                  <w:tcW w:w="2952" w:type="dxa"/>
                </w:tcPr>
                <w:p w14:paraId="23CD72AD" w14:textId="1501BDA8" w:rsidR="000F119B" w:rsidRPr="005C264F" w:rsidRDefault="000F119B" w:rsidP="005C264F">
                  <w:pPr>
                    <w:pStyle w:val="TableTextLeft"/>
                  </w:pPr>
                  <w:r w:rsidRPr="005C264F">
                    <w:t>Life tables (three</w:t>
                  </w:r>
                  <w:r w:rsidR="00CC1104" w:rsidRPr="005C264F">
                    <w:t>-</w:t>
                  </w:r>
                  <w:r w:rsidRPr="005C264F">
                    <w:t>yearly)</w:t>
                  </w:r>
                </w:p>
              </w:tc>
              <w:tc>
                <w:tcPr>
                  <w:tcW w:w="2952" w:type="dxa"/>
                </w:tcPr>
                <w:p w14:paraId="1BB51737" w14:textId="16614451" w:rsidR="000F119B" w:rsidRPr="005C264F" w:rsidRDefault="000F119B" w:rsidP="005C264F">
                  <w:pPr>
                    <w:pStyle w:val="TableTextLeft"/>
                  </w:pPr>
                  <w:r w:rsidRPr="005C264F">
                    <w:t>201</w:t>
                  </w:r>
                  <w:r w:rsidR="00EB0AA7" w:rsidRPr="005C264F">
                    <w:t>8</w:t>
                  </w:r>
                  <w:r w:rsidR="0033101B" w:rsidRPr="005C264F">
                    <w:t>–</w:t>
                  </w:r>
                  <w:r w:rsidRPr="005C264F">
                    <w:t>2</w:t>
                  </w:r>
                  <w:r w:rsidR="00EB0AA7" w:rsidRPr="005C264F">
                    <w:t>0</w:t>
                  </w:r>
                  <w:r w:rsidRPr="005C264F">
                    <w:t>,</w:t>
                  </w:r>
                </w:p>
                <w:p w14:paraId="0D484D95" w14:textId="420FA022" w:rsidR="000F119B" w:rsidRPr="005C264F" w:rsidRDefault="000F119B" w:rsidP="005C264F">
                  <w:pPr>
                    <w:pStyle w:val="TableTextLeft"/>
                  </w:pPr>
                  <w:r w:rsidRPr="005C264F">
                    <w:t xml:space="preserve">release date </w:t>
                  </w:r>
                  <w:r w:rsidR="00EB0AA7" w:rsidRPr="005C264F">
                    <w:t>4</w:t>
                  </w:r>
                  <w:r w:rsidRPr="005C264F">
                    <w:t> November 202</w:t>
                  </w:r>
                  <w:r w:rsidR="00EB0AA7" w:rsidRPr="005C264F">
                    <w:t>1</w:t>
                  </w:r>
                  <w:r w:rsidRPr="005C264F">
                    <w:t xml:space="preserve"> </w:t>
                  </w:r>
                </w:p>
              </w:tc>
              <w:tc>
                <w:tcPr>
                  <w:tcW w:w="2952" w:type="dxa"/>
                </w:tcPr>
                <w:p w14:paraId="723A4A81" w14:textId="6C7EFE7B" w:rsidR="000F119B" w:rsidRPr="005C264F" w:rsidRDefault="00EB0AA7" w:rsidP="005C264F">
                  <w:pPr>
                    <w:pStyle w:val="TableTextLeft"/>
                  </w:pPr>
                  <w:r w:rsidRPr="005C264F">
                    <w:t>2019-21,</w:t>
                  </w:r>
                </w:p>
                <w:p w14:paraId="29D5143D" w14:textId="06BEA7BE" w:rsidR="00EB0AA7" w:rsidRPr="005C264F" w:rsidRDefault="00EB0AA7" w:rsidP="005C264F">
                  <w:pPr>
                    <w:pStyle w:val="TableTextLeft"/>
                  </w:pPr>
                  <w:r w:rsidRPr="005C264F">
                    <w:t>Release date 8 November 2022</w:t>
                  </w:r>
                </w:p>
              </w:tc>
            </w:tr>
            <w:tr w:rsidR="000F119B" w14:paraId="7CC4E057" w14:textId="77777777" w:rsidTr="001E4102">
              <w:tc>
                <w:tcPr>
                  <w:tcW w:w="2952" w:type="dxa"/>
                  <w:tcBorders>
                    <w:bottom w:val="single" w:sz="4" w:space="0" w:color="auto"/>
                  </w:tcBorders>
                </w:tcPr>
                <w:p w14:paraId="4639D4ED" w14:textId="77777777" w:rsidR="000F119B" w:rsidRPr="005C264F" w:rsidRDefault="000F119B" w:rsidP="005C264F">
                  <w:pPr>
                    <w:pStyle w:val="TableTextLeft"/>
                  </w:pPr>
                  <w:r w:rsidRPr="005C264F">
                    <w:t>Provisional Mortality Statistics (monthly)</w:t>
                  </w:r>
                </w:p>
              </w:tc>
              <w:tc>
                <w:tcPr>
                  <w:tcW w:w="2952" w:type="dxa"/>
                  <w:tcBorders>
                    <w:bottom w:val="single" w:sz="4" w:space="0" w:color="auto"/>
                  </w:tcBorders>
                </w:tcPr>
                <w:p w14:paraId="33AA6BD4" w14:textId="4FDAFB56" w:rsidR="000F119B" w:rsidRPr="005C264F" w:rsidRDefault="00AF6756" w:rsidP="005C264F">
                  <w:pPr>
                    <w:pStyle w:val="TableTextLeft"/>
                  </w:pPr>
                  <w:r w:rsidRPr="005C264F">
                    <w:t xml:space="preserve">August </w:t>
                  </w:r>
                  <w:r w:rsidR="000F119B" w:rsidRPr="005C264F">
                    <w:t xml:space="preserve">2022, </w:t>
                  </w:r>
                </w:p>
                <w:p w14:paraId="2BF774CA" w14:textId="6AFA592D" w:rsidR="000F119B" w:rsidRPr="005C264F" w:rsidRDefault="000F119B" w:rsidP="005C264F">
                  <w:pPr>
                    <w:pStyle w:val="TableTextLeft"/>
                  </w:pPr>
                  <w:r w:rsidRPr="005C264F">
                    <w:t>release date 2</w:t>
                  </w:r>
                  <w:r w:rsidR="00AF6756" w:rsidRPr="005C264F">
                    <w:t>5</w:t>
                  </w:r>
                  <w:r w:rsidRPr="005C264F">
                    <w:t> </w:t>
                  </w:r>
                  <w:r w:rsidR="00AF6756" w:rsidRPr="005C264F">
                    <w:t>November</w:t>
                  </w:r>
                  <w:r w:rsidRPr="005C264F">
                    <w:t xml:space="preserve"> 2022</w:t>
                  </w:r>
                </w:p>
              </w:tc>
              <w:tc>
                <w:tcPr>
                  <w:tcW w:w="2952" w:type="dxa"/>
                  <w:tcBorders>
                    <w:bottom w:val="single" w:sz="4" w:space="0" w:color="auto"/>
                  </w:tcBorders>
                </w:tcPr>
                <w:p w14:paraId="102EDBF4" w14:textId="213BF847" w:rsidR="00A35173" w:rsidRPr="005C264F" w:rsidRDefault="00AF6756" w:rsidP="005C264F">
                  <w:pPr>
                    <w:pStyle w:val="TableTextLeft"/>
                  </w:pPr>
                  <w:r w:rsidRPr="005C264F">
                    <w:t>September</w:t>
                  </w:r>
                  <w:r w:rsidR="00A35173" w:rsidRPr="005C264F">
                    <w:t xml:space="preserve"> 2022, </w:t>
                  </w:r>
                </w:p>
                <w:p w14:paraId="212E000E" w14:textId="53864F40" w:rsidR="000F119B" w:rsidRPr="005C264F" w:rsidRDefault="00A35173" w:rsidP="005C264F">
                  <w:pPr>
                    <w:pStyle w:val="TableTextLeft"/>
                  </w:pPr>
                  <w:r w:rsidRPr="005C264F">
                    <w:t>release date 2</w:t>
                  </w:r>
                  <w:r w:rsidR="00AF6756" w:rsidRPr="005C264F">
                    <w:t>2</w:t>
                  </w:r>
                  <w:r w:rsidRPr="005C264F">
                    <w:t> </w:t>
                  </w:r>
                  <w:r w:rsidR="00AF6756" w:rsidRPr="005C264F">
                    <w:t>December</w:t>
                  </w:r>
                  <w:r w:rsidRPr="005C264F">
                    <w:t xml:space="preserve"> 2022</w:t>
                  </w:r>
                </w:p>
              </w:tc>
            </w:tr>
            <w:tr w:rsidR="00983413" w14:paraId="38E7730D" w14:textId="77777777" w:rsidTr="001E4102">
              <w:tc>
                <w:tcPr>
                  <w:tcW w:w="2952" w:type="dxa"/>
                  <w:tcBorders>
                    <w:top w:val="single" w:sz="4" w:space="0" w:color="auto"/>
                  </w:tcBorders>
                </w:tcPr>
                <w:p w14:paraId="7D5A3864" w14:textId="77777777" w:rsidR="00983413" w:rsidRPr="00485E58" w:rsidRDefault="00983413" w:rsidP="00676947">
                  <w:pPr>
                    <w:pStyle w:val="TableTextLeft"/>
                  </w:pPr>
                </w:p>
              </w:tc>
              <w:tc>
                <w:tcPr>
                  <w:tcW w:w="2952" w:type="dxa"/>
                  <w:tcBorders>
                    <w:top w:val="single" w:sz="4" w:space="0" w:color="auto"/>
                  </w:tcBorders>
                </w:tcPr>
                <w:p w14:paraId="09325BCD" w14:textId="77777777" w:rsidR="00983413" w:rsidRPr="00485E58" w:rsidRDefault="00983413" w:rsidP="00676947">
                  <w:pPr>
                    <w:pStyle w:val="TableTextLeft"/>
                  </w:pPr>
                </w:p>
              </w:tc>
              <w:tc>
                <w:tcPr>
                  <w:tcW w:w="2952" w:type="dxa"/>
                  <w:tcBorders>
                    <w:top w:val="single" w:sz="4" w:space="0" w:color="auto"/>
                  </w:tcBorders>
                </w:tcPr>
                <w:p w14:paraId="6BF88A88" w14:textId="77777777" w:rsidR="00983413" w:rsidRPr="00485E58" w:rsidRDefault="00983413" w:rsidP="00676947">
                  <w:pPr>
                    <w:pStyle w:val="TableTextLeft"/>
                  </w:pPr>
                </w:p>
              </w:tc>
            </w:tr>
          </w:tbl>
          <w:p w14:paraId="061E3B96" w14:textId="77777777" w:rsidR="000F119B" w:rsidRPr="00112FBA" w:rsidRDefault="000F119B" w:rsidP="00EF6AED">
            <w:pPr>
              <w:pStyle w:val="Bullet"/>
            </w:pPr>
          </w:p>
        </w:tc>
      </w:tr>
    </w:tbl>
    <w:p w14:paraId="4BA6CC83" w14:textId="77777777" w:rsidR="009B6ADC" w:rsidRDefault="009B6ADC" w:rsidP="00AF4508"/>
    <w:p w14:paraId="5FE18FD3" w14:textId="760F9C13" w:rsidR="00FD68B9" w:rsidRDefault="00FD68B9" w:rsidP="00F40982">
      <w:pPr>
        <w:pStyle w:val="Heading2Numbered"/>
      </w:pPr>
      <w:bookmarkStart w:id="207" w:name="_Toc122618393"/>
      <w:r w:rsidRPr="00F40982">
        <w:t>Assumptions</w:t>
      </w:r>
      <w:bookmarkEnd w:id="207"/>
    </w:p>
    <w:p w14:paraId="19ABFD75" w14:textId="2DD05CE9" w:rsidR="00FD68B9" w:rsidRPr="00116886" w:rsidRDefault="00AD7B1C" w:rsidP="00870349">
      <w:pPr>
        <w:pStyle w:val="Heading3Numbered"/>
        <w:numPr>
          <w:ilvl w:val="0"/>
          <w:numId w:val="0"/>
        </w:numPr>
      </w:pPr>
      <w:bookmarkStart w:id="208" w:name="_Toc122618394"/>
      <w:r w:rsidRPr="00116886">
        <w:t>3.2.1</w:t>
      </w:r>
      <w:r w:rsidRPr="00116886">
        <w:tab/>
      </w:r>
      <w:r w:rsidR="00FD68B9" w:rsidRPr="00116886">
        <w:t>Net overseas migration</w:t>
      </w:r>
      <w:bookmarkEnd w:id="208"/>
    </w:p>
    <w:p w14:paraId="0384169A" w14:textId="77777777" w:rsidR="00927644" w:rsidRPr="00116886" w:rsidRDefault="00927644" w:rsidP="00927644">
      <w:r w:rsidRPr="00116886">
        <w:t>Major assumptions in the overseas migration forecast are:</w:t>
      </w:r>
    </w:p>
    <w:p w14:paraId="7D63D5D4" w14:textId="174917EB" w:rsidR="00927644" w:rsidRPr="00116886" w:rsidRDefault="00927644" w:rsidP="0007163C">
      <w:pPr>
        <w:pStyle w:val="bulletv2"/>
      </w:pPr>
      <w:r w:rsidRPr="00116886">
        <w:t>Net overseas migration is assumed to return to pre</w:t>
      </w:r>
      <w:r w:rsidR="00810EE9">
        <w:t>-pandemic</w:t>
      </w:r>
      <w:r w:rsidRPr="00116886">
        <w:t xml:space="preserve"> trends from 2022</w:t>
      </w:r>
      <w:r w:rsidR="0033101B">
        <w:t>–</w:t>
      </w:r>
      <w:r w:rsidRPr="00116886">
        <w:t>23. While more information is becoming available about the recovery in migration, including from offshore visa grants, many historical relationships have been interrupted by the pandemic</w:t>
      </w:r>
      <w:r w:rsidR="006826E3">
        <w:t>.</w:t>
      </w:r>
      <w:r w:rsidRPr="00116886">
        <w:t xml:space="preserve"> </w:t>
      </w:r>
      <w:r w:rsidR="006826E3">
        <w:t>I</w:t>
      </w:r>
      <w:r w:rsidRPr="00116886">
        <w:t>t is not clear how these leading indicators will translate into net overseas migration outcomes. As such, the forecasts continue to be guided by an assumption that migration returns to pre</w:t>
      </w:r>
      <w:r w:rsidR="0024658D">
        <w:t>-pandemic</w:t>
      </w:r>
      <w:r w:rsidRPr="00116886">
        <w:t xml:space="preserve"> trends.</w:t>
      </w:r>
    </w:p>
    <w:p w14:paraId="7A0F1595" w14:textId="77777777" w:rsidR="00927644" w:rsidRPr="00116886" w:rsidRDefault="00927644" w:rsidP="0007163C">
      <w:pPr>
        <w:pStyle w:val="bulletv2"/>
      </w:pPr>
      <w:r w:rsidRPr="00116886">
        <w:t>State net overseas migration figures take some account of information contained in the 2021 Census which showed that population growth in the intercensal period was different from that previously reported. A portion of this intercensal difference may be attributable to net overseas migration accruing to states differently than initially estimated by the Australian Bureau of Statistics.</w:t>
      </w:r>
    </w:p>
    <w:p w14:paraId="2FBBE0CD" w14:textId="03D6F7A8" w:rsidR="00927644" w:rsidRPr="00116886" w:rsidRDefault="00927644" w:rsidP="0007163C">
      <w:pPr>
        <w:pStyle w:val="bulletv2"/>
      </w:pPr>
      <w:r w:rsidRPr="00116886">
        <w:t>The age profiles of migrant arrivals and departures are assumed to be in line with a historical average from 2015</w:t>
      </w:r>
      <w:r w:rsidR="0033101B">
        <w:t>–</w:t>
      </w:r>
      <w:r w:rsidRPr="00116886">
        <w:t>16 to 2017</w:t>
      </w:r>
      <w:r w:rsidR="0033101B">
        <w:t>–</w:t>
      </w:r>
      <w:r w:rsidRPr="00116886">
        <w:t>18.</w:t>
      </w:r>
    </w:p>
    <w:p w14:paraId="40987771" w14:textId="3FE1C335" w:rsidR="00927644" w:rsidRPr="00116886" w:rsidRDefault="00927644" w:rsidP="0007163C">
      <w:pPr>
        <w:pStyle w:val="bulletv2"/>
      </w:pPr>
      <w:r w:rsidRPr="00116886">
        <w:t xml:space="preserve">In the </w:t>
      </w:r>
      <w:r w:rsidR="000569AB">
        <w:t>long-</w:t>
      </w:r>
      <w:r w:rsidRPr="00116886">
        <w:t xml:space="preserve">run, net overseas migration is assumed to be 235,000 per year based on a historical average and </w:t>
      </w:r>
      <w:r w:rsidR="0066396C">
        <w:t>assumed future planning levels for the permanent and humanitarian migration programs.</w:t>
      </w:r>
      <w:r w:rsidRPr="00116886">
        <w:t xml:space="preserve"> </w:t>
      </w:r>
    </w:p>
    <w:tbl>
      <w:tblPr>
        <w:tblStyle w:val="TableGrid"/>
        <w:tblW w:w="0" w:type="auto"/>
        <w:tblLook w:val="04A0" w:firstRow="1" w:lastRow="0" w:firstColumn="1" w:lastColumn="0" w:noHBand="0" w:noVBand="1"/>
      </w:tblPr>
      <w:tblGrid>
        <w:gridCol w:w="9070"/>
      </w:tblGrid>
      <w:tr w:rsidR="00927644" w:rsidRPr="00116886" w14:paraId="1DB431FD" w14:textId="77777777" w:rsidTr="00676947">
        <w:tc>
          <w:tcPr>
            <w:tcW w:w="9072" w:type="dxa"/>
          </w:tcPr>
          <w:p w14:paraId="342B0098" w14:textId="205E2BC5" w:rsidR="00927644" w:rsidRPr="00116886" w:rsidRDefault="000569AB" w:rsidP="00676947">
            <w:pPr>
              <w:pStyle w:val="BoxHeading"/>
            </w:pPr>
            <w:r>
              <w:lastRenderedPageBreak/>
              <w:t>Long-</w:t>
            </w:r>
            <w:r w:rsidR="00927644" w:rsidRPr="00116886">
              <w:t>run net overseas migration assumption</w:t>
            </w:r>
          </w:p>
          <w:p w14:paraId="70C29930" w14:textId="45AF2492" w:rsidR="00927644" w:rsidRPr="00116886" w:rsidRDefault="00927644" w:rsidP="0007163C">
            <w:pPr>
              <w:pStyle w:val="BoxText"/>
              <w:jc w:val="left"/>
            </w:pPr>
            <w:r w:rsidRPr="00116886">
              <w:t xml:space="preserve">The </w:t>
            </w:r>
            <w:r w:rsidR="000569AB">
              <w:t>long-</w:t>
            </w:r>
            <w:r w:rsidRPr="00116886">
              <w:t>run assumption for overseas migration at the national level is 235,000 people per year. This assumption is derived using a 14</w:t>
            </w:r>
            <w:r w:rsidR="0024658D">
              <w:t>-</w:t>
            </w:r>
            <w:r w:rsidRPr="00116886">
              <w:t>year average from 2004</w:t>
            </w:r>
            <w:r w:rsidR="0033101B">
              <w:t>–</w:t>
            </w:r>
            <w:r w:rsidRPr="00116886">
              <w:t>05 to 2017</w:t>
            </w:r>
            <w:r w:rsidR="0033101B">
              <w:t>–</w:t>
            </w:r>
            <w:r w:rsidRPr="00116886">
              <w:t xml:space="preserve">18 and </w:t>
            </w:r>
            <w:r w:rsidR="0066396C">
              <w:t xml:space="preserve">assumed future </w:t>
            </w:r>
            <w:r w:rsidRPr="00116886">
              <w:t>planning level</w:t>
            </w:r>
            <w:r w:rsidR="0066396C">
              <w:t>s</w:t>
            </w:r>
            <w:r w:rsidRPr="00116886">
              <w:t xml:space="preserve"> for the permanent and humanitarian migration programs. This period utilises the full historical sample (excluding periods affected by the pandemic) of the Australian Bureau of Statistics’ </w:t>
            </w:r>
            <w:r w:rsidR="007E1E07">
              <w:rPr>
                <w:i/>
                <w:iCs/>
              </w:rPr>
              <w:t xml:space="preserve">Overseas </w:t>
            </w:r>
            <w:r w:rsidRPr="00116886">
              <w:rPr>
                <w:i/>
                <w:iCs/>
              </w:rPr>
              <w:t>Migration</w:t>
            </w:r>
            <w:r w:rsidRPr="00116886">
              <w:t xml:space="preserve"> release, which has the longest available history of net overseas migration using the 12/16 rule for residence. Historically, the long</w:t>
            </w:r>
            <w:r w:rsidR="0024658D">
              <w:t>-</w:t>
            </w:r>
            <w:r w:rsidRPr="00116886">
              <w:t xml:space="preserve">run assumption can be decomposed as: </w:t>
            </w:r>
          </w:p>
          <w:p w14:paraId="747BBBB3" w14:textId="60D16FD2" w:rsidR="00927644" w:rsidRPr="00116886" w:rsidRDefault="00927644" w:rsidP="0007163C">
            <w:pPr>
              <w:pStyle w:val="BoxBullet"/>
            </w:pPr>
            <w:r w:rsidRPr="00116886">
              <w:t xml:space="preserve">The contribution of the Government’s planning levels of the permanent and humanitarian migration programs to migrant arrivals – these migration planning levels are revised by the Government every year but </w:t>
            </w:r>
            <w:r w:rsidR="00CA4FE3">
              <w:t xml:space="preserve">are </w:t>
            </w:r>
            <w:r w:rsidRPr="00116886">
              <w:t>assumed to be 190,000 and 13,750 people per year respectively</w:t>
            </w:r>
            <w:r w:rsidR="009C4BB2">
              <w:t xml:space="preserve"> </w:t>
            </w:r>
            <w:r w:rsidR="00101709">
              <w:t>from</w:t>
            </w:r>
            <w:r w:rsidR="009C4BB2">
              <w:t xml:space="preserve"> 202</w:t>
            </w:r>
            <w:r w:rsidR="00967ACD">
              <w:t>3</w:t>
            </w:r>
            <w:r w:rsidR="00101709">
              <w:t>–</w:t>
            </w:r>
            <w:r w:rsidR="009C4BB2">
              <w:t>2</w:t>
            </w:r>
            <w:r w:rsidR="00967ACD">
              <w:t>4</w:t>
            </w:r>
          </w:p>
          <w:p w14:paraId="49DCA635" w14:textId="77777777" w:rsidR="00927644" w:rsidRPr="00116886" w:rsidRDefault="00927644" w:rsidP="0007163C">
            <w:pPr>
              <w:pStyle w:val="BoxBullet"/>
            </w:pPr>
            <w:r w:rsidRPr="00116886">
              <w:t>The number of permanent residents who subsequently emigrate (20,000 people per year)</w:t>
            </w:r>
          </w:p>
          <w:p w14:paraId="30E1138D" w14:textId="77777777" w:rsidR="00927644" w:rsidRPr="00116886" w:rsidRDefault="00927644" w:rsidP="0007163C">
            <w:pPr>
              <w:pStyle w:val="BoxBullet"/>
            </w:pPr>
            <w:r w:rsidRPr="00116886">
              <w:t>The flows of departing and returning Australian citizens (a net outflow of 15,000 people per year), and</w:t>
            </w:r>
          </w:p>
          <w:p w14:paraId="45B7C8F6" w14:textId="543A9D41" w:rsidR="00927644" w:rsidRPr="00116886" w:rsidRDefault="00927644" w:rsidP="0007163C">
            <w:pPr>
              <w:pStyle w:val="BoxBullet"/>
            </w:pPr>
            <w:r w:rsidRPr="00116886">
              <w:t>The flows of arriving and departing temporary migrants who reside in Australia for several years but never transition to permanent residency (a</w:t>
            </w:r>
            <w:r w:rsidR="00101709">
              <w:t>n average of</w:t>
            </w:r>
            <w:r w:rsidRPr="00116886">
              <w:t xml:space="preserve"> 66,</w:t>
            </w:r>
            <w:r w:rsidR="00101709">
              <w:t>000</w:t>
            </w:r>
            <w:r w:rsidRPr="00116886">
              <w:t xml:space="preserve"> people per year</w:t>
            </w:r>
            <w:r w:rsidR="00101709">
              <w:t xml:space="preserve"> over the 14 years from 2004–05 to 2017–18</w:t>
            </w:r>
            <w:r w:rsidRPr="00116886">
              <w:t>)</w:t>
            </w:r>
          </w:p>
          <w:p w14:paraId="36A55CCF" w14:textId="0C177E1B" w:rsidR="00927644" w:rsidRPr="0024658D" w:rsidRDefault="00927644" w:rsidP="0007163C">
            <w:pPr>
              <w:pStyle w:val="BoxText"/>
              <w:jc w:val="left"/>
            </w:pPr>
            <w:r w:rsidRPr="00116886">
              <w:t>The long</w:t>
            </w:r>
            <w:r w:rsidR="0024658D">
              <w:t>-</w:t>
            </w:r>
            <w:r w:rsidRPr="00116886">
              <w:t>run assumption of 235,000, while being based on historical averages, does not assume anything about the composition of future migration. The long</w:t>
            </w:r>
            <w:r w:rsidR="0024658D">
              <w:t>-</w:t>
            </w:r>
            <w:r w:rsidRPr="00116886">
              <w:t>run assumption is only used at an aggregate level</w:t>
            </w:r>
            <w:r w:rsidR="00D65262">
              <w:t>;</w:t>
            </w:r>
            <w:r w:rsidRPr="00116886">
              <w:t xml:space="preserve"> </w:t>
            </w:r>
            <w:r w:rsidRPr="0024658D">
              <w:t>beyond 2025</w:t>
            </w:r>
            <w:r w:rsidR="0033101B" w:rsidRPr="0024658D">
              <w:t>–</w:t>
            </w:r>
            <w:r w:rsidRPr="0024658D">
              <w:t>26, the projections do not incorporate information on net overseas migration by visa group.</w:t>
            </w:r>
          </w:p>
          <w:p w14:paraId="00E64A11" w14:textId="1A7CAB87" w:rsidR="00927644" w:rsidRPr="00116886" w:rsidRDefault="001F4193" w:rsidP="0007163C">
            <w:pPr>
              <w:pStyle w:val="BoxText"/>
              <w:jc w:val="left"/>
            </w:pPr>
            <w:r w:rsidRPr="0024658D">
              <w:t xml:space="preserve">This is a fixed, nominal level which means the share of migration will decrease in size as population grows. An alternative </w:t>
            </w:r>
            <w:r w:rsidR="00FA268C">
              <w:t xml:space="preserve">approach was illustrated </w:t>
            </w:r>
            <w:r w:rsidRPr="0024658D">
              <w:t xml:space="preserve">in the 2021 Intergenerational Report where </w:t>
            </w:r>
            <w:r w:rsidR="000569AB">
              <w:t>long-</w:t>
            </w:r>
            <w:r w:rsidRPr="0024658D">
              <w:t>run migration was assumed to grow with population</w:t>
            </w:r>
            <w:r w:rsidR="00FA268C">
              <w:t>,</w:t>
            </w:r>
            <w:r w:rsidRPr="0024658D">
              <w:t xml:space="preserve"> at a </w:t>
            </w:r>
            <w:r w:rsidR="00FA268C">
              <w:t xml:space="preserve">constant </w:t>
            </w:r>
            <w:r w:rsidRPr="0024658D">
              <w:t>rate of 0.82 per</w:t>
            </w:r>
            <w:r w:rsidR="00FA268C">
              <w:t xml:space="preserve"> </w:t>
            </w:r>
            <w:r w:rsidRPr="0024658D">
              <w:t>cent</w:t>
            </w:r>
            <w:r w:rsidR="00FA268C">
              <w:t xml:space="preserve"> of the population</w:t>
            </w:r>
            <w:r w:rsidRPr="0024658D">
              <w:t>.</w:t>
            </w:r>
            <w:r w:rsidR="00967ACD" w:rsidRPr="0024658D" w:rsidDel="00967ACD">
              <w:t xml:space="preserve"> </w:t>
            </w:r>
          </w:p>
        </w:tc>
      </w:tr>
    </w:tbl>
    <w:p w14:paraId="6D3D5F48" w14:textId="498E9D98" w:rsidR="0051682D" w:rsidRPr="00116886" w:rsidRDefault="0051682D"/>
    <w:p w14:paraId="56EDA0EA" w14:textId="028EBCCD" w:rsidR="00FD68B9" w:rsidRPr="00116886" w:rsidRDefault="007E71DC" w:rsidP="00870349">
      <w:pPr>
        <w:pStyle w:val="Heading3Numbered"/>
        <w:numPr>
          <w:ilvl w:val="0"/>
          <w:numId w:val="0"/>
        </w:numPr>
      </w:pPr>
      <w:bookmarkStart w:id="209" w:name="_Toc122618395"/>
      <w:r w:rsidRPr="00116886">
        <w:t>3</w:t>
      </w:r>
      <w:r w:rsidR="00FD68B9" w:rsidRPr="00116886">
        <w:t>.</w:t>
      </w:r>
      <w:r w:rsidR="00736500" w:rsidRPr="00116886">
        <w:t>2</w:t>
      </w:r>
      <w:r w:rsidR="00FD68B9" w:rsidRPr="00116886">
        <w:t>.</w:t>
      </w:r>
      <w:r w:rsidR="007C5B66" w:rsidRPr="00116886">
        <w:t>2</w:t>
      </w:r>
      <w:r w:rsidR="00FD68B9" w:rsidRPr="00116886">
        <w:tab/>
      </w:r>
      <w:r w:rsidR="001F08CF" w:rsidRPr="00116886">
        <w:t>Natural increase</w:t>
      </w:r>
      <w:bookmarkEnd w:id="209"/>
    </w:p>
    <w:p w14:paraId="38C3B445" w14:textId="77777777" w:rsidR="00027AC6" w:rsidRPr="00116886" w:rsidRDefault="00027AC6" w:rsidP="001E4102">
      <w:pPr>
        <w:pStyle w:val="Heading4"/>
      </w:pPr>
      <w:bookmarkStart w:id="210" w:name="_Toc117238201"/>
      <w:r w:rsidRPr="00116886">
        <w:t xml:space="preserve">Fertility </w:t>
      </w:r>
    </w:p>
    <w:p w14:paraId="46E78F49" w14:textId="77777777" w:rsidR="00027AC6" w:rsidRPr="00C942AF" w:rsidRDefault="00027AC6" w:rsidP="0007163C">
      <w:r w:rsidRPr="00C942AF">
        <w:t xml:space="preserve">Future fertility rate assumptions are based on analysis undertaken and commissioned by the Centre for Population which indicates the total fertility rate has not been adversely affected by the pandemic. Based on this analysis, the total fertility rate in 2021–22 is likely to be similar to that observed in 2018–19. </w:t>
      </w:r>
    </w:p>
    <w:p w14:paraId="6A5BD5E0" w14:textId="77777777" w:rsidR="00A35173" w:rsidRPr="00C942AF" w:rsidRDefault="00A35173" w:rsidP="0007163C">
      <w:r w:rsidRPr="00C942AF">
        <w:t>The Australian Bureau of Statistics recently reported a total fertility rate of 1.66 babies per woman in 2020–21 (revised up from 1.63 babies per woman). Because of the 9</w:t>
      </w:r>
      <w:r>
        <w:t>-</w:t>
      </w:r>
      <w:r w:rsidRPr="00C942AF">
        <w:t>month gestation period, babies conceived in the first few months of the pandemic were born in the December 2020 quarter, when births dropped to 71,000. However, births recovered over each quarter in 2021 and were higher than births reported over the same period in recent years.</w:t>
      </w:r>
      <w:r w:rsidRPr="00C942AF">
        <w:rPr>
          <w:rStyle w:val="FootnoteReference"/>
        </w:rPr>
        <w:footnoteReference w:id="45"/>
      </w:r>
      <w:r w:rsidRPr="00C942AF">
        <w:t xml:space="preserve"> </w:t>
      </w:r>
    </w:p>
    <w:p w14:paraId="4D0EB93B" w14:textId="3D54BB6D" w:rsidR="00027AC6" w:rsidRPr="00C942AF" w:rsidRDefault="00027AC6" w:rsidP="0007163C">
      <w:r w:rsidRPr="00C942AF">
        <w:t>In addition, early</w:t>
      </w:r>
      <w:r w:rsidR="00DC2C9A">
        <w:t xml:space="preserve"> Medicare</w:t>
      </w:r>
      <w:r w:rsidRPr="00C942AF">
        <w:t xml:space="preserve"> data indicate that births for 2021–22 are returning to the same level observed in 2018–19. It is estimated that there were 299,000 babies </w:t>
      </w:r>
      <w:r w:rsidR="00DC2C9A">
        <w:t>registered in Medicare</w:t>
      </w:r>
      <w:r w:rsidRPr="00C942AF">
        <w:t xml:space="preserve"> in 2021–22, compared with 292,000 babies in 2019–20 and 298,000 babies in 2018–19. The data also show a small ‘baby boom’ in 2021 with a peak in the March and June 2021 quarter</w:t>
      </w:r>
      <w:r w:rsidR="00DB29B5">
        <w:t>s</w:t>
      </w:r>
      <w:r w:rsidRPr="00C942AF">
        <w:t xml:space="preserve"> (</w:t>
      </w:r>
      <w:r w:rsidR="002C2CC1">
        <w:t>Chart 41</w:t>
      </w:r>
      <w:r w:rsidRPr="00C942AF">
        <w:t>).</w:t>
      </w:r>
    </w:p>
    <w:p w14:paraId="3B4E4F6F" w14:textId="77777777" w:rsidR="003E2F68" w:rsidRDefault="003E2F68">
      <w:pPr>
        <w:spacing w:before="0" w:after="160" w:line="259" w:lineRule="auto"/>
      </w:pPr>
      <w:r>
        <w:br w:type="page"/>
      </w:r>
    </w:p>
    <w:p w14:paraId="48E4E4EC" w14:textId="2DCA0C80" w:rsidR="00027AC6" w:rsidRPr="00BC4175" w:rsidRDefault="00027AC6" w:rsidP="0007163C">
      <w:r w:rsidRPr="00BC4175">
        <w:lastRenderedPageBreak/>
        <w:t>The total fertility rate is assumed to decrease slightly from 1.66 babies per woman in 202</w:t>
      </w:r>
      <w:r w:rsidR="00F741BE">
        <w:t>0</w:t>
      </w:r>
      <w:r w:rsidRPr="00BC4175">
        <w:t>–2</w:t>
      </w:r>
      <w:r w:rsidR="00F741BE">
        <w:t>1</w:t>
      </w:r>
      <w:r w:rsidRPr="00BC4175">
        <w:t xml:space="preserve"> to 1.65 by 2024</w:t>
      </w:r>
      <w:r w:rsidR="00BC4175">
        <w:sym w:font="Symbol" w:char="F02D"/>
      </w:r>
      <w:r w:rsidRPr="00BC4175">
        <w:t xml:space="preserve">25. It is assumed to </w:t>
      </w:r>
      <w:proofErr w:type="gramStart"/>
      <w:r w:rsidRPr="00BC4175">
        <w:t>then gradually decline to 1.62 babies</w:t>
      </w:r>
      <w:proofErr w:type="gramEnd"/>
      <w:r w:rsidRPr="00BC4175">
        <w:t xml:space="preserve"> per woman by 2030–31, following the ‘no COVID</w:t>
      </w:r>
      <w:r w:rsidR="009B78C6" w:rsidRPr="00BC4175">
        <w:t>-</w:t>
      </w:r>
      <w:r w:rsidRPr="00BC4175">
        <w:t xml:space="preserve">19 impact’ scenario from </w:t>
      </w:r>
      <w:r w:rsidRPr="00BC4175">
        <w:rPr>
          <w:i/>
          <w:iCs/>
        </w:rPr>
        <w:t>A Projection of Australia’s Future Fertility Rates</w:t>
      </w:r>
      <w:r w:rsidRPr="00BC4175">
        <w:t>.</w:t>
      </w:r>
      <w:r w:rsidRPr="00BC4175">
        <w:rPr>
          <w:rStyle w:val="FootnoteReference"/>
        </w:rPr>
        <w:footnoteReference w:id="46"/>
      </w:r>
      <w:r w:rsidRPr="00BC4175">
        <w:t xml:space="preserve"> This is consistent with the long running trend of families having children later in life and having fewer children when they do.</w:t>
      </w:r>
    </w:p>
    <w:p w14:paraId="102F1F6F" w14:textId="4022F9C1" w:rsidR="00027AC6" w:rsidRPr="00BC4175" w:rsidRDefault="00027AC6" w:rsidP="00027AC6">
      <w:r w:rsidRPr="00BC4175">
        <w:t xml:space="preserve">The same approach has been used at the state level, with state relativities to the national total fertility rate assumed to remain constant. At the </w:t>
      </w:r>
      <w:r w:rsidR="00BC4175">
        <w:t>capital city and rest-of-state</w:t>
      </w:r>
      <w:r w:rsidRPr="00BC4175">
        <w:t xml:space="preserve"> level, the recent ratios (2015 to 2019 calendar years) of location</w:t>
      </w:r>
      <w:r w:rsidR="00872A1E">
        <w:t>-</w:t>
      </w:r>
      <w:r w:rsidRPr="00BC4175">
        <w:t>specific fertility rates to the state total fertility rate are assumed to remain constant. The fertility rates for these areas are also constrained to state fertility rates.</w:t>
      </w:r>
    </w:p>
    <w:p w14:paraId="7AD595CD" w14:textId="77777777" w:rsidR="00027AC6" w:rsidRPr="00E544EA" w:rsidRDefault="00027AC6" w:rsidP="00027AC6">
      <w:pPr>
        <w:pStyle w:val="Heading9"/>
      </w:pPr>
      <w:bookmarkStart w:id="211" w:name="_Ref117611489"/>
      <w:r w:rsidRPr="00E544EA">
        <w:t>Number of babies registered in Medicare and reported in official statistics</w:t>
      </w:r>
      <w:bookmarkEnd w:id="211"/>
    </w:p>
    <w:tbl>
      <w:tblPr>
        <w:tblStyle w:val="TableGrid"/>
        <w:tblW w:w="0" w:type="auto"/>
        <w:tblLook w:val="04A0" w:firstRow="1" w:lastRow="0" w:firstColumn="1" w:lastColumn="0" w:noHBand="0" w:noVBand="1"/>
      </w:tblPr>
      <w:tblGrid>
        <w:gridCol w:w="4424"/>
        <w:gridCol w:w="222"/>
        <w:gridCol w:w="4424"/>
      </w:tblGrid>
      <w:tr w:rsidR="00027AC6" w:rsidRPr="00E544EA" w14:paraId="4AA67D07" w14:textId="77777777" w:rsidTr="00AA74B9">
        <w:trPr>
          <w:trHeight w:val="450"/>
        </w:trPr>
        <w:tc>
          <w:tcPr>
            <w:tcW w:w="4253" w:type="dxa"/>
            <w:shd w:val="clear" w:color="auto" w:fill="auto"/>
          </w:tcPr>
          <w:p w14:paraId="6EE0C751" w14:textId="0615B208" w:rsidR="00027AC6" w:rsidRPr="00E544EA" w:rsidRDefault="00027AC6" w:rsidP="00AA74B9">
            <w:pPr>
              <w:pStyle w:val="TableSecondHeading"/>
              <w:spacing w:after="0"/>
              <w:jc w:val="center"/>
            </w:pPr>
            <w:r w:rsidRPr="00E544EA">
              <w:t>Quarterly, September 2017 to June 2022</w:t>
            </w:r>
          </w:p>
          <w:p w14:paraId="404B535B" w14:textId="07941097" w:rsidR="00027AC6" w:rsidRPr="00E544EA" w:rsidRDefault="004E664D" w:rsidP="004E664D">
            <w:pPr>
              <w:spacing w:after="0"/>
              <w:jc w:val="center"/>
            </w:pPr>
            <w:r w:rsidRPr="004E664D">
              <w:rPr>
                <w:noProof/>
              </w:rPr>
              <w:drawing>
                <wp:inline distT="0" distB="0" distL="0" distR="0" wp14:anchorId="754D5EE2" wp14:editId="087C3399">
                  <wp:extent cx="2701115" cy="2948400"/>
                  <wp:effectExtent l="0" t="0" r="0" b="0"/>
                  <wp:docPr id="116" name="Picture 116" descr="A chart showing that the number of births registered in Medicare versus births recorded in the ABS National, state and territory population. Both data indicate births for 2021-22 are likely to be similar to the level observed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chart showing that the number of births registered in Medicare versus births recorded in the ABS National, state and territory population. Both data indicate births for 2021-22 are likely to be similar to the level observed in 2018-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c>
          <w:tcPr>
            <w:tcW w:w="283" w:type="dxa"/>
            <w:shd w:val="clear" w:color="auto" w:fill="auto"/>
          </w:tcPr>
          <w:p w14:paraId="24C99750" w14:textId="77777777" w:rsidR="00027AC6" w:rsidRPr="00E544EA" w:rsidRDefault="00027AC6" w:rsidP="00AA74B9">
            <w:pPr>
              <w:pStyle w:val="TableSecondHeading"/>
              <w:spacing w:after="0"/>
              <w:jc w:val="center"/>
            </w:pPr>
          </w:p>
        </w:tc>
        <w:tc>
          <w:tcPr>
            <w:tcW w:w="3969" w:type="dxa"/>
            <w:shd w:val="clear" w:color="auto" w:fill="auto"/>
          </w:tcPr>
          <w:p w14:paraId="64BE95F4" w14:textId="77777777" w:rsidR="00027AC6" w:rsidRPr="00E544EA" w:rsidRDefault="00027AC6" w:rsidP="00AA74B9">
            <w:pPr>
              <w:pStyle w:val="TableSecondHeading"/>
              <w:spacing w:after="0"/>
              <w:jc w:val="center"/>
            </w:pPr>
            <w:r w:rsidRPr="00E544EA">
              <w:t>Annual, 2017–18 to 2021–22</w:t>
            </w:r>
          </w:p>
          <w:p w14:paraId="7E8B8CD3" w14:textId="6F81773E" w:rsidR="00027AC6" w:rsidRPr="00E544EA" w:rsidRDefault="004E664D" w:rsidP="004E664D">
            <w:pPr>
              <w:spacing w:after="0"/>
              <w:jc w:val="center"/>
            </w:pPr>
            <w:r w:rsidRPr="004E664D">
              <w:rPr>
                <w:noProof/>
              </w:rPr>
              <w:drawing>
                <wp:inline distT="0" distB="0" distL="0" distR="0" wp14:anchorId="015AF849" wp14:editId="4964AF02">
                  <wp:extent cx="2701115" cy="2948400"/>
                  <wp:effectExtent l="0" t="0" r="0"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r>
    </w:tbl>
    <w:p w14:paraId="7017517A" w14:textId="7AE9F771" w:rsidR="00027AC6" w:rsidRPr="00E544EA" w:rsidRDefault="00027AC6" w:rsidP="00027AC6">
      <w:pPr>
        <w:pStyle w:val="Source"/>
        <w:spacing w:after="0"/>
      </w:pPr>
      <w:r w:rsidRPr="00E544EA">
        <w:t>Note: The number of babies registered in Medicare is shown based on the date of birth and includes babies</w:t>
      </w:r>
      <w:r w:rsidR="00E653F6">
        <w:t xml:space="preserve"> born up to 30 June 2022</w:t>
      </w:r>
      <w:r w:rsidRPr="00E544EA">
        <w:t>.</w:t>
      </w:r>
      <w:r w:rsidR="00E653F6">
        <w:t xml:space="preserve"> Expansion factors have been applied to account for unregistered births.</w:t>
      </w:r>
      <w:r w:rsidRPr="00E544EA">
        <w:t xml:space="preserve"> </w:t>
      </w:r>
    </w:p>
    <w:p w14:paraId="499DB0A7" w14:textId="1340392E" w:rsidR="00027AC6" w:rsidRPr="0007163C" w:rsidRDefault="00027AC6" w:rsidP="00027AC6">
      <w:pPr>
        <w:pStyle w:val="Source"/>
        <w:rPr>
          <w:spacing w:val="-2"/>
        </w:rPr>
      </w:pPr>
      <w:r w:rsidRPr="0007163C">
        <w:rPr>
          <w:spacing w:val="-2"/>
        </w:rPr>
        <w:t xml:space="preserve">Source: </w:t>
      </w:r>
      <w:r w:rsidR="000E39A2" w:rsidRPr="0007163C">
        <w:rPr>
          <w:noProof/>
          <w:spacing w:val="-2"/>
        </w:rPr>
        <w:t>Australian Bureau of Statistics, National, state and territory population, March 2022, 2022</w:t>
      </w:r>
      <w:r w:rsidRPr="0007163C">
        <w:rPr>
          <w:spacing w:val="-2"/>
        </w:rPr>
        <w:t xml:space="preserve"> and Services Australia data.</w:t>
      </w:r>
    </w:p>
    <w:p w14:paraId="418ECFE8" w14:textId="77E6E4EA" w:rsidR="00027AC6" w:rsidRPr="00E544EA" w:rsidRDefault="00027AC6" w:rsidP="00027AC6">
      <w:pPr>
        <w:spacing w:before="0" w:after="160" w:line="259" w:lineRule="auto"/>
        <w:rPr>
          <w:rFonts w:eastAsiaTheme="minorHAnsi"/>
        </w:rPr>
      </w:pPr>
      <w:r w:rsidRPr="00E544EA">
        <w:rPr>
          <w:rFonts w:eastAsiaTheme="minorHAnsi"/>
        </w:rPr>
        <w:t>The Australian Bureau of Statistics recently reported a total fertility rate of 1.70 babies per wom</w:t>
      </w:r>
      <w:r w:rsidR="00B170C9">
        <w:rPr>
          <w:rFonts w:eastAsiaTheme="minorHAnsi"/>
        </w:rPr>
        <w:t>a</w:t>
      </w:r>
      <w:r w:rsidRPr="00E544EA">
        <w:rPr>
          <w:rFonts w:eastAsiaTheme="minorHAnsi"/>
        </w:rPr>
        <w:t>n in the 2021 calendar year, after a record low of 1.59 in 2020.</w:t>
      </w:r>
      <w:r w:rsidRPr="00E544EA">
        <w:rPr>
          <w:rStyle w:val="FootnoteReference"/>
          <w:rFonts w:eastAsiaTheme="minorHAnsi"/>
        </w:rPr>
        <w:footnoteReference w:id="47"/>
      </w:r>
      <w:r w:rsidRPr="00E544EA">
        <w:rPr>
          <w:rFonts w:eastAsiaTheme="minorHAnsi"/>
        </w:rPr>
        <w:t xml:space="preserve"> This is on a calendar year basis and differs from the Centr</w:t>
      </w:r>
      <w:r w:rsidR="00E544EA">
        <w:rPr>
          <w:rFonts w:eastAsiaTheme="minorHAnsi"/>
        </w:rPr>
        <w:t>e for Population’s</w:t>
      </w:r>
      <w:r w:rsidRPr="00E544EA">
        <w:rPr>
          <w:rFonts w:eastAsiaTheme="minorHAnsi"/>
        </w:rPr>
        <w:t xml:space="preserve"> projections which are on a financial year basis. </w:t>
      </w:r>
    </w:p>
    <w:p w14:paraId="27A128B0" w14:textId="77777777" w:rsidR="003E2F68" w:rsidRDefault="003E2F68">
      <w:pPr>
        <w:spacing w:before="0" w:after="160" w:line="259" w:lineRule="auto"/>
        <w:rPr>
          <w:b/>
          <w:smallCaps/>
          <w:color w:val="002C47" w:themeColor="accent1"/>
          <w:spacing w:val="10"/>
        </w:rPr>
      </w:pPr>
      <w:r>
        <w:br w:type="page"/>
      </w:r>
    </w:p>
    <w:p w14:paraId="1ECADDEF" w14:textId="464A335C" w:rsidR="00027AC6" w:rsidRPr="001915BC" w:rsidRDefault="00027AC6" w:rsidP="001E4102">
      <w:pPr>
        <w:pStyle w:val="Heading4"/>
      </w:pPr>
      <w:r w:rsidRPr="001915BC">
        <w:lastRenderedPageBreak/>
        <w:t>Mortality</w:t>
      </w:r>
    </w:p>
    <w:p w14:paraId="67B0EDD1" w14:textId="77777777" w:rsidR="00027AC6" w:rsidRPr="001915BC" w:rsidRDefault="00027AC6" w:rsidP="00B46EC6">
      <w:r w:rsidRPr="001915BC">
        <w:t>Assumptions about future mortality rates are based on life tables produced by the Australian Government Actuary and the Australian Bureau of Statistics.</w:t>
      </w:r>
      <w:r w:rsidRPr="001915BC">
        <w:rPr>
          <w:rStyle w:val="FootnoteReference"/>
        </w:rPr>
        <w:footnoteReference w:id="48"/>
      </w:r>
      <w:r w:rsidRPr="001915BC">
        <w:t xml:space="preserve"> </w:t>
      </w:r>
    </w:p>
    <w:p w14:paraId="2DCCC3F4" w14:textId="42C32967" w:rsidR="0007163C" w:rsidRDefault="00027AC6" w:rsidP="00B46EC6">
      <w:r w:rsidRPr="001915BC">
        <w:t>For national mortality, the mortality rates from the Australian Bureau of Statistics’ 2018–20 national life tables</w:t>
      </w:r>
      <w:r w:rsidR="00EF27EB">
        <w:rPr>
          <w:rStyle w:val="FootnoteReference"/>
        </w:rPr>
        <w:footnoteReference w:id="49"/>
      </w:r>
      <w:r w:rsidRPr="001915BC">
        <w:t xml:space="preserve"> (by single year of age and sex) have been used with allowance for future improvement by applying the Australian Government Actuary’s improvement factors to these mortality rates (</w:t>
      </w:r>
      <w:r w:rsidR="002C2CC1">
        <w:t>Chart 42</w:t>
      </w:r>
      <w:r w:rsidRPr="001915BC">
        <w:t>). The same approach has been used at the state level, but with the Australian Bureau of Statistics 2018–20 state life tables. Other than the increase in mortality rates for those aged 60 and above in 2021</w:t>
      </w:r>
      <w:r w:rsidR="00872A1E" w:rsidRPr="001915BC">
        <w:t>–</w:t>
      </w:r>
      <w:r w:rsidRPr="001915BC">
        <w:t>22 and 2022</w:t>
      </w:r>
      <w:r w:rsidR="00872A1E" w:rsidRPr="001915BC">
        <w:t>–</w:t>
      </w:r>
      <w:r w:rsidRPr="001915BC">
        <w:t xml:space="preserve">23, the </w:t>
      </w:r>
      <w:r w:rsidRPr="0007163C">
        <w:t>projections assume that the annualised trend of mortality improvements observed over the past 3 decades for men and women will persist to 2032–33.</w:t>
      </w:r>
    </w:p>
    <w:p w14:paraId="680A1BE0" w14:textId="5BB44520" w:rsidR="00027AC6" w:rsidRPr="0007163C" w:rsidRDefault="00027AC6" w:rsidP="00B46EC6">
      <w:r w:rsidRPr="0007163C">
        <w:t xml:space="preserve">At the </w:t>
      </w:r>
      <w:r w:rsidR="000E6CBB" w:rsidRPr="0007163C">
        <w:t>capital city and rest-of-state</w:t>
      </w:r>
      <w:r w:rsidRPr="0007163C">
        <w:t xml:space="preserve"> level, abridged life tables were constructed based on Australian Bureau of Statistics’ deaths and estimated resident population data from financial years 2001–02 to 2019–20. The approach for future </w:t>
      </w:r>
      <w:r w:rsidR="00B5750B" w:rsidRPr="0007163C">
        <w:t>capital city and rest-of-state</w:t>
      </w:r>
      <w:r w:rsidRPr="0007163C">
        <w:t xml:space="preserve"> mortality rates assumes that average ratios of </w:t>
      </w:r>
      <w:r w:rsidR="00B5750B" w:rsidRPr="0007163C">
        <w:t>capital city/rest-of-state</w:t>
      </w:r>
      <w:r w:rsidR="00872A1E" w:rsidRPr="0007163C">
        <w:t>-</w:t>
      </w:r>
      <w:r w:rsidRPr="0007163C">
        <w:t>to</w:t>
      </w:r>
      <w:r w:rsidR="00872A1E" w:rsidRPr="0007163C">
        <w:t>-</w:t>
      </w:r>
      <w:r w:rsidRPr="0007163C">
        <w:t>state mortality rates over 2015–16 to 2019–20 apply from 2024–25 onwards. For the period</w:t>
      </w:r>
      <w:r w:rsidRPr="001915BC">
        <w:t xml:space="preserve"> up to 2024–25, the ratios are smoothed from recent values to the 5</w:t>
      </w:r>
      <w:r w:rsidR="001915BC" w:rsidRPr="001915BC">
        <w:noBreakHyphen/>
      </w:r>
      <w:r w:rsidRPr="001915BC">
        <w:t xml:space="preserve">year average. Projected mortality rates for </w:t>
      </w:r>
      <w:r w:rsidR="00B5750B">
        <w:t>capital cities and rest-of-state areas</w:t>
      </w:r>
      <w:r w:rsidRPr="001915BC">
        <w:t xml:space="preserve"> are then calculated by multiplying projected state mortality rates prepared by the Australian Government Actuary by the </w:t>
      </w:r>
      <w:r w:rsidR="00B5750B">
        <w:t>capital city/rest-of-state</w:t>
      </w:r>
      <w:r w:rsidR="00872A1E">
        <w:t>-</w:t>
      </w:r>
      <w:r w:rsidRPr="001915BC">
        <w:t>to</w:t>
      </w:r>
      <w:r w:rsidR="00872A1E">
        <w:t>-</w:t>
      </w:r>
      <w:r w:rsidRPr="001915BC">
        <w:t xml:space="preserve">state mortality ratios. </w:t>
      </w:r>
    </w:p>
    <w:p w14:paraId="66DC5E1A" w14:textId="61063107" w:rsidR="00027AC6" w:rsidRPr="00B5750B" w:rsidRDefault="00027AC6" w:rsidP="00B46EC6">
      <w:r w:rsidRPr="00B5750B">
        <w:t>In estimating the improvement factors, the Australian Government Actuary applies the following constraints:</w:t>
      </w:r>
    </w:p>
    <w:p w14:paraId="2F1303B5" w14:textId="77777777" w:rsidR="00027AC6" w:rsidRPr="00B5750B" w:rsidRDefault="00027AC6" w:rsidP="003E2F68">
      <w:pPr>
        <w:pStyle w:val="bulletv2"/>
      </w:pPr>
      <w:r w:rsidRPr="00B5750B">
        <w:t>female mortality rates are lower than males (except at very old ages, where they are currently higher),</w:t>
      </w:r>
    </w:p>
    <w:p w14:paraId="0781FEB0" w14:textId="7660EECB" w:rsidR="00027AC6" w:rsidRPr="00B5750B" w:rsidRDefault="00027AC6" w:rsidP="0007163C">
      <w:pPr>
        <w:pStyle w:val="bulletv2"/>
      </w:pPr>
      <w:r w:rsidRPr="00B5750B">
        <w:t xml:space="preserve">no mortality deterioration is assumed at very old ages (although deterioration has been historically observed in the available data, </w:t>
      </w:r>
      <w:r w:rsidR="00B170C9">
        <w:t xml:space="preserve">and </w:t>
      </w:r>
      <w:r w:rsidRPr="00B5750B">
        <w:t xml:space="preserve">applying this constraint ensures a continuation of the trend of improving life expectancies), </w:t>
      </w:r>
    </w:p>
    <w:p w14:paraId="211467CD" w14:textId="77777777" w:rsidR="00027AC6" w:rsidRPr="00B5750B" w:rsidRDefault="00027AC6" w:rsidP="0007163C">
      <w:pPr>
        <w:pStyle w:val="bulletv2"/>
      </w:pPr>
      <w:r w:rsidRPr="00B5750B">
        <w:t>no mortality improvement is assumed for centenarians or supercentenarians (based on the very small sample sizes available to assess historical trends), and</w:t>
      </w:r>
    </w:p>
    <w:p w14:paraId="26DEF05A" w14:textId="1EBBA612" w:rsidR="00027AC6" w:rsidRPr="00B5750B" w:rsidRDefault="00027AC6" w:rsidP="0007163C">
      <w:pPr>
        <w:pStyle w:val="bulletv2"/>
      </w:pPr>
      <w:r w:rsidRPr="00B5750B">
        <w:t xml:space="preserve">no </w:t>
      </w:r>
      <w:r w:rsidR="000569AB">
        <w:t>long-</w:t>
      </w:r>
      <w:r w:rsidRPr="00B5750B">
        <w:t>term mortality deterioration due to the pandemic is assumed.</w:t>
      </w:r>
    </w:p>
    <w:p w14:paraId="51B76E1B" w14:textId="58E3F97D" w:rsidR="00027AC6" w:rsidRPr="003F7E0C" w:rsidRDefault="00027AC6" w:rsidP="00027AC6">
      <w:pPr>
        <w:pStyle w:val="Heading9"/>
      </w:pPr>
      <w:bookmarkStart w:id="212" w:name="_Ref89709501"/>
      <w:bookmarkStart w:id="213" w:name="_Ref117673743"/>
      <w:r w:rsidRPr="003F7E0C">
        <w:lastRenderedPageBreak/>
        <w:t xml:space="preserve">Improvements to </w:t>
      </w:r>
      <w:r w:rsidR="00391B30">
        <w:t xml:space="preserve">age-specific </w:t>
      </w:r>
      <w:r w:rsidRPr="003F7E0C">
        <w:t>mortality over time, Males (LHS) and Females</w:t>
      </w:r>
      <w:bookmarkEnd w:id="212"/>
      <w:r w:rsidRPr="003F7E0C">
        <w:t xml:space="preserve"> (RHS)</w:t>
      </w:r>
      <w:bookmarkEnd w:id="213"/>
    </w:p>
    <w:tbl>
      <w:tblPr>
        <w:tblStyle w:val="TableGrid"/>
        <w:tblW w:w="0" w:type="auto"/>
        <w:tblLook w:val="04A0" w:firstRow="1" w:lastRow="0" w:firstColumn="1" w:lastColumn="0" w:noHBand="0" w:noVBand="1"/>
      </w:tblPr>
      <w:tblGrid>
        <w:gridCol w:w="4431"/>
        <w:gridCol w:w="222"/>
        <w:gridCol w:w="4417"/>
      </w:tblGrid>
      <w:tr w:rsidR="00027AC6" w:rsidRPr="003F7E0C" w14:paraId="18D1A925" w14:textId="77777777" w:rsidTr="00AA74B9">
        <w:tc>
          <w:tcPr>
            <w:tcW w:w="4253" w:type="dxa"/>
            <w:shd w:val="clear" w:color="auto" w:fill="auto"/>
          </w:tcPr>
          <w:p w14:paraId="0507F19B" w14:textId="77777777" w:rsidR="00027AC6" w:rsidRPr="003F7E0C" w:rsidRDefault="00027AC6" w:rsidP="00AA74B9">
            <w:pPr>
              <w:pStyle w:val="ChartSecondHeading"/>
              <w:jc w:val="center"/>
              <w:rPr>
                <w:color w:val="002C47" w:themeColor="accent1"/>
              </w:rPr>
            </w:pPr>
            <w:r w:rsidRPr="003F7E0C">
              <w:rPr>
                <w:color w:val="002C47" w:themeColor="accent1"/>
              </w:rPr>
              <w:t>Males</w:t>
            </w:r>
          </w:p>
          <w:p w14:paraId="1CCC7B16" w14:textId="5906A6F1" w:rsidR="00027AC6" w:rsidRPr="003F7E0C" w:rsidRDefault="00BC0B05" w:rsidP="00AA74B9">
            <w:pPr>
              <w:pStyle w:val="ChartGraphic"/>
              <w:rPr>
                <w:color w:val="002C47" w:themeColor="accent1"/>
              </w:rPr>
            </w:pPr>
            <w:r w:rsidRPr="00BC0B05">
              <w:rPr>
                <w:noProof/>
                <w:color w:val="002C47" w:themeColor="accent1"/>
              </w:rPr>
              <w:drawing>
                <wp:inline distT="0" distB="0" distL="0" distR="0" wp14:anchorId="740D21FE" wp14:editId="1A55A044">
                  <wp:extent cx="2701115" cy="2948400"/>
                  <wp:effectExtent l="0" t="0" r="0" b="4445"/>
                  <wp:docPr id="118" name="Picture 118" descr="A chart showing that improvements in mortality over time have slowed in recent years. Annualised improvements over time are shown as a percentage change in age-specific probabilities of death. The longer-term trends (30-year and 125-year) show relatively consistent improvements in mortality at each age group, while the 5-year trend is more vola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chart showing that improvements in mortality over time have slowed in recent years. Annualised improvements over time are shown as a percentage change in age-specific probabilities of death. The longer-term trends (30-year and 125-year) show relatively consistent improvements in mortality at each age group, while the 5-year trend is more volat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01115" cy="2948400"/>
                          </a:xfrm>
                          <a:prstGeom prst="rect">
                            <a:avLst/>
                          </a:prstGeom>
                          <a:noFill/>
                          <a:ln>
                            <a:noFill/>
                          </a:ln>
                        </pic:spPr>
                      </pic:pic>
                    </a:graphicData>
                  </a:graphic>
                </wp:inline>
              </w:drawing>
            </w:r>
          </w:p>
        </w:tc>
        <w:tc>
          <w:tcPr>
            <w:tcW w:w="283" w:type="dxa"/>
            <w:shd w:val="clear" w:color="auto" w:fill="auto"/>
          </w:tcPr>
          <w:p w14:paraId="6B9AC22C" w14:textId="77777777" w:rsidR="00027AC6" w:rsidRPr="003F7E0C" w:rsidRDefault="00027AC6" w:rsidP="00AA74B9">
            <w:pPr>
              <w:rPr>
                <w:color w:val="002C47" w:themeColor="accent1"/>
              </w:rPr>
            </w:pPr>
          </w:p>
        </w:tc>
        <w:tc>
          <w:tcPr>
            <w:tcW w:w="3969" w:type="dxa"/>
            <w:shd w:val="clear" w:color="auto" w:fill="auto"/>
          </w:tcPr>
          <w:p w14:paraId="2B180141" w14:textId="77777777" w:rsidR="00027AC6" w:rsidRPr="003F7E0C" w:rsidRDefault="00027AC6" w:rsidP="00AA74B9">
            <w:pPr>
              <w:pStyle w:val="ChartSecondHeading"/>
              <w:jc w:val="center"/>
              <w:rPr>
                <w:color w:val="002C47" w:themeColor="accent1"/>
              </w:rPr>
            </w:pPr>
            <w:r w:rsidRPr="003F7E0C">
              <w:rPr>
                <w:color w:val="002C47" w:themeColor="accent1"/>
              </w:rPr>
              <w:t>Females</w:t>
            </w:r>
          </w:p>
          <w:p w14:paraId="52F4EA69" w14:textId="4C23C20B" w:rsidR="00027AC6" w:rsidRPr="003F7E0C" w:rsidRDefault="00BC0B05" w:rsidP="00AA74B9">
            <w:pPr>
              <w:pStyle w:val="ChartGraphic"/>
              <w:rPr>
                <w:color w:val="002C47" w:themeColor="accent1"/>
              </w:rPr>
            </w:pPr>
            <w:r w:rsidRPr="00BC0B05">
              <w:rPr>
                <w:noProof/>
                <w:color w:val="002C47" w:themeColor="accent1"/>
              </w:rPr>
              <w:drawing>
                <wp:inline distT="0" distB="0" distL="0" distR="0" wp14:anchorId="4A5356A3" wp14:editId="490E6C7C">
                  <wp:extent cx="2691604" cy="2948400"/>
                  <wp:effectExtent l="0" t="0" r="0" b="4445"/>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a:extLst>
                              <a:ext uri="{C183D7F6-B498-43B3-948B-1728B52AA6E4}">
                                <adec:decorative xmlns:adec="http://schemas.microsoft.com/office/drawing/2017/decorative" val="1"/>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91604" cy="2948400"/>
                          </a:xfrm>
                          <a:prstGeom prst="rect">
                            <a:avLst/>
                          </a:prstGeom>
                          <a:noFill/>
                          <a:ln>
                            <a:noFill/>
                          </a:ln>
                        </pic:spPr>
                      </pic:pic>
                    </a:graphicData>
                  </a:graphic>
                </wp:inline>
              </w:drawing>
            </w:r>
            <w:r w:rsidR="00027AC6" w:rsidRPr="003F7E0C" w:rsidDel="005E3226">
              <w:rPr>
                <w:color w:val="002C47" w:themeColor="accent1"/>
              </w:rPr>
              <w:t xml:space="preserve"> </w:t>
            </w:r>
          </w:p>
        </w:tc>
      </w:tr>
    </w:tbl>
    <w:p w14:paraId="3E52B29B" w14:textId="7381A13D" w:rsidR="00027AC6" w:rsidRPr="003F7E0C" w:rsidRDefault="00027AC6" w:rsidP="00027AC6">
      <w:pPr>
        <w:pStyle w:val="Source"/>
        <w:spacing w:before="0" w:after="0"/>
      </w:pPr>
      <w:r w:rsidRPr="003F7E0C">
        <w:t>Note: ‘</w:t>
      </w:r>
      <w:proofErr w:type="spellStart"/>
      <w:r w:rsidRPr="003F7E0C">
        <w:t>qx</w:t>
      </w:r>
      <w:proofErr w:type="spellEnd"/>
      <w:r w:rsidRPr="003F7E0C">
        <w:t xml:space="preserve">’ is a measure of the probability of dying – see </w:t>
      </w:r>
      <w:r w:rsidR="00990675" w:rsidRPr="009D38A4">
        <w:t>Glossary</w:t>
      </w:r>
      <w:r w:rsidRPr="003F7E0C">
        <w:t xml:space="preserve"> for more information.</w:t>
      </w:r>
    </w:p>
    <w:p w14:paraId="059AA6B3" w14:textId="21DE591A" w:rsidR="00027AC6" w:rsidRPr="003F7E0C" w:rsidRDefault="00027AC6" w:rsidP="00027AC6">
      <w:pPr>
        <w:pStyle w:val="Source"/>
        <w:spacing w:before="0" w:after="0"/>
      </w:pPr>
      <w:r w:rsidRPr="003F7E0C">
        <w:t>Source:</w:t>
      </w:r>
      <w:r w:rsidR="000046BA" w:rsidRPr="000046BA">
        <w:rPr>
          <w:noProof/>
        </w:rPr>
        <w:t xml:space="preserve"> </w:t>
      </w:r>
      <w:r w:rsidR="000046BA" w:rsidRPr="003F7E0C">
        <w:rPr>
          <w:noProof/>
        </w:rPr>
        <w:t>Australian Government Actuary, 2019</w:t>
      </w:r>
      <w:r w:rsidRPr="003F7E0C">
        <w:t>.</w:t>
      </w:r>
      <w:r w:rsidR="00EC7182" w:rsidDel="00EC7182">
        <w:t xml:space="preserve"> </w:t>
      </w:r>
    </w:p>
    <w:p w14:paraId="18F9D1F5" w14:textId="77777777" w:rsidR="00027AC6" w:rsidRDefault="00027AC6" w:rsidP="00027AC6">
      <w:r w:rsidRPr="003F7E0C">
        <w:rPr>
          <w:bCs/>
        </w:rPr>
        <w:t>To account for the increase in mortality observed in 2022, the mortality rates for those aged 60 and above were adjusted upwards in 2021–22 and 2022–23. The adjustment was based on the ratio of expected mortality (based on the 2022–23 March Budget projections) to the official mortality registered for 2021–22 (calculated using the Australian Bureau of Statistics’ Provisional Mortality Statistics).</w:t>
      </w:r>
    </w:p>
    <w:p w14:paraId="0A4AA05B" w14:textId="77777777" w:rsidR="00401530" w:rsidRDefault="00401530" w:rsidP="00870349">
      <w:pPr>
        <w:pStyle w:val="Heading3Numbered"/>
        <w:numPr>
          <w:ilvl w:val="0"/>
          <w:numId w:val="0"/>
        </w:numPr>
      </w:pPr>
      <w:bookmarkStart w:id="214" w:name="_Toc122618396"/>
      <w:r>
        <w:t>3.2.3</w:t>
      </w:r>
      <w:r>
        <w:tab/>
        <w:t>Net internal migration</w:t>
      </w:r>
      <w:bookmarkEnd w:id="210"/>
      <w:bookmarkEnd w:id="214"/>
    </w:p>
    <w:p w14:paraId="6BF67FC0" w14:textId="60882FE7" w:rsidR="00401530" w:rsidRPr="00AF012A" w:rsidRDefault="00401530" w:rsidP="00B46EC6">
      <w:r>
        <w:t xml:space="preserve">Assumptions for internal migration </w:t>
      </w:r>
      <w:r w:rsidRPr="007E2483">
        <w:t xml:space="preserve">at the state and </w:t>
      </w:r>
      <w:r w:rsidR="003F7E0C">
        <w:t>capital city/rest-of-state</w:t>
      </w:r>
      <w:r w:rsidRPr="007E2483">
        <w:t xml:space="preserve"> levels</w:t>
      </w:r>
      <w:r w:rsidRPr="00AF012A">
        <w:t xml:space="preserve"> </w:t>
      </w:r>
      <w:r>
        <w:t>include:</w:t>
      </w:r>
    </w:p>
    <w:p w14:paraId="6A8FC788" w14:textId="347558B0" w:rsidR="00401530" w:rsidRDefault="006233EE" w:rsidP="0007163C">
      <w:pPr>
        <w:pStyle w:val="bulletv2"/>
      </w:pPr>
      <w:r>
        <w:t>t</w:t>
      </w:r>
      <w:r w:rsidR="00401530">
        <w:t>here will be no future, large</w:t>
      </w:r>
      <w:r w:rsidR="00A039B0">
        <w:t>-</w:t>
      </w:r>
      <w:r w:rsidR="00401530">
        <w:t>scale, internal movement restrictions and lockdowns</w:t>
      </w:r>
      <w:r>
        <w:t>,</w:t>
      </w:r>
    </w:p>
    <w:p w14:paraId="28E6A412" w14:textId="673CB52C" w:rsidR="00401530" w:rsidRDefault="006233EE" w:rsidP="0007163C">
      <w:pPr>
        <w:pStyle w:val="bulletv2"/>
      </w:pPr>
      <w:r>
        <w:t>u</w:t>
      </w:r>
      <w:r w:rsidR="00401530" w:rsidRPr="00EA762A">
        <w:t>ncertainty due to the pandemic has led to fewer people moving interstate, which is expected to continue over the short</w:t>
      </w:r>
      <w:r w:rsidR="00C01172">
        <w:t>-</w:t>
      </w:r>
      <w:r w:rsidR="00401530" w:rsidRPr="00EA762A">
        <w:t>term</w:t>
      </w:r>
      <w:r>
        <w:t>, and</w:t>
      </w:r>
    </w:p>
    <w:p w14:paraId="3330FD17" w14:textId="0E3D8AD6" w:rsidR="00401530" w:rsidRDefault="006233EE" w:rsidP="0007163C">
      <w:pPr>
        <w:pStyle w:val="bulletv2"/>
      </w:pPr>
      <w:r>
        <w:t>p</w:t>
      </w:r>
      <w:r w:rsidR="00401530">
        <w:t>atterns of internal migration are assumed to gradually recover from lockdown induced lows to pre</w:t>
      </w:r>
      <w:r w:rsidR="00C25789">
        <w:noBreakHyphen/>
      </w:r>
      <w:r w:rsidR="00401530">
        <w:t>pandemic pattern</w:t>
      </w:r>
      <w:r w:rsidR="00FA69D8">
        <w:t>s</w:t>
      </w:r>
      <w:r w:rsidR="00401530">
        <w:t xml:space="preserve"> by 2023</w:t>
      </w:r>
      <w:r w:rsidR="0033101B">
        <w:t>–</w:t>
      </w:r>
      <w:r w:rsidR="00401530">
        <w:t>24 and remain constant over the rest of the medium term.</w:t>
      </w:r>
    </w:p>
    <w:p w14:paraId="796A17D2" w14:textId="0FB05BF4" w:rsidR="00401530" w:rsidRDefault="00401530" w:rsidP="00401530">
      <w:r>
        <w:t xml:space="preserve">Assumptions for internal migration at the state and </w:t>
      </w:r>
      <w:r w:rsidR="00C25789">
        <w:t>capital city/rest-of-state</w:t>
      </w:r>
      <w:r>
        <w:t xml:space="preserve"> levels were developed for the 3</w:t>
      </w:r>
      <w:r w:rsidR="007C1252">
        <w:t> </w:t>
      </w:r>
      <w:r>
        <w:t xml:space="preserve">main dimensions of internal migration: </w:t>
      </w:r>
    </w:p>
    <w:p w14:paraId="7620C387" w14:textId="237E858B" w:rsidR="00401530" w:rsidRDefault="00401530" w:rsidP="0007163C">
      <w:pPr>
        <w:pStyle w:val="bulletv2"/>
      </w:pPr>
      <w:r>
        <w:t>level – how many people move</w:t>
      </w:r>
      <w:r w:rsidR="00EF4309">
        <w:t>,</w:t>
      </w:r>
      <w:r>
        <w:t xml:space="preserve"> </w:t>
      </w:r>
    </w:p>
    <w:p w14:paraId="61FA1624" w14:textId="72BAD113" w:rsidR="00401530" w:rsidRDefault="00401530" w:rsidP="003E2F68">
      <w:pPr>
        <w:pStyle w:val="bulletv2"/>
      </w:pPr>
      <w:r>
        <w:t xml:space="preserve">patterns – where </w:t>
      </w:r>
      <w:r w:rsidRPr="003E2F68">
        <w:t>people</w:t>
      </w:r>
      <w:r>
        <w:t xml:space="preserve"> move to and from, and </w:t>
      </w:r>
    </w:p>
    <w:p w14:paraId="523045E8" w14:textId="36F5EEBC" w:rsidR="00401530" w:rsidRDefault="00401530" w:rsidP="0007163C">
      <w:pPr>
        <w:pStyle w:val="bulletv2"/>
      </w:pPr>
      <w:r>
        <w:t>composition – who is moving (including their basic demographic characteristics such as age and sex).</w:t>
      </w:r>
    </w:p>
    <w:p w14:paraId="3AC882C7" w14:textId="77777777" w:rsidR="003E2F68" w:rsidRDefault="003E2F68">
      <w:pPr>
        <w:spacing w:before="0" w:after="160" w:line="259" w:lineRule="auto"/>
        <w:rPr>
          <w:b/>
          <w:smallCaps/>
          <w:color w:val="002C47" w:themeColor="accent1"/>
          <w:spacing w:val="10"/>
        </w:rPr>
      </w:pPr>
      <w:r>
        <w:br w:type="page"/>
      </w:r>
    </w:p>
    <w:p w14:paraId="20F6C587" w14:textId="6CA2C0BA" w:rsidR="00401530" w:rsidRDefault="00401530" w:rsidP="001E4102">
      <w:pPr>
        <w:pStyle w:val="Heading4"/>
      </w:pPr>
      <w:r>
        <w:lastRenderedPageBreak/>
        <w:t xml:space="preserve">Level </w:t>
      </w:r>
    </w:p>
    <w:p w14:paraId="3E7F1D96" w14:textId="068D0085" w:rsidR="00515C21" w:rsidRDefault="00515C21" w:rsidP="00515C21">
      <w:r w:rsidRPr="00515C21">
        <w:rPr>
          <w:rFonts w:cstheme="minorHAnsi"/>
        </w:rPr>
        <w:t>Based on the contextual assumptions outlined above, stakeholder engagement</w:t>
      </w:r>
      <w:r>
        <w:rPr>
          <w:rFonts w:cstheme="minorHAnsi"/>
        </w:rPr>
        <w:t xml:space="preserve"> and our interpretation of the recent Australian Bureau of Statistics internal migration estimates and caveats,</w:t>
      </w:r>
      <w:r w:rsidRPr="00515C21">
        <w:rPr>
          <w:rFonts w:cstheme="minorHAnsi"/>
        </w:rPr>
        <w:t xml:space="preserve"> it is assumed</w:t>
      </w:r>
      <w:r>
        <w:t xml:space="preserve"> that the national level of interstate migration will fall by </w:t>
      </w:r>
      <w:r w:rsidR="00154470">
        <w:t>8</w:t>
      </w:r>
      <w:r>
        <w:t xml:space="preserve"> per cent in 2021–22. It is then assumed to grow by </w:t>
      </w:r>
      <w:r w:rsidR="00154470">
        <w:t>7</w:t>
      </w:r>
      <w:r>
        <w:t xml:space="preserve"> per cent in 2022–</w:t>
      </w:r>
      <w:r w:rsidR="007C1252">
        <w:t>‍</w:t>
      </w:r>
      <w:r>
        <w:t xml:space="preserve">23 before increasing again by </w:t>
      </w:r>
      <w:r w:rsidR="00154470">
        <w:t>7</w:t>
      </w:r>
      <w:r>
        <w:t xml:space="preserve"> per cent in 2023–24 to return to a pre-pandemic level of around 400,000 annual national interstate moves. The national level of intrastate moves follows a similar trajectory, falling to 2</w:t>
      </w:r>
      <w:r w:rsidR="00154470">
        <w:t>7</w:t>
      </w:r>
      <w:r>
        <w:t>0,000 moves in 202</w:t>
      </w:r>
      <w:r w:rsidR="00154470">
        <w:t>1</w:t>
      </w:r>
      <w:r>
        <w:t>–2</w:t>
      </w:r>
      <w:r w:rsidR="00154470">
        <w:t>2</w:t>
      </w:r>
      <w:r>
        <w:t xml:space="preserve"> and then recovering to around 300,000 moves in 2023–24. From 2023–24 onwards, the single year of age and sex migration rates which make up the gross </w:t>
      </w:r>
      <w:proofErr w:type="spellStart"/>
      <w:r>
        <w:t>migraproduction</w:t>
      </w:r>
      <w:proofErr w:type="spellEnd"/>
      <w:r>
        <w:t xml:space="preserve"> rates are held constant. This allows the national level of internal migration to move in line with national population growth and reflect the age composition of the population.</w:t>
      </w:r>
    </w:p>
    <w:p w14:paraId="662C9C85" w14:textId="77777777" w:rsidR="00401530" w:rsidRDefault="00401530" w:rsidP="001E4102">
      <w:pPr>
        <w:pStyle w:val="Heading4"/>
      </w:pPr>
      <w:r>
        <w:t>Patterns</w:t>
      </w:r>
    </w:p>
    <w:p w14:paraId="587D8BD5" w14:textId="6AA91E2B" w:rsidR="00401530" w:rsidRDefault="00401530" w:rsidP="00401530">
      <w:pPr>
        <w:pStyle w:val="Normalbullet"/>
        <w:numPr>
          <w:ilvl w:val="0"/>
          <w:numId w:val="0"/>
        </w:numPr>
        <w:tabs>
          <w:tab w:val="left" w:pos="720"/>
        </w:tabs>
      </w:pPr>
      <w:r>
        <w:t>The assumed future patterns of net internal migration in Australia generally follow established trends between states</w:t>
      </w:r>
      <w:r w:rsidR="00C25789">
        <w:t>,</w:t>
      </w:r>
      <w:r>
        <w:t xml:space="preserve"> </w:t>
      </w:r>
      <w:r w:rsidR="00C25789">
        <w:t>capital cities and rest-of-state areas</w:t>
      </w:r>
      <w:r>
        <w:t>. Young adults generally migrate to the capital cities and older Australians generally move out of the capital cities. Notably, lockdowns have disrupted this pattern in a number of states.</w:t>
      </w:r>
    </w:p>
    <w:p w14:paraId="7B14F766" w14:textId="73E75AB5" w:rsidR="00B71B3E" w:rsidRDefault="00B71B3E" w:rsidP="00B71B3E">
      <w:pPr>
        <w:pStyle w:val="Normalbullet"/>
        <w:numPr>
          <w:ilvl w:val="0"/>
          <w:numId w:val="0"/>
        </w:numPr>
        <w:tabs>
          <w:tab w:val="left" w:pos="720"/>
        </w:tabs>
      </w:pPr>
      <w:r>
        <w:t>Assumptions about the patterns of</w:t>
      </w:r>
      <w:r w:rsidDel="00CB2A6A">
        <w:t xml:space="preserve"> </w:t>
      </w:r>
      <w:r>
        <w:t xml:space="preserve">future net internal migration are based on the revised intercensal growth of the estimated resident population from 2021 Census data, as well as observations of changes to net internal migration patterns during and following the second Melbourne lockdown of 2020. It is assumed that: </w:t>
      </w:r>
    </w:p>
    <w:p w14:paraId="7FD8FDBA" w14:textId="3CA2D333" w:rsidR="00401530" w:rsidRDefault="00401530" w:rsidP="0007163C">
      <w:pPr>
        <w:pStyle w:val="bulletv2"/>
      </w:pPr>
      <w:r>
        <w:t>states that experienced the extended COVID</w:t>
      </w:r>
      <w:r w:rsidR="00786D45">
        <w:t>-</w:t>
      </w:r>
      <w:r>
        <w:t>19 lockdowns in 2021 (New South Wales, Victoria and the Australian Capital Territory) will experience impacts to internal migration similar to Victoria after the second Melbourne COVID</w:t>
      </w:r>
      <w:r w:rsidR="00786D45">
        <w:t>-</w:t>
      </w:r>
      <w:r>
        <w:t xml:space="preserve">19 lockdown in 2020 (differences in impacts between and within these states vary due to the contextual assumptions and size of each geography), </w:t>
      </w:r>
      <w:r w:rsidR="00BE5589">
        <w:t>and</w:t>
      </w:r>
    </w:p>
    <w:p w14:paraId="26AD370E" w14:textId="650DC38E" w:rsidR="008C36B9" w:rsidRDefault="00401530" w:rsidP="003E2F68">
      <w:pPr>
        <w:pStyle w:val="bulletv2"/>
      </w:pPr>
      <w:r>
        <w:t xml:space="preserve">net internal migration patterns return to a </w:t>
      </w:r>
      <w:r w:rsidR="000569AB">
        <w:t>long-</w:t>
      </w:r>
      <w:r>
        <w:t>run (19</w:t>
      </w:r>
      <w:r w:rsidR="0060128D">
        <w:t>-</w:t>
      </w:r>
      <w:r>
        <w:t>year) average by 2023</w:t>
      </w:r>
      <w:r w:rsidR="0033101B">
        <w:t>–</w:t>
      </w:r>
      <w:r>
        <w:t>24</w:t>
      </w:r>
      <w:r w:rsidR="00BE5589">
        <w:t>.</w:t>
      </w:r>
    </w:p>
    <w:p w14:paraId="64D910F5" w14:textId="74BF1190" w:rsidR="00401530" w:rsidRDefault="00401530">
      <w:pPr>
        <w:pStyle w:val="Heading4"/>
      </w:pPr>
      <w:r>
        <w:t xml:space="preserve">Composition </w:t>
      </w:r>
    </w:p>
    <w:p w14:paraId="22D142A3" w14:textId="5103AD98" w:rsidR="00926725" w:rsidRDefault="00401530" w:rsidP="008D289A">
      <w:r>
        <w:t>It is assumed that the composition of net internal migration – the age and sex distribution of people who move</w:t>
      </w:r>
      <w:r w:rsidR="00FB3637">
        <w:t> </w:t>
      </w:r>
      <w:r>
        <w:t>– will remain stable during the projections period. Currently, there is not enough evidence to suggest a structural change to the age and sex distribution of internal migration due to COVID</w:t>
      </w:r>
      <w:r w:rsidR="00624606">
        <w:t>-</w:t>
      </w:r>
      <w:r>
        <w:t>19.</w:t>
      </w:r>
    </w:p>
    <w:p w14:paraId="182B660B" w14:textId="77777777" w:rsidR="00CB2DC9" w:rsidRDefault="00CB2DC9">
      <w:pPr>
        <w:spacing w:before="0" w:after="160" w:line="259" w:lineRule="auto"/>
        <w:rPr>
          <w:b/>
          <w:i/>
          <w:smallCaps/>
          <w:color w:val="FFFFFF" w:themeColor="background1"/>
          <w:spacing w:val="15"/>
        </w:rPr>
      </w:pPr>
      <w:bookmarkStart w:id="215" w:name="_Ref116917120"/>
      <w:bookmarkStart w:id="216" w:name="_Ref116917123"/>
      <w:r>
        <w:br w:type="page"/>
      </w:r>
    </w:p>
    <w:p w14:paraId="2AEDD403" w14:textId="6DF9AD47" w:rsidR="004E63B9" w:rsidRPr="00F40982" w:rsidRDefault="004E63B9" w:rsidP="00F40982">
      <w:pPr>
        <w:pStyle w:val="Heading2Numbered"/>
      </w:pPr>
      <w:bookmarkStart w:id="217" w:name="_Toc122618397"/>
      <w:r w:rsidRPr="00F40982">
        <w:lastRenderedPageBreak/>
        <w:t xml:space="preserve">Impacts of 2021 </w:t>
      </w:r>
      <w:r w:rsidR="009F3596" w:rsidRPr="00F40982">
        <w:t>C</w:t>
      </w:r>
      <w:r w:rsidRPr="00F40982">
        <w:t>ensus rebasing on population estimates</w:t>
      </w:r>
      <w:bookmarkEnd w:id="215"/>
      <w:bookmarkEnd w:id="216"/>
      <w:bookmarkEnd w:id="217"/>
    </w:p>
    <w:p w14:paraId="4108CC44" w14:textId="77777777" w:rsidR="00F8527E" w:rsidRPr="00116886" w:rsidRDefault="00F8527E" w:rsidP="003E2F68">
      <w:pPr>
        <w:pStyle w:val="Heading3"/>
        <w:rPr>
          <w:rFonts w:eastAsiaTheme="minorHAnsi"/>
        </w:rPr>
      </w:pPr>
      <w:bookmarkStart w:id="218" w:name="_Toc120635138"/>
      <w:bookmarkStart w:id="219" w:name="_Toc122617971"/>
      <w:bookmarkStart w:id="220" w:name="_Toc122618398"/>
      <w:r w:rsidRPr="00116886">
        <w:t>Population rebasing</w:t>
      </w:r>
      <w:bookmarkEnd w:id="218"/>
      <w:bookmarkEnd w:id="219"/>
      <w:bookmarkEnd w:id="220"/>
    </w:p>
    <w:p w14:paraId="1BC0D4ED" w14:textId="33185AC6" w:rsidR="00BD5FCA" w:rsidRPr="00252E07" w:rsidRDefault="00BD5FCA" w:rsidP="00BD5FCA">
      <w:r w:rsidRPr="00252E07">
        <w:t>The Australian Bureau of Statistics released the first stage of data from the 2021 Census on 28 June 2022. After each Census, the Australian Bureau of Statistics uses the new information to update the estimated resident population for Australia, its states and territories and all sub</w:t>
      </w:r>
      <w:r w:rsidR="00A472F5" w:rsidRPr="00252E07">
        <w:t>-</w:t>
      </w:r>
      <w:r w:rsidRPr="00252E07">
        <w:t>state geographies (referred to as ‘rebasing’). The A</w:t>
      </w:r>
      <w:r w:rsidR="00770AD1">
        <w:t>ustralian Bureau of Statistics</w:t>
      </w:r>
      <w:r w:rsidRPr="00252E07">
        <w:t xml:space="preserve"> ha</w:t>
      </w:r>
      <w:r w:rsidR="00770AD1">
        <w:t>s</w:t>
      </w:r>
      <w:r w:rsidRPr="00252E07">
        <w:t xml:space="preserve"> rebased the estimated population at 30 June 2021, which has provided a more accurate base from which to estimate population and has led to a revised understanding of population growth over the intercensal period (30 September 2016 to 30 June 2021).</w:t>
      </w:r>
      <w:r w:rsidRPr="00252E07">
        <w:rPr>
          <w:rStyle w:val="FootnoteReference"/>
          <w:rFonts w:eastAsia="Times New Roman" w:cs="Times New Roman"/>
        </w:rPr>
        <w:footnoteReference w:id="50"/>
      </w:r>
    </w:p>
    <w:p w14:paraId="4FB53DE5" w14:textId="570DD454" w:rsidR="00BD5FCA" w:rsidRPr="00252E07" w:rsidRDefault="00BD5FCA" w:rsidP="00BD5FCA">
      <w:pPr>
        <w:rPr>
          <w:rFonts w:ascii="Calibri" w:eastAsia="Times New Roman" w:hAnsi="Calibri" w:cs="Times New Roman"/>
        </w:rPr>
      </w:pPr>
      <w:r w:rsidRPr="00252E07">
        <w:t xml:space="preserve">The difference between the rebased estimated population and the previously published estimates is referred to as the ‘intercensal difference’. </w:t>
      </w:r>
      <w:r w:rsidR="00A430A7">
        <w:t>Currently</w:t>
      </w:r>
      <w:r w:rsidR="00BB3E37">
        <w:t>,</w:t>
      </w:r>
      <w:r w:rsidR="00A430A7">
        <w:t xml:space="preserve"> the intercensal difference is preliminary, with the Australian Bureau of </w:t>
      </w:r>
      <w:r w:rsidR="00F20909">
        <w:t>Statistics</w:t>
      </w:r>
      <w:r w:rsidR="00A430A7">
        <w:t xml:space="preserve"> finalising </w:t>
      </w:r>
      <w:r w:rsidR="00F20909">
        <w:t>all intercensal estimates in June 2023</w:t>
      </w:r>
      <w:r w:rsidRPr="00252E07">
        <w:t xml:space="preserve">. </w:t>
      </w:r>
      <w:r w:rsidRPr="00252E07">
        <w:rPr>
          <w:rFonts w:ascii="Calibri" w:eastAsia="Times New Roman" w:hAnsi="Calibri" w:cs="Times New Roman"/>
        </w:rPr>
        <w:t xml:space="preserve">The </w:t>
      </w:r>
      <w:r w:rsidRPr="00252E07">
        <w:t xml:space="preserve">Australian Bureau of Statistics </w:t>
      </w:r>
      <w:r w:rsidRPr="00252E07">
        <w:rPr>
          <w:rFonts w:ascii="Calibri" w:eastAsia="Times New Roman" w:hAnsi="Calibri" w:cs="Times New Roman"/>
        </w:rPr>
        <w:t xml:space="preserve">does not attribute the intercensal difference to any particular component of population change and </w:t>
      </w:r>
      <w:r w:rsidR="00A430A7">
        <w:rPr>
          <w:rFonts w:ascii="Calibri" w:eastAsia="Times New Roman" w:hAnsi="Calibri" w:cs="Times New Roman"/>
        </w:rPr>
        <w:t>usually</w:t>
      </w:r>
      <w:r w:rsidRPr="00252E07">
        <w:rPr>
          <w:rFonts w:ascii="Calibri" w:eastAsia="Times New Roman" w:hAnsi="Calibri" w:cs="Times New Roman"/>
        </w:rPr>
        <w:t xml:space="preserve"> assumes that it accumulates evenly over the intercensal period</w:t>
      </w:r>
      <w:r w:rsidR="001B2FB0">
        <w:rPr>
          <w:rFonts w:ascii="Calibri" w:eastAsia="Times New Roman" w:hAnsi="Calibri" w:cs="Times New Roman"/>
        </w:rPr>
        <w:t>.</w:t>
      </w:r>
      <w:r w:rsidR="00A430A7">
        <w:rPr>
          <w:rFonts w:ascii="Calibri" w:eastAsia="Times New Roman" w:hAnsi="Calibri" w:cs="Times New Roman"/>
        </w:rPr>
        <w:t xml:space="preserve"> </w:t>
      </w:r>
      <w:r w:rsidR="001B2FB0">
        <w:rPr>
          <w:rFonts w:ascii="Calibri" w:eastAsia="Times New Roman" w:hAnsi="Calibri" w:cs="Times New Roman"/>
        </w:rPr>
        <w:t>H</w:t>
      </w:r>
      <w:r w:rsidR="00114251">
        <w:rPr>
          <w:rFonts w:ascii="Calibri" w:eastAsia="Times New Roman" w:hAnsi="Calibri" w:cs="Times New Roman"/>
        </w:rPr>
        <w:t>owever</w:t>
      </w:r>
      <w:r w:rsidR="001B2FB0">
        <w:rPr>
          <w:rFonts w:ascii="Calibri" w:eastAsia="Times New Roman" w:hAnsi="Calibri" w:cs="Times New Roman"/>
        </w:rPr>
        <w:t>,</w:t>
      </w:r>
      <w:r w:rsidR="00114251">
        <w:rPr>
          <w:rFonts w:ascii="Calibri" w:eastAsia="Times New Roman" w:hAnsi="Calibri" w:cs="Times New Roman"/>
        </w:rPr>
        <w:t xml:space="preserve"> </w:t>
      </w:r>
      <w:r w:rsidR="00A430A7">
        <w:rPr>
          <w:rFonts w:ascii="Calibri" w:eastAsia="Times New Roman" w:hAnsi="Calibri" w:cs="Times New Roman"/>
        </w:rPr>
        <w:t>the recent rebasing did apply an uneven distribution of intercensal difference in the case of Tasmania and the Australian Capital Territory</w:t>
      </w:r>
      <w:r w:rsidRPr="00252E07">
        <w:rPr>
          <w:rFonts w:ascii="Calibri" w:eastAsia="Times New Roman" w:hAnsi="Calibri" w:cs="Times New Roman"/>
        </w:rPr>
        <w:t>. The intercensal difference may result from error in the starting population estimate, the end population estimate and quarterly estimates of the components of growth.</w:t>
      </w:r>
    </w:p>
    <w:p w14:paraId="77146410" w14:textId="238B4347" w:rsidR="00BD5FCA" w:rsidRPr="00252E07" w:rsidRDefault="00BD5FCA" w:rsidP="00BD5FCA">
      <w:pPr>
        <w:rPr>
          <w:rFonts w:ascii="Calibri" w:eastAsia="Times New Roman" w:hAnsi="Calibri" w:cs="Times New Roman"/>
        </w:rPr>
      </w:pPr>
      <w:r w:rsidRPr="00252E07">
        <w:t>The preliminary rebased estimated population</w:t>
      </w:r>
      <w:r w:rsidRPr="00252E07" w:rsidDel="00E832B8">
        <w:t xml:space="preserve"> </w:t>
      </w:r>
      <w:r w:rsidRPr="00252E07">
        <w:t>for Australia on 30 June 2021 was 25,688,000. This was a downward revision of 50,000 (or 0.2 per cent) from the 2016 Census</w:t>
      </w:r>
      <w:r w:rsidR="00A472F5" w:rsidRPr="00252E07">
        <w:t>-</w:t>
      </w:r>
      <w:r w:rsidRPr="00252E07">
        <w:t xml:space="preserve">based estimate. </w:t>
      </w:r>
      <w:r w:rsidRPr="00252E07">
        <w:rPr>
          <w:rFonts w:ascii="Calibri" w:eastAsia="Times New Roman" w:hAnsi="Calibri" w:cs="Times New Roman"/>
        </w:rPr>
        <w:t>Compared with the national</w:t>
      </w:r>
      <w:r w:rsidR="00A472F5" w:rsidRPr="00252E07">
        <w:rPr>
          <w:rFonts w:ascii="Calibri" w:eastAsia="Times New Roman" w:hAnsi="Calibri" w:cs="Times New Roman"/>
        </w:rPr>
        <w:t>-</w:t>
      </w:r>
      <w:r w:rsidRPr="00252E07">
        <w:rPr>
          <w:rFonts w:ascii="Calibri" w:eastAsia="Times New Roman" w:hAnsi="Calibri" w:cs="Times New Roman"/>
        </w:rPr>
        <w:t xml:space="preserve">level, revisions to state and territory population estimates were more significant. The populations of the </w:t>
      </w:r>
      <w:r w:rsidR="00257FC8">
        <w:rPr>
          <w:rFonts w:ascii="Calibri" w:eastAsia="Times New Roman" w:hAnsi="Calibri" w:cs="Times New Roman"/>
        </w:rPr>
        <w:t>2</w:t>
      </w:r>
      <w:r w:rsidR="00257FC8" w:rsidRPr="00252E07">
        <w:rPr>
          <w:rFonts w:ascii="Calibri" w:eastAsia="Times New Roman" w:hAnsi="Calibri" w:cs="Times New Roman"/>
        </w:rPr>
        <w:t xml:space="preserve"> </w:t>
      </w:r>
      <w:r w:rsidRPr="00252E07">
        <w:rPr>
          <w:rFonts w:ascii="Calibri" w:eastAsia="Times New Roman" w:hAnsi="Calibri" w:cs="Times New Roman"/>
        </w:rPr>
        <w:t>large</w:t>
      </w:r>
      <w:r w:rsidR="00257FC8">
        <w:rPr>
          <w:rFonts w:ascii="Calibri" w:eastAsia="Times New Roman" w:hAnsi="Calibri" w:cs="Times New Roman"/>
        </w:rPr>
        <w:t>st</w:t>
      </w:r>
      <w:r w:rsidRPr="00252E07">
        <w:rPr>
          <w:rFonts w:ascii="Calibri" w:eastAsia="Times New Roman" w:hAnsi="Calibri" w:cs="Times New Roman"/>
        </w:rPr>
        <w:t xml:space="preserve"> states (Victoria and New South Wales) were revised down, </w:t>
      </w:r>
      <w:r w:rsidR="00A472F5" w:rsidRPr="00252E07">
        <w:rPr>
          <w:rFonts w:ascii="Calibri" w:eastAsia="Times New Roman" w:hAnsi="Calibri" w:cs="Times New Roman"/>
        </w:rPr>
        <w:t xml:space="preserve">while </w:t>
      </w:r>
      <w:r w:rsidRPr="00252E07">
        <w:rPr>
          <w:rFonts w:ascii="Calibri" w:eastAsia="Times New Roman" w:hAnsi="Calibri" w:cs="Times New Roman"/>
        </w:rPr>
        <w:t>Queensland was largely unchanged. The smaller states and territories were revised up. The largest revisions were of around 5 per cent to the Australian Capital Territory and Tasmania.</w:t>
      </w:r>
    </w:p>
    <w:p w14:paraId="644FACE7" w14:textId="4553BD76" w:rsidR="00BD5FCA" w:rsidRPr="00252E07" w:rsidRDefault="00BD5FCA" w:rsidP="00BD5FCA">
      <w:r w:rsidRPr="00252E07">
        <w:t>Rebasing has also significantly changed population growth at the state and territory level</w:t>
      </w:r>
      <w:r w:rsidR="001337FC">
        <w:t xml:space="preserve"> (</w:t>
      </w:r>
      <w:r w:rsidR="002C2CC1">
        <w:t>Chart 43</w:t>
      </w:r>
      <w:r w:rsidR="001337FC">
        <w:t>)</w:t>
      </w:r>
      <w:r w:rsidRPr="00252E07">
        <w:t xml:space="preserve">. Prior to rebasing, Victoria and Queensland had been estimated to be growing the fastest during the intercensal period, with an average annual growth rate of 1.5 per cent. Following the revisions, the Australian Capital Territory and Tasmania were the fastest growing jurisdictions over the intercensal period, with both having growth rates revised up by a percentage point. </w:t>
      </w:r>
    </w:p>
    <w:p w14:paraId="5FA8F3C1" w14:textId="5781FEFE" w:rsidR="00BD5FCA" w:rsidRPr="00116886" w:rsidRDefault="00BD5FCA" w:rsidP="00BD5FCA">
      <w:r w:rsidRPr="00252E07">
        <w:t xml:space="preserve">These revisions have resulted in estimates of growth in the Australian Capital Territory (from the March quarter 2017 to the September quarter 2018) surpassing 3 per cent annually, comparable to levels seen in Western Australia during the 2000’s mining boom. Tasmania has moved from being the slowest growing state in the decade prior to 2016 </w:t>
      </w:r>
      <w:r w:rsidR="00252E07" w:rsidRPr="00252E07">
        <w:t xml:space="preserve">to </w:t>
      </w:r>
      <w:r w:rsidRPr="00252E07">
        <w:t>being the second fastest growing state between 2016 and 2021. Western Australia grew as quickly as Queensland, and South Australia experienced slightly higher growth than New South Wales.</w:t>
      </w:r>
    </w:p>
    <w:p w14:paraId="0BC3A9A1" w14:textId="6FA94C37" w:rsidR="003D37A4" w:rsidRPr="001E4102" w:rsidRDefault="00410B57" w:rsidP="00CE7098">
      <w:pPr>
        <w:pStyle w:val="Heading9"/>
      </w:pPr>
      <w:bookmarkStart w:id="221" w:name="_Ref120113597"/>
      <w:r>
        <w:lastRenderedPageBreak/>
        <w:t>Population g</w:t>
      </w:r>
      <w:r w:rsidR="00F8527E" w:rsidRPr="00116886">
        <w:t>rowth during intercensal period,</w:t>
      </w:r>
      <w:bookmarkEnd w:id="221"/>
      <w:r>
        <w:t xml:space="preserve"> states and territories</w:t>
      </w:r>
    </w:p>
    <w:tbl>
      <w:tblPr>
        <w:tblStyle w:val="TableGrid"/>
        <w:tblW w:w="0" w:type="auto"/>
        <w:tblLayout w:type="fixed"/>
        <w:tblLook w:val="04A0" w:firstRow="1" w:lastRow="0" w:firstColumn="1" w:lastColumn="0" w:noHBand="0" w:noVBand="1"/>
      </w:tblPr>
      <w:tblGrid>
        <w:gridCol w:w="4446"/>
        <w:gridCol w:w="236"/>
        <w:gridCol w:w="4404"/>
      </w:tblGrid>
      <w:tr w:rsidR="004625E3" w:rsidRPr="0080495D" w14:paraId="3FC186CF" w14:textId="77777777" w:rsidTr="0071563D">
        <w:tc>
          <w:tcPr>
            <w:tcW w:w="4446" w:type="dxa"/>
            <w:shd w:val="clear" w:color="auto" w:fill="auto"/>
          </w:tcPr>
          <w:p w14:paraId="6BEA4985" w14:textId="4E37EE28" w:rsidR="004625E3" w:rsidRPr="0080495D" w:rsidRDefault="003926B4" w:rsidP="0071563D">
            <w:pPr>
              <w:spacing w:before="0" w:after="0"/>
              <w:jc w:val="center"/>
            </w:pPr>
            <w:r w:rsidRPr="003926B4">
              <w:rPr>
                <w:noProof/>
              </w:rPr>
              <w:drawing>
                <wp:inline distT="0" distB="0" distL="0" distR="0" wp14:anchorId="31DC4C52" wp14:editId="21034549">
                  <wp:extent cx="2686050" cy="2933700"/>
                  <wp:effectExtent l="0" t="0" r="0" b="0"/>
                  <wp:docPr id="109" name="Picture 109" descr="A chart showing that population growth in Victoria and New South Wales declined over the intercensal period while it increased in the Australian Capital Territory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A chart showing that population growth in Victoria and New South Wales declined over the intercensal period while it increased in the Australian Capital Territory and Tasmani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86050" cy="2933700"/>
                          </a:xfrm>
                          <a:prstGeom prst="rect">
                            <a:avLst/>
                          </a:prstGeom>
                          <a:noFill/>
                          <a:ln>
                            <a:noFill/>
                          </a:ln>
                        </pic:spPr>
                      </pic:pic>
                    </a:graphicData>
                  </a:graphic>
                </wp:inline>
              </w:drawing>
            </w:r>
          </w:p>
        </w:tc>
        <w:tc>
          <w:tcPr>
            <w:tcW w:w="222" w:type="dxa"/>
            <w:shd w:val="clear" w:color="auto" w:fill="auto"/>
          </w:tcPr>
          <w:p w14:paraId="16135181" w14:textId="77777777" w:rsidR="004625E3" w:rsidRPr="0080495D" w:rsidRDefault="004625E3" w:rsidP="0071563D">
            <w:pPr>
              <w:spacing w:before="0" w:after="0"/>
              <w:rPr>
                <w:color w:val="002C47" w:themeColor="accent1"/>
              </w:rPr>
            </w:pPr>
          </w:p>
        </w:tc>
        <w:tc>
          <w:tcPr>
            <w:tcW w:w="4404" w:type="dxa"/>
            <w:shd w:val="clear" w:color="auto" w:fill="auto"/>
          </w:tcPr>
          <w:p w14:paraId="7E2A81C6" w14:textId="4EFC91D4" w:rsidR="004625E3" w:rsidRPr="0080495D" w:rsidRDefault="003926B4" w:rsidP="0071563D">
            <w:pPr>
              <w:spacing w:before="0" w:after="0"/>
              <w:jc w:val="center"/>
            </w:pPr>
            <w:r w:rsidRPr="003926B4">
              <w:rPr>
                <w:noProof/>
              </w:rPr>
              <w:drawing>
                <wp:inline distT="0" distB="0" distL="0" distR="0" wp14:anchorId="760BD904" wp14:editId="4BFD2201">
                  <wp:extent cx="2657475" cy="2914650"/>
                  <wp:effectExtent l="0" t="0" r="0"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57475" cy="2914650"/>
                          </a:xfrm>
                          <a:prstGeom prst="rect">
                            <a:avLst/>
                          </a:prstGeom>
                          <a:noFill/>
                          <a:ln>
                            <a:noFill/>
                          </a:ln>
                        </pic:spPr>
                      </pic:pic>
                    </a:graphicData>
                  </a:graphic>
                </wp:inline>
              </w:drawing>
            </w:r>
          </w:p>
        </w:tc>
      </w:tr>
    </w:tbl>
    <w:p w14:paraId="3FF44A0A" w14:textId="24E7559E" w:rsidR="00F8527E" w:rsidRPr="00116886" w:rsidRDefault="00F8527E" w:rsidP="00F8527E">
      <w:pPr>
        <w:pStyle w:val="Source"/>
        <w:rPr>
          <w:color w:val="0563C1"/>
          <w:szCs w:val="18"/>
        </w:rPr>
      </w:pPr>
      <w:r w:rsidRPr="00116886">
        <w:rPr>
          <w:szCs w:val="18"/>
        </w:rPr>
        <w:t>Source:</w:t>
      </w:r>
      <w:r w:rsidRPr="00116886">
        <w:t xml:space="preserve"> </w:t>
      </w:r>
      <w:r w:rsidR="009946E8">
        <w:rPr>
          <w:noProof/>
        </w:rPr>
        <w:t>Australian Bureau of Statistics, National, state and territory population, March 2022, 2022</w:t>
      </w:r>
      <w:r w:rsidR="003B218D">
        <w:t>.</w:t>
      </w:r>
    </w:p>
    <w:p w14:paraId="0AD03C2A" w14:textId="51121D5E" w:rsidR="004E1230" w:rsidRDefault="00EF001A" w:rsidP="004332DF">
      <w:r w:rsidRPr="00252E07">
        <w:t xml:space="preserve">These revisions also changed the age structure of the population. The largest change occurred in Tasmania, where the median age dropped from 42.7 to 41.6 years, a low last observed in 2014. Tasmania has the oldest population in Australia as a large share of young adult Tasmanians traditionally leave the state to pursue opportunities on the mainland. However, the revisions to the population saw a 16 per cent increase in the cohort aged 25 to 40 years, resulting in a population that is younger than expected prior to rebasing. </w:t>
      </w:r>
    </w:p>
    <w:p w14:paraId="3EFD89C6" w14:textId="77777777" w:rsidR="004E1230" w:rsidRDefault="004E1230">
      <w:pPr>
        <w:spacing w:before="0" w:after="160" w:line="259" w:lineRule="auto"/>
      </w:pPr>
      <w:r>
        <w:br w:type="page"/>
      </w:r>
    </w:p>
    <w:p w14:paraId="1A8A9210" w14:textId="77777777" w:rsidR="00EF001A" w:rsidRPr="000051DA" w:rsidRDefault="00EF001A" w:rsidP="004332DF"/>
    <w:p w14:paraId="71A0E09C" w14:textId="5C153A01" w:rsidR="00EF001A" w:rsidRPr="00252E07" w:rsidRDefault="00EF001A" w:rsidP="005540BC">
      <w:pPr>
        <w:pStyle w:val="TableMainHeading"/>
      </w:pPr>
      <w:bookmarkStart w:id="222" w:name="_Ref118138219"/>
      <w:r w:rsidRPr="00252E07">
        <w:t xml:space="preserve">Change in </w:t>
      </w:r>
      <w:r w:rsidR="00AA5EC6">
        <w:t>m</w:t>
      </w:r>
      <w:r w:rsidRPr="00252E07">
        <w:t xml:space="preserve">edian </w:t>
      </w:r>
      <w:r w:rsidR="00AA5EC6">
        <w:t>a</w:t>
      </w:r>
      <w:r w:rsidRPr="00252E07">
        <w:t>ge</w:t>
      </w:r>
      <w:bookmarkEnd w:id="222"/>
      <w:r w:rsidR="00F56947">
        <w:t>, states and territories</w:t>
      </w:r>
      <w:r w:rsidRPr="00252E07">
        <w:t xml:space="preserve"> </w:t>
      </w:r>
    </w:p>
    <w:tbl>
      <w:tblPr>
        <w:tblStyle w:val="TableGrid"/>
        <w:tblW w:w="5000" w:type="pct"/>
        <w:tblLook w:val="04A0" w:firstRow="1" w:lastRow="0" w:firstColumn="1" w:lastColumn="0" w:noHBand="0" w:noVBand="1"/>
        <w:tblCaption w:val="Table"/>
      </w:tblPr>
      <w:tblGrid>
        <w:gridCol w:w="2321"/>
        <w:gridCol w:w="749"/>
        <w:gridCol w:w="750"/>
        <w:gridCol w:w="750"/>
        <w:gridCol w:w="750"/>
        <w:gridCol w:w="750"/>
        <w:gridCol w:w="750"/>
        <w:gridCol w:w="750"/>
        <w:gridCol w:w="750"/>
        <w:gridCol w:w="750"/>
      </w:tblGrid>
      <w:tr w:rsidR="00EF001A" w:rsidRPr="0080495D" w14:paraId="65A771DA" w14:textId="77777777" w:rsidTr="005C264F">
        <w:tc>
          <w:tcPr>
            <w:tcW w:w="2323" w:type="dxa"/>
            <w:tcBorders>
              <w:top w:val="single" w:sz="6" w:space="0" w:color="auto"/>
              <w:bottom w:val="single" w:sz="6" w:space="0" w:color="auto"/>
            </w:tcBorders>
            <w:shd w:val="clear" w:color="auto" w:fill="auto"/>
            <w:vAlign w:val="bottom"/>
          </w:tcPr>
          <w:p w14:paraId="43D5BA35" w14:textId="77777777" w:rsidR="00EF001A" w:rsidRPr="00252E07" w:rsidRDefault="00EF001A" w:rsidP="00AA74B9">
            <w:pPr>
              <w:spacing w:before="0" w:after="0"/>
            </w:pPr>
          </w:p>
        </w:tc>
        <w:tc>
          <w:tcPr>
            <w:tcW w:w="749" w:type="dxa"/>
            <w:tcBorders>
              <w:top w:val="single" w:sz="6" w:space="0" w:color="auto"/>
              <w:bottom w:val="single" w:sz="6" w:space="0" w:color="auto"/>
            </w:tcBorders>
            <w:shd w:val="clear" w:color="auto" w:fill="auto"/>
            <w:vAlign w:val="bottom"/>
          </w:tcPr>
          <w:p w14:paraId="79554EB4" w14:textId="77777777" w:rsidR="00EF001A" w:rsidRPr="005C264F" w:rsidRDefault="00EF001A" w:rsidP="005C264F">
            <w:pPr>
              <w:pStyle w:val="TableColumnHeadingLeft"/>
            </w:pPr>
            <w:r w:rsidRPr="005C264F">
              <w:t>NSW</w:t>
            </w:r>
          </w:p>
        </w:tc>
        <w:tc>
          <w:tcPr>
            <w:tcW w:w="750" w:type="dxa"/>
            <w:tcBorders>
              <w:top w:val="single" w:sz="6" w:space="0" w:color="auto"/>
              <w:bottom w:val="single" w:sz="6" w:space="0" w:color="auto"/>
            </w:tcBorders>
            <w:shd w:val="clear" w:color="auto" w:fill="auto"/>
            <w:vAlign w:val="bottom"/>
          </w:tcPr>
          <w:p w14:paraId="58B94C38" w14:textId="77777777" w:rsidR="00EF001A" w:rsidRPr="005C264F" w:rsidRDefault="00EF001A" w:rsidP="005C264F">
            <w:pPr>
              <w:pStyle w:val="TableColumnHeadingLeft"/>
            </w:pPr>
            <w:r w:rsidRPr="005C264F">
              <w:t>VIC</w:t>
            </w:r>
          </w:p>
        </w:tc>
        <w:tc>
          <w:tcPr>
            <w:tcW w:w="750" w:type="dxa"/>
            <w:tcBorders>
              <w:top w:val="single" w:sz="6" w:space="0" w:color="auto"/>
              <w:bottom w:val="single" w:sz="6" w:space="0" w:color="auto"/>
            </w:tcBorders>
            <w:shd w:val="clear" w:color="auto" w:fill="auto"/>
            <w:vAlign w:val="bottom"/>
          </w:tcPr>
          <w:p w14:paraId="57ADF1DC" w14:textId="77777777" w:rsidR="00EF001A" w:rsidRPr="005C264F" w:rsidRDefault="00EF001A" w:rsidP="005C264F">
            <w:pPr>
              <w:pStyle w:val="TableColumnHeadingLeft"/>
            </w:pPr>
            <w:r w:rsidRPr="005C264F">
              <w:t>QLD</w:t>
            </w:r>
          </w:p>
        </w:tc>
        <w:tc>
          <w:tcPr>
            <w:tcW w:w="750" w:type="dxa"/>
            <w:tcBorders>
              <w:top w:val="single" w:sz="6" w:space="0" w:color="auto"/>
              <w:bottom w:val="single" w:sz="6" w:space="0" w:color="auto"/>
            </w:tcBorders>
            <w:shd w:val="clear" w:color="auto" w:fill="auto"/>
            <w:vAlign w:val="bottom"/>
          </w:tcPr>
          <w:p w14:paraId="472465E1" w14:textId="77777777" w:rsidR="00EF001A" w:rsidRPr="005C264F" w:rsidRDefault="00EF001A" w:rsidP="005C264F">
            <w:pPr>
              <w:pStyle w:val="TableColumnHeadingLeft"/>
            </w:pPr>
            <w:r w:rsidRPr="005C264F">
              <w:t>SA</w:t>
            </w:r>
          </w:p>
        </w:tc>
        <w:tc>
          <w:tcPr>
            <w:tcW w:w="750" w:type="dxa"/>
            <w:tcBorders>
              <w:top w:val="single" w:sz="6" w:space="0" w:color="auto"/>
              <w:bottom w:val="single" w:sz="6" w:space="0" w:color="auto"/>
            </w:tcBorders>
            <w:shd w:val="clear" w:color="auto" w:fill="auto"/>
            <w:vAlign w:val="bottom"/>
          </w:tcPr>
          <w:p w14:paraId="5A654439" w14:textId="77777777" w:rsidR="00EF001A" w:rsidRPr="005C264F" w:rsidRDefault="00EF001A" w:rsidP="005C264F">
            <w:pPr>
              <w:pStyle w:val="TableColumnHeadingLeft"/>
            </w:pPr>
            <w:r w:rsidRPr="005C264F">
              <w:t>WA</w:t>
            </w:r>
          </w:p>
        </w:tc>
        <w:tc>
          <w:tcPr>
            <w:tcW w:w="750" w:type="dxa"/>
            <w:tcBorders>
              <w:top w:val="single" w:sz="6" w:space="0" w:color="auto"/>
              <w:bottom w:val="single" w:sz="6" w:space="0" w:color="auto"/>
            </w:tcBorders>
            <w:shd w:val="clear" w:color="auto" w:fill="auto"/>
            <w:vAlign w:val="bottom"/>
          </w:tcPr>
          <w:p w14:paraId="79F73697" w14:textId="77777777" w:rsidR="00EF001A" w:rsidRPr="005C264F" w:rsidRDefault="00EF001A" w:rsidP="005C264F">
            <w:pPr>
              <w:pStyle w:val="TableColumnHeadingLeft"/>
            </w:pPr>
            <w:r w:rsidRPr="005C264F">
              <w:t>TAS</w:t>
            </w:r>
          </w:p>
        </w:tc>
        <w:tc>
          <w:tcPr>
            <w:tcW w:w="750" w:type="dxa"/>
            <w:tcBorders>
              <w:top w:val="single" w:sz="6" w:space="0" w:color="auto"/>
              <w:bottom w:val="single" w:sz="6" w:space="0" w:color="auto"/>
            </w:tcBorders>
            <w:shd w:val="clear" w:color="auto" w:fill="auto"/>
            <w:vAlign w:val="bottom"/>
          </w:tcPr>
          <w:p w14:paraId="1BF630AD" w14:textId="77777777" w:rsidR="00EF001A" w:rsidRPr="005C264F" w:rsidRDefault="00EF001A" w:rsidP="005C264F">
            <w:pPr>
              <w:pStyle w:val="TableColumnHeadingLeft"/>
            </w:pPr>
            <w:r w:rsidRPr="005C264F">
              <w:t>NT</w:t>
            </w:r>
          </w:p>
        </w:tc>
        <w:tc>
          <w:tcPr>
            <w:tcW w:w="750" w:type="dxa"/>
            <w:tcBorders>
              <w:top w:val="single" w:sz="6" w:space="0" w:color="auto"/>
              <w:bottom w:val="single" w:sz="6" w:space="0" w:color="auto"/>
            </w:tcBorders>
            <w:shd w:val="clear" w:color="auto" w:fill="auto"/>
            <w:vAlign w:val="bottom"/>
          </w:tcPr>
          <w:p w14:paraId="4EB60D07" w14:textId="77777777" w:rsidR="00EF001A" w:rsidRPr="005C264F" w:rsidRDefault="00EF001A" w:rsidP="005C264F">
            <w:pPr>
              <w:pStyle w:val="TableColumnHeadingLeft"/>
            </w:pPr>
            <w:r w:rsidRPr="005C264F">
              <w:t>ACT</w:t>
            </w:r>
          </w:p>
        </w:tc>
        <w:tc>
          <w:tcPr>
            <w:tcW w:w="750" w:type="dxa"/>
            <w:tcBorders>
              <w:top w:val="single" w:sz="6" w:space="0" w:color="auto"/>
              <w:bottom w:val="single" w:sz="6" w:space="0" w:color="auto"/>
            </w:tcBorders>
            <w:shd w:val="clear" w:color="auto" w:fill="auto"/>
            <w:vAlign w:val="bottom"/>
          </w:tcPr>
          <w:p w14:paraId="391E9784" w14:textId="77777777" w:rsidR="00EF001A" w:rsidRPr="005C264F" w:rsidRDefault="00EF001A" w:rsidP="005C264F">
            <w:pPr>
              <w:pStyle w:val="TableColumnHeadingLeft"/>
            </w:pPr>
            <w:r w:rsidRPr="005C264F">
              <w:t>Aust.</w:t>
            </w:r>
          </w:p>
        </w:tc>
      </w:tr>
      <w:tr w:rsidR="00EF001A" w:rsidRPr="0080495D" w14:paraId="70369E62" w14:textId="77777777" w:rsidTr="005C264F">
        <w:tc>
          <w:tcPr>
            <w:tcW w:w="2323" w:type="dxa"/>
            <w:tcBorders>
              <w:top w:val="single" w:sz="6" w:space="0" w:color="auto"/>
            </w:tcBorders>
            <w:shd w:val="clear" w:color="auto" w:fill="auto"/>
            <w:vAlign w:val="bottom"/>
          </w:tcPr>
          <w:p w14:paraId="63C79C4C" w14:textId="77777777" w:rsidR="00EF001A" w:rsidRPr="00B86FE8" w:rsidRDefault="00EF001A" w:rsidP="005C264F">
            <w:pPr>
              <w:pStyle w:val="TableTextLeft"/>
              <w:rPr>
                <w:color w:val="002C47" w:themeColor="accent1"/>
              </w:rPr>
            </w:pPr>
            <w:r w:rsidRPr="00B86FE8">
              <w:rPr>
                <w:color w:val="002C47" w:themeColor="accent1"/>
              </w:rPr>
              <w:t>2016 based median age</w:t>
            </w:r>
          </w:p>
        </w:tc>
        <w:tc>
          <w:tcPr>
            <w:tcW w:w="749" w:type="dxa"/>
            <w:tcBorders>
              <w:top w:val="single" w:sz="6" w:space="0" w:color="auto"/>
            </w:tcBorders>
            <w:shd w:val="clear" w:color="auto" w:fill="auto"/>
            <w:vAlign w:val="center"/>
          </w:tcPr>
          <w:p w14:paraId="7BC40338" w14:textId="77777777" w:rsidR="00EF001A" w:rsidRPr="00252E07" w:rsidRDefault="00EF001A" w:rsidP="000649FA">
            <w:pPr>
              <w:pStyle w:val="TableTextLeft"/>
              <w:jc w:val="right"/>
            </w:pPr>
            <w:r w:rsidRPr="00252E07">
              <w:t>38.4</w:t>
            </w:r>
          </w:p>
        </w:tc>
        <w:tc>
          <w:tcPr>
            <w:tcW w:w="750" w:type="dxa"/>
            <w:tcBorders>
              <w:top w:val="single" w:sz="6" w:space="0" w:color="auto"/>
            </w:tcBorders>
            <w:shd w:val="clear" w:color="auto" w:fill="auto"/>
            <w:vAlign w:val="center"/>
          </w:tcPr>
          <w:p w14:paraId="29BC85F6" w14:textId="77777777" w:rsidR="00EF001A" w:rsidRPr="00252E07" w:rsidRDefault="00EF001A" w:rsidP="000649FA">
            <w:pPr>
              <w:pStyle w:val="TableTextLeft"/>
              <w:jc w:val="right"/>
            </w:pPr>
            <w:r w:rsidRPr="00252E07">
              <w:t>37.7</w:t>
            </w:r>
          </w:p>
        </w:tc>
        <w:tc>
          <w:tcPr>
            <w:tcW w:w="750" w:type="dxa"/>
            <w:tcBorders>
              <w:top w:val="single" w:sz="6" w:space="0" w:color="auto"/>
            </w:tcBorders>
            <w:shd w:val="clear" w:color="auto" w:fill="auto"/>
            <w:vAlign w:val="center"/>
          </w:tcPr>
          <w:p w14:paraId="406C09B4" w14:textId="77777777" w:rsidR="00EF001A" w:rsidRPr="00252E07" w:rsidRDefault="00EF001A" w:rsidP="000649FA">
            <w:pPr>
              <w:pStyle w:val="TableTextLeft"/>
              <w:jc w:val="right"/>
            </w:pPr>
            <w:r w:rsidRPr="00252E07">
              <w:t>38.2</w:t>
            </w:r>
          </w:p>
        </w:tc>
        <w:tc>
          <w:tcPr>
            <w:tcW w:w="750" w:type="dxa"/>
            <w:tcBorders>
              <w:top w:val="single" w:sz="6" w:space="0" w:color="auto"/>
            </w:tcBorders>
            <w:shd w:val="clear" w:color="auto" w:fill="auto"/>
            <w:vAlign w:val="center"/>
          </w:tcPr>
          <w:p w14:paraId="0BBD2858" w14:textId="77777777" w:rsidR="00EF001A" w:rsidRPr="00252E07" w:rsidRDefault="00EF001A" w:rsidP="000649FA">
            <w:pPr>
              <w:pStyle w:val="TableTextLeft"/>
              <w:jc w:val="right"/>
            </w:pPr>
            <w:r w:rsidRPr="00252E07">
              <w:t>40.7</w:t>
            </w:r>
          </w:p>
        </w:tc>
        <w:tc>
          <w:tcPr>
            <w:tcW w:w="750" w:type="dxa"/>
            <w:tcBorders>
              <w:top w:val="single" w:sz="6" w:space="0" w:color="auto"/>
            </w:tcBorders>
            <w:shd w:val="clear" w:color="auto" w:fill="auto"/>
            <w:vAlign w:val="center"/>
          </w:tcPr>
          <w:p w14:paraId="72C1654C" w14:textId="77777777" w:rsidR="00EF001A" w:rsidRPr="00252E07" w:rsidRDefault="00EF001A" w:rsidP="000649FA">
            <w:pPr>
              <w:pStyle w:val="TableTextLeft"/>
              <w:jc w:val="right"/>
            </w:pPr>
            <w:r w:rsidRPr="00252E07">
              <w:t>38.0</w:t>
            </w:r>
          </w:p>
        </w:tc>
        <w:tc>
          <w:tcPr>
            <w:tcW w:w="750" w:type="dxa"/>
            <w:tcBorders>
              <w:top w:val="single" w:sz="6" w:space="0" w:color="auto"/>
            </w:tcBorders>
            <w:shd w:val="clear" w:color="auto" w:fill="auto"/>
            <w:vAlign w:val="center"/>
          </w:tcPr>
          <w:p w14:paraId="005810B2" w14:textId="77777777" w:rsidR="00EF001A" w:rsidRPr="00252E07" w:rsidRDefault="00EF001A" w:rsidP="000649FA">
            <w:pPr>
              <w:pStyle w:val="TableTextLeft"/>
              <w:jc w:val="right"/>
            </w:pPr>
            <w:r w:rsidRPr="00252E07">
              <w:t>42.7</w:t>
            </w:r>
          </w:p>
        </w:tc>
        <w:tc>
          <w:tcPr>
            <w:tcW w:w="750" w:type="dxa"/>
            <w:tcBorders>
              <w:top w:val="single" w:sz="6" w:space="0" w:color="auto"/>
            </w:tcBorders>
            <w:shd w:val="clear" w:color="auto" w:fill="auto"/>
            <w:vAlign w:val="center"/>
          </w:tcPr>
          <w:p w14:paraId="4D852859" w14:textId="77777777" w:rsidR="00EF001A" w:rsidRPr="00252E07" w:rsidRDefault="00EF001A" w:rsidP="000649FA">
            <w:pPr>
              <w:pStyle w:val="TableTextLeft"/>
              <w:jc w:val="right"/>
            </w:pPr>
            <w:r w:rsidRPr="00252E07">
              <w:t>33.9</w:t>
            </w:r>
          </w:p>
        </w:tc>
        <w:tc>
          <w:tcPr>
            <w:tcW w:w="750" w:type="dxa"/>
            <w:tcBorders>
              <w:top w:val="single" w:sz="6" w:space="0" w:color="auto"/>
            </w:tcBorders>
            <w:shd w:val="clear" w:color="auto" w:fill="auto"/>
            <w:vAlign w:val="center"/>
          </w:tcPr>
          <w:p w14:paraId="0869B434" w14:textId="77777777" w:rsidR="00EF001A" w:rsidRPr="00252E07" w:rsidRDefault="00EF001A" w:rsidP="000649FA">
            <w:pPr>
              <w:pStyle w:val="TableTextLeft"/>
              <w:jc w:val="right"/>
            </w:pPr>
            <w:r w:rsidRPr="00252E07">
              <w:t>36.4</w:t>
            </w:r>
          </w:p>
        </w:tc>
        <w:tc>
          <w:tcPr>
            <w:tcW w:w="750" w:type="dxa"/>
            <w:tcBorders>
              <w:top w:val="single" w:sz="6" w:space="0" w:color="auto"/>
            </w:tcBorders>
            <w:shd w:val="clear" w:color="auto" w:fill="auto"/>
            <w:vAlign w:val="center"/>
          </w:tcPr>
          <w:p w14:paraId="5A32F6E5" w14:textId="77777777" w:rsidR="00EF001A" w:rsidRPr="00252E07" w:rsidRDefault="00EF001A" w:rsidP="000649FA">
            <w:pPr>
              <w:pStyle w:val="TableTextLeft"/>
              <w:jc w:val="right"/>
            </w:pPr>
            <w:r w:rsidRPr="00252E07">
              <w:t>38.2</w:t>
            </w:r>
          </w:p>
        </w:tc>
      </w:tr>
      <w:tr w:rsidR="00EF001A" w:rsidRPr="0080495D" w14:paraId="716B4A47" w14:textId="77777777" w:rsidTr="005C264F">
        <w:tc>
          <w:tcPr>
            <w:tcW w:w="2323" w:type="dxa"/>
            <w:shd w:val="clear" w:color="auto" w:fill="auto"/>
            <w:vAlign w:val="bottom"/>
          </w:tcPr>
          <w:p w14:paraId="7A6704B8" w14:textId="77777777" w:rsidR="00EF001A" w:rsidRPr="00B86FE8" w:rsidRDefault="00EF001A" w:rsidP="005C264F">
            <w:pPr>
              <w:pStyle w:val="TableTextLeft"/>
              <w:rPr>
                <w:color w:val="002C47" w:themeColor="accent1"/>
              </w:rPr>
            </w:pPr>
            <w:r w:rsidRPr="00B86FE8">
              <w:rPr>
                <w:color w:val="002C47" w:themeColor="accent1"/>
              </w:rPr>
              <w:t>2021 based median age</w:t>
            </w:r>
          </w:p>
        </w:tc>
        <w:tc>
          <w:tcPr>
            <w:tcW w:w="749" w:type="dxa"/>
            <w:shd w:val="clear" w:color="auto" w:fill="auto"/>
            <w:vAlign w:val="center"/>
          </w:tcPr>
          <w:p w14:paraId="5D2CEF11" w14:textId="77777777" w:rsidR="00EF001A" w:rsidRPr="00252E07" w:rsidRDefault="00EF001A" w:rsidP="000649FA">
            <w:pPr>
              <w:pStyle w:val="TableTextLeft"/>
              <w:jc w:val="right"/>
            </w:pPr>
            <w:r w:rsidRPr="00252E07">
              <w:t>38.6</w:t>
            </w:r>
          </w:p>
        </w:tc>
        <w:tc>
          <w:tcPr>
            <w:tcW w:w="750" w:type="dxa"/>
            <w:shd w:val="clear" w:color="auto" w:fill="auto"/>
            <w:vAlign w:val="center"/>
          </w:tcPr>
          <w:p w14:paraId="1FDC527E" w14:textId="77777777" w:rsidR="00EF001A" w:rsidRPr="00252E07" w:rsidRDefault="00EF001A" w:rsidP="000649FA">
            <w:pPr>
              <w:pStyle w:val="TableTextLeft"/>
              <w:jc w:val="right"/>
            </w:pPr>
            <w:r w:rsidRPr="00252E07">
              <w:t>37.9</w:t>
            </w:r>
          </w:p>
        </w:tc>
        <w:tc>
          <w:tcPr>
            <w:tcW w:w="750" w:type="dxa"/>
            <w:shd w:val="clear" w:color="auto" w:fill="auto"/>
            <w:vAlign w:val="center"/>
          </w:tcPr>
          <w:p w14:paraId="62557427" w14:textId="77777777" w:rsidR="00EF001A" w:rsidRPr="00252E07" w:rsidRDefault="00EF001A" w:rsidP="000649FA">
            <w:pPr>
              <w:pStyle w:val="TableTextLeft"/>
              <w:jc w:val="right"/>
            </w:pPr>
            <w:r w:rsidRPr="00252E07">
              <w:t>38.4</w:t>
            </w:r>
          </w:p>
        </w:tc>
        <w:tc>
          <w:tcPr>
            <w:tcW w:w="750" w:type="dxa"/>
            <w:shd w:val="clear" w:color="auto" w:fill="auto"/>
            <w:vAlign w:val="center"/>
          </w:tcPr>
          <w:p w14:paraId="0355E7D8" w14:textId="77777777" w:rsidR="00EF001A" w:rsidRPr="00252E07" w:rsidRDefault="00EF001A" w:rsidP="000649FA">
            <w:pPr>
              <w:pStyle w:val="TableTextLeft"/>
              <w:jc w:val="right"/>
            </w:pPr>
            <w:r w:rsidRPr="00252E07">
              <w:t>40.6</w:t>
            </w:r>
          </w:p>
        </w:tc>
        <w:tc>
          <w:tcPr>
            <w:tcW w:w="750" w:type="dxa"/>
            <w:shd w:val="clear" w:color="auto" w:fill="auto"/>
            <w:vAlign w:val="center"/>
          </w:tcPr>
          <w:p w14:paraId="11ABFD9F" w14:textId="77777777" w:rsidR="00EF001A" w:rsidRPr="00252E07" w:rsidRDefault="00EF001A" w:rsidP="000649FA">
            <w:pPr>
              <w:pStyle w:val="TableTextLeft"/>
              <w:jc w:val="right"/>
            </w:pPr>
            <w:r w:rsidRPr="00252E07">
              <w:t>38.0</w:t>
            </w:r>
          </w:p>
        </w:tc>
        <w:tc>
          <w:tcPr>
            <w:tcW w:w="750" w:type="dxa"/>
            <w:shd w:val="clear" w:color="auto" w:fill="auto"/>
            <w:vAlign w:val="center"/>
          </w:tcPr>
          <w:p w14:paraId="0E2D806D" w14:textId="77777777" w:rsidR="00EF001A" w:rsidRPr="00252E07" w:rsidRDefault="00EF001A" w:rsidP="000649FA">
            <w:pPr>
              <w:pStyle w:val="TableTextLeft"/>
              <w:jc w:val="right"/>
            </w:pPr>
            <w:r w:rsidRPr="00252E07">
              <w:t>41.6</w:t>
            </w:r>
          </w:p>
        </w:tc>
        <w:tc>
          <w:tcPr>
            <w:tcW w:w="750" w:type="dxa"/>
            <w:shd w:val="clear" w:color="auto" w:fill="auto"/>
            <w:vAlign w:val="center"/>
          </w:tcPr>
          <w:p w14:paraId="02A489E7" w14:textId="77777777" w:rsidR="00EF001A" w:rsidRPr="00252E07" w:rsidRDefault="00EF001A" w:rsidP="000649FA">
            <w:pPr>
              <w:pStyle w:val="TableTextLeft"/>
              <w:jc w:val="right"/>
            </w:pPr>
            <w:r w:rsidRPr="00252E07">
              <w:t>33.4</w:t>
            </w:r>
          </w:p>
        </w:tc>
        <w:tc>
          <w:tcPr>
            <w:tcW w:w="750" w:type="dxa"/>
            <w:shd w:val="clear" w:color="auto" w:fill="auto"/>
            <w:vAlign w:val="center"/>
          </w:tcPr>
          <w:p w14:paraId="7D4B0E26" w14:textId="77777777" w:rsidR="00EF001A" w:rsidRPr="00252E07" w:rsidRDefault="00EF001A" w:rsidP="000649FA">
            <w:pPr>
              <w:pStyle w:val="TableTextLeft"/>
              <w:jc w:val="right"/>
            </w:pPr>
            <w:r w:rsidRPr="00252E07">
              <w:t>35.4</w:t>
            </w:r>
          </w:p>
        </w:tc>
        <w:tc>
          <w:tcPr>
            <w:tcW w:w="750" w:type="dxa"/>
            <w:shd w:val="clear" w:color="auto" w:fill="auto"/>
            <w:vAlign w:val="center"/>
          </w:tcPr>
          <w:p w14:paraId="436AC097" w14:textId="77777777" w:rsidR="00EF001A" w:rsidRPr="00252E07" w:rsidRDefault="00EF001A" w:rsidP="000649FA">
            <w:pPr>
              <w:pStyle w:val="TableTextLeft"/>
              <w:jc w:val="right"/>
            </w:pPr>
            <w:r w:rsidRPr="00252E07">
              <w:t>38.4</w:t>
            </w:r>
          </w:p>
        </w:tc>
      </w:tr>
      <w:tr w:rsidR="00EF001A" w:rsidRPr="0080495D" w14:paraId="4417EFAE" w14:textId="77777777" w:rsidTr="005C264F">
        <w:tc>
          <w:tcPr>
            <w:tcW w:w="2323" w:type="dxa"/>
            <w:tcBorders>
              <w:bottom w:val="single" w:sz="6" w:space="0" w:color="auto"/>
            </w:tcBorders>
            <w:shd w:val="clear" w:color="auto" w:fill="auto"/>
            <w:vAlign w:val="bottom"/>
          </w:tcPr>
          <w:p w14:paraId="3C0D7570" w14:textId="77777777" w:rsidR="00EF001A" w:rsidRPr="00B86FE8" w:rsidRDefault="00EF001A" w:rsidP="005C264F">
            <w:pPr>
              <w:pStyle w:val="TableTextLeft"/>
              <w:rPr>
                <w:color w:val="002C47" w:themeColor="accent1"/>
              </w:rPr>
            </w:pPr>
            <w:r w:rsidRPr="00B86FE8">
              <w:rPr>
                <w:color w:val="002C47" w:themeColor="accent1"/>
              </w:rPr>
              <w:t>Revision to median age</w:t>
            </w:r>
          </w:p>
        </w:tc>
        <w:tc>
          <w:tcPr>
            <w:tcW w:w="749" w:type="dxa"/>
            <w:tcBorders>
              <w:bottom w:val="single" w:sz="6" w:space="0" w:color="auto"/>
            </w:tcBorders>
            <w:shd w:val="clear" w:color="auto" w:fill="auto"/>
            <w:vAlign w:val="center"/>
          </w:tcPr>
          <w:p w14:paraId="6B5F160A"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39DD5AFF"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7BF8A8B2" w14:textId="77777777" w:rsidR="00EF001A" w:rsidRPr="00252E07" w:rsidRDefault="00EF001A" w:rsidP="000649FA">
            <w:pPr>
              <w:pStyle w:val="TableTextLeft"/>
              <w:jc w:val="right"/>
            </w:pPr>
            <w:r w:rsidRPr="00252E07">
              <w:t>0.2</w:t>
            </w:r>
          </w:p>
        </w:tc>
        <w:tc>
          <w:tcPr>
            <w:tcW w:w="750" w:type="dxa"/>
            <w:tcBorders>
              <w:bottom w:val="single" w:sz="6" w:space="0" w:color="auto"/>
            </w:tcBorders>
            <w:shd w:val="clear" w:color="auto" w:fill="auto"/>
            <w:vAlign w:val="center"/>
          </w:tcPr>
          <w:p w14:paraId="0D6CC07C" w14:textId="03A7E8A6" w:rsidR="00EF001A" w:rsidRPr="00252E07" w:rsidRDefault="00252E07" w:rsidP="000649FA">
            <w:pPr>
              <w:pStyle w:val="TableTextLeft"/>
              <w:jc w:val="right"/>
            </w:pPr>
            <w:r w:rsidRPr="00252E07">
              <w:t>-</w:t>
            </w:r>
            <w:r w:rsidR="00EF001A" w:rsidRPr="00252E07">
              <w:t>0.1</w:t>
            </w:r>
          </w:p>
        </w:tc>
        <w:tc>
          <w:tcPr>
            <w:tcW w:w="750" w:type="dxa"/>
            <w:tcBorders>
              <w:bottom w:val="single" w:sz="6" w:space="0" w:color="auto"/>
            </w:tcBorders>
            <w:shd w:val="clear" w:color="auto" w:fill="auto"/>
            <w:vAlign w:val="center"/>
          </w:tcPr>
          <w:p w14:paraId="2021066D" w14:textId="77777777" w:rsidR="00EF001A" w:rsidRPr="00252E07" w:rsidRDefault="00EF001A" w:rsidP="000649FA">
            <w:pPr>
              <w:pStyle w:val="TableTextLeft"/>
              <w:jc w:val="right"/>
            </w:pPr>
            <w:r w:rsidRPr="00252E07">
              <w:t>0.0</w:t>
            </w:r>
          </w:p>
        </w:tc>
        <w:tc>
          <w:tcPr>
            <w:tcW w:w="750" w:type="dxa"/>
            <w:tcBorders>
              <w:bottom w:val="single" w:sz="6" w:space="0" w:color="auto"/>
            </w:tcBorders>
            <w:shd w:val="clear" w:color="auto" w:fill="auto"/>
            <w:vAlign w:val="center"/>
          </w:tcPr>
          <w:p w14:paraId="2E0051F9" w14:textId="360FEC26" w:rsidR="00EF001A" w:rsidRPr="00252E07" w:rsidRDefault="00252E07" w:rsidP="000649FA">
            <w:pPr>
              <w:pStyle w:val="TableTextLeft"/>
              <w:jc w:val="right"/>
            </w:pPr>
            <w:r w:rsidRPr="00252E07">
              <w:t>-</w:t>
            </w:r>
            <w:r w:rsidR="00EF001A" w:rsidRPr="00252E07">
              <w:t>1.1</w:t>
            </w:r>
          </w:p>
        </w:tc>
        <w:tc>
          <w:tcPr>
            <w:tcW w:w="750" w:type="dxa"/>
            <w:tcBorders>
              <w:bottom w:val="single" w:sz="6" w:space="0" w:color="auto"/>
            </w:tcBorders>
            <w:shd w:val="clear" w:color="auto" w:fill="auto"/>
            <w:vAlign w:val="center"/>
          </w:tcPr>
          <w:p w14:paraId="5D559725" w14:textId="4D90FDB9" w:rsidR="00EF001A" w:rsidRPr="00252E07" w:rsidRDefault="00252E07" w:rsidP="000649FA">
            <w:pPr>
              <w:pStyle w:val="TableTextLeft"/>
              <w:jc w:val="right"/>
            </w:pPr>
            <w:r w:rsidRPr="00252E07">
              <w:t>-</w:t>
            </w:r>
            <w:r w:rsidR="00EF001A" w:rsidRPr="00252E07">
              <w:t>0.5</w:t>
            </w:r>
          </w:p>
        </w:tc>
        <w:tc>
          <w:tcPr>
            <w:tcW w:w="750" w:type="dxa"/>
            <w:tcBorders>
              <w:bottom w:val="single" w:sz="6" w:space="0" w:color="auto"/>
            </w:tcBorders>
            <w:shd w:val="clear" w:color="auto" w:fill="auto"/>
            <w:vAlign w:val="center"/>
          </w:tcPr>
          <w:p w14:paraId="3794508A" w14:textId="7D2750D9" w:rsidR="00EF001A" w:rsidRPr="00252E07" w:rsidRDefault="00252E07" w:rsidP="000649FA">
            <w:pPr>
              <w:pStyle w:val="TableTextLeft"/>
              <w:jc w:val="right"/>
            </w:pPr>
            <w:r w:rsidRPr="00252E07">
              <w:t>-</w:t>
            </w:r>
            <w:r w:rsidR="00EF001A" w:rsidRPr="00252E07">
              <w:t>1.0</w:t>
            </w:r>
          </w:p>
        </w:tc>
        <w:tc>
          <w:tcPr>
            <w:tcW w:w="750" w:type="dxa"/>
            <w:tcBorders>
              <w:bottom w:val="single" w:sz="6" w:space="0" w:color="auto"/>
            </w:tcBorders>
            <w:shd w:val="clear" w:color="auto" w:fill="auto"/>
            <w:vAlign w:val="center"/>
          </w:tcPr>
          <w:p w14:paraId="4FE29FC4" w14:textId="77777777" w:rsidR="00EF001A" w:rsidRPr="00252E07" w:rsidRDefault="00EF001A" w:rsidP="000649FA">
            <w:pPr>
              <w:pStyle w:val="TableTextLeft"/>
              <w:jc w:val="right"/>
            </w:pPr>
            <w:r w:rsidRPr="00252E07">
              <w:t>0.2</w:t>
            </w:r>
          </w:p>
        </w:tc>
      </w:tr>
    </w:tbl>
    <w:p w14:paraId="6552B901" w14:textId="59CC4F49" w:rsidR="00EF001A" w:rsidRPr="00252E07" w:rsidRDefault="00EF001A" w:rsidP="00EF001A">
      <w:pPr>
        <w:pStyle w:val="Source"/>
        <w:rPr>
          <w:rStyle w:val="Hyperlink"/>
          <w:sz w:val="16"/>
          <w:szCs w:val="16"/>
          <w:bdr w:val="none" w:sz="0" w:space="0" w:color="auto"/>
        </w:rPr>
      </w:pPr>
      <w:r w:rsidRPr="00252E07">
        <w:t xml:space="preserve">Source: </w:t>
      </w:r>
      <w:r w:rsidR="00B66A34">
        <w:rPr>
          <w:noProof/>
        </w:rPr>
        <w:t>Australian Bureau of Statistics, National, state and territory population, June 2021, June 2016</w:t>
      </w:r>
      <w:r w:rsidR="00B66A34" w:rsidRPr="00252E07">
        <w:t xml:space="preserve"> </w:t>
      </w:r>
    </w:p>
    <w:p w14:paraId="3190508D" w14:textId="673C2F81" w:rsidR="00EF001A" w:rsidRPr="00252E07" w:rsidRDefault="00A344E7" w:rsidP="00EF001A">
      <w:pPr>
        <w:pStyle w:val="Heading9"/>
        <w:spacing w:after="0"/>
      </w:pPr>
      <w:r>
        <w:t>Impact of rebasing on a</w:t>
      </w:r>
      <w:r w:rsidR="00EF001A" w:rsidRPr="00252E07">
        <w:t xml:space="preserve">ge </w:t>
      </w:r>
      <w:r>
        <w:t>s</w:t>
      </w:r>
      <w:r w:rsidR="00EF001A" w:rsidRPr="00252E07">
        <w:t xml:space="preserve">tructure, </w:t>
      </w:r>
      <w:r>
        <w:t xml:space="preserve">Tasmania, </w:t>
      </w:r>
      <w:r w:rsidR="00EF001A" w:rsidRPr="00252E07">
        <w:t>as at 30 June 2021</w:t>
      </w:r>
    </w:p>
    <w:p w14:paraId="086F0E5D" w14:textId="4117E1A0" w:rsidR="00EF001A" w:rsidRPr="00252E07" w:rsidRDefault="00D0074B" w:rsidP="004332DF">
      <w:r w:rsidRPr="00D0074B">
        <w:rPr>
          <w:noProof/>
        </w:rPr>
        <w:drawing>
          <wp:inline distT="0" distB="0" distL="0" distR="0" wp14:anchorId="3C485DD1" wp14:editId="3656FA2B">
            <wp:extent cx="5581650" cy="2524125"/>
            <wp:effectExtent l="0" t="0" r="0" b="9525"/>
            <wp:docPr id="112" name="Picture 112" descr="A chart showing that revisions to Tasmania’s age structure between 2016 and 2021 resulted in a larger cohort of younger persons aged between 25 and 4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chart showing that revisions to Tasmania’s age structure between 2016 and 2021 resulted in a larger cohort of younger persons aged between 25 and 40 years.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2786B0CC" w14:textId="4532B02D" w:rsidR="00EF001A" w:rsidRDefault="00EF001A" w:rsidP="00212224">
      <w:pPr>
        <w:pStyle w:val="Source"/>
        <w:rPr>
          <w:rStyle w:val="Hyperlink"/>
          <w:sz w:val="16"/>
          <w:szCs w:val="16"/>
        </w:rPr>
      </w:pPr>
      <w:r w:rsidRPr="00252E07">
        <w:t xml:space="preserve">Source: </w:t>
      </w:r>
      <w:r w:rsidR="00B66A34">
        <w:rPr>
          <w:noProof/>
        </w:rPr>
        <w:t>Australian Bureau of Statistics, National, state and territory population, June 2021, June 2016</w:t>
      </w:r>
      <w:r w:rsidRPr="00252E07">
        <w:t>.</w:t>
      </w:r>
    </w:p>
    <w:p w14:paraId="28B1BC22" w14:textId="62D8C246" w:rsidR="00473D50" w:rsidRDefault="00F8527E" w:rsidP="001E4102">
      <w:pPr>
        <w:rPr>
          <w:b/>
          <w:bCs/>
          <w:smallCaps/>
          <w:color w:val="002C47" w:themeColor="accent1"/>
          <w:spacing w:val="15"/>
        </w:rPr>
      </w:pPr>
      <w:r w:rsidRPr="00116886">
        <w:rPr>
          <w:color w:val="000000"/>
        </w:rPr>
        <w:t xml:space="preserve">The downward revision of the combined capital cities was predominantly driven by Melbourne and Sydney, with the population of both cities revised down by over 100,000 </w:t>
      </w:r>
      <w:r w:rsidR="0054283E">
        <w:rPr>
          <w:color w:val="000000"/>
        </w:rPr>
        <w:t>at 30</w:t>
      </w:r>
      <w:r w:rsidR="0054283E" w:rsidRPr="00116886">
        <w:rPr>
          <w:color w:val="000000"/>
        </w:rPr>
        <w:t xml:space="preserve"> </w:t>
      </w:r>
      <w:r w:rsidRPr="00116886">
        <w:rPr>
          <w:color w:val="000000"/>
        </w:rPr>
        <w:t>June 2021. All other capitals except Brisbane had their populations revised up</w:t>
      </w:r>
      <w:r w:rsidR="001B2FB0">
        <w:rPr>
          <w:color w:val="000000"/>
        </w:rPr>
        <w:t xml:space="preserve"> as did a</w:t>
      </w:r>
      <w:r w:rsidRPr="00116886">
        <w:rPr>
          <w:color w:val="000000"/>
        </w:rPr>
        <w:t>ll rest of state regional areas</w:t>
      </w:r>
      <w:bookmarkStart w:id="223" w:name="_Ref116916928"/>
      <w:bookmarkStart w:id="224" w:name="_Ref117700759"/>
      <w:r w:rsidR="001B2FB0">
        <w:rPr>
          <w:color w:val="000000"/>
        </w:rPr>
        <w:t>.</w:t>
      </w:r>
    </w:p>
    <w:p w14:paraId="6DF28705" w14:textId="77777777" w:rsidR="004E1230" w:rsidRDefault="004E1230">
      <w:pPr>
        <w:spacing w:before="0" w:after="160" w:line="259" w:lineRule="auto"/>
        <w:rPr>
          <w:b/>
          <w:smallCaps/>
          <w:color w:val="002C47" w:themeColor="accent1"/>
          <w:spacing w:val="15"/>
        </w:rPr>
      </w:pPr>
      <w:bookmarkStart w:id="225" w:name="_Ref118131830"/>
      <w:r>
        <w:br w:type="page"/>
      </w:r>
    </w:p>
    <w:p w14:paraId="124706CE" w14:textId="2CFFD747" w:rsidR="00F8527E" w:rsidRPr="00116886" w:rsidRDefault="00F8527E" w:rsidP="005540BC">
      <w:pPr>
        <w:pStyle w:val="TableMainHeading"/>
      </w:pPr>
      <w:r w:rsidRPr="00116886">
        <w:lastRenderedPageBreak/>
        <w:t>2021 Census Rebasing of 30 June 2021 Estimated Resident Population (ERP)</w:t>
      </w:r>
      <w:bookmarkEnd w:id="223"/>
      <w:bookmarkEnd w:id="224"/>
      <w:bookmarkEnd w:id="225"/>
    </w:p>
    <w:tbl>
      <w:tblPr>
        <w:tblW w:w="9072" w:type="dxa"/>
        <w:tblLook w:val="04A0" w:firstRow="1" w:lastRow="0" w:firstColumn="1" w:lastColumn="0" w:noHBand="0" w:noVBand="1"/>
        <w:tblCaption w:val="Table"/>
      </w:tblPr>
      <w:tblGrid>
        <w:gridCol w:w="2835"/>
        <w:gridCol w:w="1843"/>
        <w:gridCol w:w="1843"/>
        <w:gridCol w:w="1276"/>
        <w:gridCol w:w="1275"/>
      </w:tblGrid>
      <w:tr w:rsidR="00F8527E" w:rsidRPr="00116886" w14:paraId="50583668" w14:textId="77777777" w:rsidTr="005C264F">
        <w:trPr>
          <w:trHeight w:val="530"/>
        </w:trPr>
        <w:tc>
          <w:tcPr>
            <w:tcW w:w="2835" w:type="dxa"/>
            <w:tcBorders>
              <w:top w:val="single" w:sz="8" w:space="0" w:color="000000"/>
              <w:left w:val="nil"/>
              <w:bottom w:val="single" w:sz="8" w:space="0" w:color="000000"/>
              <w:right w:val="nil"/>
            </w:tcBorders>
            <w:shd w:val="clear" w:color="auto" w:fill="auto"/>
            <w:hideMark/>
          </w:tcPr>
          <w:p w14:paraId="49DCBE70" w14:textId="77777777" w:rsidR="00F8527E" w:rsidRPr="00116886" w:rsidRDefault="00F8527E" w:rsidP="005C264F">
            <w:pPr>
              <w:pStyle w:val="TableTextLeft"/>
            </w:pPr>
            <w:r w:rsidRPr="00116886">
              <w:t> </w:t>
            </w:r>
          </w:p>
        </w:tc>
        <w:tc>
          <w:tcPr>
            <w:tcW w:w="1843" w:type="dxa"/>
            <w:tcBorders>
              <w:top w:val="single" w:sz="8" w:space="0" w:color="000000"/>
              <w:left w:val="nil"/>
              <w:bottom w:val="single" w:sz="8" w:space="0" w:color="000000"/>
              <w:right w:val="nil"/>
            </w:tcBorders>
            <w:shd w:val="clear" w:color="auto" w:fill="auto"/>
            <w:hideMark/>
          </w:tcPr>
          <w:p w14:paraId="3482B1F8" w14:textId="7930B47B" w:rsidR="00F8527E" w:rsidRPr="00116886" w:rsidRDefault="00F8527E" w:rsidP="005C264F">
            <w:pPr>
              <w:pStyle w:val="TableColumnHeadingLeft"/>
              <w:rPr>
                <w:color w:val="002C47"/>
              </w:rPr>
            </w:pPr>
            <w:r w:rsidRPr="00116886">
              <w:t xml:space="preserve">2016 Census </w:t>
            </w:r>
            <w:proofErr w:type="gramStart"/>
            <w:r w:rsidRPr="00116886">
              <w:t>based</w:t>
            </w:r>
            <w:r w:rsidR="00252E07">
              <w:t>-</w:t>
            </w:r>
            <w:r w:rsidRPr="00116886">
              <w:t>ERP</w:t>
            </w:r>
            <w:proofErr w:type="gramEnd"/>
            <w:r w:rsidRPr="00116886">
              <w:t xml:space="preserve"> (‘000s)</w:t>
            </w:r>
          </w:p>
        </w:tc>
        <w:tc>
          <w:tcPr>
            <w:tcW w:w="1843" w:type="dxa"/>
            <w:tcBorders>
              <w:top w:val="single" w:sz="8" w:space="0" w:color="000000"/>
              <w:left w:val="nil"/>
              <w:bottom w:val="single" w:sz="8" w:space="0" w:color="000000"/>
              <w:right w:val="nil"/>
            </w:tcBorders>
            <w:shd w:val="clear" w:color="000000" w:fill="D2EDFF"/>
            <w:hideMark/>
          </w:tcPr>
          <w:p w14:paraId="14F2446C" w14:textId="5C88C9F8" w:rsidR="00F8527E" w:rsidRPr="00116886" w:rsidRDefault="00F8527E" w:rsidP="005C264F">
            <w:pPr>
              <w:pStyle w:val="TableColumnHeadingLeft"/>
              <w:rPr>
                <w:color w:val="002C47"/>
              </w:rPr>
            </w:pPr>
            <w:r w:rsidRPr="00116886">
              <w:t xml:space="preserve">2021 Census </w:t>
            </w:r>
            <w:proofErr w:type="gramStart"/>
            <w:r w:rsidRPr="00116886">
              <w:t>based</w:t>
            </w:r>
            <w:r w:rsidR="00252E07">
              <w:t>-</w:t>
            </w:r>
            <w:r w:rsidRPr="00116886">
              <w:t>ERP</w:t>
            </w:r>
            <w:proofErr w:type="gramEnd"/>
            <w:r w:rsidRPr="00116886">
              <w:t xml:space="preserve"> (‘000s)</w:t>
            </w:r>
          </w:p>
        </w:tc>
        <w:tc>
          <w:tcPr>
            <w:tcW w:w="1276" w:type="dxa"/>
            <w:tcBorders>
              <w:top w:val="single" w:sz="8" w:space="0" w:color="000000"/>
              <w:left w:val="nil"/>
              <w:bottom w:val="single" w:sz="8" w:space="0" w:color="000000"/>
              <w:right w:val="nil"/>
            </w:tcBorders>
            <w:shd w:val="clear" w:color="auto" w:fill="auto"/>
            <w:hideMark/>
          </w:tcPr>
          <w:p w14:paraId="2D37A818" w14:textId="77777777" w:rsidR="00F8527E" w:rsidRPr="00116886" w:rsidRDefault="00F8527E" w:rsidP="005C264F">
            <w:pPr>
              <w:pStyle w:val="TableColumnHeadingLeft"/>
              <w:rPr>
                <w:color w:val="002C47"/>
              </w:rPr>
            </w:pPr>
            <w:r w:rsidRPr="00116886">
              <w:t>Intercensal Difference (‘000s)</w:t>
            </w:r>
          </w:p>
        </w:tc>
        <w:tc>
          <w:tcPr>
            <w:tcW w:w="1275" w:type="dxa"/>
            <w:tcBorders>
              <w:top w:val="single" w:sz="8" w:space="0" w:color="000000"/>
              <w:left w:val="nil"/>
              <w:bottom w:val="single" w:sz="8" w:space="0" w:color="000000"/>
              <w:right w:val="nil"/>
            </w:tcBorders>
            <w:shd w:val="clear" w:color="auto" w:fill="auto"/>
            <w:hideMark/>
          </w:tcPr>
          <w:p w14:paraId="4B3877C9" w14:textId="3E225858" w:rsidR="00F8527E" w:rsidRPr="00116886" w:rsidRDefault="00F8527E" w:rsidP="005C264F">
            <w:pPr>
              <w:pStyle w:val="TableColumnHeadingLeft"/>
              <w:rPr>
                <w:color w:val="002C47"/>
              </w:rPr>
            </w:pPr>
            <w:r w:rsidRPr="00116886">
              <w:t>Difference (</w:t>
            </w:r>
            <w:r w:rsidR="007824B7">
              <w:t>%</w:t>
            </w:r>
            <w:r w:rsidRPr="00116886">
              <w:t>)</w:t>
            </w:r>
          </w:p>
        </w:tc>
      </w:tr>
      <w:tr w:rsidR="00F8527E" w:rsidRPr="00116886" w14:paraId="48A05DFB" w14:textId="77777777" w:rsidTr="00676947">
        <w:trPr>
          <w:trHeight w:val="290"/>
        </w:trPr>
        <w:tc>
          <w:tcPr>
            <w:tcW w:w="2835" w:type="dxa"/>
            <w:tcBorders>
              <w:top w:val="nil"/>
              <w:left w:val="nil"/>
              <w:bottom w:val="nil"/>
              <w:right w:val="nil"/>
            </w:tcBorders>
            <w:shd w:val="clear" w:color="auto" w:fill="auto"/>
            <w:hideMark/>
          </w:tcPr>
          <w:p w14:paraId="632C0C32" w14:textId="46A400D5" w:rsidR="00F8527E" w:rsidRPr="00B86FE8" w:rsidRDefault="007824B7" w:rsidP="005C264F">
            <w:pPr>
              <w:pStyle w:val="TableTextLeft"/>
              <w:rPr>
                <w:color w:val="002C47" w:themeColor="accent1"/>
              </w:rPr>
            </w:pPr>
            <w:r w:rsidRPr="00B86FE8">
              <w:rPr>
                <w:color w:val="002C47" w:themeColor="accent1"/>
              </w:rPr>
              <w:t>New South Wales</w:t>
            </w:r>
          </w:p>
        </w:tc>
        <w:tc>
          <w:tcPr>
            <w:tcW w:w="1843" w:type="dxa"/>
            <w:tcBorders>
              <w:top w:val="nil"/>
              <w:left w:val="nil"/>
              <w:bottom w:val="nil"/>
              <w:right w:val="nil"/>
            </w:tcBorders>
            <w:shd w:val="clear" w:color="auto" w:fill="auto"/>
            <w:vAlign w:val="center"/>
            <w:hideMark/>
          </w:tcPr>
          <w:p w14:paraId="2BDCC0E4" w14:textId="5BCF1FE8" w:rsidR="00F8527E" w:rsidRPr="000C46CC" w:rsidRDefault="00F8527E" w:rsidP="000649FA">
            <w:pPr>
              <w:pStyle w:val="TableTextLeft"/>
              <w:jc w:val="right"/>
            </w:pPr>
            <w:r w:rsidRPr="000C46CC">
              <w:t>8,1</w:t>
            </w:r>
            <w:r w:rsidR="00FE6918" w:rsidRPr="000C46CC">
              <w:t>89</w:t>
            </w:r>
          </w:p>
        </w:tc>
        <w:tc>
          <w:tcPr>
            <w:tcW w:w="1843" w:type="dxa"/>
            <w:tcBorders>
              <w:top w:val="nil"/>
              <w:left w:val="nil"/>
              <w:bottom w:val="nil"/>
              <w:right w:val="nil"/>
            </w:tcBorders>
            <w:shd w:val="clear" w:color="000000" w:fill="D2EDFF"/>
            <w:vAlign w:val="center"/>
            <w:hideMark/>
          </w:tcPr>
          <w:p w14:paraId="4EE0C5CA" w14:textId="77777777" w:rsidR="00F8527E" w:rsidRPr="000C46CC" w:rsidRDefault="00F8527E" w:rsidP="000649FA">
            <w:pPr>
              <w:pStyle w:val="TableTextLeft"/>
              <w:jc w:val="right"/>
            </w:pPr>
            <w:r w:rsidRPr="000C46CC">
              <w:t>8,094</w:t>
            </w:r>
          </w:p>
        </w:tc>
        <w:tc>
          <w:tcPr>
            <w:tcW w:w="1276" w:type="dxa"/>
            <w:tcBorders>
              <w:top w:val="nil"/>
              <w:left w:val="nil"/>
              <w:bottom w:val="nil"/>
              <w:right w:val="nil"/>
            </w:tcBorders>
            <w:shd w:val="clear" w:color="auto" w:fill="auto"/>
            <w:vAlign w:val="center"/>
            <w:hideMark/>
          </w:tcPr>
          <w:p w14:paraId="2010C3DB" w14:textId="06B90F88" w:rsidR="00F8527E" w:rsidRPr="000C46CC" w:rsidRDefault="00252E07" w:rsidP="000649FA">
            <w:pPr>
              <w:pStyle w:val="TableTextLeft"/>
              <w:jc w:val="right"/>
            </w:pPr>
            <w:r w:rsidRPr="000C46CC">
              <w:t>-</w:t>
            </w:r>
            <w:r w:rsidR="00F8527E" w:rsidRPr="000C46CC">
              <w:t>95</w:t>
            </w:r>
          </w:p>
        </w:tc>
        <w:tc>
          <w:tcPr>
            <w:tcW w:w="1275" w:type="dxa"/>
            <w:tcBorders>
              <w:top w:val="nil"/>
              <w:left w:val="nil"/>
              <w:bottom w:val="nil"/>
              <w:right w:val="nil"/>
            </w:tcBorders>
            <w:shd w:val="clear" w:color="auto" w:fill="auto"/>
            <w:vAlign w:val="center"/>
            <w:hideMark/>
          </w:tcPr>
          <w:p w14:paraId="3E366A7F" w14:textId="04957F1F" w:rsidR="00F8527E" w:rsidRPr="000C46CC" w:rsidRDefault="00252E07" w:rsidP="000649FA">
            <w:pPr>
              <w:pStyle w:val="TableTextLeft"/>
              <w:jc w:val="right"/>
            </w:pPr>
            <w:r w:rsidRPr="000C46CC">
              <w:t>-</w:t>
            </w:r>
            <w:r w:rsidR="00F8527E" w:rsidRPr="000C46CC">
              <w:t>1.2</w:t>
            </w:r>
          </w:p>
        </w:tc>
      </w:tr>
      <w:tr w:rsidR="00F8527E" w:rsidRPr="00116886" w14:paraId="471DDF4E" w14:textId="77777777" w:rsidTr="00676947">
        <w:trPr>
          <w:trHeight w:val="290"/>
        </w:trPr>
        <w:tc>
          <w:tcPr>
            <w:tcW w:w="2835" w:type="dxa"/>
            <w:tcBorders>
              <w:top w:val="nil"/>
              <w:left w:val="nil"/>
              <w:bottom w:val="nil"/>
              <w:right w:val="nil"/>
            </w:tcBorders>
            <w:shd w:val="clear" w:color="auto" w:fill="auto"/>
            <w:hideMark/>
          </w:tcPr>
          <w:p w14:paraId="4B4249D6" w14:textId="77777777" w:rsidR="00F8527E" w:rsidRPr="00B86FE8" w:rsidRDefault="00F8527E" w:rsidP="004332DF">
            <w:pPr>
              <w:pStyle w:val="Tabletextleftindent"/>
              <w:rPr>
                <w:color w:val="002C47" w:themeColor="accent1"/>
              </w:rPr>
            </w:pPr>
            <w:r w:rsidRPr="00B86FE8">
              <w:rPr>
                <w:color w:val="002C47" w:themeColor="accent1"/>
              </w:rPr>
              <w:t>Sydney</w:t>
            </w:r>
          </w:p>
        </w:tc>
        <w:tc>
          <w:tcPr>
            <w:tcW w:w="1843" w:type="dxa"/>
            <w:tcBorders>
              <w:top w:val="nil"/>
              <w:left w:val="nil"/>
              <w:bottom w:val="nil"/>
              <w:right w:val="nil"/>
            </w:tcBorders>
            <w:shd w:val="clear" w:color="auto" w:fill="auto"/>
            <w:vAlign w:val="center"/>
            <w:hideMark/>
          </w:tcPr>
          <w:p w14:paraId="491786E9" w14:textId="77777777" w:rsidR="00F8527E" w:rsidRPr="000C46CC" w:rsidRDefault="00F8527E" w:rsidP="000649FA">
            <w:pPr>
              <w:pStyle w:val="TableTextLeft"/>
              <w:jc w:val="right"/>
            </w:pPr>
            <w:r w:rsidRPr="000C46CC">
              <w:t>5,361</w:t>
            </w:r>
          </w:p>
        </w:tc>
        <w:tc>
          <w:tcPr>
            <w:tcW w:w="1843" w:type="dxa"/>
            <w:tcBorders>
              <w:top w:val="nil"/>
              <w:left w:val="nil"/>
              <w:bottom w:val="nil"/>
              <w:right w:val="nil"/>
            </w:tcBorders>
            <w:shd w:val="clear" w:color="000000" w:fill="D2EDFF"/>
            <w:vAlign w:val="center"/>
            <w:hideMark/>
          </w:tcPr>
          <w:p w14:paraId="269F6F43" w14:textId="77777777" w:rsidR="00F8527E" w:rsidRPr="000C46CC" w:rsidRDefault="00F8527E" w:rsidP="000649FA">
            <w:pPr>
              <w:pStyle w:val="TableTextLeft"/>
              <w:jc w:val="right"/>
            </w:pPr>
            <w:r w:rsidRPr="000C46CC">
              <w:t>5,260</w:t>
            </w:r>
          </w:p>
        </w:tc>
        <w:tc>
          <w:tcPr>
            <w:tcW w:w="1276" w:type="dxa"/>
            <w:tcBorders>
              <w:top w:val="nil"/>
              <w:left w:val="nil"/>
              <w:bottom w:val="nil"/>
              <w:right w:val="nil"/>
            </w:tcBorders>
            <w:shd w:val="clear" w:color="auto" w:fill="auto"/>
            <w:vAlign w:val="center"/>
            <w:hideMark/>
          </w:tcPr>
          <w:p w14:paraId="4D7C3647" w14:textId="763A69E7" w:rsidR="00F8527E" w:rsidRPr="000C46CC" w:rsidRDefault="00252E07" w:rsidP="000649FA">
            <w:pPr>
              <w:pStyle w:val="TableTextLeft"/>
              <w:jc w:val="right"/>
            </w:pPr>
            <w:r w:rsidRPr="000C46CC">
              <w:t>-</w:t>
            </w:r>
            <w:r w:rsidR="00F8527E" w:rsidRPr="000C46CC">
              <w:t>102</w:t>
            </w:r>
          </w:p>
        </w:tc>
        <w:tc>
          <w:tcPr>
            <w:tcW w:w="1275" w:type="dxa"/>
            <w:tcBorders>
              <w:top w:val="nil"/>
              <w:left w:val="nil"/>
              <w:bottom w:val="nil"/>
              <w:right w:val="nil"/>
            </w:tcBorders>
            <w:shd w:val="clear" w:color="auto" w:fill="auto"/>
            <w:vAlign w:val="center"/>
            <w:hideMark/>
          </w:tcPr>
          <w:p w14:paraId="313B32F0" w14:textId="39FDB21D" w:rsidR="00F8527E" w:rsidRPr="000C46CC" w:rsidRDefault="00252E07" w:rsidP="000649FA">
            <w:pPr>
              <w:pStyle w:val="TableTextLeft"/>
              <w:jc w:val="right"/>
            </w:pPr>
            <w:r w:rsidRPr="000C46CC">
              <w:t>-</w:t>
            </w:r>
            <w:r w:rsidR="00F8527E" w:rsidRPr="000C46CC">
              <w:t>1.9</w:t>
            </w:r>
          </w:p>
        </w:tc>
      </w:tr>
      <w:tr w:rsidR="00F8527E" w:rsidRPr="00116886" w14:paraId="145B82C8" w14:textId="77777777" w:rsidTr="00676947">
        <w:trPr>
          <w:trHeight w:val="290"/>
        </w:trPr>
        <w:tc>
          <w:tcPr>
            <w:tcW w:w="2835" w:type="dxa"/>
            <w:tcBorders>
              <w:top w:val="nil"/>
              <w:left w:val="nil"/>
              <w:bottom w:val="nil"/>
              <w:right w:val="nil"/>
            </w:tcBorders>
            <w:shd w:val="clear" w:color="auto" w:fill="auto"/>
            <w:hideMark/>
          </w:tcPr>
          <w:p w14:paraId="600C7D10" w14:textId="77777777" w:rsidR="00F8527E" w:rsidRPr="00B86FE8" w:rsidRDefault="00F8527E" w:rsidP="004332DF">
            <w:pPr>
              <w:pStyle w:val="Tabletextleftindent"/>
              <w:rPr>
                <w:color w:val="002C47" w:themeColor="accent1"/>
              </w:rPr>
            </w:pPr>
            <w:r w:rsidRPr="00B86FE8">
              <w:rPr>
                <w:color w:val="002C47" w:themeColor="accent1"/>
              </w:rPr>
              <w:t>Rest of New South Wales</w:t>
            </w:r>
          </w:p>
        </w:tc>
        <w:tc>
          <w:tcPr>
            <w:tcW w:w="1843" w:type="dxa"/>
            <w:tcBorders>
              <w:top w:val="nil"/>
              <w:left w:val="nil"/>
              <w:bottom w:val="nil"/>
              <w:right w:val="nil"/>
            </w:tcBorders>
            <w:shd w:val="clear" w:color="auto" w:fill="auto"/>
            <w:vAlign w:val="center"/>
            <w:hideMark/>
          </w:tcPr>
          <w:p w14:paraId="5A26C4D3" w14:textId="77777777" w:rsidR="00F8527E" w:rsidRPr="000C46CC" w:rsidRDefault="00F8527E" w:rsidP="000649FA">
            <w:pPr>
              <w:pStyle w:val="TableTextLeft"/>
              <w:jc w:val="right"/>
            </w:pPr>
            <w:r w:rsidRPr="000C46CC">
              <w:t>2,827</w:t>
            </w:r>
          </w:p>
        </w:tc>
        <w:tc>
          <w:tcPr>
            <w:tcW w:w="1843" w:type="dxa"/>
            <w:tcBorders>
              <w:top w:val="nil"/>
              <w:left w:val="nil"/>
              <w:bottom w:val="nil"/>
              <w:right w:val="nil"/>
            </w:tcBorders>
            <w:shd w:val="clear" w:color="000000" w:fill="D2EDFF"/>
            <w:vAlign w:val="center"/>
            <w:hideMark/>
          </w:tcPr>
          <w:p w14:paraId="1C59AFB7" w14:textId="77777777" w:rsidR="00F8527E" w:rsidRPr="000C46CC" w:rsidRDefault="00F8527E" w:rsidP="000649FA">
            <w:pPr>
              <w:pStyle w:val="TableTextLeft"/>
              <w:jc w:val="right"/>
            </w:pPr>
            <w:r w:rsidRPr="000C46CC">
              <w:t>2,834</w:t>
            </w:r>
          </w:p>
        </w:tc>
        <w:tc>
          <w:tcPr>
            <w:tcW w:w="1276" w:type="dxa"/>
            <w:tcBorders>
              <w:top w:val="nil"/>
              <w:left w:val="nil"/>
              <w:bottom w:val="nil"/>
              <w:right w:val="nil"/>
            </w:tcBorders>
            <w:shd w:val="clear" w:color="auto" w:fill="auto"/>
            <w:vAlign w:val="center"/>
            <w:hideMark/>
          </w:tcPr>
          <w:p w14:paraId="37B6C9E3" w14:textId="77777777" w:rsidR="00F8527E" w:rsidRPr="000C46CC" w:rsidRDefault="00F8527E" w:rsidP="000649FA">
            <w:pPr>
              <w:pStyle w:val="TableTextLeft"/>
              <w:jc w:val="right"/>
            </w:pPr>
            <w:r w:rsidRPr="000C46CC">
              <w:t>7</w:t>
            </w:r>
          </w:p>
        </w:tc>
        <w:tc>
          <w:tcPr>
            <w:tcW w:w="1275" w:type="dxa"/>
            <w:tcBorders>
              <w:top w:val="nil"/>
              <w:left w:val="nil"/>
              <w:bottom w:val="nil"/>
              <w:right w:val="nil"/>
            </w:tcBorders>
            <w:shd w:val="clear" w:color="auto" w:fill="auto"/>
            <w:vAlign w:val="center"/>
            <w:hideMark/>
          </w:tcPr>
          <w:p w14:paraId="7A6BCB19" w14:textId="77777777" w:rsidR="00F8527E" w:rsidRPr="000C46CC" w:rsidRDefault="00F8527E" w:rsidP="000649FA">
            <w:pPr>
              <w:pStyle w:val="TableTextLeft"/>
              <w:jc w:val="right"/>
            </w:pPr>
            <w:r w:rsidRPr="000C46CC">
              <w:t>0.2</w:t>
            </w:r>
          </w:p>
        </w:tc>
      </w:tr>
      <w:tr w:rsidR="00F8527E" w:rsidRPr="00116886" w14:paraId="688DF98C" w14:textId="77777777" w:rsidTr="00676947">
        <w:trPr>
          <w:trHeight w:val="290"/>
        </w:trPr>
        <w:tc>
          <w:tcPr>
            <w:tcW w:w="2835" w:type="dxa"/>
            <w:tcBorders>
              <w:top w:val="nil"/>
              <w:left w:val="nil"/>
              <w:bottom w:val="nil"/>
              <w:right w:val="nil"/>
            </w:tcBorders>
            <w:shd w:val="clear" w:color="auto" w:fill="auto"/>
            <w:hideMark/>
          </w:tcPr>
          <w:p w14:paraId="15B50082" w14:textId="1CC0D58E" w:rsidR="00F8527E" w:rsidRPr="00B86FE8" w:rsidRDefault="007824B7" w:rsidP="005C264F">
            <w:pPr>
              <w:pStyle w:val="TableTextLeft"/>
              <w:rPr>
                <w:color w:val="002C47" w:themeColor="accent1"/>
              </w:rPr>
            </w:pPr>
            <w:r w:rsidRPr="00B86FE8">
              <w:rPr>
                <w:color w:val="002C47" w:themeColor="accent1"/>
              </w:rPr>
              <w:t>Victoria</w:t>
            </w:r>
          </w:p>
        </w:tc>
        <w:tc>
          <w:tcPr>
            <w:tcW w:w="1843" w:type="dxa"/>
            <w:tcBorders>
              <w:top w:val="nil"/>
              <w:left w:val="nil"/>
              <w:bottom w:val="nil"/>
              <w:right w:val="nil"/>
            </w:tcBorders>
            <w:shd w:val="clear" w:color="auto" w:fill="auto"/>
            <w:vAlign w:val="center"/>
            <w:hideMark/>
          </w:tcPr>
          <w:p w14:paraId="5BE14A80" w14:textId="77777777" w:rsidR="00F8527E" w:rsidRPr="000C46CC" w:rsidRDefault="00F8527E" w:rsidP="000649FA">
            <w:pPr>
              <w:pStyle w:val="TableTextLeft"/>
              <w:jc w:val="right"/>
            </w:pPr>
            <w:r w:rsidRPr="000C46CC">
              <w:t>6,649</w:t>
            </w:r>
          </w:p>
        </w:tc>
        <w:tc>
          <w:tcPr>
            <w:tcW w:w="1843" w:type="dxa"/>
            <w:tcBorders>
              <w:top w:val="nil"/>
              <w:left w:val="nil"/>
              <w:bottom w:val="nil"/>
              <w:right w:val="nil"/>
            </w:tcBorders>
            <w:shd w:val="clear" w:color="000000" w:fill="D2EDFF"/>
            <w:vAlign w:val="center"/>
            <w:hideMark/>
          </w:tcPr>
          <w:p w14:paraId="6CF3F115" w14:textId="77777777" w:rsidR="00F8527E" w:rsidRPr="000C46CC" w:rsidRDefault="00F8527E" w:rsidP="000649FA">
            <w:pPr>
              <w:pStyle w:val="TableTextLeft"/>
              <w:jc w:val="right"/>
            </w:pPr>
            <w:r w:rsidRPr="000C46CC">
              <w:t>6,548</w:t>
            </w:r>
          </w:p>
        </w:tc>
        <w:tc>
          <w:tcPr>
            <w:tcW w:w="1276" w:type="dxa"/>
            <w:tcBorders>
              <w:top w:val="nil"/>
              <w:left w:val="nil"/>
              <w:bottom w:val="nil"/>
              <w:right w:val="nil"/>
            </w:tcBorders>
            <w:shd w:val="clear" w:color="auto" w:fill="auto"/>
            <w:vAlign w:val="center"/>
            <w:hideMark/>
          </w:tcPr>
          <w:p w14:paraId="657491A3" w14:textId="54A6CB4A" w:rsidR="00F8527E" w:rsidRPr="000C46CC" w:rsidRDefault="00252E07" w:rsidP="000649FA">
            <w:pPr>
              <w:pStyle w:val="TableTextLeft"/>
              <w:jc w:val="right"/>
            </w:pPr>
            <w:r w:rsidRPr="000C46CC">
              <w:t>-</w:t>
            </w:r>
            <w:r w:rsidR="00F8527E" w:rsidRPr="000C46CC">
              <w:t>101</w:t>
            </w:r>
          </w:p>
        </w:tc>
        <w:tc>
          <w:tcPr>
            <w:tcW w:w="1275" w:type="dxa"/>
            <w:tcBorders>
              <w:top w:val="nil"/>
              <w:left w:val="nil"/>
              <w:bottom w:val="nil"/>
              <w:right w:val="nil"/>
            </w:tcBorders>
            <w:shd w:val="clear" w:color="auto" w:fill="auto"/>
            <w:vAlign w:val="center"/>
            <w:hideMark/>
          </w:tcPr>
          <w:p w14:paraId="44040058" w14:textId="1DD1BE09" w:rsidR="00F8527E" w:rsidRPr="000C46CC" w:rsidRDefault="00252E07" w:rsidP="000649FA">
            <w:pPr>
              <w:pStyle w:val="TableTextLeft"/>
              <w:jc w:val="right"/>
            </w:pPr>
            <w:r w:rsidRPr="000C46CC">
              <w:t>-</w:t>
            </w:r>
            <w:r w:rsidR="00F8527E" w:rsidRPr="000C46CC">
              <w:t>1.5</w:t>
            </w:r>
          </w:p>
        </w:tc>
      </w:tr>
      <w:tr w:rsidR="00F8527E" w:rsidRPr="00116886" w14:paraId="019E4BF3" w14:textId="77777777" w:rsidTr="00676947">
        <w:trPr>
          <w:trHeight w:val="290"/>
        </w:trPr>
        <w:tc>
          <w:tcPr>
            <w:tcW w:w="2835" w:type="dxa"/>
            <w:tcBorders>
              <w:top w:val="nil"/>
              <w:left w:val="nil"/>
              <w:bottom w:val="nil"/>
              <w:right w:val="nil"/>
            </w:tcBorders>
            <w:shd w:val="clear" w:color="auto" w:fill="auto"/>
            <w:hideMark/>
          </w:tcPr>
          <w:p w14:paraId="29AB57F0" w14:textId="77777777" w:rsidR="00F8527E" w:rsidRPr="00B86FE8" w:rsidRDefault="00F8527E" w:rsidP="004332DF">
            <w:pPr>
              <w:pStyle w:val="Tabletextleftindent"/>
              <w:rPr>
                <w:color w:val="002C47" w:themeColor="accent1"/>
              </w:rPr>
            </w:pPr>
            <w:r w:rsidRPr="00B86FE8">
              <w:rPr>
                <w:color w:val="002C47" w:themeColor="accent1"/>
              </w:rPr>
              <w:t>Melbourne</w:t>
            </w:r>
          </w:p>
        </w:tc>
        <w:tc>
          <w:tcPr>
            <w:tcW w:w="1843" w:type="dxa"/>
            <w:tcBorders>
              <w:top w:val="nil"/>
              <w:left w:val="nil"/>
              <w:bottom w:val="nil"/>
              <w:right w:val="nil"/>
            </w:tcBorders>
            <w:shd w:val="clear" w:color="auto" w:fill="auto"/>
            <w:vAlign w:val="center"/>
            <w:hideMark/>
          </w:tcPr>
          <w:p w14:paraId="2D595121" w14:textId="77777777" w:rsidR="00F8527E" w:rsidRPr="000C46CC" w:rsidRDefault="00F8527E" w:rsidP="000649FA">
            <w:pPr>
              <w:pStyle w:val="TableTextLeft"/>
              <w:jc w:val="right"/>
            </w:pPr>
            <w:r w:rsidRPr="000C46CC">
              <w:t>5,096</w:t>
            </w:r>
          </w:p>
        </w:tc>
        <w:tc>
          <w:tcPr>
            <w:tcW w:w="1843" w:type="dxa"/>
            <w:tcBorders>
              <w:top w:val="nil"/>
              <w:left w:val="nil"/>
              <w:bottom w:val="nil"/>
              <w:right w:val="nil"/>
            </w:tcBorders>
            <w:shd w:val="clear" w:color="000000" w:fill="D2EDFF"/>
            <w:vAlign w:val="center"/>
            <w:hideMark/>
          </w:tcPr>
          <w:p w14:paraId="568A28A4" w14:textId="77777777" w:rsidR="00F8527E" w:rsidRPr="000C46CC" w:rsidRDefault="00F8527E" w:rsidP="000649FA">
            <w:pPr>
              <w:pStyle w:val="TableTextLeft"/>
              <w:jc w:val="right"/>
            </w:pPr>
            <w:r w:rsidRPr="000C46CC">
              <w:t>4,976</w:t>
            </w:r>
          </w:p>
        </w:tc>
        <w:tc>
          <w:tcPr>
            <w:tcW w:w="1276" w:type="dxa"/>
            <w:tcBorders>
              <w:top w:val="nil"/>
              <w:left w:val="nil"/>
              <w:bottom w:val="nil"/>
              <w:right w:val="nil"/>
            </w:tcBorders>
            <w:shd w:val="clear" w:color="auto" w:fill="auto"/>
            <w:vAlign w:val="center"/>
            <w:hideMark/>
          </w:tcPr>
          <w:p w14:paraId="0D460AA0" w14:textId="1274252E" w:rsidR="00F8527E" w:rsidRPr="000C46CC" w:rsidRDefault="00252E07" w:rsidP="000649FA">
            <w:pPr>
              <w:pStyle w:val="TableTextLeft"/>
              <w:jc w:val="right"/>
            </w:pPr>
            <w:r w:rsidRPr="000C46CC">
              <w:t>-</w:t>
            </w:r>
            <w:r w:rsidR="00F8527E" w:rsidRPr="000C46CC">
              <w:t>120</w:t>
            </w:r>
          </w:p>
        </w:tc>
        <w:tc>
          <w:tcPr>
            <w:tcW w:w="1275" w:type="dxa"/>
            <w:tcBorders>
              <w:top w:val="nil"/>
              <w:left w:val="nil"/>
              <w:bottom w:val="nil"/>
              <w:right w:val="nil"/>
            </w:tcBorders>
            <w:shd w:val="clear" w:color="auto" w:fill="auto"/>
            <w:vAlign w:val="center"/>
            <w:hideMark/>
          </w:tcPr>
          <w:p w14:paraId="531256F1" w14:textId="0CC31B3F" w:rsidR="00F8527E" w:rsidRPr="000C46CC" w:rsidRDefault="00252E07" w:rsidP="000649FA">
            <w:pPr>
              <w:pStyle w:val="TableTextLeft"/>
              <w:jc w:val="right"/>
            </w:pPr>
            <w:r w:rsidRPr="000C46CC">
              <w:t>-</w:t>
            </w:r>
            <w:r w:rsidR="00F8527E" w:rsidRPr="000C46CC">
              <w:t>2.4</w:t>
            </w:r>
          </w:p>
        </w:tc>
      </w:tr>
      <w:tr w:rsidR="00F8527E" w:rsidRPr="00116886" w14:paraId="7566B992" w14:textId="77777777" w:rsidTr="00676947">
        <w:trPr>
          <w:trHeight w:val="290"/>
        </w:trPr>
        <w:tc>
          <w:tcPr>
            <w:tcW w:w="2835" w:type="dxa"/>
            <w:tcBorders>
              <w:top w:val="nil"/>
              <w:left w:val="nil"/>
              <w:bottom w:val="nil"/>
              <w:right w:val="nil"/>
            </w:tcBorders>
            <w:shd w:val="clear" w:color="auto" w:fill="auto"/>
            <w:hideMark/>
          </w:tcPr>
          <w:p w14:paraId="30D44813" w14:textId="77777777" w:rsidR="00F8527E" w:rsidRPr="00B86FE8" w:rsidRDefault="00F8527E" w:rsidP="004332DF">
            <w:pPr>
              <w:pStyle w:val="Tabletextleftindent"/>
              <w:rPr>
                <w:color w:val="002C47" w:themeColor="accent1"/>
              </w:rPr>
            </w:pPr>
            <w:r w:rsidRPr="00B86FE8">
              <w:rPr>
                <w:color w:val="002C47" w:themeColor="accent1"/>
              </w:rPr>
              <w:t>Rest of Victoria</w:t>
            </w:r>
          </w:p>
        </w:tc>
        <w:tc>
          <w:tcPr>
            <w:tcW w:w="1843" w:type="dxa"/>
            <w:tcBorders>
              <w:top w:val="nil"/>
              <w:left w:val="nil"/>
              <w:bottom w:val="nil"/>
              <w:right w:val="nil"/>
            </w:tcBorders>
            <w:shd w:val="clear" w:color="auto" w:fill="auto"/>
            <w:vAlign w:val="center"/>
            <w:hideMark/>
          </w:tcPr>
          <w:p w14:paraId="5ADDCD7B" w14:textId="77777777" w:rsidR="00F8527E" w:rsidRPr="000C46CC" w:rsidRDefault="00F8527E" w:rsidP="000649FA">
            <w:pPr>
              <w:pStyle w:val="TableTextLeft"/>
              <w:jc w:val="right"/>
            </w:pPr>
            <w:r w:rsidRPr="000C46CC">
              <w:t>1,553</w:t>
            </w:r>
          </w:p>
        </w:tc>
        <w:tc>
          <w:tcPr>
            <w:tcW w:w="1843" w:type="dxa"/>
            <w:tcBorders>
              <w:top w:val="nil"/>
              <w:left w:val="nil"/>
              <w:bottom w:val="nil"/>
              <w:right w:val="nil"/>
            </w:tcBorders>
            <w:shd w:val="clear" w:color="000000" w:fill="D2EDFF"/>
            <w:vAlign w:val="center"/>
            <w:hideMark/>
          </w:tcPr>
          <w:p w14:paraId="0A20BF17" w14:textId="77777777" w:rsidR="00F8527E" w:rsidRPr="000C46CC" w:rsidRDefault="00F8527E" w:rsidP="000649FA">
            <w:pPr>
              <w:pStyle w:val="TableTextLeft"/>
              <w:jc w:val="right"/>
            </w:pPr>
            <w:r w:rsidRPr="000C46CC">
              <w:t>1,572</w:t>
            </w:r>
          </w:p>
        </w:tc>
        <w:tc>
          <w:tcPr>
            <w:tcW w:w="1276" w:type="dxa"/>
            <w:tcBorders>
              <w:top w:val="nil"/>
              <w:left w:val="nil"/>
              <w:bottom w:val="nil"/>
              <w:right w:val="nil"/>
            </w:tcBorders>
            <w:shd w:val="clear" w:color="auto" w:fill="auto"/>
            <w:vAlign w:val="center"/>
            <w:hideMark/>
          </w:tcPr>
          <w:p w14:paraId="254F9798" w14:textId="77777777" w:rsidR="00F8527E" w:rsidRPr="000C46CC" w:rsidRDefault="00F8527E" w:rsidP="000649FA">
            <w:pPr>
              <w:pStyle w:val="TableTextLeft"/>
              <w:jc w:val="right"/>
            </w:pPr>
            <w:r w:rsidRPr="000C46CC">
              <w:t>19</w:t>
            </w:r>
          </w:p>
        </w:tc>
        <w:tc>
          <w:tcPr>
            <w:tcW w:w="1275" w:type="dxa"/>
            <w:tcBorders>
              <w:top w:val="nil"/>
              <w:left w:val="nil"/>
              <w:bottom w:val="nil"/>
              <w:right w:val="nil"/>
            </w:tcBorders>
            <w:shd w:val="clear" w:color="auto" w:fill="auto"/>
            <w:vAlign w:val="center"/>
            <w:hideMark/>
          </w:tcPr>
          <w:p w14:paraId="79776B92" w14:textId="77777777" w:rsidR="00F8527E" w:rsidRPr="000C46CC" w:rsidRDefault="00F8527E" w:rsidP="000649FA">
            <w:pPr>
              <w:pStyle w:val="TableTextLeft"/>
              <w:jc w:val="right"/>
            </w:pPr>
            <w:r w:rsidRPr="000C46CC">
              <w:t>1.2</w:t>
            </w:r>
          </w:p>
        </w:tc>
      </w:tr>
      <w:tr w:rsidR="00F8527E" w:rsidRPr="00116886" w14:paraId="53B78BD5" w14:textId="77777777" w:rsidTr="00676947">
        <w:trPr>
          <w:trHeight w:val="290"/>
        </w:trPr>
        <w:tc>
          <w:tcPr>
            <w:tcW w:w="2835" w:type="dxa"/>
            <w:tcBorders>
              <w:top w:val="nil"/>
              <w:left w:val="nil"/>
              <w:bottom w:val="nil"/>
              <w:right w:val="nil"/>
            </w:tcBorders>
            <w:shd w:val="clear" w:color="auto" w:fill="auto"/>
            <w:hideMark/>
          </w:tcPr>
          <w:p w14:paraId="00EA07DC" w14:textId="2CCD6AD3" w:rsidR="00F8527E" w:rsidRPr="00B86FE8" w:rsidRDefault="007824B7" w:rsidP="005C264F">
            <w:pPr>
              <w:pStyle w:val="TableTextLeft"/>
              <w:rPr>
                <w:color w:val="002C47" w:themeColor="accent1"/>
              </w:rPr>
            </w:pPr>
            <w:r w:rsidRPr="00B86FE8">
              <w:rPr>
                <w:color w:val="002C47" w:themeColor="accent1"/>
              </w:rPr>
              <w:t>Queensland</w:t>
            </w:r>
          </w:p>
        </w:tc>
        <w:tc>
          <w:tcPr>
            <w:tcW w:w="1843" w:type="dxa"/>
            <w:tcBorders>
              <w:top w:val="nil"/>
              <w:left w:val="nil"/>
              <w:bottom w:val="nil"/>
              <w:right w:val="nil"/>
            </w:tcBorders>
            <w:shd w:val="clear" w:color="auto" w:fill="auto"/>
            <w:vAlign w:val="center"/>
            <w:hideMark/>
          </w:tcPr>
          <w:p w14:paraId="2D3C331A" w14:textId="77777777" w:rsidR="00F8527E" w:rsidRPr="000C46CC" w:rsidRDefault="00F8527E" w:rsidP="000649FA">
            <w:pPr>
              <w:pStyle w:val="TableTextLeft"/>
              <w:jc w:val="right"/>
            </w:pPr>
            <w:r w:rsidRPr="000C46CC">
              <w:t>5,221</w:t>
            </w:r>
          </w:p>
        </w:tc>
        <w:tc>
          <w:tcPr>
            <w:tcW w:w="1843" w:type="dxa"/>
            <w:tcBorders>
              <w:top w:val="nil"/>
              <w:left w:val="nil"/>
              <w:bottom w:val="nil"/>
              <w:right w:val="nil"/>
            </w:tcBorders>
            <w:shd w:val="clear" w:color="000000" w:fill="D2EDFF"/>
            <w:vAlign w:val="center"/>
            <w:hideMark/>
          </w:tcPr>
          <w:p w14:paraId="79813E6A" w14:textId="77777777" w:rsidR="00F8527E" w:rsidRPr="000C46CC" w:rsidRDefault="00F8527E" w:rsidP="000649FA">
            <w:pPr>
              <w:pStyle w:val="TableTextLeft"/>
              <w:jc w:val="right"/>
            </w:pPr>
            <w:r w:rsidRPr="000C46CC">
              <w:t>5,218</w:t>
            </w:r>
          </w:p>
        </w:tc>
        <w:tc>
          <w:tcPr>
            <w:tcW w:w="1276" w:type="dxa"/>
            <w:tcBorders>
              <w:top w:val="nil"/>
              <w:left w:val="nil"/>
              <w:bottom w:val="nil"/>
              <w:right w:val="nil"/>
            </w:tcBorders>
            <w:shd w:val="clear" w:color="auto" w:fill="auto"/>
            <w:vAlign w:val="center"/>
            <w:hideMark/>
          </w:tcPr>
          <w:p w14:paraId="6E446945" w14:textId="33F908F1" w:rsidR="00F8527E" w:rsidRPr="000C46CC" w:rsidRDefault="00252E07" w:rsidP="000649FA">
            <w:pPr>
              <w:pStyle w:val="TableTextLeft"/>
              <w:jc w:val="right"/>
            </w:pPr>
            <w:r w:rsidRPr="000C46CC">
              <w:t>-</w:t>
            </w:r>
            <w:r w:rsidR="00F8527E" w:rsidRPr="000C46CC">
              <w:t>4</w:t>
            </w:r>
          </w:p>
        </w:tc>
        <w:tc>
          <w:tcPr>
            <w:tcW w:w="1275" w:type="dxa"/>
            <w:tcBorders>
              <w:top w:val="nil"/>
              <w:left w:val="nil"/>
              <w:bottom w:val="nil"/>
              <w:right w:val="nil"/>
            </w:tcBorders>
            <w:shd w:val="clear" w:color="auto" w:fill="auto"/>
            <w:vAlign w:val="center"/>
            <w:hideMark/>
          </w:tcPr>
          <w:p w14:paraId="51876EEE" w14:textId="73D8E335" w:rsidR="00F8527E" w:rsidRPr="000C46CC" w:rsidRDefault="00252E07" w:rsidP="000649FA">
            <w:pPr>
              <w:pStyle w:val="TableTextLeft"/>
              <w:jc w:val="right"/>
            </w:pPr>
            <w:r w:rsidRPr="000C46CC">
              <w:t>-</w:t>
            </w:r>
            <w:r w:rsidR="00F8527E" w:rsidRPr="000C46CC">
              <w:t>0.1</w:t>
            </w:r>
          </w:p>
        </w:tc>
      </w:tr>
      <w:tr w:rsidR="00F8527E" w:rsidRPr="00116886" w14:paraId="53152DE9" w14:textId="77777777" w:rsidTr="00676947">
        <w:trPr>
          <w:trHeight w:val="290"/>
        </w:trPr>
        <w:tc>
          <w:tcPr>
            <w:tcW w:w="2835" w:type="dxa"/>
            <w:tcBorders>
              <w:top w:val="nil"/>
              <w:left w:val="nil"/>
              <w:bottom w:val="nil"/>
              <w:right w:val="nil"/>
            </w:tcBorders>
            <w:shd w:val="clear" w:color="auto" w:fill="auto"/>
            <w:hideMark/>
          </w:tcPr>
          <w:p w14:paraId="437C4F62" w14:textId="77777777" w:rsidR="00F8527E" w:rsidRPr="00B86FE8" w:rsidRDefault="00F8527E" w:rsidP="004332DF">
            <w:pPr>
              <w:pStyle w:val="Tabletextleftindent"/>
              <w:rPr>
                <w:color w:val="002C47" w:themeColor="accent1"/>
              </w:rPr>
            </w:pPr>
            <w:r w:rsidRPr="00B86FE8">
              <w:rPr>
                <w:color w:val="002C47" w:themeColor="accent1"/>
              </w:rPr>
              <w:t>Brisbane</w:t>
            </w:r>
          </w:p>
        </w:tc>
        <w:tc>
          <w:tcPr>
            <w:tcW w:w="1843" w:type="dxa"/>
            <w:tcBorders>
              <w:top w:val="nil"/>
              <w:left w:val="nil"/>
              <w:bottom w:val="nil"/>
              <w:right w:val="nil"/>
            </w:tcBorders>
            <w:shd w:val="clear" w:color="auto" w:fill="auto"/>
            <w:vAlign w:val="center"/>
            <w:hideMark/>
          </w:tcPr>
          <w:p w14:paraId="12FE36C0" w14:textId="77777777" w:rsidR="00F8527E" w:rsidRPr="000C46CC" w:rsidRDefault="00F8527E" w:rsidP="000649FA">
            <w:pPr>
              <w:pStyle w:val="TableTextLeft"/>
              <w:jc w:val="right"/>
            </w:pPr>
            <w:r w:rsidRPr="000C46CC">
              <w:t>2,582</w:t>
            </w:r>
          </w:p>
        </w:tc>
        <w:tc>
          <w:tcPr>
            <w:tcW w:w="1843" w:type="dxa"/>
            <w:tcBorders>
              <w:top w:val="nil"/>
              <w:left w:val="nil"/>
              <w:bottom w:val="nil"/>
              <w:right w:val="nil"/>
            </w:tcBorders>
            <w:shd w:val="clear" w:color="000000" w:fill="D2EDFF"/>
            <w:vAlign w:val="center"/>
            <w:hideMark/>
          </w:tcPr>
          <w:p w14:paraId="3D87168D" w14:textId="77777777" w:rsidR="00F8527E" w:rsidRPr="000C46CC" w:rsidRDefault="00F8527E" w:rsidP="000649FA">
            <w:pPr>
              <w:pStyle w:val="TableTextLeft"/>
              <w:jc w:val="right"/>
            </w:pPr>
            <w:r w:rsidRPr="000C46CC">
              <w:t>2,569</w:t>
            </w:r>
          </w:p>
        </w:tc>
        <w:tc>
          <w:tcPr>
            <w:tcW w:w="1276" w:type="dxa"/>
            <w:tcBorders>
              <w:top w:val="nil"/>
              <w:left w:val="nil"/>
              <w:bottom w:val="nil"/>
              <w:right w:val="nil"/>
            </w:tcBorders>
            <w:shd w:val="clear" w:color="auto" w:fill="auto"/>
            <w:vAlign w:val="center"/>
            <w:hideMark/>
          </w:tcPr>
          <w:p w14:paraId="0278FEE9" w14:textId="62916A67" w:rsidR="00F8527E" w:rsidRPr="000C46CC" w:rsidRDefault="00252E07" w:rsidP="000649FA">
            <w:pPr>
              <w:pStyle w:val="TableTextLeft"/>
              <w:jc w:val="right"/>
            </w:pPr>
            <w:r w:rsidRPr="000C46CC">
              <w:t>-</w:t>
            </w:r>
            <w:r w:rsidR="00F8527E" w:rsidRPr="000C46CC">
              <w:t>13</w:t>
            </w:r>
          </w:p>
        </w:tc>
        <w:tc>
          <w:tcPr>
            <w:tcW w:w="1275" w:type="dxa"/>
            <w:tcBorders>
              <w:top w:val="nil"/>
              <w:left w:val="nil"/>
              <w:bottom w:val="nil"/>
              <w:right w:val="nil"/>
            </w:tcBorders>
            <w:shd w:val="clear" w:color="auto" w:fill="auto"/>
            <w:vAlign w:val="center"/>
            <w:hideMark/>
          </w:tcPr>
          <w:p w14:paraId="76D7E265" w14:textId="7FABDEE2" w:rsidR="00F8527E" w:rsidRPr="000C46CC" w:rsidRDefault="00252E07" w:rsidP="000649FA">
            <w:pPr>
              <w:pStyle w:val="TableTextLeft"/>
              <w:jc w:val="right"/>
            </w:pPr>
            <w:r w:rsidRPr="000C46CC">
              <w:t>-</w:t>
            </w:r>
            <w:r w:rsidR="00F8527E" w:rsidRPr="000C46CC">
              <w:t>0.5</w:t>
            </w:r>
          </w:p>
        </w:tc>
      </w:tr>
      <w:tr w:rsidR="00F8527E" w:rsidRPr="00116886" w14:paraId="53C527FE" w14:textId="77777777" w:rsidTr="00676947">
        <w:trPr>
          <w:trHeight w:val="290"/>
        </w:trPr>
        <w:tc>
          <w:tcPr>
            <w:tcW w:w="2835" w:type="dxa"/>
            <w:tcBorders>
              <w:top w:val="nil"/>
              <w:left w:val="nil"/>
              <w:bottom w:val="nil"/>
              <w:right w:val="nil"/>
            </w:tcBorders>
            <w:shd w:val="clear" w:color="auto" w:fill="auto"/>
            <w:hideMark/>
          </w:tcPr>
          <w:p w14:paraId="6E8F1FBB" w14:textId="77777777" w:rsidR="00F8527E" w:rsidRPr="00B86FE8" w:rsidRDefault="00F8527E" w:rsidP="004332DF">
            <w:pPr>
              <w:pStyle w:val="Tabletextleftindent"/>
              <w:rPr>
                <w:color w:val="002C47" w:themeColor="accent1"/>
              </w:rPr>
            </w:pPr>
            <w:r w:rsidRPr="00B86FE8">
              <w:rPr>
                <w:color w:val="002C47" w:themeColor="accent1"/>
              </w:rPr>
              <w:t>Rest of Queensland</w:t>
            </w:r>
          </w:p>
        </w:tc>
        <w:tc>
          <w:tcPr>
            <w:tcW w:w="1843" w:type="dxa"/>
            <w:tcBorders>
              <w:top w:val="nil"/>
              <w:left w:val="nil"/>
              <w:bottom w:val="nil"/>
              <w:right w:val="nil"/>
            </w:tcBorders>
            <w:shd w:val="clear" w:color="auto" w:fill="auto"/>
            <w:vAlign w:val="center"/>
            <w:hideMark/>
          </w:tcPr>
          <w:p w14:paraId="03C12BD8" w14:textId="77777777" w:rsidR="00F8527E" w:rsidRPr="000C46CC" w:rsidRDefault="00F8527E" w:rsidP="000649FA">
            <w:pPr>
              <w:pStyle w:val="TableTextLeft"/>
              <w:jc w:val="right"/>
            </w:pPr>
            <w:r w:rsidRPr="000C46CC">
              <w:t>2,639</w:t>
            </w:r>
          </w:p>
        </w:tc>
        <w:tc>
          <w:tcPr>
            <w:tcW w:w="1843" w:type="dxa"/>
            <w:tcBorders>
              <w:top w:val="nil"/>
              <w:left w:val="nil"/>
              <w:bottom w:val="nil"/>
              <w:right w:val="nil"/>
            </w:tcBorders>
            <w:shd w:val="clear" w:color="000000" w:fill="D2EDFF"/>
            <w:vAlign w:val="center"/>
            <w:hideMark/>
          </w:tcPr>
          <w:p w14:paraId="24BBA7F5" w14:textId="77777777" w:rsidR="00F8527E" w:rsidRPr="000C46CC" w:rsidRDefault="00F8527E" w:rsidP="000649FA">
            <w:pPr>
              <w:pStyle w:val="TableTextLeft"/>
              <w:jc w:val="right"/>
            </w:pPr>
            <w:r w:rsidRPr="000C46CC">
              <w:t>2,649</w:t>
            </w:r>
          </w:p>
        </w:tc>
        <w:tc>
          <w:tcPr>
            <w:tcW w:w="1276" w:type="dxa"/>
            <w:tcBorders>
              <w:top w:val="nil"/>
              <w:left w:val="nil"/>
              <w:bottom w:val="nil"/>
              <w:right w:val="nil"/>
            </w:tcBorders>
            <w:shd w:val="clear" w:color="auto" w:fill="auto"/>
            <w:vAlign w:val="center"/>
            <w:hideMark/>
          </w:tcPr>
          <w:p w14:paraId="4E27151B" w14:textId="77777777" w:rsidR="00F8527E" w:rsidRPr="000C46CC" w:rsidRDefault="00F8527E" w:rsidP="000649FA">
            <w:pPr>
              <w:pStyle w:val="TableTextLeft"/>
              <w:jc w:val="right"/>
            </w:pPr>
            <w:r w:rsidRPr="000C46CC">
              <w:t>10</w:t>
            </w:r>
          </w:p>
        </w:tc>
        <w:tc>
          <w:tcPr>
            <w:tcW w:w="1275" w:type="dxa"/>
            <w:tcBorders>
              <w:top w:val="nil"/>
              <w:left w:val="nil"/>
              <w:bottom w:val="nil"/>
              <w:right w:val="nil"/>
            </w:tcBorders>
            <w:shd w:val="clear" w:color="auto" w:fill="auto"/>
            <w:vAlign w:val="center"/>
            <w:hideMark/>
          </w:tcPr>
          <w:p w14:paraId="4C618200" w14:textId="77777777" w:rsidR="00F8527E" w:rsidRPr="000C46CC" w:rsidRDefault="00F8527E" w:rsidP="000649FA">
            <w:pPr>
              <w:pStyle w:val="TableTextLeft"/>
              <w:jc w:val="right"/>
            </w:pPr>
            <w:r w:rsidRPr="000C46CC">
              <w:t>0.4</w:t>
            </w:r>
          </w:p>
        </w:tc>
      </w:tr>
      <w:tr w:rsidR="00F8527E" w:rsidRPr="00116886" w14:paraId="5FF7FBAE" w14:textId="77777777" w:rsidTr="00676947">
        <w:trPr>
          <w:trHeight w:val="290"/>
        </w:trPr>
        <w:tc>
          <w:tcPr>
            <w:tcW w:w="2835" w:type="dxa"/>
            <w:tcBorders>
              <w:top w:val="nil"/>
              <w:left w:val="nil"/>
              <w:bottom w:val="nil"/>
              <w:right w:val="nil"/>
            </w:tcBorders>
            <w:shd w:val="clear" w:color="auto" w:fill="auto"/>
            <w:hideMark/>
          </w:tcPr>
          <w:p w14:paraId="4D9C2DFD" w14:textId="5F87EA01" w:rsidR="00F8527E" w:rsidRPr="00B86FE8" w:rsidRDefault="007824B7" w:rsidP="005C264F">
            <w:pPr>
              <w:pStyle w:val="TableTextLeft"/>
              <w:rPr>
                <w:color w:val="002C47" w:themeColor="accent1"/>
              </w:rPr>
            </w:pPr>
            <w:r w:rsidRPr="00B86FE8">
              <w:rPr>
                <w:color w:val="002C47" w:themeColor="accent1"/>
              </w:rPr>
              <w:t>South Australia</w:t>
            </w:r>
          </w:p>
        </w:tc>
        <w:tc>
          <w:tcPr>
            <w:tcW w:w="1843" w:type="dxa"/>
            <w:tcBorders>
              <w:top w:val="nil"/>
              <w:left w:val="nil"/>
              <w:bottom w:val="nil"/>
              <w:right w:val="nil"/>
            </w:tcBorders>
            <w:shd w:val="clear" w:color="auto" w:fill="auto"/>
            <w:vAlign w:val="center"/>
            <w:hideMark/>
          </w:tcPr>
          <w:p w14:paraId="7B9D2044" w14:textId="77777777" w:rsidR="00F8527E" w:rsidRPr="000C46CC" w:rsidRDefault="00F8527E" w:rsidP="000649FA">
            <w:pPr>
              <w:pStyle w:val="TableTextLeft"/>
              <w:jc w:val="right"/>
            </w:pPr>
            <w:r w:rsidRPr="000C46CC">
              <w:t>1,773</w:t>
            </w:r>
          </w:p>
        </w:tc>
        <w:tc>
          <w:tcPr>
            <w:tcW w:w="1843" w:type="dxa"/>
            <w:tcBorders>
              <w:top w:val="nil"/>
              <w:left w:val="nil"/>
              <w:bottom w:val="nil"/>
              <w:right w:val="nil"/>
            </w:tcBorders>
            <w:shd w:val="clear" w:color="000000" w:fill="D2EDFF"/>
            <w:vAlign w:val="center"/>
            <w:hideMark/>
          </w:tcPr>
          <w:p w14:paraId="55EBDD58" w14:textId="77777777" w:rsidR="00F8527E" w:rsidRPr="000C46CC" w:rsidRDefault="00F8527E" w:rsidP="000649FA">
            <w:pPr>
              <w:pStyle w:val="TableTextLeft"/>
              <w:jc w:val="right"/>
            </w:pPr>
            <w:r w:rsidRPr="000C46CC">
              <w:t>1,803</w:t>
            </w:r>
          </w:p>
        </w:tc>
        <w:tc>
          <w:tcPr>
            <w:tcW w:w="1276" w:type="dxa"/>
            <w:tcBorders>
              <w:top w:val="nil"/>
              <w:left w:val="nil"/>
              <w:bottom w:val="nil"/>
              <w:right w:val="nil"/>
            </w:tcBorders>
            <w:shd w:val="clear" w:color="auto" w:fill="auto"/>
            <w:vAlign w:val="center"/>
            <w:hideMark/>
          </w:tcPr>
          <w:p w14:paraId="5497508F" w14:textId="77777777" w:rsidR="00F8527E" w:rsidRPr="000C46CC" w:rsidRDefault="00F8527E" w:rsidP="000649FA">
            <w:pPr>
              <w:pStyle w:val="TableTextLeft"/>
              <w:jc w:val="right"/>
            </w:pPr>
            <w:r w:rsidRPr="000C46CC">
              <w:t>30</w:t>
            </w:r>
          </w:p>
        </w:tc>
        <w:tc>
          <w:tcPr>
            <w:tcW w:w="1275" w:type="dxa"/>
            <w:tcBorders>
              <w:top w:val="nil"/>
              <w:left w:val="nil"/>
              <w:bottom w:val="nil"/>
              <w:right w:val="nil"/>
            </w:tcBorders>
            <w:shd w:val="clear" w:color="auto" w:fill="auto"/>
            <w:vAlign w:val="center"/>
            <w:hideMark/>
          </w:tcPr>
          <w:p w14:paraId="4BFA64C0" w14:textId="77777777" w:rsidR="00F8527E" w:rsidRPr="000C46CC" w:rsidRDefault="00F8527E" w:rsidP="000649FA">
            <w:pPr>
              <w:pStyle w:val="TableTextLeft"/>
              <w:jc w:val="right"/>
            </w:pPr>
            <w:r w:rsidRPr="000C46CC">
              <w:t>1.7</w:t>
            </w:r>
          </w:p>
        </w:tc>
      </w:tr>
      <w:tr w:rsidR="00F8527E" w:rsidRPr="00116886" w14:paraId="4F2892D3" w14:textId="77777777" w:rsidTr="00676947">
        <w:trPr>
          <w:trHeight w:val="290"/>
        </w:trPr>
        <w:tc>
          <w:tcPr>
            <w:tcW w:w="2835" w:type="dxa"/>
            <w:tcBorders>
              <w:top w:val="nil"/>
              <w:left w:val="nil"/>
              <w:bottom w:val="nil"/>
              <w:right w:val="nil"/>
            </w:tcBorders>
            <w:shd w:val="clear" w:color="auto" w:fill="auto"/>
            <w:hideMark/>
          </w:tcPr>
          <w:p w14:paraId="477F2B8F" w14:textId="77777777" w:rsidR="00F8527E" w:rsidRPr="00B86FE8" w:rsidRDefault="00F8527E" w:rsidP="004332DF">
            <w:pPr>
              <w:pStyle w:val="Tabletextleftindent"/>
              <w:rPr>
                <w:color w:val="002C47" w:themeColor="accent1"/>
              </w:rPr>
            </w:pPr>
            <w:r w:rsidRPr="00B86FE8">
              <w:rPr>
                <w:color w:val="002C47" w:themeColor="accent1"/>
              </w:rPr>
              <w:t>Adelaide</w:t>
            </w:r>
          </w:p>
        </w:tc>
        <w:tc>
          <w:tcPr>
            <w:tcW w:w="1843" w:type="dxa"/>
            <w:tcBorders>
              <w:top w:val="nil"/>
              <w:left w:val="nil"/>
              <w:bottom w:val="nil"/>
              <w:right w:val="nil"/>
            </w:tcBorders>
            <w:shd w:val="clear" w:color="auto" w:fill="auto"/>
            <w:vAlign w:val="center"/>
            <w:hideMark/>
          </w:tcPr>
          <w:p w14:paraId="74B6F59F" w14:textId="77777777" w:rsidR="00F8527E" w:rsidRPr="000C46CC" w:rsidRDefault="00F8527E" w:rsidP="000649FA">
            <w:pPr>
              <w:pStyle w:val="TableTextLeft"/>
              <w:jc w:val="right"/>
            </w:pPr>
            <w:r w:rsidRPr="000C46CC">
              <w:t>1,378</w:t>
            </w:r>
          </w:p>
        </w:tc>
        <w:tc>
          <w:tcPr>
            <w:tcW w:w="1843" w:type="dxa"/>
            <w:tcBorders>
              <w:top w:val="nil"/>
              <w:left w:val="nil"/>
              <w:bottom w:val="nil"/>
              <w:right w:val="nil"/>
            </w:tcBorders>
            <w:shd w:val="clear" w:color="000000" w:fill="D2EDFF"/>
            <w:vAlign w:val="center"/>
            <w:hideMark/>
          </w:tcPr>
          <w:p w14:paraId="29F9CB73" w14:textId="77777777" w:rsidR="00F8527E" w:rsidRPr="000C46CC" w:rsidRDefault="00F8527E" w:rsidP="000649FA">
            <w:pPr>
              <w:pStyle w:val="TableTextLeft"/>
              <w:jc w:val="right"/>
            </w:pPr>
            <w:r w:rsidRPr="000C46CC">
              <w:t>1,402</w:t>
            </w:r>
          </w:p>
        </w:tc>
        <w:tc>
          <w:tcPr>
            <w:tcW w:w="1276" w:type="dxa"/>
            <w:tcBorders>
              <w:top w:val="nil"/>
              <w:left w:val="nil"/>
              <w:bottom w:val="nil"/>
              <w:right w:val="nil"/>
            </w:tcBorders>
            <w:shd w:val="clear" w:color="auto" w:fill="auto"/>
            <w:vAlign w:val="center"/>
            <w:hideMark/>
          </w:tcPr>
          <w:p w14:paraId="6EFEC9D3" w14:textId="77777777" w:rsidR="00F8527E" w:rsidRPr="000C46CC" w:rsidRDefault="00F8527E" w:rsidP="000649FA">
            <w:pPr>
              <w:pStyle w:val="TableTextLeft"/>
              <w:jc w:val="right"/>
            </w:pPr>
            <w:r w:rsidRPr="000C46CC">
              <w:t>24</w:t>
            </w:r>
          </w:p>
        </w:tc>
        <w:tc>
          <w:tcPr>
            <w:tcW w:w="1275" w:type="dxa"/>
            <w:tcBorders>
              <w:top w:val="nil"/>
              <w:left w:val="nil"/>
              <w:bottom w:val="nil"/>
              <w:right w:val="nil"/>
            </w:tcBorders>
            <w:shd w:val="clear" w:color="auto" w:fill="auto"/>
            <w:vAlign w:val="center"/>
            <w:hideMark/>
          </w:tcPr>
          <w:p w14:paraId="3F9195B2" w14:textId="77777777" w:rsidR="00F8527E" w:rsidRPr="000C46CC" w:rsidRDefault="00F8527E" w:rsidP="000649FA">
            <w:pPr>
              <w:pStyle w:val="TableTextLeft"/>
              <w:jc w:val="right"/>
            </w:pPr>
            <w:r w:rsidRPr="000C46CC">
              <w:t>1.7</w:t>
            </w:r>
          </w:p>
        </w:tc>
      </w:tr>
      <w:tr w:rsidR="00F8527E" w:rsidRPr="00116886" w14:paraId="0E8A0937" w14:textId="77777777" w:rsidTr="00676947">
        <w:trPr>
          <w:trHeight w:val="290"/>
        </w:trPr>
        <w:tc>
          <w:tcPr>
            <w:tcW w:w="2835" w:type="dxa"/>
            <w:tcBorders>
              <w:top w:val="nil"/>
              <w:left w:val="nil"/>
              <w:bottom w:val="nil"/>
              <w:right w:val="nil"/>
            </w:tcBorders>
            <w:shd w:val="clear" w:color="auto" w:fill="auto"/>
            <w:hideMark/>
          </w:tcPr>
          <w:p w14:paraId="6295753A" w14:textId="77777777" w:rsidR="00F8527E" w:rsidRPr="00B86FE8" w:rsidRDefault="00F8527E" w:rsidP="004332DF">
            <w:pPr>
              <w:pStyle w:val="Tabletextleftindent"/>
              <w:rPr>
                <w:color w:val="002C47" w:themeColor="accent1"/>
              </w:rPr>
            </w:pPr>
            <w:r w:rsidRPr="00B86FE8">
              <w:rPr>
                <w:color w:val="002C47" w:themeColor="accent1"/>
              </w:rPr>
              <w:t>Rest of South Australia</w:t>
            </w:r>
          </w:p>
        </w:tc>
        <w:tc>
          <w:tcPr>
            <w:tcW w:w="1843" w:type="dxa"/>
            <w:tcBorders>
              <w:top w:val="nil"/>
              <w:left w:val="nil"/>
              <w:bottom w:val="nil"/>
              <w:right w:val="nil"/>
            </w:tcBorders>
            <w:shd w:val="clear" w:color="auto" w:fill="auto"/>
            <w:vAlign w:val="center"/>
            <w:hideMark/>
          </w:tcPr>
          <w:p w14:paraId="1ABF2457" w14:textId="77777777" w:rsidR="00F8527E" w:rsidRPr="000C46CC" w:rsidRDefault="00F8527E" w:rsidP="000649FA">
            <w:pPr>
              <w:pStyle w:val="TableTextLeft"/>
              <w:jc w:val="right"/>
            </w:pPr>
            <w:r w:rsidRPr="000C46CC">
              <w:t>395</w:t>
            </w:r>
          </w:p>
        </w:tc>
        <w:tc>
          <w:tcPr>
            <w:tcW w:w="1843" w:type="dxa"/>
            <w:tcBorders>
              <w:top w:val="nil"/>
              <w:left w:val="nil"/>
              <w:bottom w:val="nil"/>
              <w:right w:val="nil"/>
            </w:tcBorders>
            <w:shd w:val="clear" w:color="000000" w:fill="D2EDFF"/>
            <w:vAlign w:val="center"/>
            <w:hideMark/>
          </w:tcPr>
          <w:p w14:paraId="31E1D128" w14:textId="77777777" w:rsidR="00F8527E" w:rsidRPr="000C46CC" w:rsidRDefault="00F8527E" w:rsidP="000649FA">
            <w:pPr>
              <w:pStyle w:val="TableTextLeft"/>
              <w:jc w:val="right"/>
            </w:pPr>
            <w:r w:rsidRPr="000C46CC">
              <w:t>401</w:t>
            </w:r>
          </w:p>
        </w:tc>
        <w:tc>
          <w:tcPr>
            <w:tcW w:w="1276" w:type="dxa"/>
            <w:tcBorders>
              <w:top w:val="nil"/>
              <w:left w:val="nil"/>
              <w:bottom w:val="nil"/>
              <w:right w:val="nil"/>
            </w:tcBorders>
            <w:shd w:val="clear" w:color="auto" w:fill="auto"/>
            <w:vAlign w:val="center"/>
            <w:hideMark/>
          </w:tcPr>
          <w:p w14:paraId="3F21C42C" w14:textId="77777777" w:rsidR="00F8527E" w:rsidRPr="000C46CC" w:rsidRDefault="00F8527E" w:rsidP="000649FA">
            <w:pPr>
              <w:pStyle w:val="TableTextLeft"/>
              <w:jc w:val="right"/>
            </w:pPr>
            <w:r w:rsidRPr="000C46CC">
              <w:t>6</w:t>
            </w:r>
          </w:p>
        </w:tc>
        <w:tc>
          <w:tcPr>
            <w:tcW w:w="1275" w:type="dxa"/>
            <w:tcBorders>
              <w:top w:val="nil"/>
              <w:left w:val="nil"/>
              <w:bottom w:val="nil"/>
              <w:right w:val="nil"/>
            </w:tcBorders>
            <w:shd w:val="clear" w:color="auto" w:fill="auto"/>
            <w:vAlign w:val="center"/>
            <w:hideMark/>
          </w:tcPr>
          <w:p w14:paraId="0D6FA142" w14:textId="77777777" w:rsidR="00F8527E" w:rsidRPr="000C46CC" w:rsidRDefault="00F8527E" w:rsidP="000649FA">
            <w:pPr>
              <w:pStyle w:val="TableTextLeft"/>
              <w:jc w:val="right"/>
            </w:pPr>
            <w:r w:rsidRPr="000C46CC">
              <w:t>1.5</w:t>
            </w:r>
          </w:p>
        </w:tc>
      </w:tr>
      <w:tr w:rsidR="00F8527E" w:rsidRPr="00116886" w14:paraId="3A08B068" w14:textId="77777777" w:rsidTr="00676947">
        <w:trPr>
          <w:trHeight w:val="290"/>
        </w:trPr>
        <w:tc>
          <w:tcPr>
            <w:tcW w:w="2835" w:type="dxa"/>
            <w:tcBorders>
              <w:top w:val="nil"/>
              <w:left w:val="nil"/>
              <w:bottom w:val="nil"/>
              <w:right w:val="nil"/>
            </w:tcBorders>
            <w:shd w:val="clear" w:color="auto" w:fill="auto"/>
            <w:hideMark/>
          </w:tcPr>
          <w:p w14:paraId="60904B36" w14:textId="7C2921E5" w:rsidR="00F8527E" w:rsidRPr="00B86FE8" w:rsidRDefault="007824B7" w:rsidP="005C264F">
            <w:pPr>
              <w:pStyle w:val="TableTextLeft"/>
              <w:rPr>
                <w:color w:val="002C47" w:themeColor="accent1"/>
              </w:rPr>
            </w:pPr>
            <w:r w:rsidRPr="00B86FE8">
              <w:rPr>
                <w:color w:val="002C47" w:themeColor="accent1"/>
              </w:rPr>
              <w:t>Western Australia</w:t>
            </w:r>
          </w:p>
        </w:tc>
        <w:tc>
          <w:tcPr>
            <w:tcW w:w="1843" w:type="dxa"/>
            <w:tcBorders>
              <w:top w:val="nil"/>
              <w:left w:val="nil"/>
              <w:bottom w:val="nil"/>
              <w:right w:val="nil"/>
            </w:tcBorders>
            <w:shd w:val="clear" w:color="auto" w:fill="auto"/>
            <w:vAlign w:val="center"/>
            <w:hideMark/>
          </w:tcPr>
          <w:p w14:paraId="1AA2345B" w14:textId="77777777" w:rsidR="00F8527E" w:rsidRPr="000C46CC" w:rsidRDefault="00F8527E" w:rsidP="000649FA">
            <w:pPr>
              <w:pStyle w:val="TableTextLeft"/>
              <w:jc w:val="right"/>
            </w:pPr>
            <w:r w:rsidRPr="000C46CC">
              <w:t>2,682</w:t>
            </w:r>
          </w:p>
        </w:tc>
        <w:tc>
          <w:tcPr>
            <w:tcW w:w="1843" w:type="dxa"/>
            <w:tcBorders>
              <w:top w:val="nil"/>
              <w:left w:val="nil"/>
              <w:bottom w:val="nil"/>
              <w:right w:val="nil"/>
            </w:tcBorders>
            <w:shd w:val="clear" w:color="000000" w:fill="D2EDFF"/>
            <w:vAlign w:val="center"/>
            <w:hideMark/>
          </w:tcPr>
          <w:p w14:paraId="5BBF4373" w14:textId="77777777" w:rsidR="00F8527E" w:rsidRPr="000C46CC" w:rsidRDefault="00F8527E" w:rsidP="000649FA">
            <w:pPr>
              <w:pStyle w:val="TableTextLeft"/>
              <w:jc w:val="right"/>
            </w:pPr>
            <w:r w:rsidRPr="000C46CC">
              <w:t>2,750</w:t>
            </w:r>
          </w:p>
        </w:tc>
        <w:tc>
          <w:tcPr>
            <w:tcW w:w="1276" w:type="dxa"/>
            <w:tcBorders>
              <w:top w:val="nil"/>
              <w:left w:val="nil"/>
              <w:bottom w:val="nil"/>
              <w:right w:val="nil"/>
            </w:tcBorders>
            <w:shd w:val="clear" w:color="auto" w:fill="auto"/>
            <w:vAlign w:val="center"/>
            <w:hideMark/>
          </w:tcPr>
          <w:p w14:paraId="538B7C0D" w14:textId="77777777" w:rsidR="00F8527E" w:rsidRPr="000C46CC" w:rsidRDefault="00F8527E" w:rsidP="000649FA">
            <w:pPr>
              <w:pStyle w:val="TableTextLeft"/>
              <w:jc w:val="right"/>
            </w:pPr>
            <w:r w:rsidRPr="000C46CC">
              <w:t>68</w:t>
            </w:r>
          </w:p>
        </w:tc>
        <w:tc>
          <w:tcPr>
            <w:tcW w:w="1275" w:type="dxa"/>
            <w:tcBorders>
              <w:top w:val="nil"/>
              <w:left w:val="nil"/>
              <w:bottom w:val="nil"/>
              <w:right w:val="nil"/>
            </w:tcBorders>
            <w:shd w:val="clear" w:color="auto" w:fill="auto"/>
            <w:vAlign w:val="center"/>
            <w:hideMark/>
          </w:tcPr>
          <w:p w14:paraId="2922E06E" w14:textId="77777777" w:rsidR="00F8527E" w:rsidRPr="000C46CC" w:rsidRDefault="00F8527E" w:rsidP="000649FA">
            <w:pPr>
              <w:pStyle w:val="TableTextLeft"/>
              <w:jc w:val="right"/>
            </w:pPr>
            <w:r w:rsidRPr="000C46CC">
              <w:t>2.5</w:t>
            </w:r>
          </w:p>
        </w:tc>
      </w:tr>
      <w:tr w:rsidR="00F8527E" w:rsidRPr="00116886" w14:paraId="0DA1083E" w14:textId="77777777" w:rsidTr="00676947">
        <w:trPr>
          <w:trHeight w:val="290"/>
        </w:trPr>
        <w:tc>
          <w:tcPr>
            <w:tcW w:w="2835" w:type="dxa"/>
            <w:tcBorders>
              <w:top w:val="nil"/>
              <w:left w:val="nil"/>
              <w:bottom w:val="nil"/>
              <w:right w:val="nil"/>
            </w:tcBorders>
            <w:shd w:val="clear" w:color="auto" w:fill="auto"/>
            <w:hideMark/>
          </w:tcPr>
          <w:p w14:paraId="7A645474" w14:textId="77777777" w:rsidR="00F8527E" w:rsidRPr="00B86FE8" w:rsidRDefault="00F8527E" w:rsidP="004332DF">
            <w:pPr>
              <w:pStyle w:val="Tabletextleftindent"/>
              <w:rPr>
                <w:color w:val="002C47" w:themeColor="accent1"/>
              </w:rPr>
            </w:pPr>
            <w:r w:rsidRPr="00B86FE8">
              <w:rPr>
                <w:color w:val="002C47" w:themeColor="accent1"/>
              </w:rPr>
              <w:t>Perth</w:t>
            </w:r>
          </w:p>
        </w:tc>
        <w:tc>
          <w:tcPr>
            <w:tcW w:w="1843" w:type="dxa"/>
            <w:tcBorders>
              <w:top w:val="nil"/>
              <w:left w:val="nil"/>
              <w:bottom w:val="nil"/>
              <w:right w:val="nil"/>
            </w:tcBorders>
            <w:shd w:val="clear" w:color="auto" w:fill="auto"/>
            <w:vAlign w:val="center"/>
            <w:hideMark/>
          </w:tcPr>
          <w:p w14:paraId="7608DBB3" w14:textId="77777777" w:rsidR="00F8527E" w:rsidRPr="000C46CC" w:rsidRDefault="00F8527E" w:rsidP="000649FA">
            <w:pPr>
              <w:pStyle w:val="TableTextLeft"/>
              <w:jc w:val="right"/>
            </w:pPr>
            <w:r w:rsidRPr="000C46CC">
              <w:t>2,142</w:t>
            </w:r>
          </w:p>
        </w:tc>
        <w:tc>
          <w:tcPr>
            <w:tcW w:w="1843" w:type="dxa"/>
            <w:tcBorders>
              <w:top w:val="nil"/>
              <w:left w:val="nil"/>
              <w:bottom w:val="nil"/>
              <w:right w:val="nil"/>
            </w:tcBorders>
            <w:shd w:val="clear" w:color="000000" w:fill="D2EDFF"/>
            <w:vAlign w:val="center"/>
            <w:hideMark/>
          </w:tcPr>
          <w:p w14:paraId="4CE16214" w14:textId="77777777" w:rsidR="00F8527E" w:rsidRPr="000C46CC" w:rsidRDefault="00F8527E" w:rsidP="000649FA">
            <w:pPr>
              <w:pStyle w:val="TableTextLeft"/>
              <w:jc w:val="right"/>
            </w:pPr>
            <w:r w:rsidRPr="000C46CC">
              <w:t>2,192</w:t>
            </w:r>
          </w:p>
        </w:tc>
        <w:tc>
          <w:tcPr>
            <w:tcW w:w="1276" w:type="dxa"/>
            <w:tcBorders>
              <w:top w:val="nil"/>
              <w:left w:val="nil"/>
              <w:bottom w:val="nil"/>
              <w:right w:val="nil"/>
            </w:tcBorders>
            <w:shd w:val="clear" w:color="auto" w:fill="auto"/>
            <w:vAlign w:val="center"/>
            <w:hideMark/>
          </w:tcPr>
          <w:p w14:paraId="7D7C8370" w14:textId="77777777" w:rsidR="00F8527E" w:rsidRPr="000C46CC" w:rsidRDefault="00F8527E" w:rsidP="000649FA">
            <w:pPr>
              <w:pStyle w:val="TableTextLeft"/>
              <w:jc w:val="right"/>
            </w:pPr>
            <w:r w:rsidRPr="000C46CC">
              <w:t>50</w:t>
            </w:r>
          </w:p>
        </w:tc>
        <w:tc>
          <w:tcPr>
            <w:tcW w:w="1275" w:type="dxa"/>
            <w:tcBorders>
              <w:top w:val="nil"/>
              <w:left w:val="nil"/>
              <w:bottom w:val="nil"/>
              <w:right w:val="nil"/>
            </w:tcBorders>
            <w:shd w:val="clear" w:color="auto" w:fill="auto"/>
            <w:vAlign w:val="center"/>
            <w:hideMark/>
          </w:tcPr>
          <w:p w14:paraId="2CCB484A" w14:textId="77777777" w:rsidR="00F8527E" w:rsidRPr="000C46CC" w:rsidRDefault="00F8527E" w:rsidP="000649FA">
            <w:pPr>
              <w:pStyle w:val="TableTextLeft"/>
              <w:jc w:val="right"/>
            </w:pPr>
            <w:r w:rsidRPr="000C46CC">
              <w:t>2.4</w:t>
            </w:r>
          </w:p>
        </w:tc>
      </w:tr>
      <w:tr w:rsidR="00F8527E" w:rsidRPr="00116886" w14:paraId="6638F088" w14:textId="77777777" w:rsidTr="00676947">
        <w:trPr>
          <w:trHeight w:val="290"/>
        </w:trPr>
        <w:tc>
          <w:tcPr>
            <w:tcW w:w="2835" w:type="dxa"/>
            <w:tcBorders>
              <w:top w:val="nil"/>
              <w:left w:val="nil"/>
              <w:bottom w:val="nil"/>
              <w:right w:val="nil"/>
            </w:tcBorders>
            <w:shd w:val="clear" w:color="auto" w:fill="auto"/>
            <w:hideMark/>
          </w:tcPr>
          <w:p w14:paraId="75C5DF54" w14:textId="77777777" w:rsidR="00F8527E" w:rsidRPr="00B86FE8" w:rsidRDefault="00F8527E" w:rsidP="004332DF">
            <w:pPr>
              <w:pStyle w:val="Tabletextleftindent"/>
              <w:rPr>
                <w:color w:val="002C47" w:themeColor="accent1"/>
              </w:rPr>
            </w:pPr>
            <w:r w:rsidRPr="00B86FE8">
              <w:rPr>
                <w:color w:val="002C47" w:themeColor="accent1"/>
              </w:rPr>
              <w:t>Rest of Western Australia</w:t>
            </w:r>
          </w:p>
        </w:tc>
        <w:tc>
          <w:tcPr>
            <w:tcW w:w="1843" w:type="dxa"/>
            <w:tcBorders>
              <w:top w:val="nil"/>
              <w:left w:val="nil"/>
              <w:bottom w:val="nil"/>
              <w:right w:val="nil"/>
            </w:tcBorders>
            <w:shd w:val="clear" w:color="auto" w:fill="auto"/>
            <w:vAlign w:val="center"/>
            <w:hideMark/>
          </w:tcPr>
          <w:p w14:paraId="43158B2F" w14:textId="77777777" w:rsidR="00F8527E" w:rsidRPr="000C46CC" w:rsidRDefault="00F8527E" w:rsidP="000649FA">
            <w:pPr>
              <w:pStyle w:val="TableTextLeft"/>
              <w:jc w:val="right"/>
            </w:pPr>
            <w:r w:rsidRPr="000C46CC">
              <w:t>540</w:t>
            </w:r>
          </w:p>
        </w:tc>
        <w:tc>
          <w:tcPr>
            <w:tcW w:w="1843" w:type="dxa"/>
            <w:tcBorders>
              <w:top w:val="nil"/>
              <w:left w:val="nil"/>
              <w:bottom w:val="nil"/>
              <w:right w:val="nil"/>
            </w:tcBorders>
            <w:shd w:val="clear" w:color="000000" w:fill="D2EDFF"/>
            <w:vAlign w:val="center"/>
            <w:hideMark/>
          </w:tcPr>
          <w:p w14:paraId="2C8952AE" w14:textId="77777777" w:rsidR="00F8527E" w:rsidRPr="000C46CC" w:rsidRDefault="00F8527E" w:rsidP="000649FA">
            <w:pPr>
              <w:pStyle w:val="TableTextLeft"/>
              <w:jc w:val="right"/>
            </w:pPr>
            <w:r w:rsidRPr="000C46CC">
              <w:t>558</w:t>
            </w:r>
          </w:p>
        </w:tc>
        <w:tc>
          <w:tcPr>
            <w:tcW w:w="1276" w:type="dxa"/>
            <w:tcBorders>
              <w:top w:val="nil"/>
              <w:left w:val="nil"/>
              <w:bottom w:val="nil"/>
              <w:right w:val="nil"/>
            </w:tcBorders>
            <w:shd w:val="clear" w:color="auto" w:fill="auto"/>
            <w:vAlign w:val="center"/>
            <w:hideMark/>
          </w:tcPr>
          <w:p w14:paraId="2B35B76D" w14:textId="77777777" w:rsidR="00F8527E" w:rsidRPr="000C46CC" w:rsidRDefault="00F8527E" w:rsidP="000649FA">
            <w:pPr>
              <w:pStyle w:val="TableTextLeft"/>
              <w:jc w:val="right"/>
            </w:pPr>
            <w:r w:rsidRPr="000C46CC">
              <w:t>17</w:t>
            </w:r>
          </w:p>
        </w:tc>
        <w:tc>
          <w:tcPr>
            <w:tcW w:w="1275" w:type="dxa"/>
            <w:tcBorders>
              <w:top w:val="nil"/>
              <w:left w:val="nil"/>
              <w:bottom w:val="nil"/>
              <w:right w:val="nil"/>
            </w:tcBorders>
            <w:shd w:val="clear" w:color="auto" w:fill="auto"/>
            <w:vAlign w:val="center"/>
            <w:hideMark/>
          </w:tcPr>
          <w:p w14:paraId="46CA9EBF" w14:textId="77777777" w:rsidR="00F8527E" w:rsidRPr="000C46CC" w:rsidRDefault="00F8527E" w:rsidP="000649FA">
            <w:pPr>
              <w:pStyle w:val="TableTextLeft"/>
              <w:jc w:val="right"/>
            </w:pPr>
            <w:r w:rsidRPr="000C46CC">
              <w:t>3.2</w:t>
            </w:r>
          </w:p>
        </w:tc>
      </w:tr>
      <w:tr w:rsidR="00F8527E" w:rsidRPr="00116886" w14:paraId="1DA11855" w14:textId="77777777" w:rsidTr="00676947">
        <w:trPr>
          <w:trHeight w:val="290"/>
        </w:trPr>
        <w:tc>
          <w:tcPr>
            <w:tcW w:w="2835" w:type="dxa"/>
            <w:tcBorders>
              <w:top w:val="nil"/>
              <w:left w:val="nil"/>
              <w:bottom w:val="nil"/>
              <w:right w:val="nil"/>
            </w:tcBorders>
            <w:shd w:val="clear" w:color="auto" w:fill="auto"/>
            <w:hideMark/>
          </w:tcPr>
          <w:p w14:paraId="317087DE" w14:textId="51063FDB" w:rsidR="00F8527E" w:rsidRPr="00B86FE8" w:rsidRDefault="007824B7" w:rsidP="005C264F">
            <w:pPr>
              <w:pStyle w:val="TableTextLeft"/>
              <w:rPr>
                <w:color w:val="002C47" w:themeColor="accent1"/>
              </w:rPr>
            </w:pPr>
            <w:r w:rsidRPr="00B86FE8">
              <w:rPr>
                <w:color w:val="002C47" w:themeColor="accent1"/>
              </w:rPr>
              <w:t>Tasmania</w:t>
            </w:r>
          </w:p>
        </w:tc>
        <w:tc>
          <w:tcPr>
            <w:tcW w:w="1843" w:type="dxa"/>
            <w:tcBorders>
              <w:top w:val="nil"/>
              <w:left w:val="nil"/>
              <w:bottom w:val="nil"/>
              <w:right w:val="nil"/>
            </w:tcBorders>
            <w:shd w:val="clear" w:color="auto" w:fill="auto"/>
            <w:vAlign w:val="center"/>
            <w:hideMark/>
          </w:tcPr>
          <w:p w14:paraId="45193028" w14:textId="77777777" w:rsidR="00F8527E" w:rsidRPr="000C46CC" w:rsidRDefault="00F8527E" w:rsidP="000649FA">
            <w:pPr>
              <w:pStyle w:val="TableTextLeft"/>
              <w:jc w:val="right"/>
            </w:pPr>
            <w:r w:rsidRPr="000C46CC">
              <w:t>541</w:t>
            </w:r>
          </w:p>
        </w:tc>
        <w:tc>
          <w:tcPr>
            <w:tcW w:w="1843" w:type="dxa"/>
            <w:tcBorders>
              <w:top w:val="nil"/>
              <w:left w:val="nil"/>
              <w:bottom w:val="nil"/>
              <w:right w:val="nil"/>
            </w:tcBorders>
            <w:shd w:val="clear" w:color="000000" w:fill="D2EDFF"/>
            <w:vAlign w:val="center"/>
            <w:hideMark/>
          </w:tcPr>
          <w:p w14:paraId="72594692" w14:textId="77777777" w:rsidR="00F8527E" w:rsidRPr="000C46CC" w:rsidRDefault="00F8527E" w:rsidP="000649FA">
            <w:pPr>
              <w:pStyle w:val="TableTextLeft"/>
              <w:jc w:val="right"/>
            </w:pPr>
            <w:r w:rsidRPr="000C46CC">
              <w:t>568</w:t>
            </w:r>
          </w:p>
        </w:tc>
        <w:tc>
          <w:tcPr>
            <w:tcW w:w="1276" w:type="dxa"/>
            <w:tcBorders>
              <w:top w:val="nil"/>
              <w:left w:val="nil"/>
              <w:bottom w:val="nil"/>
              <w:right w:val="nil"/>
            </w:tcBorders>
            <w:shd w:val="clear" w:color="auto" w:fill="auto"/>
            <w:vAlign w:val="center"/>
            <w:hideMark/>
          </w:tcPr>
          <w:p w14:paraId="65F53949" w14:textId="77777777" w:rsidR="00F8527E" w:rsidRPr="000C46CC" w:rsidRDefault="00F8527E" w:rsidP="000649FA">
            <w:pPr>
              <w:pStyle w:val="TableTextLeft"/>
              <w:jc w:val="right"/>
            </w:pPr>
            <w:r w:rsidRPr="000C46CC">
              <w:t>27</w:t>
            </w:r>
          </w:p>
        </w:tc>
        <w:tc>
          <w:tcPr>
            <w:tcW w:w="1275" w:type="dxa"/>
            <w:tcBorders>
              <w:top w:val="nil"/>
              <w:left w:val="nil"/>
              <w:bottom w:val="nil"/>
              <w:right w:val="nil"/>
            </w:tcBorders>
            <w:shd w:val="clear" w:color="auto" w:fill="auto"/>
            <w:vAlign w:val="center"/>
            <w:hideMark/>
          </w:tcPr>
          <w:p w14:paraId="0BA3953E" w14:textId="77777777" w:rsidR="00F8527E" w:rsidRPr="000C46CC" w:rsidRDefault="00F8527E" w:rsidP="000649FA">
            <w:pPr>
              <w:pStyle w:val="TableTextLeft"/>
              <w:jc w:val="right"/>
            </w:pPr>
            <w:r w:rsidRPr="000C46CC">
              <w:t>4.9</w:t>
            </w:r>
          </w:p>
        </w:tc>
      </w:tr>
      <w:tr w:rsidR="00F8527E" w:rsidRPr="00116886" w14:paraId="4A884180" w14:textId="77777777" w:rsidTr="00676947">
        <w:trPr>
          <w:trHeight w:val="290"/>
        </w:trPr>
        <w:tc>
          <w:tcPr>
            <w:tcW w:w="2835" w:type="dxa"/>
            <w:tcBorders>
              <w:top w:val="nil"/>
              <w:left w:val="nil"/>
              <w:bottom w:val="nil"/>
              <w:right w:val="nil"/>
            </w:tcBorders>
            <w:shd w:val="clear" w:color="auto" w:fill="auto"/>
            <w:hideMark/>
          </w:tcPr>
          <w:p w14:paraId="482F402F" w14:textId="77777777" w:rsidR="00F8527E" w:rsidRPr="00B86FE8" w:rsidRDefault="00F8527E" w:rsidP="004332DF">
            <w:pPr>
              <w:pStyle w:val="Tabletextleftindent"/>
              <w:rPr>
                <w:color w:val="002C47" w:themeColor="accent1"/>
              </w:rPr>
            </w:pPr>
            <w:r w:rsidRPr="00B86FE8">
              <w:rPr>
                <w:color w:val="002C47" w:themeColor="accent1"/>
              </w:rPr>
              <w:t>Hobart</w:t>
            </w:r>
          </w:p>
        </w:tc>
        <w:tc>
          <w:tcPr>
            <w:tcW w:w="1843" w:type="dxa"/>
            <w:tcBorders>
              <w:top w:val="nil"/>
              <w:left w:val="nil"/>
              <w:bottom w:val="nil"/>
              <w:right w:val="nil"/>
            </w:tcBorders>
            <w:shd w:val="clear" w:color="auto" w:fill="auto"/>
            <w:vAlign w:val="center"/>
            <w:hideMark/>
          </w:tcPr>
          <w:p w14:paraId="57BE139B" w14:textId="77777777" w:rsidR="00F8527E" w:rsidRPr="000C46CC" w:rsidRDefault="00F8527E" w:rsidP="000649FA">
            <w:pPr>
              <w:pStyle w:val="TableTextLeft"/>
              <w:jc w:val="right"/>
            </w:pPr>
            <w:r w:rsidRPr="000C46CC">
              <w:t>238</w:t>
            </w:r>
          </w:p>
        </w:tc>
        <w:tc>
          <w:tcPr>
            <w:tcW w:w="1843" w:type="dxa"/>
            <w:tcBorders>
              <w:top w:val="nil"/>
              <w:left w:val="nil"/>
              <w:bottom w:val="nil"/>
              <w:right w:val="nil"/>
            </w:tcBorders>
            <w:shd w:val="clear" w:color="000000" w:fill="D2EDFF"/>
            <w:vAlign w:val="center"/>
            <w:hideMark/>
          </w:tcPr>
          <w:p w14:paraId="3202F48E" w14:textId="77777777" w:rsidR="00F8527E" w:rsidRPr="000C46CC" w:rsidRDefault="00F8527E" w:rsidP="000649FA">
            <w:pPr>
              <w:pStyle w:val="TableTextLeft"/>
              <w:jc w:val="right"/>
            </w:pPr>
            <w:r w:rsidRPr="000C46CC">
              <w:t>251</w:t>
            </w:r>
          </w:p>
        </w:tc>
        <w:tc>
          <w:tcPr>
            <w:tcW w:w="1276" w:type="dxa"/>
            <w:tcBorders>
              <w:top w:val="nil"/>
              <w:left w:val="nil"/>
              <w:bottom w:val="nil"/>
              <w:right w:val="nil"/>
            </w:tcBorders>
            <w:shd w:val="clear" w:color="auto" w:fill="auto"/>
            <w:vAlign w:val="center"/>
            <w:hideMark/>
          </w:tcPr>
          <w:p w14:paraId="366CBDDC" w14:textId="77777777" w:rsidR="00F8527E" w:rsidRPr="000C46CC" w:rsidRDefault="00F8527E" w:rsidP="000649FA">
            <w:pPr>
              <w:pStyle w:val="TableTextLeft"/>
              <w:jc w:val="right"/>
            </w:pPr>
            <w:r w:rsidRPr="000C46CC">
              <w:t>13</w:t>
            </w:r>
          </w:p>
        </w:tc>
        <w:tc>
          <w:tcPr>
            <w:tcW w:w="1275" w:type="dxa"/>
            <w:tcBorders>
              <w:top w:val="nil"/>
              <w:left w:val="nil"/>
              <w:bottom w:val="nil"/>
              <w:right w:val="nil"/>
            </w:tcBorders>
            <w:shd w:val="clear" w:color="auto" w:fill="auto"/>
            <w:vAlign w:val="center"/>
            <w:hideMark/>
          </w:tcPr>
          <w:p w14:paraId="04BC6556" w14:textId="77777777" w:rsidR="00F8527E" w:rsidRPr="000C46CC" w:rsidRDefault="00F8527E" w:rsidP="000649FA">
            <w:pPr>
              <w:pStyle w:val="TableTextLeft"/>
              <w:jc w:val="right"/>
            </w:pPr>
            <w:r w:rsidRPr="000C46CC">
              <w:t>5.3</w:t>
            </w:r>
          </w:p>
        </w:tc>
      </w:tr>
      <w:tr w:rsidR="00F8527E" w:rsidRPr="00116886" w14:paraId="28453C65" w14:textId="77777777" w:rsidTr="00676947">
        <w:trPr>
          <w:trHeight w:val="290"/>
        </w:trPr>
        <w:tc>
          <w:tcPr>
            <w:tcW w:w="2835" w:type="dxa"/>
            <w:tcBorders>
              <w:top w:val="nil"/>
              <w:left w:val="nil"/>
              <w:bottom w:val="nil"/>
              <w:right w:val="nil"/>
            </w:tcBorders>
            <w:shd w:val="clear" w:color="auto" w:fill="auto"/>
            <w:hideMark/>
          </w:tcPr>
          <w:p w14:paraId="68459A3F" w14:textId="77777777" w:rsidR="00F8527E" w:rsidRPr="00B86FE8" w:rsidRDefault="00F8527E" w:rsidP="004332DF">
            <w:pPr>
              <w:pStyle w:val="Tabletextleftindent"/>
              <w:rPr>
                <w:color w:val="002C47" w:themeColor="accent1"/>
              </w:rPr>
            </w:pPr>
            <w:r w:rsidRPr="00B86FE8">
              <w:rPr>
                <w:color w:val="002C47" w:themeColor="accent1"/>
              </w:rPr>
              <w:t>Rest of Tasmania</w:t>
            </w:r>
          </w:p>
        </w:tc>
        <w:tc>
          <w:tcPr>
            <w:tcW w:w="1843" w:type="dxa"/>
            <w:tcBorders>
              <w:top w:val="nil"/>
              <w:left w:val="nil"/>
              <w:bottom w:val="nil"/>
              <w:right w:val="nil"/>
            </w:tcBorders>
            <w:shd w:val="clear" w:color="auto" w:fill="auto"/>
            <w:vAlign w:val="center"/>
            <w:hideMark/>
          </w:tcPr>
          <w:p w14:paraId="513B5F6B" w14:textId="77777777" w:rsidR="00F8527E" w:rsidRPr="000C46CC" w:rsidRDefault="00F8527E" w:rsidP="000649FA">
            <w:pPr>
              <w:pStyle w:val="TableTextLeft"/>
              <w:jc w:val="right"/>
            </w:pPr>
            <w:r w:rsidRPr="000C46CC">
              <w:t>303</w:t>
            </w:r>
          </w:p>
        </w:tc>
        <w:tc>
          <w:tcPr>
            <w:tcW w:w="1843" w:type="dxa"/>
            <w:tcBorders>
              <w:top w:val="nil"/>
              <w:left w:val="nil"/>
              <w:bottom w:val="nil"/>
              <w:right w:val="nil"/>
            </w:tcBorders>
            <w:shd w:val="clear" w:color="000000" w:fill="D2EDFF"/>
            <w:vAlign w:val="center"/>
            <w:hideMark/>
          </w:tcPr>
          <w:p w14:paraId="6DC8615D" w14:textId="77777777" w:rsidR="00F8527E" w:rsidRPr="000C46CC" w:rsidRDefault="00F8527E" w:rsidP="000649FA">
            <w:pPr>
              <w:pStyle w:val="TableTextLeft"/>
              <w:jc w:val="right"/>
            </w:pPr>
            <w:r w:rsidRPr="000C46CC">
              <w:t>317</w:t>
            </w:r>
          </w:p>
        </w:tc>
        <w:tc>
          <w:tcPr>
            <w:tcW w:w="1276" w:type="dxa"/>
            <w:tcBorders>
              <w:top w:val="nil"/>
              <w:left w:val="nil"/>
              <w:bottom w:val="nil"/>
              <w:right w:val="nil"/>
            </w:tcBorders>
            <w:shd w:val="clear" w:color="auto" w:fill="auto"/>
            <w:vAlign w:val="center"/>
            <w:hideMark/>
          </w:tcPr>
          <w:p w14:paraId="3B4C104A" w14:textId="77777777" w:rsidR="00F8527E" w:rsidRPr="000C46CC" w:rsidRDefault="00F8527E" w:rsidP="000649FA">
            <w:pPr>
              <w:pStyle w:val="TableTextLeft"/>
              <w:jc w:val="right"/>
            </w:pPr>
            <w:r w:rsidRPr="000C46CC">
              <w:t>14</w:t>
            </w:r>
          </w:p>
        </w:tc>
        <w:tc>
          <w:tcPr>
            <w:tcW w:w="1275" w:type="dxa"/>
            <w:tcBorders>
              <w:top w:val="nil"/>
              <w:left w:val="nil"/>
              <w:bottom w:val="nil"/>
              <w:right w:val="nil"/>
            </w:tcBorders>
            <w:shd w:val="clear" w:color="auto" w:fill="auto"/>
            <w:vAlign w:val="center"/>
            <w:hideMark/>
          </w:tcPr>
          <w:p w14:paraId="7019C91C" w14:textId="77777777" w:rsidR="00F8527E" w:rsidRPr="000C46CC" w:rsidRDefault="00F8527E" w:rsidP="000649FA">
            <w:pPr>
              <w:pStyle w:val="TableTextLeft"/>
              <w:jc w:val="right"/>
            </w:pPr>
            <w:r w:rsidRPr="000C46CC">
              <w:t>4.6</w:t>
            </w:r>
          </w:p>
        </w:tc>
      </w:tr>
      <w:tr w:rsidR="00F8527E" w:rsidRPr="00116886" w14:paraId="221F3D38" w14:textId="77777777" w:rsidTr="00676947">
        <w:trPr>
          <w:trHeight w:val="290"/>
        </w:trPr>
        <w:tc>
          <w:tcPr>
            <w:tcW w:w="2835" w:type="dxa"/>
            <w:tcBorders>
              <w:top w:val="nil"/>
              <w:left w:val="nil"/>
              <w:bottom w:val="nil"/>
              <w:right w:val="nil"/>
            </w:tcBorders>
            <w:shd w:val="clear" w:color="auto" w:fill="auto"/>
            <w:hideMark/>
          </w:tcPr>
          <w:p w14:paraId="032AC709" w14:textId="77CCA386" w:rsidR="00F8527E" w:rsidRPr="00B86FE8" w:rsidRDefault="007824B7" w:rsidP="005C264F">
            <w:pPr>
              <w:pStyle w:val="TableTextLeft"/>
              <w:rPr>
                <w:color w:val="002C47" w:themeColor="accent1"/>
              </w:rPr>
            </w:pPr>
            <w:r w:rsidRPr="00B86FE8">
              <w:rPr>
                <w:color w:val="002C47" w:themeColor="accent1"/>
              </w:rPr>
              <w:t>Northern Territory</w:t>
            </w:r>
          </w:p>
        </w:tc>
        <w:tc>
          <w:tcPr>
            <w:tcW w:w="1843" w:type="dxa"/>
            <w:tcBorders>
              <w:top w:val="nil"/>
              <w:left w:val="nil"/>
              <w:bottom w:val="nil"/>
              <w:right w:val="nil"/>
            </w:tcBorders>
            <w:shd w:val="clear" w:color="auto" w:fill="auto"/>
            <w:vAlign w:val="center"/>
            <w:hideMark/>
          </w:tcPr>
          <w:p w14:paraId="1B225DAB" w14:textId="77777777" w:rsidR="00F8527E" w:rsidRPr="000C46CC" w:rsidRDefault="00F8527E" w:rsidP="000649FA">
            <w:pPr>
              <w:pStyle w:val="TableTextLeft"/>
              <w:jc w:val="right"/>
            </w:pPr>
            <w:r w:rsidRPr="000C46CC">
              <w:t>246</w:t>
            </w:r>
          </w:p>
        </w:tc>
        <w:tc>
          <w:tcPr>
            <w:tcW w:w="1843" w:type="dxa"/>
            <w:tcBorders>
              <w:top w:val="nil"/>
              <w:left w:val="nil"/>
              <w:bottom w:val="nil"/>
              <w:right w:val="nil"/>
            </w:tcBorders>
            <w:shd w:val="clear" w:color="000000" w:fill="D2EDFF"/>
            <w:vAlign w:val="center"/>
            <w:hideMark/>
          </w:tcPr>
          <w:p w14:paraId="107021D9" w14:textId="77777777" w:rsidR="00F8527E" w:rsidRPr="000C46CC" w:rsidRDefault="00F8527E" w:rsidP="000649FA">
            <w:pPr>
              <w:pStyle w:val="TableTextLeft"/>
              <w:jc w:val="right"/>
            </w:pPr>
            <w:r w:rsidRPr="000C46CC">
              <w:t>249</w:t>
            </w:r>
          </w:p>
        </w:tc>
        <w:tc>
          <w:tcPr>
            <w:tcW w:w="1276" w:type="dxa"/>
            <w:tcBorders>
              <w:top w:val="nil"/>
              <w:left w:val="nil"/>
              <w:bottom w:val="nil"/>
              <w:right w:val="nil"/>
            </w:tcBorders>
            <w:shd w:val="clear" w:color="auto" w:fill="auto"/>
            <w:vAlign w:val="center"/>
            <w:hideMark/>
          </w:tcPr>
          <w:p w14:paraId="38CF3934" w14:textId="0C45A41C" w:rsidR="00F8527E" w:rsidRPr="000C46CC" w:rsidRDefault="000F31BF" w:rsidP="000649FA">
            <w:pPr>
              <w:pStyle w:val="TableTextLeft"/>
              <w:jc w:val="right"/>
            </w:pPr>
            <w:r>
              <w:t>3</w:t>
            </w:r>
          </w:p>
        </w:tc>
        <w:tc>
          <w:tcPr>
            <w:tcW w:w="1275" w:type="dxa"/>
            <w:tcBorders>
              <w:top w:val="nil"/>
              <w:left w:val="nil"/>
              <w:bottom w:val="nil"/>
              <w:right w:val="nil"/>
            </w:tcBorders>
            <w:shd w:val="clear" w:color="auto" w:fill="auto"/>
            <w:vAlign w:val="center"/>
            <w:hideMark/>
          </w:tcPr>
          <w:p w14:paraId="00D262A6" w14:textId="77777777" w:rsidR="00F8527E" w:rsidRPr="000C46CC" w:rsidRDefault="00F8527E" w:rsidP="000649FA">
            <w:pPr>
              <w:pStyle w:val="TableTextLeft"/>
              <w:jc w:val="right"/>
            </w:pPr>
            <w:r w:rsidRPr="000C46CC">
              <w:t>1.3</w:t>
            </w:r>
          </w:p>
        </w:tc>
      </w:tr>
      <w:tr w:rsidR="00F8527E" w:rsidRPr="00116886" w14:paraId="3A3FF8AF" w14:textId="77777777" w:rsidTr="00676947">
        <w:trPr>
          <w:trHeight w:val="290"/>
        </w:trPr>
        <w:tc>
          <w:tcPr>
            <w:tcW w:w="2835" w:type="dxa"/>
            <w:tcBorders>
              <w:top w:val="nil"/>
              <w:left w:val="nil"/>
              <w:bottom w:val="nil"/>
              <w:right w:val="nil"/>
            </w:tcBorders>
            <w:shd w:val="clear" w:color="auto" w:fill="auto"/>
            <w:hideMark/>
          </w:tcPr>
          <w:p w14:paraId="237C48B1" w14:textId="77777777" w:rsidR="00F8527E" w:rsidRPr="00B86FE8" w:rsidRDefault="00F8527E" w:rsidP="004332DF">
            <w:pPr>
              <w:pStyle w:val="Tabletextleftindent"/>
              <w:rPr>
                <w:color w:val="002C47" w:themeColor="accent1"/>
              </w:rPr>
            </w:pPr>
            <w:r w:rsidRPr="00B86FE8">
              <w:rPr>
                <w:color w:val="002C47" w:themeColor="accent1"/>
              </w:rPr>
              <w:t>Darwin</w:t>
            </w:r>
          </w:p>
        </w:tc>
        <w:tc>
          <w:tcPr>
            <w:tcW w:w="1843" w:type="dxa"/>
            <w:tcBorders>
              <w:top w:val="nil"/>
              <w:left w:val="nil"/>
              <w:bottom w:val="nil"/>
              <w:right w:val="nil"/>
            </w:tcBorders>
            <w:shd w:val="clear" w:color="auto" w:fill="auto"/>
            <w:vAlign w:val="center"/>
            <w:hideMark/>
          </w:tcPr>
          <w:p w14:paraId="71FD67E1" w14:textId="77777777" w:rsidR="00F8527E" w:rsidRPr="000C46CC" w:rsidRDefault="00F8527E" w:rsidP="000649FA">
            <w:pPr>
              <w:pStyle w:val="TableTextLeft"/>
              <w:jc w:val="right"/>
            </w:pPr>
            <w:r w:rsidRPr="000C46CC">
              <w:t>147</w:t>
            </w:r>
          </w:p>
        </w:tc>
        <w:tc>
          <w:tcPr>
            <w:tcW w:w="1843" w:type="dxa"/>
            <w:tcBorders>
              <w:top w:val="nil"/>
              <w:left w:val="nil"/>
              <w:bottom w:val="nil"/>
              <w:right w:val="nil"/>
            </w:tcBorders>
            <w:shd w:val="clear" w:color="000000" w:fill="D2EDFF"/>
            <w:vAlign w:val="center"/>
            <w:hideMark/>
          </w:tcPr>
          <w:p w14:paraId="2187266D" w14:textId="77777777" w:rsidR="00F8527E" w:rsidRPr="000C46CC" w:rsidRDefault="00F8527E" w:rsidP="000649FA">
            <w:pPr>
              <w:pStyle w:val="TableTextLeft"/>
              <w:jc w:val="right"/>
            </w:pPr>
            <w:r w:rsidRPr="000C46CC">
              <w:t>149</w:t>
            </w:r>
          </w:p>
        </w:tc>
        <w:tc>
          <w:tcPr>
            <w:tcW w:w="1276" w:type="dxa"/>
            <w:tcBorders>
              <w:top w:val="nil"/>
              <w:left w:val="nil"/>
              <w:bottom w:val="nil"/>
              <w:right w:val="nil"/>
            </w:tcBorders>
            <w:shd w:val="clear" w:color="auto" w:fill="auto"/>
            <w:vAlign w:val="center"/>
            <w:hideMark/>
          </w:tcPr>
          <w:p w14:paraId="58D9F33F" w14:textId="77777777" w:rsidR="00F8527E" w:rsidRPr="000C46CC" w:rsidRDefault="00F8527E" w:rsidP="000649FA">
            <w:pPr>
              <w:pStyle w:val="TableTextLeft"/>
              <w:jc w:val="right"/>
            </w:pPr>
            <w:r w:rsidRPr="000C46CC">
              <w:t>2</w:t>
            </w:r>
          </w:p>
        </w:tc>
        <w:tc>
          <w:tcPr>
            <w:tcW w:w="1275" w:type="dxa"/>
            <w:tcBorders>
              <w:top w:val="nil"/>
              <w:left w:val="nil"/>
              <w:bottom w:val="nil"/>
              <w:right w:val="nil"/>
            </w:tcBorders>
            <w:shd w:val="clear" w:color="auto" w:fill="auto"/>
            <w:vAlign w:val="center"/>
            <w:hideMark/>
          </w:tcPr>
          <w:p w14:paraId="3C5594F3" w14:textId="77777777" w:rsidR="00F8527E" w:rsidRPr="000C46CC" w:rsidRDefault="00F8527E" w:rsidP="000649FA">
            <w:pPr>
              <w:pStyle w:val="TableTextLeft"/>
              <w:jc w:val="right"/>
            </w:pPr>
            <w:r w:rsidRPr="000C46CC">
              <w:t>1.2</w:t>
            </w:r>
          </w:p>
        </w:tc>
      </w:tr>
      <w:tr w:rsidR="00F8527E" w:rsidRPr="00116886" w14:paraId="7792734D" w14:textId="77777777" w:rsidTr="00676947">
        <w:trPr>
          <w:trHeight w:val="290"/>
        </w:trPr>
        <w:tc>
          <w:tcPr>
            <w:tcW w:w="2835" w:type="dxa"/>
            <w:tcBorders>
              <w:top w:val="nil"/>
              <w:left w:val="nil"/>
              <w:bottom w:val="nil"/>
              <w:right w:val="nil"/>
            </w:tcBorders>
            <w:shd w:val="clear" w:color="auto" w:fill="auto"/>
            <w:hideMark/>
          </w:tcPr>
          <w:p w14:paraId="43341336" w14:textId="77777777" w:rsidR="00F8527E" w:rsidRPr="00B86FE8" w:rsidRDefault="00F8527E" w:rsidP="004332DF">
            <w:pPr>
              <w:pStyle w:val="Tabletextleftindent"/>
              <w:rPr>
                <w:color w:val="002C47" w:themeColor="accent1"/>
              </w:rPr>
            </w:pPr>
            <w:r w:rsidRPr="00B86FE8">
              <w:rPr>
                <w:color w:val="002C47" w:themeColor="accent1"/>
              </w:rPr>
              <w:t>Rest of Northern Territory</w:t>
            </w:r>
          </w:p>
        </w:tc>
        <w:tc>
          <w:tcPr>
            <w:tcW w:w="1843" w:type="dxa"/>
            <w:tcBorders>
              <w:top w:val="nil"/>
              <w:left w:val="nil"/>
              <w:bottom w:val="nil"/>
              <w:right w:val="nil"/>
            </w:tcBorders>
            <w:shd w:val="clear" w:color="auto" w:fill="auto"/>
            <w:vAlign w:val="center"/>
            <w:hideMark/>
          </w:tcPr>
          <w:p w14:paraId="3FD1DCF4" w14:textId="77777777" w:rsidR="00F8527E" w:rsidRPr="000C46CC" w:rsidRDefault="00F8527E" w:rsidP="000649FA">
            <w:pPr>
              <w:pStyle w:val="TableTextLeft"/>
              <w:jc w:val="right"/>
            </w:pPr>
            <w:r w:rsidRPr="000C46CC">
              <w:t>99</w:t>
            </w:r>
          </w:p>
        </w:tc>
        <w:tc>
          <w:tcPr>
            <w:tcW w:w="1843" w:type="dxa"/>
            <w:tcBorders>
              <w:top w:val="nil"/>
              <w:left w:val="nil"/>
              <w:bottom w:val="nil"/>
              <w:right w:val="nil"/>
            </w:tcBorders>
            <w:shd w:val="clear" w:color="000000" w:fill="D2EDFF"/>
            <w:vAlign w:val="center"/>
            <w:hideMark/>
          </w:tcPr>
          <w:p w14:paraId="71164A6A" w14:textId="77777777" w:rsidR="00F8527E" w:rsidRPr="000C46CC" w:rsidRDefault="00F8527E" w:rsidP="000649FA">
            <w:pPr>
              <w:pStyle w:val="TableTextLeft"/>
              <w:jc w:val="right"/>
            </w:pPr>
            <w:r w:rsidRPr="000C46CC">
              <w:t>100</w:t>
            </w:r>
          </w:p>
        </w:tc>
        <w:tc>
          <w:tcPr>
            <w:tcW w:w="1276" w:type="dxa"/>
            <w:tcBorders>
              <w:top w:val="nil"/>
              <w:left w:val="nil"/>
              <w:bottom w:val="nil"/>
              <w:right w:val="nil"/>
            </w:tcBorders>
            <w:shd w:val="clear" w:color="auto" w:fill="auto"/>
            <w:vAlign w:val="center"/>
            <w:hideMark/>
          </w:tcPr>
          <w:p w14:paraId="7F31B32C" w14:textId="77777777" w:rsidR="00F8527E" w:rsidRPr="000C46CC" w:rsidRDefault="00F8527E" w:rsidP="000649FA">
            <w:pPr>
              <w:pStyle w:val="TableTextLeft"/>
              <w:jc w:val="right"/>
            </w:pPr>
            <w:r w:rsidRPr="000C46CC">
              <w:t>1</w:t>
            </w:r>
          </w:p>
        </w:tc>
        <w:tc>
          <w:tcPr>
            <w:tcW w:w="1275" w:type="dxa"/>
            <w:tcBorders>
              <w:top w:val="nil"/>
              <w:left w:val="nil"/>
              <w:bottom w:val="nil"/>
              <w:right w:val="nil"/>
            </w:tcBorders>
            <w:shd w:val="clear" w:color="auto" w:fill="auto"/>
            <w:vAlign w:val="center"/>
            <w:hideMark/>
          </w:tcPr>
          <w:p w14:paraId="30B3AA21" w14:textId="77777777" w:rsidR="00F8527E" w:rsidRPr="000C46CC" w:rsidRDefault="00F8527E" w:rsidP="000649FA">
            <w:pPr>
              <w:pStyle w:val="TableTextLeft"/>
              <w:jc w:val="right"/>
            </w:pPr>
            <w:r w:rsidRPr="000C46CC">
              <w:t>1.5</w:t>
            </w:r>
          </w:p>
        </w:tc>
      </w:tr>
      <w:tr w:rsidR="00F8527E" w:rsidRPr="00116886" w14:paraId="58D44B24" w14:textId="77777777" w:rsidTr="00676947">
        <w:trPr>
          <w:trHeight w:val="290"/>
        </w:trPr>
        <w:tc>
          <w:tcPr>
            <w:tcW w:w="2835" w:type="dxa"/>
            <w:tcBorders>
              <w:top w:val="nil"/>
              <w:left w:val="nil"/>
              <w:bottom w:val="nil"/>
              <w:right w:val="nil"/>
            </w:tcBorders>
            <w:shd w:val="clear" w:color="auto" w:fill="auto"/>
            <w:hideMark/>
          </w:tcPr>
          <w:p w14:paraId="485E3D78" w14:textId="77777777" w:rsidR="00F8527E" w:rsidRPr="00B86FE8" w:rsidRDefault="00F8527E" w:rsidP="005C264F">
            <w:pPr>
              <w:pStyle w:val="TableTextLeft"/>
              <w:rPr>
                <w:color w:val="002C47" w:themeColor="accent1"/>
              </w:rPr>
            </w:pPr>
            <w:r w:rsidRPr="00B86FE8">
              <w:rPr>
                <w:color w:val="002C47" w:themeColor="accent1"/>
              </w:rPr>
              <w:t>Australian Capital Territory</w:t>
            </w:r>
          </w:p>
        </w:tc>
        <w:tc>
          <w:tcPr>
            <w:tcW w:w="1843" w:type="dxa"/>
            <w:tcBorders>
              <w:top w:val="nil"/>
              <w:left w:val="nil"/>
              <w:bottom w:val="nil"/>
              <w:right w:val="nil"/>
            </w:tcBorders>
            <w:shd w:val="clear" w:color="auto" w:fill="auto"/>
            <w:vAlign w:val="center"/>
            <w:hideMark/>
          </w:tcPr>
          <w:p w14:paraId="6268FF08" w14:textId="77777777" w:rsidR="00F8527E" w:rsidRPr="000C46CC" w:rsidRDefault="00F8527E" w:rsidP="000649FA">
            <w:pPr>
              <w:pStyle w:val="TableTextLeft"/>
              <w:jc w:val="right"/>
            </w:pPr>
            <w:r w:rsidRPr="000C46CC">
              <w:t>432</w:t>
            </w:r>
          </w:p>
        </w:tc>
        <w:tc>
          <w:tcPr>
            <w:tcW w:w="1843" w:type="dxa"/>
            <w:tcBorders>
              <w:top w:val="nil"/>
              <w:left w:val="nil"/>
              <w:bottom w:val="nil"/>
              <w:right w:val="nil"/>
            </w:tcBorders>
            <w:shd w:val="clear" w:color="000000" w:fill="D2EDFF"/>
            <w:vAlign w:val="center"/>
            <w:hideMark/>
          </w:tcPr>
          <w:p w14:paraId="710CB8F5" w14:textId="77777777" w:rsidR="00F8527E" w:rsidRPr="000C46CC" w:rsidRDefault="00F8527E" w:rsidP="000649FA">
            <w:pPr>
              <w:pStyle w:val="TableTextLeft"/>
              <w:jc w:val="right"/>
            </w:pPr>
            <w:r w:rsidRPr="000C46CC">
              <w:t>454</w:t>
            </w:r>
          </w:p>
        </w:tc>
        <w:tc>
          <w:tcPr>
            <w:tcW w:w="1276" w:type="dxa"/>
            <w:tcBorders>
              <w:top w:val="nil"/>
              <w:left w:val="nil"/>
              <w:bottom w:val="nil"/>
              <w:right w:val="nil"/>
            </w:tcBorders>
            <w:shd w:val="clear" w:color="auto" w:fill="auto"/>
            <w:vAlign w:val="center"/>
            <w:hideMark/>
          </w:tcPr>
          <w:p w14:paraId="10209428" w14:textId="77777777" w:rsidR="00F8527E" w:rsidRPr="000C46CC" w:rsidRDefault="00F8527E" w:rsidP="000649FA">
            <w:pPr>
              <w:pStyle w:val="TableTextLeft"/>
              <w:jc w:val="right"/>
            </w:pPr>
            <w:r w:rsidRPr="000C46CC">
              <w:t>22</w:t>
            </w:r>
          </w:p>
        </w:tc>
        <w:tc>
          <w:tcPr>
            <w:tcW w:w="1275" w:type="dxa"/>
            <w:tcBorders>
              <w:top w:val="nil"/>
              <w:left w:val="nil"/>
              <w:bottom w:val="nil"/>
              <w:right w:val="nil"/>
            </w:tcBorders>
            <w:shd w:val="clear" w:color="auto" w:fill="auto"/>
            <w:vAlign w:val="center"/>
            <w:hideMark/>
          </w:tcPr>
          <w:p w14:paraId="4CE06D77" w14:textId="77777777" w:rsidR="00F8527E" w:rsidRPr="000C46CC" w:rsidRDefault="00F8527E" w:rsidP="000649FA">
            <w:pPr>
              <w:pStyle w:val="TableTextLeft"/>
              <w:jc w:val="right"/>
            </w:pPr>
            <w:r w:rsidRPr="000C46CC">
              <w:t>5.1</w:t>
            </w:r>
          </w:p>
        </w:tc>
      </w:tr>
      <w:tr w:rsidR="00F8527E" w:rsidRPr="00116886" w14:paraId="52C97856" w14:textId="77777777" w:rsidTr="00676947">
        <w:trPr>
          <w:trHeight w:val="300"/>
        </w:trPr>
        <w:tc>
          <w:tcPr>
            <w:tcW w:w="2835" w:type="dxa"/>
            <w:tcBorders>
              <w:top w:val="nil"/>
              <w:left w:val="nil"/>
              <w:bottom w:val="single" w:sz="8" w:space="0" w:color="000000"/>
              <w:right w:val="nil"/>
            </w:tcBorders>
            <w:shd w:val="clear" w:color="auto" w:fill="auto"/>
            <w:hideMark/>
          </w:tcPr>
          <w:p w14:paraId="635386E8" w14:textId="77777777" w:rsidR="00F8527E" w:rsidRPr="00B86FE8" w:rsidRDefault="00F8527E" w:rsidP="005C264F">
            <w:pPr>
              <w:pStyle w:val="TableTextLeft"/>
              <w:rPr>
                <w:b/>
                <w:bCs/>
                <w:color w:val="002C47" w:themeColor="accent1"/>
              </w:rPr>
            </w:pPr>
            <w:r w:rsidRPr="00B86FE8">
              <w:rPr>
                <w:b/>
                <w:bCs/>
                <w:color w:val="002C47" w:themeColor="accent1"/>
              </w:rPr>
              <w:t>Australia</w:t>
            </w:r>
          </w:p>
        </w:tc>
        <w:tc>
          <w:tcPr>
            <w:tcW w:w="1843" w:type="dxa"/>
            <w:tcBorders>
              <w:top w:val="nil"/>
              <w:left w:val="nil"/>
              <w:bottom w:val="single" w:sz="8" w:space="0" w:color="000000"/>
              <w:right w:val="nil"/>
            </w:tcBorders>
            <w:shd w:val="clear" w:color="auto" w:fill="auto"/>
            <w:vAlign w:val="center"/>
            <w:hideMark/>
          </w:tcPr>
          <w:p w14:paraId="166B6287" w14:textId="77777777" w:rsidR="00F8527E" w:rsidRPr="000C46CC" w:rsidRDefault="00F8527E" w:rsidP="000649FA">
            <w:pPr>
              <w:pStyle w:val="TableTextLeft"/>
              <w:jc w:val="right"/>
              <w:rPr>
                <w:b/>
                <w:bCs/>
              </w:rPr>
            </w:pPr>
            <w:r w:rsidRPr="000C46CC">
              <w:rPr>
                <w:b/>
                <w:bCs/>
              </w:rPr>
              <w:t>25,738</w:t>
            </w:r>
          </w:p>
        </w:tc>
        <w:tc>
          <w:tcPr>
            <w:tcW w:w="1843" w:type="dxa"/>
            <w:tcBorders>
              <w:top w:val="nil"/>
              <w:left w:val="nil"/>
              <w:bottom w:val="single" w:sz="8" w:space="0" w:color="000000"/>
              <w:right w:val="nil"/>
            </w:tcBorders>
            <w:shd w:val="clear" w:color="000000" w:fill="D2EDFF"/>
            <w:vAlign w:val="center"/>
            <w:hideMark/>
          </w:tcPr>
          <w:p w14:paraId="30AF8C44" w14:textId="77777777" w:rsidR="00F8527E" w:rsidRPr="000C46CC" w:rsidRDefault="00F8527E" w:rsidP="000649FA">
            <w:pPr>
              <w:pStyle w:val="TableTextLeft"/>
              <w:jc w:val="right"/>
              <w:rPr>
                <w:b/>
                <w:bCs/>
              </w:rPr>
            </w:pPr>
            <w:r w:rsidRPr="000C46CC">
              <w:rPr>
                <w:b/>
                <w:bCs/>
              </w:rPr>
              <w:t>25,688</w:t>
            </w:r>
          </w:p>
        </w:tc>
        <w:tc>
          <w:tcPr>
            <w:tcW w:w="1276" w:type="dxa"/>
            <w:tcBorders>
              <w:top w:val="nil"/>
              <w:left w:val="nil"/>
              <w:bottom w:val="single" w:sz="8" w:space="0" w:color="000000"/>
              <w:right w:val="nil"/>
            </w:tcBorders>
            <w:shd w:val="clear" w:color="auto" w:fill="auto"/>
            <w:vAlign w:val="center"/>
            <w:hideMark/>
          </w:tcPr>
          <w:p w14:paraId="59A4E185" w14:textId="7F9292C3" w:rsidR="00F8527E" w:rsidRPr="000C46CC" w:rsidRDefault="00252E07" w:rsidP="000649FA">
            <w:pPr>
              <w:pStyle w:val="TableTextLeft"/>
              <w:jc w:val="right"/>
              <w:rPr>
                <w:b/>
                <w:bCs/>
              </w:rPr>
            </w:pPr>
            <w:r w:rsidRPr="000C46CC">
              <w:rPr>
                <w:b/>
                <w:bCs/>
              </w:rPr>
              <w:t>-</w:t>
            </w:r>
            <w:r w:rsidR="00F8527E" w:rsidRPr="000C46CC">
              <w:rPr>
                <w:b/>
                <w:bCs/>
              </w:rPr>
              <w:t>50</w:t>
            </w:r>
          </w:p>
        </w:tc>
        <w:tc>
          <w:tcPr>
            <w:tcW w:w="1275" w:type="dxa"/>
            <w:tcBorders>
              <w:top w:val="nil"/>
              <w:left w:val="nil"/>
              <w:bottom w:val="single" w:sz="8" w:space="0" w:color="000000"/>
              <w:right w:val="nil"/>
            </w:tcBorders>
            <w:shd w:val="clear" w:color="auto" w:fill="auto"/>
            <w:vAlign w:val="center"/>
            <w:hideMark/>
          </w:tcPr>
          <w:p w14:paraId="256C9CD6" w14:textId="35153D0D" w:rsidR="00F8527E" w:rsidRPr="000C46CC" w:rsidRDefault="00252E07" w:rsidP="000649FA">
            <w:pPr>
              <w:pStyle w:val="TableTextLeft"/>
              <w:jc w:val="right"/>
              <w:rPr>
                <w:b/>
                <w:bCs/>
              </w:rPr>
            </w:pPr>
            <w:r w:rsidRPr="000C46CC">
              <w:rPr>
                <w:b/>
                <w:bCs/>
              </w:rPr>
              <w:t>-</w:t>
            </w:r>
            <w:r w:rsidR="00F8527E" w:rsidRPr="000C46CC">
              <w:rPr>
                <w:b/>
                <w:bCs/>
              </w:rPr>
              <w:t>0.2</w:t>
            </w:r>
          </w:p>
        </w:tc>
      </w:tr>
    </w:tbl>
    <w:p w14:paraId="161A56BC" w14:textId="77777777" w:rsidR="00F8527E" w:rsidRPr="00116886" w:rsidRDefault="00F8527E" w:rsidP="00F8527E">
      <w:pPr>
        <w:spacing w:before="0" w:after="0"/>
        <w:rPr>
          <w:rFonts w:ascii="Calibri" w:eastAsia="Calibri" w:hAnsi="Calibri" w:cs="Calibri"/>
          <w:sz w:val="14"/>
          <w:szCs w:val="14"/>
        </w:rPr>
      </w:pPr>
      <w:r w:rsidRPr="00116886">
        <w:rPr>
          <w:rFonts w:ascii="Calibri" w:eastAsia="Calibri" w:hAnsi="Calibri" w:cs="Calibri"/>
          <w:sz w:val="18"/>
          <w:szCs w:val="18"/>
        </w:rPr>
        <w:t>Note: Totals will not add as Australia figures</w:t>
      </w:r>
      <w:r w:rsidRPr="00116886">
        <w:rPr>
          <w:sz w:val="18"/>
          <w:szCs w:val="18"/>
        </w:rPr>
        <w:t xml:space="preserve"> include other territories comprising Jervis Bay Territory, Christmas Island, the Cocos (Keeling) Islands and Norfolk Island.</w:t>
      </w:r>
    </w:p>
    <w:p w14:paraId="0B7E1576" w14:textId="6D0DCD9F" w:rsidR="00F8527E" w:rsidRPr="00C72DCB" w:rsidRDefault="00F8527E" w:rsidP="00F8527E">
      <w:pPr>
        <w:pStyle w:val="Source"/>
        <w:spacing w:before="0" w:after="0"/>
      </w:pPr>
      <w:r w:rsidRPr="00116886">
        <w:t xml:space="preserve">Source: </w:t>
      </w:r>
      <w:r w:rsidR="009946E8">
        <w:rPr>
          <w:noProof/>
        </w:rPr>
        <w:t>Australian Bureau of Statistics, Regional population, 2022</w:t>
      </w:r>
      <w:r w:rsidRPr="00116886">
        <w:t xml:space="preserve"> and</w:t>
      </w:r>
      <w:r w:rsidR="009946E8">
        <w:rPr>
          <w:noProof/>
        </w:rPr>
        <w:t xml:space="preserve"> </w:t>
      </w:r>
      <w:r w:rsidR="0073007E">
        <w:rPr>
          <w:noProof/>
        </w:rPr>
        <w:t>A</w:t>
      </w:r>
      <w:r w:rsidR="009946E8">
        <w:rPr>
          <w:noProof/>
        </w:rPr>
        <w:t>ustralian Bureau of Statistics, National, state and territory population, December 2021, 2022</w:t>
      </w:r>
      <w:r w:rsidRPr="00116886">
        <w:t>.</w:t>
      </w:r>
    </w:p>
    <w:p w14:paraId="5CFAD103" w14:textId="4DFFC4E3" w:rsidR="00F40982" w:rsidRPr="00F40982" w:rsidRDefault="00970CE8" w:rsidP="00F40982">
      <w:pPr>
        <w:spacing w:before="0" w:after="160" w:line="259" w:lineRule="auto"/>
      </w:pPr>
      <w:r>
        <w:br w:type="page"/>
      </w:r>
    </w:p>
    <w:p w14:paraId="6F4C0F74" w14:textId="34CF2460" w:rsidR="00FD68B9" w:rsidRPr="00F40982" w:rsidRDefault="00FD68B9" w:rsidP="00F40982">
      <w:pPr>
        <w:pStyle w:val="Heading2Numbered"/>
      </w:pPr>
      <w:bookmarkStart w:id="226" w:name="_Toc122618399"/>
      <w:r w:rsidRPr="00F40982">
        <w:lastRenderedPageBreak/>
        <w:t xml:space="preserve">Comparing past </w:t>
      </w:r>
      <w:r w:rsidR="00C57E4F" w:rsidRPr="00F40982">
        <w:t xml:space="preserve">forecasts and </w:t>
      </w:r>
      <w:r w:rsidRPr="00F40982">
        <w:t>projections to outcomes</w:t>
      </w:r>
      <w:bookmarkEnd w:id="226"/>
    </w:p>
    <w:p w14:paraId="221B12C7" w14:textId="0CB7B2BF" w:rsidR="00927644" w:rsidRPr="00116886" w:rsidRDefault="00927644" w:rsidP="00927644">
      <w:r w:rsidRPr="00116886">
        <w:t xml:space="preserve">The accuracy of population </w:t>
      </w:r>
      <w:r w:rsidR="00C57E4F">
        <w:t xml:space="preserve">forecasts and </w:t>
      </w:r>
      <w:r w:rsidRPr="00116886">
        <w:t xml:space="preserve">projections depends on the quality of the input data and the assumptions made about the future. Population </w:t>
      </w:r>
      <w:r w:rsidR="00C57E4F">
        <w:t>forecast</w:t>
      </w:r>
      <w:r w:rsidR="001B2FB0">
        <w:t>s</w:t>
      </w:r>
      <w:r w:rsidR="00C57E4F">
        <w:t xml:space="preserve"> and</w:t>
      </w:r>
      <w:r w:rsidRPr="00116886">
        <w:t xml:space="preserve"> projection</w:t>
      </w:r>
      <w:r w:rsidR="001B2FB0">
        <w:t>s</w:t>
      </w:r>
      <w:r w:rsidRPr="00116886">
        <w:t xml:space="preserve"> will differ from subsequent observed outcomes for many reasons, </w:t>
      </w:r>
      <w:r w:rsidR="002C7189" w:rsidRPr="00116886">
        <w:t>including but not limited to</w:t>
      </w:r>
      <w:r w:rsidR="001B2FB0">
        <w:t>,</w:t>
      </w:r>
      <w:r w:rsidR="002C7189" w:rsidRPr="00116886">
        <w:t xml:space="preserve"> </w:t>
      </w:r>
      <w:r w:rsidR="002C7189">
        <w:t xml:space="preserve">events turning out differently to assumptions, </w:t>
      </w:r>
      <w:r w:rsidR="002C7189" w:rsidRPr="00116886">
        <w:t>changes in behaviour, changes in government policy, and revisions to input data.</w:t>
      </w:r>
    </w:p>
    <w:p w14:paraId="03AC3204" w14:textId="7A6B5881" w:rsidR="00927644" w:rsidRPr="00116886" w:rsidRDefault="002C2CC1" w:rsidP="00927644">
      <w:r>
        <w:t>Table 16</w:t>
      </w:r>
      <w:r w:rsidR="002C7189" w:rsidRPr="00116886">
        <w:t xml:space="preserve"> compares the </w:t>
      </w:r>
      <w:r w:rsidR="002C7189">
        <w:t>forecasts and</w:t>
      </w:r>
      <w:r w:rsidR="002C7189" w:rsidRPr="00116886">
        <w:t xml:space="preserve"> projections from the 2020 and 2021 Population Statements, the 2015 and 2021 Intergenerational Report</w:t>
      </w:r>
      <w:r w:rsidR="002C7189">
        <w:t>s</w:t>
      </w:r>
      <w:r w:rsidR="002C7189" w:rsidRPr="00116886">
        <w:t>, and selected A</w:t>
      </w:r>
      <w:r w:rsidR="00EE3545">
        <w:t xml:space="preserve">ustralian Bureau of Statistics’ </w:t>
      </w:r>
      <w:r w:rsidR="002C7189" w:rsidRPr="00116886">
        <w:t>projections to the latest A</w:t>
      </w:r>
      <w:r w:rsidR="00EE3545">
        <w:t>ustralian Bureau of Statistics’</w:t>
      </w:r>
      <w:r w:rsidR="002C7189" w:rsidRPr="00116886">
        <w:t xml:space="preserve"> national population estimates based on the 2021 Census. Relatively low growth from 2017</w:t>
      </w:r>
      <w:r w:rsidR="002C7189">
        <w:t>–</w:t>
      </w:r>
      <w:r w:rsidR="002C7189" w:rsidRPr="00116886">
        <w:t>18 to 2020</w:t>
      </w:r>
      <w:r w:rsidR="002C7189">
        <w:t>–</w:t>
      </w:r>
      <w:r w:rsidR="002C7189" w:rsidRPr="00116886">
        <w:t xml:space="preserve">21, compared </w:t>
      </w:r>
      <w:r w:rsidR="002C7189">
        <w:t xml:space="preserve">with </w:t>
      </w:r>
      <w:r w:rsidR="002C7189" w:rsidRPr="00116886">
        <w:t xml:space="preserve">preceding years, resulted in overestimates of population </w:t>
      </w:r>
      <w:r w:rsidR="002C7189">
        <w:t>across</w:t>
      </w:r>
      <w:r w:rsidR="002C7189" w:rsidRPr="00116886">
        <w:t xml:space="preserve"> all selected</w:t>
      </w:r>
      <w:r w:rsidR="00927644" w:rsidRPr="00116886">
        <w:t xml:space="preserve"> projections.</w:t>
      </w:r>
    </w:p>
    <w:p w14:paraId="00076F24" w14:textId="77777777" w:rsidR="00927644" w:rsidRPr="00116886" w:rsidRDefault="00927644" w:rsidP="005540BC">
      <w:pPr>
        <w:pStyle w:val="TableMainHeading"/>
      </w:pPr>
      <w:bookmarkStart w:id="227" w:name="_Ref117700808"/>
      <w:r w:rsidRPr="00116886">
        <w:t>Difference (%) between population projections and outcome, Australia, on 30 June</w:t>
      </w:r>
      <w:bookmarkEnd w:id="227"/>
    </w:p>
    <w:tbl>
      <w:tblPr>
        <w:tblStyle w:val="CPOPTable"/>
        <w:tblW w:w="0" w:type="auto"/>
        <w:tblLook w:val="04A0" w:firstRow="1" w:lastRow="0" w:firstColumn="1" w:lastColumn="0" w:noHBand="0" w:noVBand="1"/>
        <w:tblCaption w:val="Table"/>
      </w:tblPr>
      <w:tblGrid>
        <w:gridCol w:w="2833"/>
        <w:gridCol w:w="891"/>
        <w:gridCol w:w="891"/>
        <w:gridCol w:w="891"/>
        <w:gridCol w:w="891"/>
        <w:gridCol w:w="891"/>
        <w:gridCol w:w="891"/>
        <w:gridCol w:w="891"/>
      </w:tblGrid>
      <w:tr w:rsidR="00927644" w:rsidRPr="00116886" w14:paraId="61E0F5C4" w14:textId="77777777" w:rsidTr="00676947">
        <w:trPr>
          <w:cnfStyle w:val="100000000000" w:firstRow="1" w:lastRow="0" w:firstColumn="0" w:lastColumn="0" w:oddVBand="0" w:evenVBand="0" w:oddHBand="0" w:evenHBand="0" w:firstRowFirstColumn="0" w:firstRowLastColumn="0" w:lastRowFirstColumn="0" w:lastRowLastColumn="0"/>
        </w:trPr>
        <w:tc>
          <w:tcPr>
            <w:tcW w:w="2835" w:type="dxa"/>
          </w:tcPr>
          <w:p w14:paraId="383F6795" w14:textId="77777777" w:rsidR="00927644" w:rsidRPr="00116886" w:rsidRDefault="00927644" w:rsidP="00676947">
            <w:pPr>
              <w:spacing w:after="0"/>
            </w:pPr>
          </w:p>
        </w:tc>
        <w:tc>
          <w:tcPr>
            <w:tcW w:w="891" w:type="dxa"/>
          </w:tcPr>
          <w:p w14:paraId="73759F1C" w14:textId="77777777" w:rsidR="00927644" w:rsidRPr="004332DF" w:rsidRDefault="00927644" w:rsidP="004332DF">
            <w:pPr>
              <w:pStyle w:val="TableColumnHeadingRight"/>
            </w:pPr>
            <w:r w:rsidRPr="004332DF">
              <w:t>2015</w:t>
            </w:r>
          </w:p>
        </w:tc>
        <w:tc>
          <w:tcPr>
            <w:tcW w:w="891" w:type="dxa"/>
          </w:tcPr>
          <w:p w14:paraId="0265F6CD" w14:textId="77777777" w:rsidR="00927644" w:rsidRPr="004332DF" w:rsidRDefault="00927644" w:rsidP="004332DF">
            <w:pPr>
              <w:pStyle w:val="TableColumnHeadingRight"/>
            </w:pPr>
            <w:r w:rsidRPr="004332DF">
              <w:t>2016</w:t>
            </w:r>
          </w:p>
        </w:tc>
        <w:tc>
          <w:tcPr>
            <w:tcW w:w="891" w:type="dxa"/>
          </w:tcPr>
          <w:p w14:paraId="1CB9D33E" w14:textId="77777777" w:rsidR="00927644" w:rsidRPr="004332DF" w:rsidRDefault="00927644" w:rsidP="004332DF">
            <w:pPr>
              <w:pStyle w:val="TableColumnHeadingRight"/>
            </w:pPr>
            <w:r w:rsidRPr="004332DF">
              <w:t>2017</w:t>
            </w:r>
          </w:p>
        </w:tc>
        <w:tc>
          <w:tcPr>
            <w:tcW w:w="891" w:type="dxa"/>
          </w:tcPr>
          <w:p w14:paraId="1FE9B0EB" w14:textId="77777777" w:rsidR="00927644" w:rsidRPr="004332DF" w:rsidRDefault="00927644" w:rsidP="004332DF">
            <w:pPr>
              <w:pStyle w:val="TableColumnHeadingRight"/>
            </w:pPr>
            <w:r w:rsidRPr="004332DF">
              <w:t>2018</w:t>
            </w:r>
          </w:p>
        </w:tc>
        <w:tc>
          <w:tcPr>
            <w:tcW w:w="891" w:type="dxa"/>
          </w:tcPr>
          <w:p w14:paraId="6334E51C" w14:textId="77777777" w:rsidR="00927644" w:rsidRPr="004332DF" w:rsidRDefault="00927644" w:rsidP="004332DF">
            <w:pPr>
              <w:pStyle w:val="TableColumnHeadingRight"/>
            </w:pPr>
            <w:r w:rsidRPr="004332DF">
              <w:t>2019</w:t>
            </w:r>
          </w:p>
        </w:tc>
        <w:tc>
          <w:tcPr>
            <w:tcW w:w="891" w:type="dxa"/>
          </w:tcPr>
          <w:p w14:paraId="7F4656C8" w14:textId="77777777" w:rsidR="00927644" w:rsidRPr="004332DF" w:rsidRDefault="00927644" w:rsidP="004332DF">
            <w:pPr>
              <w:pStyle w:val="TableColumnHeadingRight"/>
            </w:pPr>
            <w:r w:rsidRPr="004332DF">
              <w:t>2020</w:t>
            </w:r>
          </w:p>
        </w:tc>
        <w:tc>
          <w:tcPr>
            <w:tcW w:w="891" w:type="dxa"/>
          </w:tcPr>
          <w:p w14:paraId="487C4146" w14:textId="77777777" w:rsidR="00927644" w:rsidRPr="004332DF" w:rsidRDefault="00927644" w:rsidP="004332DF">
            <w:pPr>
              <w:pStyle w:val="TableColumnHeadingRight"/>
            </w:pPr>
            <w:r w:rsidRPr="004332DF">
              <w:t>2021</w:t>
            </w:r>
          </w:p>
        </w:tc>
      </w:tr>
      <w:tr w:rsidR="00927644" w:rsidRPr="00116886" w14:paraId="66E1A2E0" w14:textId="77777777" w:rsidTr="00D56095">
        <w:tc>
          <w:tcPr>
            <w:tcW w:w="2835" w:type="dxa"/>
          </w:tcPr>
          <w:p w14:paraId="0E414A28" w14:textId="77777777" w:rsidR="00927644" w:rsidRPr="00B86FE8" w:rsidRDefault="00927644" w:rsidP="004332DF">
            <w:pPr>
              <w:pStyle w:val="TableTextLeft"/>
              <w:rPr>
                <w:b/>
                <w:bCs/>
                <w:color w:val="002C47" w:themeColor="accent1"/>
              </w:rPr>
            </w:pPr>
            <w:r w:rsidRPr="00B86FE8">
              <w:rPr>
                <w:color w:val="002C47" w:themeColor="accent1"/>
              </w:rPr>
              <w:t>Intergenerational Report, 2015</w:t>
            </w:r>
          </w:p>
        </w:tc>
        <w:tc>
          <w:tcPr>
            <w:tcW w:w="891" w:type="dxa"/>
            <w:tcBorders>
              <w:top w:val="nil"/>
              <w:left w:val="nil"/>
              <w:bottom w:val="nil"/>
              <w:right w:val="nil"/>
            </w:tcBorders>
            <w:vAlign w:val="bottom"/>
          </w:tcPr>
          <w:p w14:paraId="79C68DDC" w14:textId="0D43EFD1" w:rsidR="00927644" w:rsidRPr="004332DF" w:rsidRDefault="000018AE" w:rsidP="004332DF">
            <w:pPr>
              <w:pStyle w:val="TableTextRight"/>
            </w:pPr>
            <w:r w:rsidRPr="004332DF">
              <w:t>-</w:t>
            </w:r>
            <w:r w:rsidR="00927644" w:rsidRPr="004332DF">
              <w:t>0.4</w:t>
            </w:r>
          </w:p>
        </w:tc>
        <w:tc>
          <w:tcPr>
            <w:tcW w:w="891" w:type="dxa"/>
            <w:tcBorders>
              <w:top w:val="nil"/>
              <w:left w:val="nil"/>
              <w:bottom w:val="nil"/>
              <w:right w:val="nil"/>
            </w:tcBorders>
            <w:vAlign w:val="bottom"/>
          </w:tcPr>
          <w:p w14:paraId="513D2D01" w14:textId="0253E152" w:rsidR="00927644" w:rsidRPr="004332DF" w:rsidRDefault="000018AE" w:rsidP="004332DF">
            <w:pPr>
              <w:pStyle w:val="TableTextRight"/>
            </w:pPr>
            <w:r w:rsidRPr="004332DF">
              <w:t>-</w:t>
            </w:r>
            <w:r w:rsidR="00927644" w:rsidRPr="004332DF">
              <w:t>0.5</w:t>
            </w:r>
          </w:p>
        </w:tc>
        <w:tc>
          <w:tcPr>
            <w:tcW w:w="891" w:type="dxa"/>
            <w:tcBorders>
              <w:top w:val="nil"/>
              <w:left w:val="nil"/>
              <w:bottom w:val="nil"/>
              <w:right w:val="nil"/>
            </w:tcBorders>
            <w:vAlign w:val="bottom"/>
          </w:tcPr>
          <w:p w14:paraId="32F45169" w14:textId="66F7C9B3" w:rsidR="00927644" w:rsidRPr="004332DF" w:rsidRDefault="000018AE" w:rsidP="004332DF">
            <w:pPr>
              <w:pStyle w:val="TableTextRight"/>
            </w:pPr>
            <w:r w:rsidRPr="004332DF">
              <w:t>-</w:t>
            </w:r>
            <w:r w:rsidR="00927644" w:rsidRPr="004332DF">
              <w:t>0.6</w:t>
            </w:r>
          </w:p>
        </w:tc>
        <w:tc>
          <w:tcPr>
            <w:tcW w:w="891" w:type="dxa"/>
            <w:tcBorders>
              <w:top w:val="nil"/>
              <w:left w:val="nil"/>
              <w:bottom w:val="nil"/>
              <w:right w:val="nil"/>
            </w:tcBorders>
            <w:vAlign w:val="bottom"/>
          </w:tcPr>
          <w:p w14:paraId="61E3FF03" w14:textId="4B01B9BC" w:rsidR="00927644" w:rsidRPr="004332DF" w:rsidRDefault="000018AE" w:rsidP="004332DF">
            <w:pPr>
              <w:pStyle w:val="TableTextRight"/>
            </w:pPr>
            <w:r w:rsidRPr="004332DF">
              <w:t>-</w:t>
            </w:r>
            <w:r w:rsidR="00927644" w:rsidRPr="004332DF">
              <w:t>0.8</w:t>
            </w:r>
          </w:p>
        </w:tc>
        <w:tc>
          <w:tcPr>
            <w:tcW w:w="891" w:type="dxa"/>
            <w:tcBorders>
              <w:top w:val="nil"/>
              <w:left w:val="nil"/>
              <w:bottom w:val="nil"/>
              <w:right w:val="nil"/>
            </w:tcBorders>
            <w:vAlign w:val="bottom"/>
          </w:tcPr>
          <w:p w14:paraId="02BAF614" w14:textId="1C3F4CBF" w:rsidR="00927644" w:rsidRPr="004332DF" w:rsidRDefault="000018AE" w:rsidP="004332DF">
            <w:pPr>
              <w:pStyle w:val="TableTextRight"/>
            </w:pPr>
            <w:r w:rsidRPr="004332DF">
              <w:t>-</w:t>
            </w:r>
            <w:r w:rsidR="00927644" w:rsidRPr="004332DF">
              <w:t>0.9</w:t>
            </w:r>
          </w:p>
        </w:tc>
        <w:tc>
          <w:tcPr>
            <w:tcW w:w="891" w:type="dxa"/>
            <w:tcBorders>
              <w:top w:val="nil"/>
              <w:left w:val="nil"/>
              <w:bottom w:val="nil"/>
              <w:right w:val="nil"/>
            </w:tcBorders>
            <w:vAlign w:val="bottom"/>
          </w:tcPr>
          <w:p w14:paraId="597F0487" w14:textId="437000FF" w:rsidR="00927644" w:rsidRPr="004332DF" w:rsidRDefault="000018AE" w:rsidP="004332DF">
            <w:pPr>
              <w:pStyle w:val="TableTextRight"/>
            </w:pPr>
            <w:r w:rsidRPr="004332DF">
              <w:t>-</w:t>
            </w:r>
            <w:r w:rsidR="00927644" w:rsidRPr="004332DF">
              <w:t>1.2</w:t>
            </w:r>
          </w:p>
        </w:tc>
        <w:tc>
          <w:tcPr>
            <w:tcW w:w="891" w:type="dxa"/>
            <w:tcBorders>
              <w:top w:val="nil"/>
              <w:left w:val="nil"/>
              <w:bottom w:val="nil"/>
              <w:right w:val="nil"/>
            </w:tcBorders>
            <w:vAlign w:val="bottom"/>
          </w:tcPr>
          <w:p w14:paraId="78DD8FC6" w14:textId="648D13C1" w:rsidR="00927644" w:rsidRPr="004332DF" w:rsidRDefault="000018AE" w:rsidP="004332DF">
            <w:pPr>
              <w:pStyle w:val="TableTextRight"/>
            </w:pPr>
            <w:r w:rsidRPr="004332DF">
              <w:t>-</w:t>
            </w:r>
            <w:r w:rsidR="00927644" w:rsidRPr="004332DF">
              <w:t>2.</w:t>
            </w:r>
            <w:r w:rsidR="00D56095" w:rsidRPr="004332DF">
              <w:t>7</w:t>
            </w:r>
          </w:p>
        </w:tc>
      </w:tr>
      <w:tr w:rsidR="00927644" w:rsidRPr="00116886" w14:paraId="4947BC95" w14:textId="77777777" w:rsidTr="00D56095">
        <w:tc>
          <w:tcPr>
            <w:tcW w:w="2835" w:type="dxa"/>
          </w:tcPr>
          <w:p w14:paraId="793266A1" w14:textId="77777777" w:rsidR="00927644" w:rsidRPr="00B86FE8" w:rsidRDefault="00927644" w:rsidP="004332DF">
            <w:pPr>
              <w:pStyle w:val="TableTextLeft"/>
              <w:rPr>
                <w:color w:val="002C47" w:themeColor="accent1"/>
              </w:rPr>
            </w:pPr>
            <w:r w:rsidRPr="00B86FE8">
              <w:rPr>
                <w:color w:val="002C47" w:themeColor="accent1"/>
              </w:rPr>
              <w:t>Intergenerational Report, 2021</w:t>
            </w:r>
          </w:p>
        </w:tc>
        <w:tc>
          <w:tcPr>
            <w:tcW w:w="891" w:type="dxa"/>
          </w:tcPr>
          <w:p w14:paraId="1D9826FA" w14:textId="32835AEF" w:rsidR="00927644" w:rsidRPr="004332DF" w:rsidRDefault="0033101B" w:rsidP="004332DF">
            <w:pPr>
              <w:pStyle w:val="TableTextRight"/>
            </w:pPr>
            <w:r w:rsidRPr="004332DF">
              <w:t>–</w:t>
            </w:r>
          </w:p>
        </w:tc>
        <w:tc>
          <w:tcPr>
            <w:tcW w:w="891" w:type="dxa"/>
          </w:tcPr>
          <w:p w14:paraId="711BFB4A" w14:textId="74445EFC" w:rsidR="00927644" w:rsidRPr="004332DF" w:rsidRDefault="0033101B" w:rsidP="004332DF">
            <w:pPr>
              <w:pStyle w:val="TableTextRight"/>
            </w:pPr>
            <w:r w:rsidRPr="004332DF">
              <w:t>–</w:t>
            </w:r>
          </w:p>
        </w:tc>
        <w:tc>
          <w:tcPr>
            <w:tcW w:w="891" w:type="dxa"/>
          </w:tcPr>
          <w:p w14:paraId="5984481B" w14:textId="7DFCD36B"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42CF2852" w14:textId="6747A309"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204ABCF0" w14:textId="42467127"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6E3F1349" w14:textId="236FB9B0" w:rsidR="00927644" w:rsidRPr="004332DF" w:rsidRDefault="000018AE" w:rsidP="004332DF">
            <w:pPr>
              <w:pStyle w:val="TableTextRight"/>
            </w:pPr>
            <w:r w:rsidRPr="004332DF">
              <w:t>-</w:t>
            </w:r>
            <w:r w:rsidR="00927644" w:rsidRPr="004332DF">
              <w:t>0.2</w:t>
            </w:r>
          </w:p>
        </w:tc>
        <w:tc>
          <w:tcPr>
            <w:tcW w:w="891" w:type="dxa"/>
            <w:tcBorders>
              <w:top w:val="nil"/>
              <w:left w:val="nil"/>
              <w:bottom w:val="nil"/>
              <w:right w:val="nil"/>
            </w:tcBorders>
            <w:vAlign w:val="bottom"/>
          </w:tcPr>
          <w:p w14:paraId="04D3B808" w14:textId="10336A95" w:rsidR="00927644" w:rsidRPr="004332DF" w:rsidRDefault="000018AE" w:rsidP="004332DF">
            <w:pPr>
              <w:pStyle w:val="TableTextRight"/>
            </w:pPr>
            <w:r w:rsidRPr="004332DF">
              <w:t>-</w:t>
            </w:r>
            <w:r w:rsidR="00927644" w:rsidRPr="004332DF">
              <w:t>0.2</w:t>
            </w:r>
          </w:p>
        </w:tc>
      </w:tr>
      <w:tr w:rsidR="00927644" w:rsidRPr="00116886" w14:paraId="7C4B4F1D" w14:textId="77777777" w:rsidTr="00600DE4">
        <w:tc>
          <w:tcPr>
            <w:tcW w:w="2835" w:type="dxa"/>
          </w:tcPr>
          <w:p w14:paraId="601A8A60" w14:textId="77777777" w:rsidR="00927644" w:rsidRPr="00B86FE8" w:rsidRDefault="00927644" w:rsidP="004332DF">
            <w:pPr>
              <w:pStyle w:val="TableTextLeft"/>
              <w:rPr>
                <w:color w:val="002C47" w:themeColor="accent1"/>
              </w:rPr>
            </w:pPr>
            <w:r w:rsidRPr="00B86FE8">
              <w:rPr>
                <w:color w:val="002C47" w:themeColor="accent1"/>
              </w:rPr>
              <w:t>ABS projection series A, 2018</w:t>
            </w:r>
          </w:p>
        </w:tc>
        <w:tc>
          <w:tcPr>
            <w:tcW w:w="891" w:type="dxa"/>
          </w:tcPr>
          <w:p w14:paraId="753B7471" w14:textId="1F8CA136" w:rsidR="00927644" w:rsidRPr="004332DF" w:rsidRDefault="0033101B" w:rsidP="004332DF">
            <w:pPr>
              <w:pStyle w:val="TableTextRight"/>
            </w:pPr>
            <w:r w:rsidRPr="004332DF">
              <w:t>–</w:t>
            </w:r>
          </w:p>
        </w:tc>
        <w:tc>
          <w:tcPr>
            <w:tcW w:w="891" w:type="dxa"/>
          </w:tcPr>
          <w:p w14:paraId="04EEFEA7" w14:textId="7111483D" w:rsidR="00927644" w:rsidRPr="004332DF" w:rsidRDefault="0033101B" w:rsidP="004332DF">
            <w:pPr>
              <w:pStyle w:val="TableTextRight"/>
            </w:pPr>
            <w:r w:rsidRPr="004332DF">
              <w:t>–</w:t>
            </w:r>
          </w:p>
        </w:tc>
        <w:tc>
          <w:tcPr>
            <w:tcW w:w="891" w:type="dxa"/>
          </w:tcPr>
          <w:p w14:paraId="5FABF9D9" w14:textId="3F0D5222"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639CE7FA" w14:textId="7D14B37F" w:rsidR="00927644" w:rsidRPr="004332DF" w:rsidRDefault="000018AE" w:rsidP="004332DF">
            <w:pPr>
              <w:pStyle w:val="TableTextRight"/>
            </w:pPr>
            <w:r w:rsidRPr="004332DF">
              <w:t>-</w:t>
            </w:r>
            <w:r w:rsidR="00927644" w:rsidRPr="004332DF">
              <w:t>0.3</w:t>
            </w:r>
          </w:p>
        </w:tc>
        <w:tc>
          <w:tcPr>
            <w:tcW w:w="891" w:type="dxa"/>
            <w:tcBorders>
              <w:top w:val="nil"/>
              <w:left w:val="nil"/>
              <w:bottom w:val="nil"/>
              <w:right w:val="nil"/>
            </w:tcBorders>
            <w:vAlign w:val="bottom"/>
          </w:tcPr>
          <w:p w14:paraId="157C3C1D" w14:textId="1E37047A" w:rsidR="00927644" w:rsidRPr="004332DF" w:rsidRDefault="000018AE" w:rsidP="004332DF">
            <w:pPr>
              <w:pStyle w:val="TableTextRight"/>
            </w:pPr>
            <w:r w:rsidRPr="004332DF">
              <w:t>-</w:t>
            </w:r>
            <w:r w:rsidR="00927644" w:rsidRPr="004332DF">
              <w:t>0.5</w:t>
            </w:r>
          </w:p>
        </w:tc>
        <w:tc>
          <w:tcPr>
            <w:tcW w:w="891" w:type="dxa"/>
            <w:tcBorders>
              <w:top w:val="nil"/>
              <w:left w:val="nil"/>
              <w:bottom w:val="nil"/>
              <w:right w:val="nil"/>
            </w:tcBorders>
            <w:vAlign w:val="bottom"/>
          </w:tcPr>
          <w:p w14:paraId="5A1AD34A" w14:textId="3FB3812E" w:rsidR="00927644" w:rsidRPr="004332DF" w:rsidRDefault="000018AE" w:rsidP="004332DF">
            <w:pPr>
              <w:pStyle w:val="TableTextRight"/>
            </w:pPr>
            <w:r w:rsidRPr="004332DF">
              <w:t>-</w:t>
            </w:r>
            <w:r w:rsidR="00927644" w:rsidRPr="004332DF">
              <w:t>1.1</w:t>
            </w:r>
          </w:p>
        </w:tc>
        <w:tc>
          <w:tcPr>
            <w:tcW w:w="891" w:type="dxa"/>
            <w:tcBorders>
              <w:top w:val="nil"/>
              <w:left w:val="nil"/>
              <w:bottom w:val="nil"/>
              <w:right w:val="nil"/>
            </w:tcBorders>
            <w:vAlign w:val="bottom"/>
          </w:tcPr>
          <w:p w14:paraId="5228A4E9" w14:textId="39E4201F" w:rsidR="00927644" w:rsidRPr="004332DF" w:rsidRDefault="000018AE" w:rsidP="004332DF">
            <w:pPr>
              <w:pStyle w:val="TableTextRight"/>
            </w:pPr>
            <w:r w:rsidRPr="004332DF">
              <w:t>-</w:t>
            </w:r>
            <w:r w:rsidR="00927644" w:rsidRPr="004332DF">
              <w:t>2.</w:t>
            </w:r>
            <w:r w:rsidR="00D56095" w:rsidRPr="004332DF">
              <w:t>8</w:t>
            </w:r>
          </w:p>
        </w:tc>
      </w:tr>
      <w:tr w:rsidR="00927644" w:rsidRPr="00116886" w14:paraId="022492A9" w14:textId="77777777" w:rsidTr="00600DE4">
        <w:tc>
          <w:tcPr>
            <w:tcW w:w="2835" w:type="dxa"/>
          </w:tcPr>
          <w:p w14:paraId="70270EE2" w14:textId="77777777" w:rsidR="00927644" w:rsidRPr="00B86FE8" w:rsidRDefault="00927644" w:rsidP="004332DF">
            <w:pPr>
              <w:pStyle w:val="TableTextLeft"/>
              <w:rPr>
                <w:color w:val="002C47" w:themeColor="accent1"/>
              </w:rPr>
            </w:pPr>
            <w:r w:rsidRPr="00B86FE8">
              <w:rPr>
                <w:color w:val="002C47" w:themeColor="accent1"/>
              </w:rPr>
              <w:t>ABS projection series B, 2018</w:t>
            </w:r>
          </w:p>
        </w:tc>
        <w:tc>
          <w:tcPr>
            <w:tcW w:w="891" w:type="dxa"/>
          </w:tcPr>
          <w:p w14:paraId="2572DDFA" w14:textId="2844E6AE" w:rsidR="00927644" w:rsidRPr="004332DF" w:rsidRDefault="0033101B" w:rsidP="004332DF">
            <w:pPr>
              <w:pStyle w:val="TableTextRight"/>
            </w:pPr>
            <w:r w:rsidRPr="004332DF">
              <w:t>–</w:t>
            </w:r>
          </w:p>
        </w:tc>
        <w:tc>
          <w:tcPr>
            <w:tcW w:w="891" w:type="dxa"/>
          </w:tcPr>
          <w:p w14:paraId="42BA8C9F" w14:textId="765279A0" w:rsidR="00927644" w:rsidRPr="004332DF" w:rsidRDefault="0033101B" w:rsidP="004332DF">
            <w:pPr>
              <w:pStyle w:val="TableTextRight"/>
            </w:pPr>
            <w:r w:rsidRPr="004332DF">
              <w:t>–</w:t>
            </w:r>
          </w:p>
        </w:tc>
        <w:tc>
          <w:tcPr>
            <w:tcW w:w="891" w:type="dxa"/>
          </w:tcPr>
          <w:p w14:paraId="09B19093" w14:textId="5510D5DA"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7C03FE96" w14:textId="01E8E73D" w:rsidR="00927644" w:rsidRPr="004332DF" w:rsidRDefault="000018AE" w:rsidP="004332DF">
            <w:pPr>
              <w:pStyle w:val="TableTextRight"/>
            </w:pPr>
            <w:r w:rsidRPr="004332DF">
              <w:t>-</w:t>
            </w:r>
            <w:r w:rsidR="00927644" w:rsidRPr="004332DF">
              <w:t>0.2</w:t>
            </w:r>
          </w:p>
        </w:tc>
        <w:tc>
          <w:tcPr>
            <w:tcW w:w="891" w:type="dxa"/>
            <w:tcBorders>
              <w:top w:val="nil"/>
              <w:left w:val="nil"/>
              <w:bottom w:val="nil"/>
              <w:right w:val="nil"/>
            </w:tcBorders>
            <w:vAlign w:val="bottom"/>
          </w:tcPr>
          <w:p w14:paraId="404AC09F" w14:textId="5EFBB6DF" w:rsidR="00927644" w:rsidRPr="004332DF" w:rsidRDefault="000018AE" w:rsidP="004332DF">
            <w:pPr>
              <w:pStyle w:val="TableTextRight"/>
            </w:pPr>
            <w:r w:rsidRPr="004332DF">
              <w:t>-</w:t>
            </w:r>
            <w:r w:rsidR="00927644" w:rsidRPr="004332DF">
              <w:t>0.4</w:t>
            </w:r>
          </w:p>
        </w:tc>
        <w:tc>
          <w:tcPr>
            <w:tcW w:w="891" w:type="dxa"/>
            <w:tcBorders>
              <w:top w:val="nil"/>
              <w:left w:val="nil"/>
              <w:bottom w:val="nil"/>
              <w:right w:val="nil"/>
            </w:tcBorders>
            <w:vAlign w:val="bottom"/>
          </w:tcPr>
          <w:p w14:paraId="0ECC5E9E" w14:textId="069A97B2" w:rsidR="00927644" w:rsidRPr="004332DF" w:rsidRDefault="000018AE" w:rsidP="004332DF">
            <w:pPr>
              <w:pStyle w:val="TableTextRight"/>
            </w:pPr>
            <w:r w:rsidRPr="004332DF">
              <w:t>-</w:t>
            </w:r>
            <w:r w:rsidR="00927644" w:rsidRPr="004332DF">
              <w:t>0.</w:t>
            </w:r>
            <w:r w:rsidR="00D56095" w:rsidRPr="004332DF">
              <w:t>9</w:t>
            </w:r>
          </w:p>
        </w:tc>
        <w:tc>
          <w:tcPr>
            <w:tcW w:w="891" w:type="dxa"/>
            <w:tcBorders>
              <w:top w:val="nil"/>
              <w:left w:val="nil"/>
              <w:bottom w:val="nil"/>
              <w:right w:val="nil"/>
            </w:tcBorders>
            <w:vAlign w:val="bottom"/>
          </w:tcPr>
          <w:p w14:paraId="5156987B" w14:textId="73BA35AB" w:rsidR="00927644" w:rsidRPr="004332DF" w:rsidRDefault="000018AE" w:rsidP="004332DF">
            <w:pPr>
              <w:pStyle w:val="TableTextRight"/>
            </w:pPr>
            <w:r w:rsidRPr="004332DF">
              <w:t>-</w:t>
            </w:r>
            <w:r w:rsidR="00927644" w:rsidRPr="004332DF">
              <w:t>2.</w:t>
            </w:r>
            <w:r w:rsidR="00D56095" w:rsidRPr="004332DF">
              <w:t>4</w:t>
            </w:r>
          </w:p>
        </w:tc>
      </w:tr>
      <w:tr w:rsidR="00927644" w:rsidRPr="00116886" w14:paraId="262C6093" w14:textId="77777777" w:rsidTr="00600DE4">
        <w:tc>
          <w:tcPr>
            <w:tcW w:w="2835" w:type="dxa"/>
          </w:tcPr>
          <w:p w14:paraId="501B070E" w14:textId="77777777" w:rsidR="00927644" w:rsidRPr="00B86FE8" w:rsidRDefault="00927644" w:rsidP="004332DF">
            <w:pPr>
              <w:pStyle w:val="TableTextLeft"/>
              <w:rPr>
                <w:color w:val="002C47" w:themeColor="accent1"/>
              </w:rPr>
            </w:pPr>
            <w:r w:rsidRPr="00B86FE8">
              <w:rPr>
                <w:color w:val="002C47" w:themeColor="accent1"/>
              </w:rPr>
              <w:t>ABS projection series C, 2018</w:t>
            </w:r>
          </w:p>
        </w:tc>
        <w:tc>
          <w:tcPr>
            <w:tcW w:w="891" w:type="dxa"/>
          </w:tcPr>
          <w:p w14:paraId="37EA7DA1" w14:textId="6F25A952" w:rsidR="00927644" w:rsidRPr="004332DF" w:rsidRDefault="0033101B" w:rsidP="004332DF">
            <w:pPr>
              <w:pStyle w:val="TableTextRight"/>
            </w:pPr>
            <w:r w:rsidRPr="004332DF">
              <w:t>–</w:t>
            </w:r>
          </w:p>
        </w:tc>
        <w:tc>
          <w:tcPr>
            <w:tcW w:w="891" w:type="dxa"/>
          </w:tcPr>
          <w:p w14:paraId="39E2564A" w14:textId="12DD9226" w:rsidR="00927644" w:rsidRPr="004332DF" w:rsidRDefault="0033101B" w:rsidP="004332DF">
            <w:pPr>
              <w:pStyle w:val="TableTextRight"/>
            </w:pPr>
            <w:r w:rsidRPr="004332DF">
              <w:t>–</w:t>
            </w:r>
          </w:p>
        </w:tc>
        <w:tc>
          <w:tcPr>
            <w:tcW w:w="891" w:type="dxa"/>
          </w:tcPr>
          <w:p w14:paraId="3B1535B1" w14:textId="593C69E2"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37B994DA" w14:textId="7DB6F823" w:rsidR="00927644" w:rsidRPr="004332DF" w:rsidRDefault="000018AE" w:rsidP="004332DF">
            <w:pPr>
              <w:pStyle w:val="TableTextRight"/>
            </w:pPr>
            <w:r w:rsidRPr="004332DF">
              <w:t>-</w:t>
            </w:r>
            <w:r w:rsidR="00927644" w:rsidRPr="004332DF">
              <w:t>0.1</w:t>
            </w:r>
          </w:p>
        </w:tc>
        <w:tc>
          <w:tcPr>
            <w:tcW w:w="891" w:type="dxa"/>
            <w:tcBorders>
              <w:top w:val="nil"/>
              <w:left w:val="nil"/>
              <w:bottom w:val="nil"/>
              <w:right w:val="nil"/>
            </w:tcBorders>
            <w:vAlign w:val="bottom"/>
          </w:tcPr>
          <w:p w14:paraId="659048F5" w14:textId="6F5A4C46" w:rsidR="00927644" w:rsidRPr="004332DF" w:rsidRDefault="000018AE" w:rsidP="004332DF">
            <w:pPr>
              <w:pStyle w:val="TableTextRight"/>
            </w:pPr>
            <w:r w:rsidRPr="004332DF">
              <w:t>-</w:t>
            </w:r>
            <w:r w:rsidR="00927644" w:rsidRPr="004332DF">
              <w:t>0.3</w:t>
            </w:r>
          </w:p>
        </w:tc>
        <w:tc>
          <w:tcPr>
            <w:tcW w:w="891" w:type="dxa"/>
            <w:tcBorders>
              <w:top w:val="nil"/>
              <w:left w:val="nil"/>
              <w:bottom w:val="nil"/>
              <w:right w:val="nil"/>
            </w:tcBorders>
            <w:vAlign w:val="bottom"/>
          </w:tcPr>
          <w:p w14:paraId="6B4BD012" w14:textId="762D197B" w:rsidR="00927644" w:rsidRPr="004332DF" w:rsidRDefault="000018AE" w:rsidP="004332DF">
            <w:pPr>
              <w:pStyle w:val="TableTextRight"/>
            </w:pPr>
            <w:r w:rsidRPr="004332DF">
              <w:t>-</w:t>
            </w:r>
            <w:r w:rsidR="00927644" w:rsidRPr="004332DF">
              <w:t>0.6</w:t>
            </w:r>
          </w:p>
        </w:tc>
        <w:tc>
          <w:tcPr>
            <w:tcW w:w="891" w:type="dxa"/>
            <w:tcBorders>
              <w:top w:val="nil"/>
              <w:left w:val="nil"/>
              <w:bottom w:val="nil"/>
              <w:right w:val="nil"/>
            </w:tcBorders>
            <w:vAlign w:val="bottom"/>
          </w:tcPr>
          <w:p w14:paraId="567A200C" w14:textId="3B376DDC" w:rsidR="00927644" w:rsidRPr="004332DF" w:rsidRDefault="000018AE" w:rsidP="004332DF">
            <w:pPr>
              <w:pStyle w:val="TableTextRight"/>
            </w:pPr>
            <w:r w:rsidRPr="004332DF">
              <w:t>-</w:t>
            </w:r>
            <w:r w:rsidR="00927644" w:rsidRPr="004332DF">
              <w:t>2.0</w:t>
            </w:r>
          </w:p>
        </w:tc>
      </w:tr>
      <w:tr w:rsidR="00927644" w:rsidRPr="00116886" w14:paraId="5242B612" w14:textId="77777777" w:rsidTr="009D480E">
        <w:tc>
          <w:tcPr>
            <w:tcW w:w="2835" w:type="dxa"/>
          </w:tcPr>
          <w:p w14:paraId="0F81B6AE" w14:textId="77777777" w:rsidR="00927644" w:rsidRPr="00B86FE8" w:rsidRDefault="00927644" w:rsidP="004332DF">
            <w:pPr>
              <w:pStyle w:val="TableTextLeft"/>
              <w:rPr>
                <w:color w:val="002C47" w:themeColor="accent1"/>
              </w:rPr>
            </w:pPr>
            <w:r w:rsidRPr="00B86FE8">
              <w:rPr>
                <w:color w:val="002C47" w:themeColor="accent1"/>
              </w:rPr>
              <w:t>Population Statement 2020</w:t>
            </w:r>
          </w:p>
        </w:tc>
        <w:tc>
          <w:tcPr>
            <w:tcW w:w="891" w:type="dxa"/>
          </w:tcPr>
          <w:p w14:paraId="7E49EB6D" w14:textId="587E533B" w:rsidR="00927644" w:rsidRPr="004332DF" w:rsidRDefault="0033101B" w:rsidP="004332DF">
            <w:pPr>
              <w:pStyle w:val="TableTextRight"/>
            </w:pPr>
            <w:r w:rsidRPr="004332DF">
              <w:t>–</w:t>
            </w:r>
          </w:p>
        </w:tc>
        <w:tc>
          <w:tcPr>
            <w:tcW w:w="891" w:type="dxa"/>
          </w:tcPr>
          <w:p w14:paraId="74D9B9F8" w14:textId="014BF520" w:rsidR="00927644" w:rsidRPr="004332DF" w:rsidRDefault="0033101B" w:rsidP="004332DF">
            <w:pPr>
              <w:pStyle w:val="TableTextRight"/>
            </w:pPr>
            <w:r w:rsidRPr="004332DF">
              <w:t>–</w:t>
            </w:r>
          </w:p>
        </w:tc>
        <w:tc>
          <w:tcPr>
            <w:tcW w:w="891" w:type="dxa"/>
          </w:tcPr>
          <w:p w14:paraId="5FC04538" w14:textId="5A07754F"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6E2C655C" w14:textId="6B2C49BD" w:rsidR="00927644" w:rsidRPr="004332DF" w:rsidRDefault="0033101B" w:rsidP="004332DF">
            <w:pPr>
              <w:pStyle w:val="TableTextRight"/>
            </w:pPr>
            <w:r w:rsidRPr="004332DF">
              <w:t>–</w:t>
            </w:r>
          </w:p>
        </w:tc>
        <w:tc>
          <w:tcPr>
            <w:tcW w:w="891" w:type="dxa"/>
            <w:tcBorders>
              <w:top w:val="nil"/>
              <w:left w:val="nil"/>
              <w:bottom w:val="nil"/>
              <w:right w:val="nil"/>
            </w:tcBorders>
            <w:vAlign w:val="bottom"/>
          </w:tcPr>
          <w:p w14:paraId="38396977" w14:textId="207A1ADB" w:rsidR="00927644" w:rsidRPr="004332DF" w:rsidRDefault="00D56095" w:rsidP="004332DF">
            <w:pPr>
              <w:pStyle w:val="TableTextRight"/>
            </w:pPr>
            <w:r w:rsidRPr="004332DF">
              <w:t>-0.1</w:t>
            </w:r>
          </w:p>
        </w:tc>
        <w:tc>
          <w:tcPr>
            <w:tcW w:w="891" w:type="dxa"/>
            <w:tcBorders>
              <w:top w:val="nil"/>
              <w:left w:val="nil"/>
              <w:bottom w:val="nil"/>
              <w:right w:val="nil"/>
            </w:tcBorders>
            <w:vAlign w:val="bottom"/>
          </w:tcPr>
          <w:p w14:paraId="0D8FDB91" w14:textId="77777777" w:rsidR="00927644" w:rsidRPr="004332DF" w:rsidRDefault="00927644" w:rsidP="004332DF">
            <w:pPr>
              <w:pStyle w:val="TableTextRight"/>
            </w:pPr>
            <w:r w:rsidRPr="004332DF">
              <w:t>0.0</w:t>
            </w:r>
          </w:p>
        </w:tc>
        <w:tc>
          <w:tcPr>
            <w:tcW w:w="891" w:type="dxa"/>
            <w:tcBorders>
              <w:top w:val="nil"/>
              <w:left w:val="nil"/>
              <w:bottom w:val="nil"/>
              <w:right w:val="nil"/>
            </w:tcBorders>
            <w:vAlign w:val="bottom"/>
          </w:tcPr>
          <w:p w14:paraId="62E6FB47" w14:textId="689FBB45" w:rsidR="00927644" w:rsidRPr="004332DF" w:rsidRDefault="000018AE" w:rsidP="004332DF">
            <w:pPr>
              <w:pStyle w:val="TableTextRight"/>
            </w:pPr>
            <w:r w:rsidRPr="004332DF">
              <w:t>-</w:t>
            </w:r>
            <w:r w:rsidR="00927644" w:rsidRPr="004332DF">
              <w:t>0.1</w:t>
            </w:r>
          </w:p>
        </w:tc>
      </w:tr>
      <w:tr w:rsidR="00927644" w:rsidRPr="00116886" w14:paraId="0BD173AF" w14:textId="77777777" w:rsidTr="009D480E">
        <w:tc>
          <w:tcPr>
            <w:tcW w:w="2835" w:type="dxa"/>
          </w:tcPr>
          <w:p w14:paraId="644FC43A" w14:textId="77777777" w:rsidR="00927644" w:rsidRPr="00B86FE8" w:rsidRDefault="00927644" w:rsidP="004332DF">
            <w:pPr>
              <w:pStyle w:val="TableTextLeft"/>
              <w:rPr>
                <w:color w:val="002C47" w:themeColor="accent1"/>
              </w:rPr>
            </w:pPr>
            <w:r w:rsidRPr="00B86FE8">
              <w:rPr>
                <w:color w:val="002C47" w:themeColor="accent1"/>
              </w:rPr>
              <w:t>Population Statement 2021</w:t>
            </w:r>
          </w:p>
        </w:tc>
        <w:tc>
          <w:tcPr>
            <w:tcW w:w="891" w:type="dxa"/>
          </w:tcPr>
          <w:p w14:paraId="6327D04A" w14:textId="52E03DCD" w:rsidR="00927644" w:rsidRPr="004332DF" w:rsidRDefault="0033101B" w:rsidP="004332DF">
            <w:pPr>
              <w:pStyle w:val="TableTextRight"/>
            </w:pPr>
            <w:r w:rsidRPr="004332DF">
              <w:t>–</w:t>
            </w:r>
          </w:p>
        </w:tc>
        <w:tc>
          <w:tcPr>
            <w:tcW w:w="891" w:type="dxa"/>
          </w:tcPr>
          <w:p w14:paraId="096EA451" w14:textId="7FAFC559" w:rsidR="00927644" w:rsidRPr="004332DF" w:rsidRDefault="0033101B" w:rsidP="004332DF">
            <w:pPr>
              <w:pStyle w:val="TableTextRight"/>
            </w:pPr>
            <w:r w:rsidRPr="004332DF">
              <w:t>–</w:t>
            </w:r>
          </w:p>
        </w:tc>
        <w:tc>
          <w:tcPr>
            <w:tcW w:w="891" w:type="dxa"/>
          </w:tcPr>
          <w:p w14:paraId="74A26D72" w14:textId="1532EC68"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164DAD32" w14:textId="5DA41C09"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3CFA1787" w14:textId="7BD45F54" w:rsidR="00927644" w:rsidRPr="004332DF" w:rsidRDefault="0033101B" w:rsidP="004332DF">
            <w:pPr>
              <w:pStyle w:val="TableTextRight"/>
            </w:pPr>
            <w:r w:rsidRPr="004332DF">
              <w:t>–</w:t>
            </w:r>
          </w:p>
        </w:tc>
        <w:tc>
          <w:tcPr>
            <w:tcW w:w="891" w:type="dxa"/>
            <w:tcBorders>
              <w:top w:val="nil"/>
              <w:left w:val="nil"/>
              <w:bottom w:val="single" w:sz="4" w:space="0" w:color="auto"/>
              <w:right w:val="nil"/>
            </w:tcBorders>
            <w:vAlign w:val="bottom"/>
          </w:tcPr>
          <w:p w14:paraId="61657101" w14:textId="0E6CFF3E" w:rsidR="00927644" w:rsidRPr="004332DF" w:rsidRDefault="00D56095" w:rsidP="004332DF">
            <w:pPr>
              <w:pStyle w:val="TableTextRight"/>
            </w:pPr>
            <w:r w:rsidRPr="004332DF">
              <w:t>-0.1</w:t>
            </w:r>
          </w:p>
        </w:tc>
        <w:tc>
          <w:tcPr>
            <w:tcW w:w="891" w:type="dxa"/>
            <w:tcBorders>
              <w:top w:val="nil"/>
              <w:left w:val="nil"/>
              <w:bottom w:val="single" w:sz="4" w:space="0" w:color="auto"/>
              <w:right w:val="nil"/>
            </w:tcBorders>
            <w:vAlign w:val="bottom"/>
          </w:tcPr>
          <w:p w14:paraId="0BAD20D6" w14:textId="2682239B" w:rsidR="00927644" w:rsidRPr="004332DF" w:rsidRDefault="000018AE" w:rsidP="004332DF">
            <w:pPr>
              <w:pStyle w:val="TableTextRight"/>
            </w:pPr>
            <w:r w:rsidRPr="004332DF">
              <w:t>-</w:t>
            </w:r>
            <w:r w:rsidR="00927644" w:rsidRPr="004332DF">
              <w:t>0.2</w:t>
            </w:r>
          </w:p>
        </w:tc>
      </w:tr>
    </w:tbl>
    <w:p w14:paraId="7D4FAE0D" w14:textId="5BDC9D5E" w:rsidR="00927644" w:rsidRPr="00116886" w:rsidRDefault="00927644" w:rsidP="00927644">
      <w:pPr>
        <w:pStyle w:val="Source"/>
        <w:spacing w:after="0"/>
      </w:pPr>
      <w:r w:rsidRPr="00116886">
        <w:t xml:space="preserve">Note: Positive numbers indicate </w:t>
      </w:r>
      <w:r w:rsidR="003D26E1">
        <w:t xml:space="preserve">an </w:t>
      </w:r>
      <w:r w:rsidRPr="00116886">
        <w:t>underestimat</w:t>
      </w:r>
      <w:r w:rsidR="003D26E1">
        <w:t>ion</w:t>
      </w:r>
      <w:r w:rsidRPr="00116886">
        <w:t xml:space="preserve"> while negative numbers indicate an overestimation.</w:t>
      </w:r>
    </w:p>
    <w:p w14:paraId="74D532BD" w14:textId="2F2DD2D8" w:rsidR="00927644" w:rsidRPr="00116886" w:rsidRDefault="00927644" w:rsidP="00927644">
      <w:pPr>
        <w:pStyle w:val="Source"/>
      </w:pPr>
      <w:r w:rsidRPr="00116886">
        <w:t xml:space="preserve">Source: </w:t>
      </w:r>
      <w:r w:rsidR="009946E8">
        <w:rPr>
          <w:noProof/>
        </w:rPr>
        <w:t>Australian Bureau of Statistics, National, state and territory population, March 2022, 2022</w:t>
      </w:r>
      <w:r w:rsidRPr="00116886">
        <w:t xml:space="preserve"> and Centre for Population projections.</w:t>
      </w:r>
    </w:p>
    <w:p w14:paraId="32086CFB" w14:textId="4BD79286" w:rsidR="00927644" w:rsidRPr="00116886" w:rsidRDefault="00927644" w:rsidP="00927644">
      <w:r w:rsidRPr="00116886">
        <w:t xml:space="preserve">The 2020 and 2021 Population Statements accurately captured national growth in the first forecast year. </w:t>
      </w:r>
      <w:r w:rsidR="00EE3545">
        <w:t>S</w:t>
      </w:r>
      <w:r w:rsidR="00EE3545" w:rsidRPr="00116886">
        <w:t xml:space="preserve">tronger growth than previously forecast </w:t>
      </w:r>
      <w:r w:rsidR="00EE3545">
        <w:t>is now expected</w:t>
      </w:r>
      <w:r w:rsidR="00EE3545" w:rsidRPr="00116886">
        <w:t xml:space="preserve"> in 2021</w:t>
      </w:r>
      <w:r w:rsidR="00EE3545">
        <w:t>–</w:t>
      </w:r>
      <w:r w:rsidR="00EE3545" w:rsidRPr="00116886">
        <w:t>22</w:t>
      </w:r>
      <w:r w:rsidR="00EE3545">
        <w:t xml:space="preserve"> </w:t>
      </w:r>
      <w:r w:rsidR="00EE3545" w:rsidRPr="00116886">
        <w:t>(</w:t>
      </w:r>
      <w:r w:rsidR="002C2CC1">
        <w:t>Chart 45</w:t>
      </w:r>
      <w:r w:rsidR="00EE3545" w:rsidRPr="00116886">
        <w:t>).</w:t>
      </w:r>
    </w:p>
    <w:p w14:paraId="0A43EE72" w14:textId="069E6B3C" w:rsidR="00927644" w:rsidRPr="001E4102" w:rsidRDefault="00927644" w:rsidP="00CE0789">
      <w:pPr>
        <w:pStyle w:val="Heading9"/>
        <w:spacing w:before="0"/>
      </w:pPr>
      <w:bookmarkStart w:id="228" w:name="_Ref117701101"/>
      <w:bookmarkStart w:id="229" w:name="_Ref117700990"/>
      <w:r w:rsidRPr="00CE7098">
        <w:t xml:space="preserve">Actual and </w:t>
      </w:r>
      <w:r w:rsidR="00C36251" w:rsidRPr="009D38A4">
        <w:t>forecasted</w:t>
      </w:r>
      <w:r w:rsidRPr="009D38A4">
        <w:t xml:space="preserve"> annual population growth rates, Australia</w:t>
      </w:r>
      <w:bookmarkEnd w:id="228"/>
      <w:bookmarkEnd w:id="229"/>
    </w:p>
    <w:p w14:paraId="029CD06E" w14:textId="48BB3C90" w:rsidR="002E220C" w:rsidRDefault="00905214" w:rsidP="00F979B4">
      <w:pPr>
        <w:spacing w:before="0" w:after="0"/>
        <w:jc w:val="center"/>
        <w:rPr>
          <w:sz w:val="22"/>
          <w:szCs w:val="22"/>
        </w:rPr>
      </w:pPr>
      <w:r w:rsidRPr="00905214">
        <w:rPr>
          <w:noProof/>
        </w:rPr>
        <w:drawing>
          <wp:inline distT="0" distB="0" distL="0" distR="0" wp14:anchorId="636B86C2" wp14:editId="67CD6EE4">
            <wp:extent cx="5583600" cy="2523600"/>
            <wp:effectExtent l="0" t="0" r="0" b="0"/>
            <wp:docPr id="78" name="Picture 78" descr="A chart comparing Centre for Population forecasts of national population growth to published Australian Bureau of Statistics figures. The 2020 Population Statement assumed a slower growth in population after 2020-21 than subsequent releases. The 2022 Population Statement forecasts the fastest population grow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Picture 78" descr="A chart comparing Centre for Population forecasts of national population growth to published Australian Bureau of Statistics figures. The 2020 Population Statement assumed a slower growth in population after 2020-21 than subsequent releases. The 2022 Population Statement forecasts the fastest population growth."/>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83600" cy="2523600"/>
                    </a:xfrm>
                    <a:prstGeom prst="rect">
                      <a:avLst/>
                    </a:prstGeom>
                    <a:noFill/>
                    <a:ln>
                      <a:noFill/>
                    </a:ln>
                  </pic:spPr>
                </pic:pic>
              </a:graphicData>
            </a:graphic>
          </wp:inline>
        </w:drawing>
      </w:r>
    </w:p>
    <w:p w14:paraId="6B1F52D2" w14:textId="3D304A00" w:rsidR="00927644" w:rsidRPr="00116886" w:rsidRDefault="00927644" w:rsidP="00CE0789">
      <w:pPr>
        <w:pStyle w:val="Source"/>
        <w:spacing w:before="0"/>
        <w:rPr>
          <w:color w:val="0563C1"/>
          <w:szCs w:val="18"/>
        </w:rPr>
      </w:pPr>
      <w:r w:rsidRPr="00116886">
        <w:rPr>
          <w:szCs w:val="18"/>
        </w:rPr>
        <w:t xml:space="preserve">Source: </w:t>
      </w:r>
      <w:r w:rsidR="009946E8">
        <w:rPr>
          <w:noProof/>
        </w:rPr>
        <w:t>Australian Bureau of Statistics, National, state and territory population, March 2022, 2022</w:t>
      </w:r>
      <w:r w:rsidRPr="00116886">
        <w:t xml:space="preserve"> and Centre for Population projections.</w:t>
      </w:r>
    </w:p>
    <w:p w14:paraId="2BB9201A" w14:textId="10372434" w:rsidR="00927644" w:rsidRPr="00116886" w:rsidRDefault="002C7189" w:rsidP="00927644">
      <w:r>
        <w:lastRenderedPageBreak/>
        <w:t>T</w:t>
      </w:r>
      <w:r w:rsidRPr="00116886">
        <w:t>he largest relative differences</w:t>
      </w:r>
      <w:r>
        <w:t xml:space="preserve"> in state level population forecasts</w:t>
      </w:r>
      <w:r w:rsidRPr="00116886">
        <w:t xml:space="preserve"> were for the Australian Capital Territory and Tasmania</w:t>
      </w:r>
      <w:r w:rsidR="00EE3545">
        <w:t xml:space="preserve"> </w:t>
      </w:r>
      <w:r w:rsidR="00321447">
        <w:t>(</w:t>
      </w:r>
      <w:r w:rsidR="002C2CC1">
        <w:t>Table 17</w:t>
      </w:r>
      <w:r w:rsidR="00321447">
        <w:t>)</w:t>
      </w:r>
      <w:r w:rsidRPr="00116886">
        <w:t>. The 2021</w:t>
      </w:r>
      <w:r w:rsidR="00321447">
        <w:t xml:space="preserve"> Census</w:t>
      </w:r>
      <w:r w:rsidRPr="00116886">
        <w:t xml:space="preserve"> revision of </w:t>
      </w:r>
      <w:r>
        <w:t>outcomes</w:t>
      </w:r>
      <w:r w:rsidRPr="00116886">
        <w:t xml:space="preserve"> included major revisions to the base estimates used in</w:t>
      </w:r>
      <w:r w:rsidR="00321447">
        <w:t xml:space="preserve"> the</w:t>
      </w:r>
      <w:r w:rsidRPr="00116886">
        <w:t xml:space="preserve"> 2020 and 2021 Population Statements and increased the forecast error for most states. </w:t>
      </w:r>
      <w:r w:rsidRPr="000018AE">
        <w:t>These Census</w:t>
      </w:r>
      <w:r w:rsidRPr="000018AE">
        <w:noBreakHyphen/>
        <w:t>related revisions can</w:t>
      </w:r>
      <w:r>
        <w:t>no</w:t>
      </w:r>
      <w:r w:rsidRPr="000018AE">
        <w:t xml:space="preserve">t be assigned to any of the components of growth </w:t>
      </w:r>
      <w:r w:rsidR="001F4193" w:rsidRPr="000018AE">
        <w:t xml:space="preserve">(births, deaths, and </w:t>
      </w:r>
      <w:r w:rsidR="00321447">
        <w:t xml:space="preserve">overseas </w:t>
      </w:r>
      <w:r w:rsidR="001F4193" w:rsidRPr="000018AE">
        <w:t>migration).</w:t>
      </w:r>
    </w:p>
    <w:p w14:paraId="781148CE" w14:textId="704C08D2" w:rsidR="00927644" w:rsidRPr="00116886" w:rsidRDefault="00927644" w:rsidP="005540BC">
      <w:pPr>
        <w:pStyle w:val="TableMainHeading"/>
      </w:pPr>
      <w:bookmarkStart w:id="230" w:name="_Ref120876051"/>
      <w:r w:rsidRPr="00116886">
        <w:t xml:space="preserve">Difference (%) between population </w:t>
      </w:r>
      <w:r w:rsidR="00C36251">
        <w:t>forecasts</w:t>
      </w:r>
      <w:r w:rsidRPr="00116886">
        <w:t xml:space="preserve"> and outcome, by state, on 30 June</w:t>
      </w:r>
      <w:bookmarkEnd w:id="230"/>
    </w:p>
    <w:tbl>
      <w:tblPr>
        <w:tblStyle w:val="CPOPTable"/>
        <w:tblW w:w="5000" w:type="pct"/>
        <w:tblLook w:val="04A0" w:firstRow="1" w:lastRow="0" w:firstColumn="1" w:lastColumn="0" w:noHBand="0" w:noVBand="1"/>
        <w:tblCaption w:val="Table"/>
      </w:tblPr>
      <w:tblGrid>
        <w:gridCol w:w="2510"/>
        <w:gridCol w:w="1311"/>
        <w:gridCol w:w="1315"/>
        <w:gridCol w:w="1312"/>
        <w:gridCol w:w="1312"/>
        <w:gridCol w:w="1310"/>
      </w:tblGrid>
      <w:tr w:rsidR="00927644" w:rsidRPr="00116886" w14:paraId="2189E961" w14:textId="77777777" w:rsidTr="00676947">
        <w:trPr>
          <w:cnfStyle w:val="100000000000" w:firstRow="1" w:lastRow="0" w:firstColumn="0" w:lastColumn="0" w:oddVBand="0" w:evenVBand="0" w:oddHBand="0" w:evenHBand="0" w:firstRowFirstColumn="0" w:firstRowLastColumn="0" w:lastRowFirstColumn="0" w:lastRowLastColumn="0"/>
        </w:trPr>
        <w:tc>
          <w:tcPr>
            <w:tcW w:w="1384" w:type="pct"/>
          </w:tcPr>
          <w:p w14:paraId="4A22EBFD" w14:textId="77777777" w:rsidR="00927644" w:rsidRPr="00116886" w:rsidRDefault="00927644" w:rsidP="00676947">
            <w:pPr>
              <w:spacing w:after="0"/>
            </w:pPr>
          </w:p>
        </w:tc>
        <w:tc>
          <w:tcPr>
            <w:tcW w:w="2171" w:type="pct"/>
            <w:gridSpan w:val="3"/>
          </w:tcPr>
          <w:p w14:paraId="38C42B24" w14:textId="77777777" w:rsidR="00927644" w:rsidRPr="004332DF" w:rsidRDefault="00927644" w:rsidP="004332DF">
            <w:pPr>
              <w:pStyle w:val="TableColumnHeadingLeft"/>
            </w:pPr>
            <w:r w:rsidRPr="004332DF">
              <w:t>Population Statement 2020</w:t>
            </w:r>
          </w:p>
        </w:tc>
        <w:tc>
          <w:tcPr>
            <w:tcW w:w="1445" w:type="pct"/>
            <w:gridSpan w:val="2"/>
          </w:tcPr>
          <w:p w14:paraId="58B7E2F0" w14:textId="77777777" w:rsidR="00927644" w:rsidRPr="004332DF" w:rsidRDefault="00927644" w:rsidP="004332DF">
            <w:pPr>
              <w:pStyle w:val="TableColumnHeadingLeft"/>
            </w:pPr>
            <w:r w:rsidRPr="004332DF">
              <w:t>Population Statement 2021</w:t>
            </w:r>
          </w:p>
        </w:tc>
      </w:tr>
      <w:tr w:rsidR="00927644" w:rsidRPr="00116886" w14:paraId="1D93BEAC" w14:textId="77777777" w:rsidTr="00D56095">
        <w:tc>
          <w:tcPr>
            <w:tcW w:w="1384" w:type="pct"/>
          </w:tcPr>
          <w:p w14:paraId="42CB000F" w14:textId="77777777" w:rsidR="00927644" w:rsidRPr="00116886" w:rsidRDefault="00927644" w:rsidP="00676947">
            <w:pPr>
              <w:spacing w:after="0"/>
              <w:rPr>
                <w:b/>
                <w:bCs/>
                <w:color w:val="002C47" w:themeColor="accent1"/>
              </w:rPr>
            </w:pPr>
          </w:p>
        </w:tc>
        <w:tc>
          <w:tcPr>
            <w:tcW w:w="723" w:type="pct"/>
          </w:tcPr>
          <w:p w14:paraId="00CE26C8" w14:textId="77777777" w:rsidR="00927644" w:rsidRPr="004332DF" w:rsidRDefault="00927644" w:rsidP="004332DF">
            <w:pPr>
              <w:pStyle w:val="TableColumnHeadingLeft"/>
            </w:pPr>
            <w:r w:rsidRPr="004332DF">
              <w:t>2019 (base)</w:t>
            </w:r>
          </w:p>
        </w:tc>
        <w:tc>
          <w:tcPr>
            <w:tcW w:w="725" w:type="pct"/>
          </w:tcPr>
          <w:p w14:paraId="7FB26646" w14:textId="77777777" w:rsidR="00927644" w:rsidRPr="004332DF" w:rsidRDefault="00927644" w:rsidP="004332DF">
            <w:pPr>
              <w:pStyle w:val="TableColumnHeadingLeft"/>
            </w:pPr>
            <w:r w:rsidRPr="004332DF">
              <w:t>2020</w:t>
            </w:r>
          </w:p>
        </w:tc>
        <w:tc>
          <w:tcPr>
            <w:tcW w:w="723" w:type="pct"/>
          </w:tcPr>
          <w:p w14:paraId="7A0A7E4B" w14:textId="77777777" w:rsidR="00927644" w:rsidRPr="004332DF" w:rsidRDefault="00927644" w:rsidP="004332DF">
            <w:pPr>
              <w:pStyle w:val="TableColumnHeadingLeft"/>
            </w:pPr>
            <w:r w:rsidRPr="004332DF">
              <w:t>2021</w:t>
            </w:r>
          </w:p>
        </w:tc>
        <w:tc>
          <w:tcPr>
            <w:tcW w:w="723" w:type="pct"/>
          </w:tcPr>
          <w:p w14:paraId="7F9BFA27" w14:textId="77777777" w:rsidR="00927644" w:rsidRPr="004332DF" w:rsidRDefault="00927644" w:rsidP="004332DF">
            <w:pPr>
              <w:pStyle w:val="TableColumnHeadingLeft"/>
            </w:pPr>
            <w:r w:rsidRPr="004332DF">
              <w:t>2020 (base)</w:t>
            </w:r>
          </w:p>
        </w:tc>
        <w:tc>
          <w:tcPr>
            <w:tcW w:w="722" w:type="pct"/>
          </w:tcPr>
          <w:p w14:paraId="1DD8B490" w14:textId="77777777" w:rsidR="00927644" w:rsidRPr="004332DF" w:rsidRDefault="00927644" w:rsidP="004332DF">
            <w:pPr>
              <w:pStyle w:val="TableColumnHeadingLeft"/>
            </w:pPr>
            <w:r w:rsidRPr="004332DF">
              <w:t>2021</w:t>
            </w:r>
          </w:p>
        </w:tc>
      </w:tr>
      <w:tr w:rsidR="00927644" w:rsidRPr="00116886" w14:paraId="7B7ED399" w14:textId="77777777" w:rsidTr="00FD4155">
        <w:tc>
          <w:tcPr>
            <w:tcW w:w="1384" w:type="pct"/>
          </w:tcPr>
          <w:p w14:paraId="48069577" w14:textId="77777777" w:rsidR="00927644" w:rsidRPr="00B86FE8" w:rsidRDefault="00927644" w:rsidP="004332DF">
            <w:pPr>
              <w:pStyle w:val="TableTextLeft"/>
              <w:rPr>
                <w:color w:val="002C47" w:themeColor="accent1"/>
              </w:rPr>
            </w:pPr>
            <w:r w:rsidRPr="00B86FE8">
              <w:rPr>
                <w:color w:val="002C47" w:themeColor="accent1"/>
              </w:rPr>
              <w:t>New South Wales</w:t>
            </w:r>
          </w:p>
        </w:tc>
        <w:tc>
          <w:tcPr>
            <w:tcW w:w="723" w:type="pct"/>
            <w:tcBorders>
              <w:top w:val="nil"/>
              <w:left w:val="nil"/>
              <w:bottom w:val="nil"/>
              <w:right w:val="nil"/>
            </w:tcBorders>
            <w:vAlign w:val="center"/>
          </w:tcPr>
          <w:p w14:paraId="3FA0CCEC" w14:textId="6F5F7EF8" w:rsidR="00927644" w:rsidRPr="00116886" w:rsidRDefault="000018AE" w:rsidP="000649FA">
            <w:pPr>
              <w:pStyle w:val="TableTextLeft"/>
              <w:jc w:val="right"/>
            </w:pPr>
            <w:r>
              <w:t>-</w:t>
            </w:r>
            <w:r w:rsidR="00927644" w:rsidRPr="00116886">
              <w:t>0.</w:t>
            </w:r>
            <w:r w:rsidR="00D56095">
              <w:t>7</w:t>
            </w:r>
          </w:p>
        </w:tc>
        <w:tc>
          <w:tcPr>
            <w:tcW w:w="725" w:type="pct"/>
            <w:tcBorders>
              <w:top w:val="nil"/>
              <w:left w:val="nil"/>
              <w:bottom w:val="nil"/>
              <w:right w:val="nil"/>
            </w:tcBorders>
            <w:vAlign w:val="center"/>
          </w:tcPr>
          <w:p w14:paraId="16E259A5" w14:textId="26C22659" w:rsidR="00927644" w:rsidRPr="00116886" w:rsidRDefault="000018AE" w:rsidP="000649FA">
            <w:pPr>
              <w:pStyle w:val="TableTextLeft"/>
              <w:jc w:val="right"/>
            </w:pPr>
            <w:r>
              <w:t>-</w:t>
            </w:r>
            <w:r w:rsidR="00927644" w:rsidRPr="00116886">
              <w:t>0.8</w:t>
            </w:r>
          </w:p>
        </w:tc>
        <w:tc>
          <w:tcPr>
            <w:tcW w:w="723" w:type="pct"/>
            <w:tcBorders>
              <w:top w:val="nil"/>
              <w:left w:val="nil"/>
              <w:bottom w:val="nil"/>
              <w:right w:val="nil"/>
            </w:tcBorders>
            <w:vAlign w:val="center"/>
          </w:tcPr>
          <w:p w14:paraId="0495D59A" w14:textId="0145D8C9" w:rsidR="00927644" w:rsidRPr="00116886" w:rsidRDefault="000018AE" w:rsidP="000649FA">
            <w:pPr>
              <w:pStyle w:val="TableTextLeft"/>
              <w:jc w:val="right"/>
            </w:pPr>
            <w:r>
              <w:t>-</w:t>
            </w:r>
            <w:r w:rsidR="00927644" w:rsidRPr="00116886">
              <w:t>0.8</w:t>
            </w:r>
          </w:p>
        </w:tc>
        <w:tc>
          <w:tcPr>
            <w:tcW w:w="723" w:type="pct"/>
            <w:tcBorders>
              <w:top w:val="nil"/>
              <w:left w:val="nil"/>
              <w:bottom w:val="nil"/>
              <w:right w:val="nil"/>
            </w:tcBorders>
            <w:vAlign w:val="center"/>
          </w:tcPr>
          <w:p w14:paraId="03303371" w14:textId="6F9A5030" w:rsidR="00927644" w:rsidRPr="00116886" w:rsidRDefault="000018AE" w:rsidP="000649FA">
            <w:pPr>
              <w:pStyle w:val="TableTextLeft"/>
              <w:jc w:val="right"/>
            </w:pPr>
            <w:r>
              <w:t>-</w:t>
            </w:r>
            <w:r w:rsidR="00927644" w:rsidRPr="00116886">
              <w:t>0.9</w:t>
            </w:r>
          </w:p>
        </w:tc>
        <w:tc>
          <w:tcPr>
            <w:tcW w:w="722" w:type="pct"/>
            <w:tcBorders>
              <w:top w:val="nil"/>
              <w:left w:val="nil"/>
              <w:bottom w:val="nil"/>
              <w:right w:val="nil"/>
            </w:tcBorders>
            <w:vAlign w:val="center"/>
          </w:tcPr>
          <w:p w14:paraId="6B3215E5" w14:textId="0E0331FC" w:rsidR="00927644" w:rsidRPr="00116886" w:rsidRDefault="000018AE" w:rsidP="000649FA">
            <w:pPr>
              <w:pStyle w:val="TableTextLeft"/>
              <w:jc w:val="right"/>
            </w:pPr>
            <w:r>
              <w:t>-</w:t>
            </w:r>
            <w:r w:rsidR="00927644" w:rsidRPr="00116886">
              <w:t>0.9</w:t>
            </w:r>
          </w:p>
        </w:tc>
      </w:tr>
      <w:tr w:rsidR="00927644" w:rsidRPr="00116886" w14:paraId="62DA0DC6" w14:textId="77777777" w:rsidTr="00FD4155">
        <w:tc>
          <w:tcPr>
            <w:tcW w:w="1384" w:type="pct"/>
          </w:tcPr>
          <w:p w14:paraId="4B888A98" w14:textId="77777777" w:rsidR="00927644" w:rsidRPr="00B86FE8" w:rsidRDefault="00927644" w:rsidP="004332DF">
            <w:pPr>
              <w:pStyle w:val="TableTextLeft"/>
              <w:rPr>
                <w:color w:val="002C47" w:themeColor="accent1"/>
              </w:rPr>
            </w:pPr>
            <w:r w:rsidRPr="00B86FE8">
              <w:rPr>
                <w:color w:val="002C47" w:themeColor="accent1"/>
              </w:rPr>
              <w:t>Victoria</w:t>
            </w:r>
          </w:p>
        </w:tc>
        <w:tc>
          <w:tcPr>
            <w:tcW w:w="723" w:type="pct"/>
            <w:tcBorders>
              <w:top w:val="nil"/>
              <w:left w:val="nil"/>
              <w:bottom w:val="nil"/>
              <w:right w:val="nil"/>
            </w:tcBorders>
            <w:vAlign w:val="center"/>
          </w:tcPr>
          <w:p w14:paraId="5039C65B" w14:textId="2BA148D2" w:rsidR="00927644" w:rsidRPr="00116886" w:rsidRDefault="000018AE" w:rsidP="000649FA">
            <w:pPr>
              <w:pStyle w:val="TableTextLeft"/>
              <w:jc w:val="right"/>
            </w:pPr>
            <w:r>
              <w:t>-</w:t>
            </w:r>
            <w:r w:rsidR="00927644" w:rsidRPr="00116886">
              <w:t>1.0</w:t>
            </w:r>
          </w:p>
        </w:tc>
        <w:tc>
          <w:tcPr>
            <w:tcW w:w="725" w:type="pct"/>
            <w:tcBorders>
              <w:top w:val="nil"/>
              <w:left w:val="nil"/>
              <w:bottom w:val="nil"/>
              <w:right w:val="nil"/>
            </w:tcBorders>
            <w:vAlign w:val="center"/>
          </w:tcPr>
          <w:p w14:paraId="537B626E" w14:textId="65736393" w:rsidR="00927644" w:rsidRPr="00116886" w:rsidRDefault="000018AE" w:rsidP="000649FA">
            <w:pPr>
              <w:pStyle w:val="TableTextLeft"/>
              <w:jc w:val="right"/>
            </w:pPr>
            <w:r>
              <w:t>-</w:t>
            </w:r>
            <w:r w:rsidR="00927644" w:rsidRPr="00116886">
              <w:t>1.5</w:t>
            </w:r>
          </w:p>
        </w:tc>
        <w:tc>
          <w:tcPr>
            <w:tcW w:w="723" w:type="pct"/>
            <w:tcBorders>
              <w:top w:val="nil"/>
              <w:left w:val="nil"/>
              <w:bottom w:val="nil"/>
              <w:right w:val="nil"/>
            </w:tcBorders>
            <w:vAlign w:val="center"/>
          </w:tcPr>
          <w:p w14:paraId="3F7BF9D7" w14:textId="32630250" w:rsidR="00927644" w:rsidRPr="00116886" w:rsidRDefault="000018AE" w:rsidP="000649FA">
            <w:pPr>
              <w:pStyle w:val="TableTextLeft"/>
              <w:jc w:val="right"/>
            </w:pPr>
            <w:r>
              <w:t>-</w:t>
            </w:r>
            <w:r w:rsidR="00927644" w:rsidRPr="00116886">
              <w:t>2.</w:t>
            </w:r>
            <w:r w:rsidR="00D56095">
              <w:t>6</w:t>
            </w:r>
          </w:p>
        </w:tc>
        <w:tc>
          <w:tcPr>
            <w:tcW w:w="723" w:type="pct"/>
            <w:tcBorders>
              <w:top w:val="nil"/>
              <w:left w:val="nil"/>
              <w:bottom w:val="nil"/>
              <w:right w:val="nil"/>
            </w:tcBorders>
            <w:vAlign w:val="center"/>
          </w:tcPr>
          <w:p w14:paraId="122C8BD1" w14:textId="597E4CB1" w:rsidR="00927644" w:rsidRPr="00116886" w:rsidRDefault="000018AE" w:rsidP="000649FA">
            <w:pPr>
              <w:pStyle w:val="TableTextLeft"/>
              <w:jc w:val="right"/>
            </w:pPr>
            <w:r>
              <w:t>-</w:t>
            </w:r>
            <w:r w:rsidR="00927644" w:rsidRPr="00116886">
              <w:t>1.3</w:t>
            </w:r>
          </w:p>
        </w:tc>
        <w:tc>
          <w:tcPr>
            <w:tcW w:w="722" w:type="pct"/>
            <w:tcBorders>
              <w:top w:val="nil"/>
              <w:left w:val="nil"/>
              <w:bottom w:val="nil"/>
              <w:right w:val="nil"/>
            </w:tcBorders>
            <w:vAlign w:val="center"/>
          </w:tcPr>
          <w:p w14:paraId="51FC9B2E" w14:textId="5D511936" w:rsidR="00927644" w:rsidRPr="00116886" w:rsidRDefault="000018AE" w:rsidP="000649FA">
            <w:pPr>
              <w:pStyle w:val="TableTextLeft"/>
              <w:jc w:val="right"/>
            </w:pPr>
            <w:r>
              <w:t>-</w:t>
            </w:r>
            <w:r w:rsidR="00927644" w:rsidRPr="00116886">
              <w:t>1.7</w:t>
            </w:r>
          </w:p>
        </w:tc>
      </w:tr>
      <w:tr w:rsidR="00927644" w:rsidRPr="00116886" w14:paraId="593DA786" w14:textId="77777777" w:rsidTr="00FD4155">
        <w:tc>
          <w:tcPr>
            <w:tcW w:w="1384" w:type="pct"/>
          </w:tcPr>
          <w:p w14:paraId="624F4B81" w14:textId="77777777" w:rsidR="00927644" w:rsidRPr="00B86FE8" w:rsidRDefault="00927644" w:rsidP="004332DF">
            <w:pPr>
              <w:pStyle w:val="TableTextLeft"/>
              <w:rPr>
                <w:color w:val="002C47" w:themeColor="accent1"/>
              </w:rPr>
            </w:pPr>
            <w:r w:rsidRPr="00B86FE8">
              <w:rPr>
                <w:color w:val="002C47" w:themeColor="accent1"/>
              </w:rPr>
              <w:t>Queensland</w:t>
            </w:r>
          </w:p>
        </w:tc>
        <w:tc>
          <w:tcPr>
            <w:tcW w:w="723" w:type="pct"/>
            <w:tcBorders>
              <w:top w:val="nil"/>
              <w:left w:val="nil"/>
              <w:bottom w:val="nil"/>
              <w:right w:val="nil"/>
            </w:tcBorders>
            <w:vAlign w:val="center"/>
          </w:tcPr>
          <w:p w14:paraId="17108741" w14:textId="77777777" w:rsidR="00927644" w:rsidRPr="00116886" w:rsidRDefault="00927644" w:rsidP="000649FA">
            <w:pPr>
              <w:pStyle w:val="TableTextLeft"/>
              <w:jc w:val="right"/>
            </w:pPr>
            <w:r w:rsidRPr="00116886">
              <w:t>0.0</w:t>
            </w:r>
          </w:p>
        </w:tc>
        <w:tc>
          <w:tcPr>
            <w:tcW w:w="725" w:type="pct"/>
            <w:tcBorders>
              <w:top w:val="nil"/>
              <w:left w:val="nil"/>
              <w:bottom w:val="nil"/>
              <w:right w:val="nil"/>
            </w:tcBorders>
            <w:vAlign w:val="center"/>
          </w:tcPr>
          <w:p w14:paraId="702197F6" w14:textId="77777777" w:rsidR="00927644" w:rsidRPr="00116886" w:rsidRDefault="00927644" w:rsidP="000649FA">
            <w:pPr>
              <w:pStyle w:val="TableTextLeft"/>
              <w:jc w:val="right"/>
            </w:pPr>
            <w:r w:rsidRPr="00116886">
              <w:t>0.3</w:t>
            </w:r>
          </w:p>
        </w:tc>
        <w:tc>
          <w:tcPr>
            <w:tcW w:w="723" w:type="pct"/>
            <w:tcBorders>
              <w:top w:val="nil"/>
              <w:left w:val="nil"/>
              <w:bottom w:val="nil"/>
              <w:right w:val="nil"/>
            </w:tcBorders>
            <w:vAlign w:val="center"/>
          </w:tcPr>
          <w:p w14:paraId="53CF9FEB" w14:textId="77777777" w:rsidR="00927644" w:rsidRPr="00116886" w:rsidRDefault="00927644" w:rsidP="000649FA">
            <w:pPr>
              <w:pStyle w:val="TableTextLeft"/>
              <w:jc w:val="right"/>
            </w:pPr>
            <w:r w:rsidRPr="00116886">
              <w:t>0.4</w:t>
            </w:r>
          </w:p>
        </w:tc>
        <w:tc>
          <w:tcPr>
            <w:tcW w:w="723" w:type="pct"/>
            <w:tcBorders>
              <w:top w:val="nil"/>
              <w:left w:val="nil"/>
              <w:bottom w:val="nil"/>
              <w:right w:val="nil"/>
            </w:tcBorders>
            <w:vAlign w:val="center"/>
          </w:tcPr>
          <w:p w14:paraId="5F36D568" w14:textId="77777777" w:rsidR="00927644" w:rsidRPr="00116886" w:rsidRDefault="00927644" w:rsidP="000649FA">
            <w:pPr>
              <w:pStyle w:val="TableTextLeft"/>
              <w:jc w:val="right"/>
            </w:pPr>
            <w:r w:rsidRPr="00116886">
              <w:t>0.0</w:t>
            </w:r>
          </w:p>
        </w:tc>
        <w:tc>
          <w:tcPr>
            <w:tcW w:w="722" w:type="pct"/>
            <w:tcBorders>
              <w:top w:val="nil"/>
              <w:left w:val="nil"/>
              <w:bottom w:val="nil"/>
              <w:right w:val="nil"/>
            </w:tcBorders>
            <w:vAlign w:val="center"/>
          </w:tcPr>
          <w:p w14:paraId="55A5EB38" w14:textId="77777777" w:rsidR="00927644" w:rsidRPr="00116886" w:rsidRDefault="00927644" w:rsidP="000649FA">
            <w:pPr>
              <w:pStyle w:val="TableTextLeft"/>
              <w:jc w:val="right"/>
            </w:pPr>
            <w:r w:rsidRPr="00116886">
              <w:t>0.0</w:t>
            </w:r>
          </w:p>
        </w:tc>
      </w:tr>
      <w:tr w:rsidR="00927644" w:rsidRPr="00116886" w14:paraId="4472CAA6" w14:textId="77777777" w:rsidTr="00FD4155">
        <w:tc>
          <w:tcPr>
            <w:tcW w:w="1384" w:type="pct"/>
          </w:tcPr>
          <w:p w14:paraId="2D5093E7" w14:textId="77777777" w:rsidR="00927644" w:rsidRPr="00B86FE8" w:rsidRDefault="00927644" w:rsidP="004332DF">
            <w:pPr>
              <w:pStyle w:val="TableTextLeft"/>
              <w:rPr>
                <w:color w:val="002C47" w:themeColor="accent1"/>
              </w:rPr>
            </w:pPr>
            <w:r w:rsidRPr="00B86FE8">
              <w:rPr>
                <w:color w:val="002C47" w:themeColor="accent1"/>
              </w:rPr>
              <w:t>South Australia</w:t>
            </w:r>
          </w:p>
        </w:tc>
        <w:tc>
          <w:tcPr>
            <w:tcW w:w="723" w:type="pct"/>
            <w:tcBorders>
              <w:top w:val="nil"/>
              <w:left w:val="nil"/>
              <w:bottom w:val="nil"/>
              <w:right w:val="nil"/>
            </w:tcBorders>
            <w:vAlign w:val="center"/>
          </w:tcPr>
          <w:p w14:paraId="0746BEB1" w14:textId="77777777" w:rsidR="00927644" w:rsidRPr="00116886" w:rsidRDefault="00927644" w:rsidP="000649FA">
            <w:pPr>
              <w:pStyle w:val="TableTextLeft"/>
              <w:jc w:val="right"/>
            </w:pPr>
            <w:r w:rsidRPr="00116886">
              <w:t>1.0</w:t>
            </w:r>
          </w:p>
        </w:tc>
        <w:tc>
          <w:tcPr>
            <w:tcW w:w="725" w:type="pct"/>
            <w:tcBorders>
              <w:top w:val="nil"/>
              <w:left w:val="nil"/>
              <w:bottom w:val="nil"/>
              <w:right w:val="nil"/>
            </w:tcBorders>
            <w:vAlign w:val="center"/>
          </w:tcPr>
          <w:p w14:paraId="400E4180" w14:textId="77777777" w:rsidR="00927644" w:rsidRPr="00116886" w:rsidRDefault="00927644" w:rsidP="000649FA">
            <w:pPr>
              <w:pStyle w:val="TableTextLeft"/>
              <w:jc w:val="right"/>
            </w:pPr>
            <w:r w:rsidRPr="00116886">
              <w:t>1.6</w:t>
            </w:r>
          </w:p>
        </w:tc>
        <w:tc>
          <w:tcPr>
            <w:tcW w:w="723" w:type="pct"/>
            <w:tcBorders>
              <w:top w:val="nil"/>
              <w:left w:val="nil"/>
              <w:bottom w:val="nil"/>
              <w:right w:val="nil"/>
            </w:tcBorders>
            <w:vAlign w:val="center"/>
          </w:tcPr>
          <w:p w14:paraId="7DF3A3FD" w14:textId="77777777" w:rsidR="00927644" w:rsidRPr="00116886" w:rsidRDefault="00927644" w:rsidP="000649FA">
            <w:pPr>
              <w:pStyle w:val="TableTextLeft"/>
              <w:jc w:val="right"/>
            </w:pPr>
            <w:r w:rsidRPr="00116886">
              <w:t>2.1</w:t>
            </w:r>
          </w:p>
        </w:tc>
        <w:tc>
          <w:tcPr>
            <w:tcW w:w="723" w:type="pct"/>
            <w:tcBorders>
              <w:top w:val="nil"/>
              <w:left w:val="nil"/>
              <w:bottom w:val="nil"/>
              <w:right w:val="nil"/>
            </w:tcBorders>
            <w:vAlign w:val="center"/>
          </w:tcPr>
          <w:p w14:paraId="06E70E9C" w14:textId="77777777" w:rsidR="00927644" w:rsidRPr="00116886" w:rsidRDefault="00927644" w:rsidP="000649FA">
            <w:pPr>
              <w:pStyle w:val="TableTextLeft"/>
              <w:jc w:val="right"/>
            </w:pPr>
            <w:r w:rsidRPr="00116886">
              <w:t>1.3</w:t>
            </w:r>
          </w:p>
        </w:tc>
        <w:tc>
          <w:tcPr>
            <w:tcW w:w="722" w:type="pct"/>
            <w:tcBorders>
              <w:top w:val="nil"/>
              <w:left w:val="nil"/>
              <w:bottom w:val="nil"/>
              <w:right w:val="nil"/>
            </w:tcBorders>
            <w:vAlign w:val="center"/>
          </w:tcPr>
          <w:p w14:paraId="69282726" w14:textId="77777777" w:rsidR="00927644" w:rsidRPr="00116886" w:rsidRDefault="00927644" w:rsidP="000649FA">
            <w:pPr>
              <w:pStyle w:val="TableTextLeft"/>
              <w:jc w:val="right"/>
            </w:pPr>
            <w:r w:rsidRPr="00116886">
              <w:t>1.7</w:t>
            </w:r>
          </w:p>
        </w:tc>
      </w:tr>
      <w:tr w:rsidR="00927644" w:rsidRPr="00116886" w14:paraId="5E8614F4" w14:textId="77777777" w:rsidTr="00FD4155">
        <w:tc>
          <w:tcPr>
            <w:tcW w:w="1384" w:type="pct"/>
          </w:tcPr>
          <w:p w14:paraId="02D52716" w14:textId="77777777" w:rsidR="00927644" w:rsidRPr="00B86FE8" w:rsidRDefault="00927644" w:rsidP="004332DF">
            <w:pPr>
              <w:pStyle w:val="TableTextLeft"/>
              <w:rPr>
                <w:color w:val="002C47" w:themeColor="accent1"/>
              </w:rPr>
            </w:pPr>
            <w:r w:rsidRPr="00B86FE8">
              <w:rPr>
                <w:color w:val="002C47" w:themeColor="accent1"/>
              </w:rPr>
              <w:t>Western Australia</w:t>
            </w:r>
          </w:p>
        </w:tc>
        <w:tc>
          <w:tcPr>
            <w:tcW w:w="723" w:type="pct"/>
            <w:tcBorders>
              <w:top w:val="nil"/>
              <w:left w:val="nil"/>
              <w:bottom w:val="nil"/>
              <w:right w:val="nil"/>
            </w:tcBorders>
            <w:vAlign w:val="center"/>
          </w:tcPr>
          <w:p w14:paraId="4649363B" w14:textId="50EF94A3" w:rsidR="00927644" w:rsidRPr="00116886" w:rsidRDefault="00927644" w:rsidP="000649FA">
            <w:pPr>
              <w:pStyle w:val="TableTextLeft"/>
              <w:jc w:val="right"/>
            </w:pPr>
            <w:r w:rsidRPr="00116886">
              <w:t>1.</w:t>
            </w:r>
            <w:r w:rsidR="00D56095">
              <w:t>5</w:t>
            </w:r>
          </w:p>
        </w:tc>
        <w:tc>
          <w:tcPr>
            <w:tcW w:w="725" w:type="pct"/>
            <w:tcBorders>
              <w:top w:val="nil"/>
              <w:left w:val="nil"/>
              <w:bottom w:val="nil"/>
              <w:right w:val="nil"/>
            </w:tcBorders>
            <w:vAlign w:val="center"/>
          </w:tcPr>
          <w:p w14:paraId="01B25AF8" w14:textId="77777777" w:rsidR="00927644" w:rsidRPr="00116886" w:rsidRDefault="00927644" w:rsidP="000649FA">
            <w:pPr>
              <w:pStyle w:val="TableTextLeft"/>
              <w:jc w:val="right"/>
            </w:pPr>
            <w:r w:rsidRPr="00116886">
              <w:t>2.6</w:t>
            </w:r>
          </w:p>
        </w:tc>
        <w:tc>
          <w:tcPr>
            <w:tcW w:w="723" w:type="pct"/>
            <w:tcBorders>
              <w:top w:val="nil"/>
              <w:left w:val="nil"/>
              <w:bottom w:val="nil"/>
              <w:right w:val="nil"/>
            </w:tcBorders>
            <w:vAlign w:val="center"/>
          </w:tcPr>
          <w:p w14:paraId="325884EE" w14:textId="5AA7F10E" w:rsidR="00927644" w:rsidRPr="00116886" w:rsidRDefault="00927644" w:rsidP="000649FA">
            <w:pPr>
              <w:pStyle w:val="TableTextLeft"/>
              <w:jc w:val="right"/>
            </w:pPr>
            <w:r w:rsidRPr="00116886">
              <w:t>3.</w:t>
            </w:r>
            <w:r w:rsidR="00D56095">
              <w:t>3</w:t>
            </w:r>
          </w:p>
        </w:tc>
        <w:tc>
          <w:tcPr>
            <w:tcW w:w="723" w:type="pct"/>
            <w:tcBorders>
              <w:top w:val="nil"/>
              <w:left w:val="nil"/>
              <w:bottom w:val="nil"/>
              <w:right w:val="nil"/>
            </w:tcBorders>
            <w:vAlign w:val="center"/>
          </w:tcPr>
          <w:p w14:paraId="08F07815" w14:textId="77777777" w:rsidR="00927644" w:rsidRPr="00116886" w:rsidRDefault="00927644" w:rsidP="000649FA">
            <w:pPr>
              <w:pStyle w:val="TableTextLeft"/>
              <w:jc w:val="right"/>
            </w:pPr>
            <w:r w:rsidRPr="00116886">
              <w:t>2.0</w:t>
            </w:r>
          </w:p>
        </w:tc>
        <w:tc>
          <w:tcPr>
            <w:tcW w:w="722" w:type="pct"/>
            <w:tcBorders>
              <w:top w:val="nil"/>
              <w:left w:val="nil"/>
              <w:bottom w:val="nil"/>
              <w:right w:val="nil"/>
            </w:tcBorders>
            <w:vAlign w:val="center"/>
          </w:tcPr>
          <w:p w14:paraId="0C3B6B0A" w14:textId="2408399B" w:rsidR="00927644" w:rsidRPr="00116886" w:rsidRDefault="00927644" w:rsidP="000649FA">
            <w:pPr>
              <w:pStyle w:val="TableTextLeft"/>
              <w:jc w:val="right"/>
            </w:pPr>
            <w:r w:rsidRPr="00116886">
              <w:t>2.</w:t>
            </w:r>
            <w:r w:rsidR="00D56095">
              <w:t>5</w:t>
            </w:r>
          </w:p>
        </w:tc>
      </w:tr>
      <w:tr w:rsidR="00927644" w:rsidRPr="00116886" w14:paraId="2F729943" w14:textId="77777777" w:rsidTr="00FD4155">
        <w:tc>
          <w:tcPr>
            <w:tcW w:w="1384" w:type="pct"/>
          </w:tcPr>
          <w:p w14:paraId="58DEC8EE" w14:textId="77777777" w:rsidR="00927644" w:rsidRPr="00B86FE8" w:rsidRDefault="00927644" w:rsidP="004332DF">
            <w:pPr>
              <w:pStyle w:val="TableTextLeft"/>
              <w:rPr>
                <w:color w:val="002C47" w:themeColor="accent1"/>
              </w:rPr>
            </w:pPr>
            <w:r w:rsidRPr="00B86FE8">
              <w:rPr>
                <w:color w:val="002C47" w:themeColor="accent1"/>
              </w:rPr>
              <w:t>Tasmania</w:t>
            </w:r>
          </w:p>
        </w:tc>
        <w:tc>
          <w:tcPr>
            <w:tcW w:w="723" w:type="pct"/>
            <w:tcBorders>
              <w:top w:val="nil"/>
              <w:left w:val="nil"/>
              <w:bottom w:val="nil"/>
              <w:right w:val="nil"/>
            </w:tcBorders>
            <w:vAlign w:val="center"/>
          </w:tcPr>
          <w:p w14:paraId="75CF28B3" w14:textId="6A96A6AE" w:rsidR="00927644" w:rsidRPr="00116886" w:rsidRDefault="00927644" w:rsidP="000649FA">
            <w:pPr>
              <w:pStyle w:val="TableTextLeft"/>
              <w:jc w:val="right"/>
            </w:pPr>
            <w:r w:rsidRPr="00116886">
              <w:t>3.</w:t>
            </w:r>
            <w:r w:rsidR="00D56095">
              <w:t>2</w:t>
            </w:r>
          </w:p>
        </w:tc>
        <w:tc>
          <w:tcPr>
            <w:tcW w:w="725" w:type="pct"/>
            <w:tcBorders>
              <w:top w:val="nil"/>
              <w:left w:val="nil"/>
              <w:bottom w:val="nil"/>
              <w:right w:val="nil"/>
            </w:tcBorders>
            <w:vAlign w:val="center"/>
          </w:tcPr>
          <w:p w14:paraId="27595DDB" w14:textId="308543F8" w:rsidR="00927644" w:rsidRPr="00116886" w:rsidRDefault="00927644" w:rsidP="000649FA">
            <w:pPr>
              <w:pStyle w:val="TableTextLeft"/>
              <w:jc w:val="right"/>
            </w:pPr>
            <w:r w:rsidRPr="00116886">
              <w:t>4.</w:t>
            </w:r>
            <w:r w:rsidR="00D56095">
              <w:t>2</w:t>
            </w:r>
          </w:p>
        </w:tc>
        <w:tc>
          <w:tcPr>
            <w:tcW w:w="723" w:type="pct"/>
            <w:tcBorders>
              <w:top w:val="nil"/>
              <w:left w:val="nil"/>
              <w:bottom w:val="nil"/>
              <w:right w:val="nil"/>
            </w:tcBorders>
            <w:vAlign w:val="center"/>
          </w:tcPr>
          <w:p w14:paraId="2A7253BB" w14:textId="038D4402" w:rsidR="00927644" w:rsidRPr="00116886" w:rsidRDefault="00927644" w:rsidP="000649FA">
            <w:pPr>
              <w:pStyle w:val="TableTextLeft"/>
              <w:jc w:val="right"/>
            </w:pPr>
            <w:r w:rsidRPr="00116886">
              <w:t>4.</w:t>
            </w:r>
            <w:r w:rsidR="00D56095">
              <w:t>5</w:t>
            </w:r>
          </w:p>
        </w:tc>
        <w:tc>
          <w:tcPr>
            <w:tcW w:w="723" w:type="pct"/>
            <w:tcBorders>
              <w:top w:val="nil"/>
              <w:left w:val="nil"/>
              <w:bottom w:val="nil"/>
              <w:right w:val="nil"/>
            </w:tcBorders>
            <w:vAlign w:val="center"/>
          </w:tcPr>
          <w:p w14:paraId="7F02F71C" w14:textId="5D76BC11" w:rsidR="00927644" w:rsidRPr="00116886" w:rsidRDefault="00927644" w:rsidP="000649FA">
            <w:pPr>
              <w:pStyle w:val="TableTextLeft"/>
              <w:jc w:val="right"/>
            </w:pPr>
            <w:r w:rsidRPr="00116886">
              <w:t>4.</w:t>
            </w:r>
            <w:r w:rsidR="00D56095">
              <w:t>1</w:t>
            </w:r>
          </w:p>
        </w:tc>
        <w:tc>
          <w:tcPr>
            <w:tcW w:w="722" w:type="pct"/>
            <w:tcBorders>
              <w:top w:val="nil"/>
              <w:left w:val="nil"/>
              <w:bottom w:val="nil"/>
              <w:right w:val="nil"/>
            </w:tcBorders>
            <w:vAlign w:val="center"/>
          </w:tcPr>
          <w:p w14:paraId="2FCEE6A2" w14:textId="2F19D2FC" w:rsidR="00927644" w:rsidRPr="00116886" w:rsidRDefault="00927644" w:rsidP="000649FA">
            <w:pPr>
              <w:pStyle w:val="TableTextLeft"/>
              <w:jc w:val="right"/>
            </w:pPr>
            <w:r w:rsidRPr="00116886">
              <w:t>4.</w:t>
            </w:r>
            <w:r w:rsidR="00D56095">
              <w:t>5</w:t>
            </w:r>
          </w:p>
        </w:tc>
      </w:tr>
      <w:tr w:rsidR="00927644" w:rsidRPr="00116886" w14:paraId="66845ACE" w14:textId="77777777" w:rsidTr="009F0818">
        <w:tc>
          <w:tcPr>
            <w:tcW w:w="1384" w:type="pct"/>
          </w:tcPr>
          <w:p w14:paraId="5A6E72F5" w14:textId="77777777" w:rsidR="00927644" w:rsidRPr="00B86FE8" w:rsidRDefault="00927644" w:rsidP="004332DF">
            <w:pPr>
              <w:pStyle w:val="TableTextLeft"/>
              <w:rPr>
                <w:color w:val="002C47" w:themeColor="accent1"/>
              </w:rPr>
            </w:pPr>
            <w:r w:rsidRPr="00B86FE8">
              <w:rPr>
                <w:color w:val="002C47" w:themeColor="accent1"/>
              </w:rPr>
              <w:t>Northern Territory</w:t>
            </w:r>
          </w:p>
        </w:tc>
        <w:tc>
          <w:tcPr>
            <w:tcW w:w="723" w:type="pct"/>
            <w:tcBorders>
              <w:top w:val="nil"/>
              <w:left w:val="nil"/>
              <w:bottom w:val="nil"/>
              <w:right w:val="nil"/>
            </w:tcBorders>
            <w:vAlign w:val="center"/>
          </w:tcPr>
          <w:p w14:paraId="5A3D161E" w14:textId="77777777" w:rsidR="00927644" w:rsidRPr="00116886" w:rsidRDefault="00927644" w:rsidP="000649FA">
            <w:pPr>
              <w:pStyle w:val="TableTextLeft"/>
              <w:jc w:val="right"/>
            </w:pPr>
            <w:r w:rsidRPr="00116886">
              <w:t>0.8</w:t>
            </w:r>
          </w:p>
        </w:tc>
        <w:tc>
          <w:tcPr>
            <w:tcW w:w="725" w:type="pct"/>
            <w:tcBorders>
              <w:top w:val="nil"/>
              <w:left w:val="nil"/>
              <w:bottom w:val="nil"/>
              <w:right w:val="nil"/>
            </w:tcBorders>
            <w:vAlign w:val="center"/>
          </w:tcPr>
          <w:p w14:paraId="74865310" w14:textId="377045E8" w:rsidR="00927644" w:rsidRPr="00116886" w:rsidRDefault="00927644" w:rsidP="000649FA">
            <w:pPr>
              <w:pStyle w:val="TableTextLeft"/>
              <w:jc w:val="right"/>
            </w:pPr>
            <w:r w:rsidRPr="00116886">
              <w:t>2.</w:t>
            </w:r>
            <w:r w:rsidR="00D56095">
              <w:t>5</w:t>
            </w:r>
          </w:p>
        </w:tc>
        <w:tc>
          <w:tcPr>
            <w:tcW w:w="723" w:type="pct"/>
            <w:tcBorders>
              <w:top w:val="nil"/>
              <w:left w:val="nil"/>
              <w:bottom w:val="nil"/>
              <w:right w:val="nil"/>
            </w:tcBorders>
            <w:vAlign w:val="center"/>
          </w:tcPr>
          <w:p w14:paraId="602D88AB" w14:textId="6936AEE5" w:rsidR="00927644" w:rsidRPr="00116886" w:rsidRDefault="00927644" w:rsidP="000649FA">
            <w:pPr>
              <w:pStyle w:val="TableTextLeft"/>
              <w:jc w:val="right"/>
            </w:pPr>
            <w:r w:rsidRPr="00116886">
              <w:t>3.</w:t>
            </w:r>
            <w:r w:rsidR="00D56095">
              <w:t>7</w:t>
            </w:r>
          </w:p>
        </w:tc>
        <w:tc>
          <w:tcPr>
            <w:tcW w:w="723" w:type="pct"/>
            <w:tcBorders>
              <w:top w:val="nil"/>
              <w:left w:val="nil"/>
              <w:bottom w:val="nil"/>
              <w:right w:val="nil"/>
            </w:tcBorders>
            <w:vAlign w:val="center"/>
          </w:tcPr>
          <w:p w14:paraId="4DE0EBB3" w14:textId="77777777" w:rsidR="00927644" w:rsidRPr="00116886" w:rsidRDefault="00927644" w:rsidP="000649FA">
            <w:pPr>
              <w:pStyle w:val="TableTextLeft"/>
              <w:jc w:val="right"/>
            </w:pPr>
            <w:r w:rsidRPr="00116886">
              <w:t>1.1</w:t>
            </w:r>
          </w:p>
        </w:tc>
        <w:tc>
          <w:tcPr>
            <w:tcW w:w="722" w:type="pct"/>
            <w:tcBorders>
              <w:top w:val="nil"/>
              <w:left w:val="nil"/>
              <w:bottom w:val="nil"/>
              <w:right w:val="nil"/>
            </w:tcBorders>
            <w:vAlign w:val="center"/>
          </w:tcPr>
          <w:p w14:paraId="48BF1B3A" w14:textId="77777777" w:rsidR="00927644" w:rsidRPr="00116886" w:rsidRDefault="00927644" w:rsidP="000649FA">
            <w:pPr>
              <w:pStyle w:val="TableTextLeft"/>
              <w:jc w:val="right"/>
            </w:pPr>
            <w:r w:rsidRPr="00116886">
              <w:t>0.7</w:t>
            </w:r>
          </w:p>
        </w:tc>
      </w:tr>
      <w:tr w:rsidR="00927644" w:rsidRPr="00116886" w14:paraId="6B6A46D5" w14:textId="77777777" w:rsidTr="009F0818">
        <w:tc>
          <w:tcPr>
            <w:tcW w:w="1384" w:type="pct"/>
            <w:tcBorders>
              <w:right w:val="nil"/>
            </w:tcBorders>
          </w:tcPr>
          <w:p w14:paraId="7E9C8FC3" w14:textId="77777777" w:rsidR="00927644" w:rsidRPr="00B86FE8" w:rsidRDefault="00927644" w:rsidP="004332DF">
            <w:pPr>
              <w:pStyle w:val="TableTextLeft"/>
              <w:rPr>
                <w:color w:val="002C47" w:themeColor="accent1"/>
              </w:rPr>
            </w:pPr>
            <w:r w:rsidRPr="00B86FE8">
              <w:rPr>
                <w:color w:val="002C47" w:themeColor="accent1"/>
              </w:rPr>
              <w:t>Australian Capital Territory</w:t>
            </w:r>
          </w:p>
        </w:tc>
        <w:tc>
          <w:tcPr>
            <w:tcW w:w="723" w:type="pct"/>
            <w:tcBorders>
              <w:top w:val="nil"/>
              <w:left w:val="nil"/>
              <w:bottom w:val="single" w:sz="4" w:space="0" w:color="auto"/>
              <w:right w:val="nil"/>
            </w:tcBorders>
            <w:vAlign w:val="center"/>
          </w:tcPr>
          <w:p w14:paraId="57442081" w14:textId="5DB6EEBF" w:rsidR="00927644" w:rsidRPr="00116886" w:rsidRDefault="00927644" w:rsidP="000649FA">
            <w:pPr>
              <w:pStyle w:val="TableTextLeft"/>
              <w:jc w:val="right"/>
            </w:pPr>
            <w:r w:rsidRPr="00116886">
              <w:t>3.</w:t>
            </w:r>
            <w:r w:rsidR="00D56095">
              <w:t>4</w:t>
            </w:r>
          </w:p>
        </w:tc>
        <w:tc>
          <w:tcPr>
            <w:tcW w:w="725" w:type="pct"/>
            <w:tcBorders>
              <w:top w:val="nil"/>
              <w:left w:val="nil"/>
              <w:bottom w:val="single" w:sz="4" w:space="0" w:color="auto"/>
              <w:right w:val="nil"/>
            </w:tcBorders>
            <w:vAlign w:val="center"/>
          </w:tcPr>
          <w:p w14:paraId="6B9FC7A8" w14:textId="4DF1F9A4" w:rsidR="00927644" w:rsidRPr="00116886" w:rsidRDefault="00927644" w:rsidP="000649FA">
            <w:pPr>
              <w:pStyle w:val="TableTextLeft"/>
              <w:jc w:val="right"/>
            </w:pPr>
            <w:r w:rsidRPr="00116886">
              <w:t>4.</w:t>
            </w:r>
            <w:r w:rsidR="00D56095">
              <w:t>6</w:t>
            </w:r>
          </w:p>
        </w:tc>
        <w:tc>
          <w:tcPr>
            <w:tcW w:w="723" w:type="pct"/>
            <w:tcBorders>
              <w:top w:val="nil"/>
              <w:left w:val="nil"/>
              <w:bottom w:val="single" w:sz="4" w:space="0" w:color="auto"/>
              <w:right w:val="nil"/>
            </w:tcBorders>
            <w:vAlign w:val="center"/>
          </w:tcPr>
          <w:p w14:paraId="6BBB6D37" w14:textId="5702E3C4" w:rsidR="00927644" w:rsidRPr="00116886" w:rsidRDefault="00D56095" w:rsidP="000649FA">
            <w:pPr>
              <w:pStyle w:val="TableTextLeft"/>
              <w:jc w:val="right"/>
            </w:pPr>
            <w:r>
              <w:t>4.9</w:t>
            </w:r>
          </w:p>
        </w:tc>
        <w:tc>
          <w:tcPr>
            <w:tcW w:w="723" w:type="pct"/>
            <w:tcBorders>
              <w:top w:val="nil"/>
              <w:left w:val="nil"/>
              <w:bottom w:val="single" w:sz="4" w:space="0" w:color="auto"/>
              <w:right w:val="nil"/>
            </w:tcBorders>
            <w:vAlign w:val="center"/>
          </w:tcPr>
          <w:p w14:paraId="1059DA7C" w14:textId="24E8B238" w:rsidR="00927644" w:rsidRPr="00116886" w:rsidRDefault="00927644" w:rsidP="000649FA">
            <w:pPr>
              <w:pStyle w:val="TableTextLeft"/>
              <w:jc w:val="right"/>
            </w:pPr>
            <w:r w:rsidRPr="00116886">
              <w:t>4.</w:t>
            </w:r>
            <w:r w:rsidR="00D56095">
              <w:t>3</w:t>
            </w:r>
          </w:p>
        </w:tc>
        <w:tc>
          <w:tcPr>
            <w:tcW w:w="722" w:type="pct"/>
            <w:tcBorders>
              <w:top w:val="nil"/>
              <w:left w:val="nil"/>
              <w:bottom w:val="single" w:sz="4" w:space="0" w:color="auto"/>
              <w:right w:val="nil"/>
            </w:tcBorders>
            <w:vAlign w:val="center"/>
          </w:tcPr>
          <w:p w14:paraId="621F7221" w14:textId="0E09C3EC" w:rsidR="00927644" w:rsidRPr="00116886" w:rsidRDefault="00927644" w:rsidP="000649FA">
            <w:pPr>
              <w:pStyle w:val="TableTextLeft"/>
              <w:jc w:val="right"/>
            </w:pPr>
            <w:r w:rsidRPr="00116886">
              <w:t>4.</w:t>
            </w:r>
            <w:r w:rsidR="00D56095">
              <w:t>6</w:t>
            </w:r>
          </w:p>
        </w:tc>
      </w:tr>
    </w:tbl>
    <w:p w14:paraId="672C5A54" w14:textId="1C692DBC" w:rsidR="00927644" w:rsidRPr="00116886" w:rsidRDefault="00927644" w:rsidP="00F32E14">
      <w:pPr>
        <w:pStyle w:val="Source"/>
        <w:spacing w:before="0"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2B923996" w14:textId="407A032E" w:rsidR="00927644" w:rsidRPr="00116886" w:rsidRDefault="00927644" w:rsidP="00F32E14">
      <w:pPr>
        <w:pStyle w:val="Source"/>
        <w:spacing w:before="0" w:after="0"/>
      </w:pPr>
      <w:r w:rsidRPr="00116886">
        <w:t xml:space="preserve">Source: </w:t>
      </w:r>
      <w:r w:rsidR="00C930C6">
        <w:rPr>
          <w:noProof/>
        </w:rPr>
        <w:t>Australian Bureau of Statistics, National, state and territory population, March 2022, 2022</w:t>
      </w:r>
      <w:r w:rsidRPr="00116886">
        <w:t xml:space="preserve"> and Centre for Population projections.</w:t>
      </w:r>
    </w:p>
    <w:p w14:paraId="23B7E6A4" w14:textId="31EA6A97" w:rsidR="00927644" w:rsidRPr="00116886" w:rsidRDefault="002C7189" w:rsidP="00927644">
      <w:r>
        <w:t>Forecasts</w:t>
      </w:r>
      <w:r w:rsidRPr="00116886">
        <w:t xml:space="preserve"> in previous Population Statements for the </w:t>
      </w:r>
      <w:r>
        <w:t>3</w:t>
      </w:r>
      <w:r w:rsidRPr="00116886">
        <w:t xml:space="preserve"> most populous greater capital city areas in 2021 were overestimate</w:t>
      </w:r>
      <w:r>
        <w:t>d (</w:t>
      </w:r>
      <w:r w:rsidR="002C2CC1">
        <w:t>Chart 46</w:t>
      </w:r>
      <w:r>
        <w:t>)</w:t>
      </w:r>
      <w:r w:rsidRPr="00116886">
        <w:t>, while all other regions were underestimate</w:t>
      </w:r>
      <w:r>
        <w:t>d</w:t>
      </w:r>
      <w:r w:rsidRPr="00116886">
        <w:t xml:space="preserve">. As expected, the </w:t>
      </w:r>
      <w:r>
        <w:t xml:space="preserve">2021 </w:t>
      </w:r>
      <w:r w:rsidRPr="00116886">
        <w:t xml:space="preserve">Population Statement was more accurate for </w:t>
      </w:r>
      <w:r w:rsidR="00321447">
        <w:t xml:space="preserve">the </w:t>
      </w:r>
      <w:r w:rsidRPr="00116886">
        <w:t>30 June 2021 population</w:t>
      </w:r>
      <w:r w:rsidR="00927644" w:rsidRPr="00116886">
        <w:t>, except for Hobart and marginally for Sydney.</w:t>
      </w:r>
    </w:p>
    <w:p w14:paraId="6E491E3C" w14:textId="773A1EE1" w:rsidR="00927644" w:rsidRDefault="00927644" w:rsidP="001E4102">
      <w:pPr>
        <w:pStyle w:val="Heading9"/>
        <w:ind w:left="964" w:hanging="964"/>
      </w:pPr>
      <w:bookmarkStart w:id="231" w:name="_Ref120633155"/>
      <w:r w:rsidRPr="00116886">
        <w:rPr>
          <w:bCs/>
        </w:rPr>
        <w:t xml:space="preserve">Difference between population </w:t>
      </w:r>
      <w:r w:rsidR="00C36251">
        <w:rPr>
          <w:bCs/>
        </w:rPr>
        <w:t>forecasts</w:t>
      </w:r>
      <w:r w:rsidRPr="00116886">
        <w:rPr>
          <w:bCs/>
        </w:rPr>
        <w:t xml:space="preserve"> and outcomes, by Greater Capital Statistical Areas, 30 June 2021</w:t>
      </w:r>
      <w:bookmarkEnd w:id="231"/>
    </w:p>
    <w:p w14:paraId="7F241922" w14:textId="1F926C03" w:rsidR="009750D3" w:rsidRDefault="00683BBE" w:rsidP="002D0031">
      <w:pPr>
        <w:spacing w:before="0" w:after="0" w:line="252" w:lineRule="auto"/>
      </w:pPr>
      <w:r w:rsidRPr="00683BBE">
        <w:rPr>
          <w:noProof/>
        </w:rPr>
        <w:drawing>
          <wp:inline distT="0" distB="0" distL="0" distR="0" wp14:anchorId="6F1551C8" wp14:editId="6E3AE155">
            <wp:extent cx="5591175" cy="2524125"/>
            <wp:effectExtent l="0" t="0" r="0" b="9525"/>
            <wp:docPr id="105" name="Picture 105" descr="A chart showing that differences between forecasts and outcomes were largest for the rest of Tasmania, the rest of Western Australia, Darwin, Hobart, and Melbourne in the 2020 Population Statement. For the 2021 Population Statement, the largest differences were for Hobart, the rest of Tasmania, the rest of Western Australia, and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hart showing that differences between forecasts and outcomes were largest for the rest of Tasmania, the rest of Western Australia, Darwin, Hobart, and Melbourne in the 2020 Population Statement. For the 2021 Population Statement, the largest differences were for Hobart, the rest of Tasmania, the rest of Western Australia, and Melbourn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1175" cy="2524125"/>
                    </a:xfrm>
                    <a:prstGeom prst="rect">
                      <a:avLst/>
                    </a:prstGeom>
                    <a:noFill/>
                    <a:ln>
                      <a:noFill/>
                    </a:ln>
                  </pic:spPr>
                </pic:pic>
              </a:graphicData>
            </a:graphic>
          </wp:inline>
        </w:drawing>
      </w:r>
    </w:p>
    <w:p w14:paraId="0619C462" w14:textId="50CD3C20" w:rsidR="00927644" w:rsidRPr="00116886" w:rsidRDefault="00FD4155" w:rsidP="00927644">
      <w:pPr>
        <w:pStyle w:val="Source"/>
        <w:rPr>
          <w:color w:val="0563C1"/>
          <w:szCs w:val="18"/>
        </w:rPr>
      </w:pPr>
      <w:r>
        <w:rPr>
          <w:szCs w:val="18"/>
        </w:rPr>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r>
        <w:rPr>
          <w:szCs w:val="18"/>
        </w:rPr>
        <w:br/>
      </w:r>
      <w:r w:rsidR="00927644" w:rsidRPr="00116886">
        <w:rPr>
          <w:szCs w:val="18"/>
        </w:rPr>
        <w:t xml:space="preserve">Source: </w:t>
      </w:r>
      <w:r w:rsidR="00927644" w:rsidRPr="00116886">
        <w:rPr>
          <w:noProof/>
        </w:rPr>
        <w:t>Australian Bureau of Statistics, Regional population, 2021, 2022</w:t>
      </w:r>
      <w:r w:rsidR="00927644" w:rsidRPr="00116886">
        <w:t xml:space="preserve"> and Centre for Population projections.</w:t>
      </w:r>
    </w:p>
    <w:p w14:paraId="3022D0AA" w14:textId="77777777" w:rsidR="00CB2DC9" w:rsidRDefault="00CB2DC9">
      <w:pPr>
        <w:spacing w:before="0" w:after="160" w:line="259" w:lineRule="auto"/>
      </w:pPr>
      <w:bookmarkStart w:id="232" w:name="_Ref117701264"/>
      <w:r>
        <w:br w:type="page"/>
      </w:r>
    </w:p>
    <w:p w14:paraId="35BEE743" w14:textId="126D1441" w:rsidR="002C7189" w:rsidRPr="00116886" w:rsidRDefault="002C7189" w:rsidP="002C7189">
      <w:r>
        <w:lastRenderedPageBreak/>
        <w:t>The largest source of forecast error in population growth for 2020</w:t>
      </w:r>
      <w:r w:rsidR="00321447">
        <w:t>–</w:t>
      </w:r>
      <w:r>
        <w:t>21, as published in the 2021 Population Statement, was net overseas migration (</w:t>
      </w:r>
      <w:r w:rsidR="002C2CC1">
        <w:t>Table 18</w:t>
      </w:r>
      <w:r>
        <w:t xml:space="preserve">). Outcomes for net overseas migration at the national level were higher than forecast, while births and deaths were lower. </w:t>
      </w:r>
    </w:p>
    <w:p w14:paraId="77BAD386" w14:textId="54D7559D" w:rsidR="002C7189" w:rsidRPr="00116886" w:rsidRDefault="002C7189" w:rsidP="002C7189">
      <w:r>
        <w:t xml:space="preserve">At the state level, projections for births had a lower forecast error than projections for deaths, with the notable exception of Victoria. </w:t>
      </w:r>
      <w:r w:rsidRPr="00116886">
        <w:t>Large revisions to quarterly births estimate</w:t>
      </w:r>
      <w:r w:rsidR="00321447">
        <w:t>s</w:t>
      </w:r>
      <w:r>
        <w:t xml:space="preserve"> in Victoria</w:t>
      </w:r>
      <w:r w:rsidRPr="00116886">
        <w:t xml:space="preserve"> from the </w:t>
      </w:r>
      <w:r w:rsidRPr="001E167A">
        <w:t>Australian Bureau of Statistics</w:t>
      </w:r>
      <w:r w:rsidR="00321447">
        <w:t xml:space="preserve"> during this period</w:t>
      </w:r>
      <w:r w:rsidRPr="001E167A" w:rsidDel="001E167A">
        <w:t xml:space="preserve"> </w:t>
      </w:r>
      <w:r>
        <w:t>dominated the forecast error in the state’s population</w:t>
      </w:r>
      <w:r w:rsidRPr="00116886">
        <w:t>.</w:t>
      </w:r>
    </w:p>
    <w:p w14:paraId="1948E3ED" w14:textId="037BCD75" w:rsidR="00927644" w:rsidRPr="00116886" w:rsidRDefault="00927644" w:rsidP="005540BC">
      <w:pPr>
        <w:pStyle w:val="TableMainHeading"/>
      </w:pPr>
      <w:bookmarkStart w:id="233" w:name="_Ref120876198"/>
      <w:r w:rsidRPr="00116886">
        <w:t xml:space="preserve">Difference between 2021 Population Statement component </w:t>
      </w:r>
      <w:r w:rsidR="00C36251">
        <w:t>forecasts</w:t>
      </w:r>
      <w:r w:rsidRPr="00116886">
        <w:t xml:space="preserve"> and outcome, by state, 2020</w:t>
      </w:r>
      <w:r w:rsidR="0033101B">
        <w:t>–</w:t>
      </w:r>
      <w:r w:rsidRPr="00116886">
        <w:t>21</w:t>
      </w:r>
      <w:bookmarkEnd w:id="232"/>
      <w:bookmarkEnd w:id="233"/>
    </w:p>
    <w:tbl>
      <w:tblPr>
        <w:tblStyle w:val="CPOPTable"/>
        <w:tblW w:w="5000" w:type="pct"/>
        <w:tblLook w:val="04A0" w:firstRow="1" w:lastRow="0" w:firstColumn="1" w:lastColumn="0" w:noHBand="0" w:noVBand="1"/>
        <w:tblCaption w:val="Table"/>
      </w:tblPr>
      <w:tblGrid>
        <w:gridCol w:w="2551"/>
        <w:gridCol w:w="1086"/>
        <w:gridCol w:w="1087"/>
        <w:gridCol w:w="1087"/>
        <w:gridCol w:w="1087"/>
        <w:gridCol w:w="1087"/>
        <w:gridCol w:w="1085"/>
      </w:tblGrid>
      <w:tr w:rsidR="00927644" w:rsidRPr="00116886" w14:paraId="48DAAB79" w14:textId="77777777" w:rsidTr="004332DF">
        <w:trPr>
          <w:cnfStyle w:val="100000000000" w:firstRow="1" w:lastRow="0" w:firstColumn="0" w:lastColumn="0" w:oddVBand="0" w:evenVBand="0" w:oddHBand="0" w:evenHBand="0" w:firstRowFirstColumn="0" w:firstRowLastColumn="0" w:lastRowFirstColumn="0" w:lastRowLastColumn="0"/>
        </w:trPr>
        <w:tc>
          <w:tcPr>
            <w:tcW w:w="1407" w:type="pct"/>
          </w:tcPr>
          <w:p w14:paraId="1C5CBD30" w14:textId="77777777" w:rsidR="00927644" w:rsidRPr="00116886" w:rsidRDefault="00927644" w:rsidP="00676947">
            <w:pPr>
              <w:spacing w:after="0"/>
              <w:rPr>
                <w:b/>
                <w:bCs/>
                <w:color w:val="002C47" w:themeColor="accent1"/>
              </w:rPr>
            </w:pPr>
          </w:p>
        </w:tc>
        <w:tc>
          <w:tcPr>
            <w:tcW w:w="599" w:type="pct"/>
          </w:tcPr>
          <w:p w14:paraId="2CD295DB" w14:textId="77777777" w:rsidR="00927644" w:rsidRPr="004332DF" w:rsidRDefault="00927644" w:rsidP="004332DF">
            <w:pPr>
              <w:pStyle w:val="TableColumnHeadingLeft"/>
            </w:pPr>
            <w:r w:rsidRPr="004332DF">
              <w:t>Births</w:t>
            </w:r>
          </w:p>
        </w:tc>
        <w:tc>
          <w:tcPr>
            <w:tcW w:w="599" w:type="pct"/>
          </w:tcPr>
          <w:p w14:paraId="25CBCDF9" w14:textId="77777777" w:rsidR="00927644" w:rsidRPr="004332DF" w:rsidRDefault="00927644" w:rsidP="004332DF">
            <w:pPr>
              <w:pStyle w:val="TableColumnHeadingLeft"/>
            </w:pPr>
          </w:p>
        </w:tc>
        <w:tc>
          <w:tcPr>
            <w:tcW w:w="599" w:type="pct"/>
          </w:tcPr>
          <w:p w14:paraId="16A99403" w14:textId="77777777" w:rsidR="00927644" w:rsidRPr="004332DF" w:rsidRDefault="00927644" w:rsidP="004332DF">
            <w:pPr>
              <w:pStyle w:val="TableColumnHeadingLeft"/>
            </w:pPr>
            <w:r w:rsidRPr="004332DF">
              <w:t>Deaths</w:t>
            </w:r>
          </w:p>
        </w:tc>
        <w:tc>
          <w:tcPr>
            <w:tcW w:w="599" w:type="pct"/>
          </w:tcPr>
          <w:p w14:paraId="02A006AB" w14:textId="77777777" w:rsidR="00927644" w:rsidRPr="004332DF" w:rsidRDefault="00927644" w:rsidP="004332DF">
            <w:pPr>
              <w:pStyle w:val="TableColumnHeadingLeft"/>
            </w:pPr>
          </w:p>
        </w:tc>
        <w:tc>
          <w:tcPr>
            <w:tcW w:w="599" w:type="pct"/>
          </w:tcPr>
          <w:p w14:paraId="502C7DDA" w14:textId="68448C09" w:rsidR="00927644" w:rsidRPr="004332DF" w:rsidRDefault="00927644" w:rsidP="004332DF">
            <w:pPr>
              <w:pStyle w:val="TableColumnHeadingLeft"/>
            </w:pPr>
            <w:r w:rsidRPr="004332DF">
              <w:t>N</w:t>
            </w:r>
            <w:r w:rsidR="009F0818" w:rsidRPr="004332DF">
              <w:t>et overseas migration</w:t>
            </w:r>
          </w:p>
        </w:tc>
        <w:tc>
          <w:tcPr>
            <w:tcW w:w="599" w:type="pct"/>
          </w:tcPr>
          <w:p w14:paraId="55E4E2B9" w14:textId="722F4579" w:rsidR="00927644" w:rsidRPr="004332DF" w:rsidRDefault="00927644" w:rsidP="004332DF">
            <w:pPr>
              <w:pStyle w:val="TableColumnHeadingLeft"/>
            </w:pPr>
            <w:r w:rsidRPr="004332DF">
              <w:t>N</w:t>
            </w:r>
            <w:r w:rsidR="009F0818" w:rsidRPr="004332DF">
              <w:t>et interstate migration</w:t>
            </w:r>
          </w:p>
        </w:tc>
      </w:tr>
      <w:tr w:rsidR="00927644" w:rsidRPr="00116886" w14:paraId="5F20DF37" w14:textId="77777777" w:rsidTr="004332DF">
        <w:tc>
          <w:tcPr>
            <w:tcW w:w="1407" w:type="pct"/>
          </w:tcPr>
          <w:p w14:paraId="07F119C0" w14:textId="77777777" w:rsidR="00927644" w:rsidRPr="000C46CC" w:rsidRDefault="00927644" w:rsidP="00676947">
            <w:pPr>
              <w:spacing w:after="0"/>
              <w:rPr>
                <w:rFonts w:ascii="Calibri" w:eastAsia="Times New Roman" w:hAnsi="Calibri" w:cs="Calibri"/>
                <w:color w:val="002C47"/>
                <w:lang w:eastAsia="en-AU"/>
              </w:rPr>
            </w:pPr>
          </w:p>
        </w:tc>
        <w:tc>
          <w:tcPr>
            <w:tcW w:w="599" w:type="pct"/>
            <w:tcBorders>
              <w:top w:val="nil"/>
              <w:left w:val="nil"/>
              <w:bottom w:val="nil"/>
              <w:right w:val="nil"/>
            </w:tcBorders>
          </w:tcPr>
          <w:p w14:paraId="47759797" w14:textId="77777777" w:rsidR="00927644" w:rsidRPr="004332DF" w:rsidRDefault="00927644" w:rsidP="004332DF">
            <w:pPr>
              <w:pStyle w:val="TableColumnHeadingLeft"/>
            </w:pPr>
            <w:r w:rsidRPr="004332DF">
              <w:t>no.</w:t>
            </w:r>
          </w:p>
        </w:tc>
        <w:tc>
          <w:tcPr>
            <w:tcW w:w="599" w:type="pct"/>
          </w:tcPr>
          <w:p w14:paraId="05456895" w14:textId="77777777" w:rsidR="00927644" w:rsidRPr="004332DF" w:rsidRDefault="00927644" w:rsidP="004332DF">
            <w:pPr>
              <w:pStyle w:val="TableColumnHeadingLeft"/>
            </w:pPr>
            <w:r w:rsidRPr="004332DF">
              <w:t>%</w:t>
            </w:r>
          </w:p>
        </w:tc>
        <w:tc>
          <w:tcPr>
            <w:tcW w:w="599" w:type="pct"/>
          </w:tcPr>
          <w:p w14:paraId="52C9BEBF" w14:textId="77777777" w:rsidR="00927644" w:rsidRPr="004332DF" w:rsidRDefault="00927644" w:rsidP="004332DF">
            <w:pPr>
              <w:pStyle w:val="TableColumnHeadingLeft"/>
            </w:pPr>
            <w:r w:rsidRPr="004332DF">
              <w:t>no.</w:t>
            </w:r>
          </w:p>
        </w:tc>
        <w:tc>
          <w:tcPr>
            <w:tcW w:w="599" w:type="pct"/>
          </w:tcPr>
          <w:p w14:paraId="20A77C15" w14:textId="77777777" w:rsidR="00927644" w:rsidRPr="004332DF" w:rsidRDefault="00927644" w:rsidP="004332DF">
            <w:pPr>
              <w:pStyle w:val="TableColumnHeadingLeft"/>
            </w:pPr>
            <w:r w:rsidRPr="004332DF">
              <w:t>%</w:t>
            </w:r>
          </w:p>
        </w:tc>
        <w:tc>
          <w:tcPr>
            <w:tcW w:w="599" w:type="pct"/>
            <w:tcBorders>
              <w:top w:val="nil"/>
              <w:left w:val="nil"/>
              <w:bottom w:val="nil"/>
              <w:right w:val="nil"/>
            </w:tcBorders>
          </w:tcPr>
          <w:p w14:paraId="544FEB2C" w14:textId="77777777" w:rsidR="00927644" w:rsidRPr="004332DF" w:rsidRDefault="00927644" w:rsidP="004332DF">
            <w:pPr>
              <w:pStyle w:val="TableColumnHeadingLeft"/>
            </w:pPr>
            <w:r w:rsidRPr="004332DF">
              <w:t>no.</w:t>
            </w:r>
          </w:p>
        </w:tc>
        <w:tc>
          <w:tcPr>
            <w:tcW w:w="599" w:type="pct"/>
          </w:tcPr>
          <w:p w14:paraId="18FDE402" w14:textId="77777777" w:rsidR="00927644" w:rsidRPr="004332DF" w:rsidRDefault="00927644" w:rsidP="004332DF">
            <w:pPr>
              <w:pStyle w:val="TableColumnHeadingLeft"/>
            </w:pPr>
            <w:r w:rsidRPr="004332DF">
              <w:t>no.</w:t>
            </w:r>
          </w:p>
        </w:tc>
      </w:tr>
      <w:tr w:rsidR="00927644" w:rsidRPr="00116886" w14:paraId="0AC8E4C8" w14:textId="77777777" w:rsidTr="004332DF">
        <w:tc>
          <w:tcPr>
            <w:tcW w:w="1407" w:type="pct"/>
          </w:tcPr>
          <w:p w14:paraId="0B202D8E" w14:textId="77777777" w:rsidR="00927644" w:rsidRPr="00B86FE8" w:rsidRDefault="00927644" w:rsidP="004332DF">
            <w:pPr>
              <w:pStyle w:val="TableTextLeft"/>
              <w:rPr>
                <w:b/>
                <w:bCs/>
                <w:color w:val="002C47" w:themeColor="accent1"/>
              </w:rPr>
            </w:pPr>
            <w:r w:rsidRPr="00B86FE8">
              <w:rPr>
                <w:b/>
                <w:bCs/>
                <w:color w:val="002C47" w:themeColor="accent1"/>
              </w:rPr>
              <w:t>Australia</w:t>
            </w:r>
          </w:p>
        </w:tc>
        <w:tc>
          <w:tcPr>
            <w:tcW w:w="599" w:type="pct"/>
            <w:tcBorders>
              <w:top w:val="nil"/>
              <w:left w:val="nil"/>
              <w:bottom w:val="nil"/>
              <w:right w:val="nil"/>
            </w:tcBorders>
            <w:vAlign w:val="center"/>
          </w:tcPr>
          <w:p w14:paraId="6C805BA1" w14:textId="636359D0" w:rsidR="00927644" w:rsidRPr="004332DF" w:rsidRDefault="000018AE" w:rsidP="000649FA">
            <w:pPr>
              <w:pStyle w:val="TableTextLeft"/>
              <w:jc w:val="right"/>
              <w:rPr>
                <w:b/>
                <w:bCs/>
              </w:rPr>
            </w:pPr>
            <w:r w:rsidRPr="004332DF">
              <w:rPr>
                <w:b/>
                <w:bCs/>
              </w:rPr>
              <w:t>-</w:t>
            </w:r>
            <w:r w:rsidR="00927644" w:rsidRPr="004332DF">
              <w:rPr>
                <w:b/>
                <w:bCs/>
              </w:rPr>
              <w:t>2,842</w:t>
            </w:r>
          </w:p>
        </w:tc>
        <w:tc>
          <w:tcPr>
            <w:tcW w:w="599" w:type="pct"/>
            <w:vAlign w:val="center"/>
          </w:tcPr>
          <w:p w14:paraId="13480E6D" w14:textId="757975F9" w:rsidR="00927644" w:rsidRPr="004332DF" w:rsidRDefault="000018AE" w:rsidP="000649FA">
            <w:pPr>
              <w:pStyle w:val="TableTextLeft"/>
              <w:jc w:val="right"/>
              <w:rPr>
                <w:b/>
                <w:bCs/>
              </w:rPr>
            </w:pPr>
            <w:r w:rsidRPr="004332DF">
              <w:rPr>
                <w:b/>
                <w:bCs/>
              </w:rPr>
              <w:t>-</w:t>
            </w:r>
            <w:r w:rsidR="00927644" w:rsidRPr="004332DF">
              <w:rPr>
                <w:b/>
                <w:bCs/>
              </w:rPr>
              <w:t>0.9</w:t>
            </w:r>
          </w:p>
        </w:tc>
        <w:tc>
          <w:tcPr>
            <w:tcW w:w="599" w:type="pct"/>
            <w:vAlign w:val="center"/>
          </w:tcPr>
          <w:p w14:paraId="4E5E2478" w14:textId="4FAFC37F" w:rsidR="00927644" w:rsidRPr="004332DF" w:rsidRDefault="000018AE" w:rsidP="000649FA">
            <w:pPr>
              <w:pStyle w:val="TableTextLeft"/>
              <w:jc w:val="right"/>
              <w:rPr>
                <w:b/>
                <w:bCs/>
              </w:rPr>
            </w:pPr>
            <w:r w:rsidRPr="004332DF">
              <w:rPr>
                <w:b/>
                <w:bCs/>
              </w:rPr>
              <w:t>-</w:t>
            </w:r>
            <w:r w:rsidR="00927644" w:rsidRPr="004332DF">
              <w:rPr>
                <w:b/>
                <w:bCs/>
              </w:rPr>
              <w:t>6,551</w:t>
            </w:r>
          </w:p>
        </w:tc>
        <w:tc>
          <w:tcPr>
            <w:tcW w:w="599" w:type="pct"/>
            <w:vAlign w:val="center"/>
          </w:tcPr>
          <w:p w14:paraId="0CA9E444" w14:textId="248D2ABE" w:rsidR="00927644" w:rsidRPr="004332DF" w:rsidRDefault="000018AE" w:rsidP="000649FA">
            <w:pPr>
              <w:pStyle w:val="TableTextLeft"/>
              <w:jc w:val="right"/>
              <w:rPr>
                <w:b/>
                <w:bCs/>
              </w:rPr>
            </w:pPr>
            <w:r w:rsidRPr="004332DF">
              <w:rPr>
                <w:b/>
                <w:bCs/>
              </w:rPr>
              <w:t>-</w:t>
            </w:r>
            <w:r w:rsidR="00FD4155" w:rsidRPr="004332DF">
              <w:rPr>
                <w:b/>
                <w:bCs/>
              </w:rPr>
              <w:t>4.0</w:t>
            </w:r>
          </w:p>
        </w:tc>
        <w:tc>
          <w:tcPr>
            <w:tcW w:w="599" w:type="pct"/>
            <w:tcBorders>
              <w:top w:val="nil"/>
              <w:left w:val="nil"/>
              <w:bottom w:val="nil"/>
              <w:right w:val="nil"/>
            </w:tcBorders>
            <w:vAlign w:val="center"/>
          </w:tcPr>
          <w:p w14:paraId="6CA6C1EB" w14:textId="77777777" w:rsidR="00927644" w:rsidRPr="004332DF" w:rsidRDefault="00927644" w:rsidP="000649FA">
            <w:pPr>
              <w:pStyle w:val="TableTextLeft"/>
              <w:jc w:val="right"/>
              <w:rPr>
                <w:b/>
                <w:bCs/>
              </w:rPr>
            </w:pPr>
            <w:r w:rsidRPr="004332DF">
              <w:rPr>
                <w:b/>
                <w:bCs/>
              </w:rPr>
              <w:t>15,662</w:t>
            </w:r>
          </w:p>
        </w:tc>
        <w:tc>
          <w:tcPr>
            <w:tcW w:w="599" w:type="pct"/>
            <w:vAlign w:val="center"/>
          </w:tcPr>
          <w:p w14:paraId="546A3D92" w14:textId="04CA81FA" w:rsidR="00927644" w:rsidRPr="004332DF" w:rsidRDefault="0033101B" w:rsidP="000649FA">
            <w:pPr>
              <w:pStyle w:val="TableTextLeft"/>
              <w:jc w:val="right"/>
              <w:rPr>
                <w:b/>
                <w:bCs/>
              </w:rPr>
            </w:pPr>
            <w:r w:rsidRPr="004332DF">
              <w:rPr>
                <w:b/>
                <w:bCs/>
              </w:rPr>
              <w:t>–</w:t>
            </w:r>
          </w:p>
        </w:tc>
      </w:tr>
      <w:tr w:rsidR="00927644" w:rsidRPr="00116886" w14:paraId="533BB280" w14:textId="77777777" w:rsidTr="004332DF">
        <w:tc>
          <w:tcPr>
            <w:tcW w:w="1407" w:type="pct"/>
          </w:tcPr>
          <w:p w14:paraId="57FD7EDB" w14:textId="77777777" w:rsidR="00927644" w:rsidRPr="00B86FE8" w:rsidRDefault="00927644" w:rsidP="004332DF">
            <w:pPr>
              <w:pStyle w:val="TableTextLeft"/>
              <w:rPr>
                <w:color w:val="002C47" w:themeColor="accent1"/>
              </w:rPr>
            </w:pPr>
            <w:r w:rsidRPr="00B86FE8">
              <w:rPr>
                <w:color w:val="002C47" w:themeColor="accent1"/>
              </w:rPr>
              <w:t>New South Wales</w:t>
            </w:r>
          </w:p>
        </w:tc>
        <w:tc>
          <w:tcPr>
            <w:tcW w:w="599" w:type="pct"/>
            <w:tcBorders>
              <w:top w:val="nil"/>
              <w:left w:val="nil"/>
              <w:bottom w:val="nil"/>
              <w:right w:val="nil"/>
            </w:tcBorders>
            <w:vAlign w:val="center"/>
          </w:tcPr>
          <w:p w14:paraId="32F88C39" w14:textId="67E8F95B" w:rsidR="00927644" w:rsidRPr="000C46CC" w:rsidRDefault="000018AE" w:rsidP="000649FA">
            <w:pPr>
              <w:pStyle w:val="TableTextLeft"/>
              <w:jc w:val="right"/>
            </w:pPr>
            <w:r w:rsidRPr="000C46CC">
              <w:t>-</w:t>
            </w:r>
            <w:r w:rsidR="00927644" w:rsidRPr="000C46CC">
              <w:t>919</w:t>
            </w:r>
          </w:p>
        </w:tc>
        <w:tc>
          <w:tcPr>
            <w:tcW w:w="599" w:type="pct"/>
            <w:tcBorders>
              <w:top w:val="nil"/>
              <w:left w:val="nil"/>
              <w:bottom w:val="nil"/>
              <w:right w:val="nil"/>
            </w:tcBorders>
            <w:vAlign w:val="center"/>
          </w:tcPr>
          <w:p w14:paraId="0428396F" w14:textId="6FB31855" w:rsidR="00927644" w:rsidRPr="000C46CC" w:rsidRDefault="000018AE" w:rsidP="000649FA">
            <w:pPr>
              <w:pStyle w:val="TableTextLeft"/>
              <w:jc w:val="right"/>
            </w:pPr>
            <w:r w:rsidRPr="000C46CC">
              <w:t>-</w:t>
            </w:r>
            <w:r w:rsidR="00927644" w:rsidRPr="000C46CC">
              <w:t>0.9</w:t>
            </w:r>
          </w:p>
        </w:tc>
        <w:tc>
          <w:tcPr>
            <w:tcW w:w="599" w:type="pct"/>
            <w:tcBorders>
              <w:top w:val="nil"/>
              <w:left w:val="nil"/>
              <w:bottom w:val="nil"/>
              <w:right w:val="nil"/>
            </w:tcBorders>
            <w:vAlign w:val="center"/>
          </w:tcPr>
          <w:p w14:paraId="162FF8D2" w14:textId="44B973E2" w:rsidR="00927644" w:rsidRPr="000C46CC" w:rsidRDefault="000018AE" w:rsidP="000649FA">
            <w:pPr>
              <w:pStyle w:val="TableTextLeft"/>
              <w:jc w:val="right"/>
            </w:pPr>
            <w:r w:rsidRPr="000C46CC">
              <w:t>-</w:t>
            </w:r>
            <w:r w:rsidR="00927644" w:rsidRPr="000C46CC">
              <w:t>3,060</w:t>
            </w:r>
          </w:p>
        </w:tc>
        <w:tc>
          <w:tcPr>
            <w:tcW w:w="599" w:type="pct"/>
            <w:tcBorders>
              <w:top w:val="nil"/>
              <w:left w:val="nil"/>
              <w:bottom w:val="nil"/>
              <w:right w:val="nil"/>
            </w:tcBorders>
            <w:vAlign w:val="center"/>
          </w:tcPr>
          <w:p w14:paraId="49694B2F" w14:textId="4ADE8817" w:rsidR="00927644" w:rsidRPr="000C46CC" w:rsidRDefault="000018AE" w:rsidP="000649FA">
            <w:pPr>
              <w:pStyle w:val="TableTextLeft"/>
              <w:jc w:val="right"/>
            </w:pPr>
            <w:r w:rsidRPr="000C46CC">
              <w:t>-</w:t>
            </w:r>
            <w:r w:rsidR="00927644" w:rsidRPr="000C46CC">
              <w:t>5.</w:t>
            </w:r>
            <w:r w:rsidR="00FD4155" w:rsidRPr="000C46CC">
              <w:t>6</w:t>
            </w:r>
          </w:p>
        </w:tc>
        <w:tc>
          <w:tcPr>
            <w:tcW w:w="599" w:type="pct"/>
            <w:tcBorders>
              <w:top w:val="nil"/>
              <w:left w:val="nil"/>
              <w:bottom w:val="nil"/>
              <w:right w:val="nil"/>
            </w:tcBorders>
            <w:vAlign w:val="center"/>
          </w:tcPr>
          <w:p w14:paraId="67761B12" w14:textId="77777777" w:rsidR="00927644" w:rsidRPr="000C46CC" w:rsidRDefault="00927644" w:rsidP="000649FA">
            <w:pPr>
              <w:pStyle w:val="TableTextLeft"/>
              <w:jc w:val="right"/>
            </w:pPr>
            <w:r w:rsidRPr="000C46CC">
              <w:t>9,463</w:t>
            </w:r>
          </w:p>
        </w:tc>
        <w:tc>
          <w:tcPr>
            <w:tcW w:w="599" w:type="pct"/>
            <w:tcBorders>
              <w:top w:val="nil"/>
              <w:left w:val="nil"/>
              <w:bottom w:val="nil"/>
              <w:right w:val="nil"/>
            </w:tcBorders>
            <w:vAlign w:val="center"/>
          </w:tcPr>
          <w:p w14:paraId="38F968F1" w14:textId="77777777" w:rsidR="00927644" w:rsidRPr="000C46CC" w:rsidRDefault="00927644" w:rsidP="000649FA">
            <w:pPr>
              <w:pStyle w:val="TableTextLeft"/>
              <w:jc w:val="right"/>
            </w:pPr>
            <w:r w:rsidRPr="000C46CC">
              <w:t>5,782</w:t>
            </w:r>
          </w:p>
        </w:tc>
      </w:tr>
      <w:tr w:rsidR="00927644" w:rsidRPr="00116886" w14:paraId="77741D16" w14:textId="77777777" w:rsidTr="004332DF">
        <w:tc>
          <w:tcPr>
            <w:tcW w:w="1407" w:type="pct"/>
          </w:tcPr>
          <w:p w14:paraId="343BC73F" w14:textId="77777777" w:rsidR="00927644" w:rsidRPr="00B86FE8" w:rsidRDefault="00927644" w:rsidP="004332DF">
            <w:pPr>
              <w:pStyle w:val="TableTextLeft"/>
              <w:rPr>
                <w:color w:val="002C47" w:themeColor="accent1"/>
              </w:rPr>
            </w:pPr>
            <w:r w:rsidRPr="00B86FE8">
              <w:rPr>
                <w:color w:val="002C47" w:themeColor="accent1"/>
              </w:rPr>
              <w:t>Victoria</w:t>
            </w:r>
          </w:p>
        </w:tc>
        <w:tc>
          <w:tcPr>
            <w:tcW w:w="599" w:type="pct"/>
            <w:tcBorders>
              <w:top w:val="nil"/>
              <w:left w:val="nil"/>
              <w:bottom w:val="nil"/>
              <w:right w:val="nil"/>
            </w:tcBorders>
            <w:vAlign w:val="center"/>
          </w:tcPr>
          <w:p w14:paraId="74578131" w14:textId="16293CFC" w:rsidR="00927644" w:rsidRPr="000C46CC" w:rsidRDefault="000018AE" w:rsidP="000649FA">
            <w:pPr>
              <w:pStyle w:val="TableTextLeft"/>
              <w:jc w:val="right"/>
            </w:pPr>
            <w:r w:rsidRPr="000C46CC">
              <w:t>-</w:t>
            </w:r>
            <w:r w:rsidR="00927644" w:rsidRPr="000C46CC">
              <w:t>2,686</w:t>
            </w:r>
          </w:p>
        </w:tc>
        <w:tc>
          <w:tcPr>
            <w:tcW w:w="599" w:type="pct"/>
            <w:tcBorders>
              <w:top w:val="nil"/>
              <w:left w:val="nil"/>
              <w:bottom w:val="nil"/>
              <w:right w:val="nil"/>
            </w:tcBorders>
            <w:vAlign w:val="center"/>
          </w:tcPr>
          <w:p w14:paraId="5C0435AD" w14:textId="73A84346" w:rsidR="00927644" w:rsidRPr="000C46CC" w:rsidRDefault="000018AE" w:rsidP="000649FA">
            <w:pPr>
              <w:pStyle w:val="TableTextLeft"/>
              <w:jc w:val="right"/>
            </w:pPr>
            <w:r w:rsidRPr="000C46CC">
              <w:t>-</w:t>
            </w:r>
            <w:r w:rsidR="00927644" w:rsidRPr="000C46CC">
              <w:t>3.</w:t>
            </w:r>
            <w:r w:rsidR="00FD4155" w:rsidRPr="000C46CC">
              <w:t>5</w:t>
            </w:r>
          </w:p>
        </w:tc>
        <w:tc>
          <w:tcPr>
            <w:tcW w:w="599" w:type="pct"/>
            <w:tcBorders>
              <w:top w:val="nil"/>
              <w:left w:val="nil"/>
              <w:bottom w:val="nil"/>
              <w:right w:val="nil"/>
            </w:tcBorders>
            <w:vAlign w:val="center"/>
          </w:tcPr>
          <w:p w14:paraId="288C17DF" w14:textId="18373225" w:rsidR="00927644" w:rsidRPr="000C46CC" w:rsidRDefault="000018AE" w:rsidP="000649FA">
            <w:pPr>
              <w:pStyle w:val="TableTextLeft"/>
              <w:jc w:val="right"/>
            </w:pPr>
            <w:r w:rsidRPr="000C46CC">
              <w:t>-</w:t>
            </w:r>
            <w:r w:rsidR="00927644" w:rsidRPr="000C46CC">
              <w:t>589</w:t>
            </w:r>
          </w:p>
        </w:tc>
        <w:tc>
          <w:tcPr>
            <w:tcW w:w="599" w:type="pct"/>
            <w:tcBorders>
              <w:top w:val="nil"/>
              <w:left w:val="nil"/>
              <w:bottom w:val="nil"/>
              <w:right w:val="nil"/>
            </w:tcBorders>
            <w:vAlign w:val="center"/>
          </w:tcPr>
          <w:p w14:paraId="217CA0AD" w14:textId="188B6E51" w:rsidR="00927644" w:rsidRPr="000C46CC" w:rsidRDefault="000018AE" w:rsidP="000649FA">
            <w:pPr>
              <w:pStyle w:val="TableTextLeft"/>
              <w:jc w:val="right"/>
            </w:pPr>
            <w:r w:rsidRPr="000C46CC">
              <w:t>-</w:t>
            </w:r>
            <w:r w:rsidR="00927644" w:rsidRPr="000C46CC">
              <w:t>1.4</w:t>
            </w:r>
          </w:p>
        </w:tc>
        <w:tc>
          <w:tcPr>
            <w:tcW w:w="599" w:type="pct"/>
            <w:tcBorders>
              <w:top w:val="nil"/>
              <w:left w:val="nil"/>
              <w:bottom w:val="nil"/>
              <w:right w:val="nil"/>
            </w:tcBorders>
            <w:vAlign w:val="center"/>
          </w:tcPr>
          <w:p w14:paraId="452CDE72" w14:textId="77777777" w:rsidR="00927644" w:rsidRPr="000C46CC" w:rsidRDefault="00927644" w:rsidP="000649FA">
            <w:pPr>
              <w:pStyle w:val="TableTextLeft"/>
              <w:jc w:val="right"/>
            </w:pPr>
            <w:r w:rsidRPr="000C46CC">
              <w:t>1,941</w:t>
            </w:r>
          </w:p>
        </w:tc>
        <w:tc>
          <w:tcPr>
            <w:tcW w:w="599" w:type="pct"/>
            <w:tcBorders>
              <w:top w:val="nil"/>
              <w:left w:val="nil"/>
              <w:bottom w:val="nil"/>
              <w:right w:val="nil"/>
            </w:tcBorders>
            <w:vAlign w:val="center"/>
          </w:tcPr>
          <w:p w14:paraId="655E8DD5" w14:textId="3813C7BB" w:rsidR="00927644" w:rsidRPr="000C46CC" w:rsidRDefault="000018AE" w:rsidP="000649FA">
            <w:pPr>
              <w:pStyle w:val="TableTextLeft"/>
              <w:jc w:val="right"/>
            </w:pPr>
            <w:r w:rsidRPr="000C46CC">
              <w:t>-</w:t>
            </w:r>
            <w:r w:rsidR="00927644" w:rsidRPr="000C46CC">
              <w:t>1,289</w:t>
            </w:r>
          </w:p>
        </w:tc>
      </w:tr>
      <w:tr w:rsidR="00927644" w:rsidRPr="00116886" w14:paraId="2B6EBD2E" w14:textId="77777777" w:rsidTr="004332DF">
        <w:tc>
          <w:tcPr>
            <w:tcW w:w="1407" w:type="pct"/>
          </w:tcPr>
          <w:p w14:paraId="3C8CC6BC" w14:textId="77777777" w:rsidR="00927644" w:rsidRPr="00B86FE8" w:rsidRDefault="00927644" w:rsidP="004332DF">
            <w:pPr>
              <w:pStyle w:val="TableTextLeft"/>
              <w:rPr>
                <w:color w:val="002C47" w:themeColor="accent1"/>
              </w:rPr>
            </w:pPr>
            <w:r w:rsidRPr="00B86FE8">
              <w:rPr>
                <w:color w:val="002C47" w:themeColor="accent1"/>
              </w:rPr>
              <w:t>Queensland</w:t>
            </w:r>
          </w:p>
        </w:tc>
        <w:tc>
          <w:tcPr>
            <w:tcW w:w="599" w:type="pct"/>
            <w:tcBorders>
              <w:top w:val="nil"/>
              <w:left w:val="nil"/>
              <w:bottom w:val="nil"/>
              <w:right w:val="nil"/>
            </w:tcBorders>
            <w:vAlign w:val="center"/>
          </w:tcPr>
          <w:p w14:paraId="7FB0E9F1" w14:textId="77777777" w:rsidR="00927644" w:rsidRPr="000C46CC" w:rsidRDefault="00927644" w:rsidP="000649FA">
            <w:pPr>
              <w:pStyle w:val="TableTextLeft"/>
              <w:jc w:val="right"/>
            </w:pPr>
            <w:r w:rsidRPr="000C46CC">
              <w:t>82</w:t>
            </w:r>
          </w:p>
        </w:tc>
        <w:tc>
          <w:tcPr>
            <w:tcW w:w="599" w:type="pct"/>
            <w:tcBorders>
              <w:top w:val="nil"/>
              <w:left w:val="nil"/>
              <w:bottom w:val="nil"/>
              <w:right w:val="nil"/>
            </w:tcBorders>
            <w:vAlign w:val="center"/>
          </w:tcPr>
          <w:p w14:paraId="410BC5FA" w14:textId="77777777" w:rsidR="00927644" w:rsidRPr="000C46CC" w:rsidRDefault="00927644" w:rsidP="000649FA">
            <w:pPr>
              <w:pStyle w:val="TableTextLeft"/>
              <w:jc w:val="right"/>
            </w:pPr>
            <w:r w:rsidRPr="000C46CC">
              <w:t>0.1</w:t>
            </w:r>
          </w:p>
        </w:tc>
        <w:tc>
          <w:tcPr>
            <w:tcW w:w="599" w:type="pct"/>
            <w:tcBorders>
              <w:top w:val="nil"/>
              <w:left w:val="nil"/>
              <w:bottom w:val="nil"/>
              <w:right w:val="nil"/>
            </w:tcBorders>
            <w:vAlign w:val="center"/>
          </w:tcPr>
          <w:p w14:paraId="7BB6D25F" w14:textId="69E23483" w:rsidR="00927644" w:rsidRPr="000C46CC" w:rsidRDefault="000018AE" w:rsidP="000649FA">
            <w:pPr>
              <w:pStyle w:val="TableTextLeft"/>
              <w:jc w:val="right"/>
            </w:pPr>
            <w:r w:rsidRPr="000C46CC">
              <w:t>-</w:t>
            </w:r>
            <w:r w:rsidR="00927644" w:rsidRPr="000C46CC">
              <w:t>1,246</w:t>
            </w:r>
          </w:p>
        </w:tc>
        <w:tc>
          <w:tcPr>
            <w:tcW w:w="599" w:type="pct"/>
            <w:tcBorders>
              <w:top w:val="nil"/>
              <w:left w:val="nil"/>
              <w:bottom w:val="nil"/>
              <w:right w:val="nil"/>
            </w:tcBorders>
            <w:vAlign w:val="center"/>
          </w:tcPr>
          <w:p w14:paraId="2FB17C73" w14:textId="6499E8A8" w:rsidR="00927644" w:rsidRPr="000C46CC" w:rsidRDefault="000018AE" w:rsidP="000649FA">
            <w:pPr>
              <w:pStyle w:val="TableTextLeft"/>
              <w:jc w:val="right"/>
            </w:pPr>
            <w:r w:rsidRPr="000C46CC">
              <w:t>-</w:t>
            </w:r>
            <w:r w:rsidR="00927644" w:rsidRPr="000C46CC">
              <w:t>3.</w:t>
            </w:r>
            <w:r w:rsidR="00FD4155" w:rsidRPr="000C46CC">
              <w:t>8</w:t>
            </w:r>
          </w:p>
        </w:tc>
        <w:tc>
          <w:tcPr>
            <w:tcW w:w="599" w:type="pct"/>
            <w:tcBorders>
              <w:top w:val="nil"/>
              <w:left w:val="nil"/>
              <w:bottom w:val="nil"/>
              <w:right w:val="nil"/>
            </w:tcBorders>
            <w:vAlign w:val="center"/>
          </w:tcPr>
          <w:p w14:paraId="47001E05" w14:textId="77777777" w:rsidR="00927644" w:rsidRPr="000C46CC" w:rsidRDefault="00927644" w:rsidP="000649FA">
            <w:pPr>
              <w:pStyle w:val="TableTextLeft"/>
              <w:jc w:val="right"/>
            </w:pPr>
            <w:r w:rsidRPr="000C46CC">
              <w:t>3,240</w:t>
            </w:r>
          </w:p>
        </w:tc>
        <w:tc>
          <w:tcPr>
            <w:tcW w:w="599" w:type="pct"/>
            <w:tcBorders>
              <w:top w:val="nil"/>
              <w:left w:val="nil"/>
              <w:bottom w:val="nil"/>
              <w:right w:val="nil"/>
            </w:tcBorders>
            <w:vAlign w:val="center"/>
          </w:tcPr>
          <w:p w14:paraId="6A8C8247" w14:textId="3978161F" w:rsidR="00927644" w:rsidRPr="000C46CC" w:rsidRDefault="000018AE" w:rsidP="000649FA">
            <w:pPr>
              <w:pStyle w:val="TableTextLeft"/>
              <w:jc w:val="right"/>
            </w:pPr>
            <w:r w:rsidRPr="000C46CC">
              <w:t>-</w:t>
            </w:r>
            <w:r w:rsidR="00927644" w:rsidRPr="000C46CC">
              <w:t>774</w:t>
            </w:r>
          </w:p>
        </w:tc>
      </w:tr>
      <w:tr w:rsidR="00927644" w:rsidRPr="00116886" w14:paraId="2B812AA3" w14:textId="77777777" w:rsidTr="004332DF">
        <w:tc>
          <w:tcPr>
            <w:tcW w:w="1407" w:type="pct"/>
          </w:tcPr>
          <w:p w14:paraId="525C49F4" w14:textId="77777777" w:rsidR="00927644" w:rsidRPr="00B86FE8" w:rsidRDefault="00927644" w:rsidP="004332DF">
            <w:pPr>
              <w:pStyle w:val="TableTextLeft"/>
              <w:rPr>
                <w:color w:val="002C47" w:themeColor="accent1"/>
              </w:rPr>
            </w:pPr>
            <w:r w:rsidRPr="00B86FE8">
              <w:rPr>
                <w:color w:val="002C47" w:themeColor="accent1"/>
              </w:rPr>
              <w:t>South Australia</w:t>
            </w:r>
          </w:p>
        </w:tc>
        <w:tc>
          <w:tcPr>
            <w:tcW w:w="599" w:type="pct"/>
            <w:tcBorders>
              <w:top w:val="nil"/>
              <w:left w:val="nil"/>
              <w:bottom w:val="nil"/>
              <w:right w:val="nil"/>
            </w:tcBorders>
            <w:vAlign w:val="center"/>
          </w:tcPr>
          <w:p w14:paraId="398DF0FB" w14:textId="77777777" w:rsidR="00927644" w:rsidRPr="000C46CC" w:rsidRDefault="00927644" w:rsidP="000649FA">
            <w:pPr>
              <w:pStyle w:val="TableTextLeft"/>
              <w:jc w:val="right"/>
            </w:pPr>
            <w:r w:rsidRPr="000C46CC">
              <w:t>44</w:t>
            </w:r>
          </w:p>
        </w:tc>
        <w:tc>
          <w:tcPr>
            <w:tcW w:w="599" w:type="pct"/>
            <w:tcBorders>
              <w:top w:val="nil"/>
              <w:left w:val="nil"/>
              <w:bottom w:val="nil"/>
              <w:right w:val="nil"/>
            </w:tcBorders>
            <w:vAlign w:val="center"/>
          </w:tcPr>
          <w:p w14:paraId="156290C6" w14:textId="77777777" w:rsidR="00927644" w:rsidRPr="000C46CC" w:rsidRDefault="00927644" w:rsidP="000649FA">
            <w:pPr>
              <w:pStyle w:val="TableTextLeft"/>
              <w:jc w:val="right"/>
            </w:pPr>
            <w:r w:rsidRPr="000C46CC">
              <w:t>0.2</w:t>
            </w:r>
          </w:p>
        </w:tc>
        <w:tc>
          <w:tcPr>
            <w:tcW w:w="599" w:type="pct"/>
            <w:tcBorders>
              <w:top w:val="nil"/>
              <w:left w:val="nil"/>
              <w:bottom w:val="nil"/>
              <w:right w:val="nil"/>
            </w:tcBorders>
            <w:vAlign w:val="center"/>
          </w:tcPr>
          <w:p w14:paraId="0158A944" w14:textId="4EF57BD4" w:rsidR="00927644" w:rsidRPr="000C46CC" w:rsidRDefault="000018AE" w:rsidP="000649FA">
            <w:pPr>
              <w:pStyle w:val="TableTextLeft"/>
              <w:jc w:val="right"/>
            </w:pPr>
            <w:r w:rsidRPr="000C46CC">
              <w:t>-</w:t>
            </w:r>
            <w:r w:rsidR="00927644" w:rsidRPr="000C46CC">
              <w:t>706</w:t>
            </w:r>
          </w:p>
        </w:tc>
        <w:tc>
          <w:tcPr>
            <w:tcW w:w="599" w:type="pct"/>
            <w:tcBorders>
              <w:top w:val="nil"/>
              <w:left w:val="nil"/>
              <w:bottom w:val="nil"/>
              <w:right w:val="nil"/>
            </w:tcBorders>
            <w:vAlign w:val="center"/>
          </w:tcPr>
          <w:p w14:paraId="4162450F" w14:textId="7F7F59BB" w:rsidR="00927644" w:rsidRPr="000C46CC" w:rsidRDefault="000018AE" w:rsidP="000649FA">
            <w:pPr>
              <w:pStyle w:val="TableTextLeft"/>
              <w:jc w:val="right"/>
            </w:pPr>
            <w:r w:rsidRPr="000C46CC">
              <w:t>-</w:t>
            </w:r>
            <w:r w:rsidR="00FD4155" w:rsidRPr="000C46CC">
              <w:t>5.1</w:t>
            </w:r>
          </w:p>
        </w:tc>
        <w:tc>
          <w:tcPr>
            <w:tcW w:w="599" w:type="pct"/>
            <w:tcBorders>
              <w:top w:val="nil"/>
              <w:left w:val="nil"/>
              <w:bottom w:val="nil"/>
              <w:right w:val="nil"/>
            </w:tcBorders>
            <w:vAlign w:val="center"/>
          </w:tcPr>
          <w:p w14:paraId="7200227E" w14:textId="77777777" w:rsidR="00927644" w:rsidRPr="000C46CC" w:rsidRDefault="00927644" w:rsidP="000649FA">
            <w:pPr>
              <w:pStyle w:val="TableTextLeft"/>
              <w:jc w:val="right"/>
            </w:pPr>
            <w:r w:rsidRPr="000C46CC">
              <w:t>279</w:t>
            </w:r>
          </w:p>
        </w:tc>
        <w:tc>
          <w:tcPr>
            <w:tcW w:w="599" w:type="pct"/>
            <w:tcBorders>
              <w:top w:val="nil"/>
              <w:left w:val="nil"/>
              <w:bottom w:val="nil"/>
              <w:right w:val="nil"/>
            </w:tcBorders>
            <w:vAlign w:val="center"/>
          </w:tcPr>
          <w:p w14:paraId="0A384379" w14:textId="17A8F026" w:rsidR="00927644" w:rsidRPr="000C46CC" w:rsidRDefault="000018AE" w:rsidP="000649FA">
            <w:pPr>
              <w:pStyle w:val="TableTextLeft"/>
              <w:jc w:val="right"/>
            </w:pPr>
            <w:r w:rsidRPr="000C46CC">
              <w:t>-</w:t>
            </w:r>
            <w:r w:rsidR="00927644" w:rsidRPr="000C46CC">
              <w:t>618</w:t>
            </w:r>
          </w:p>
        </w:tc>
      </w:tr>
      <w:tr w:rsidR="00927644" w:rsidRPr="00116886" w14:paraId="62A6D315" w14:textId="77777777" w:rsidTr="004332DF">
        <w:tc>
          <w:tcPr>
            <w:tcW w:w="1407" w:type="pct"/>
          </w:tcPr>
          <w:p w14:paraId="154D731A" w14:textId="77777777" w:rsidR="00927644" w:rsidRPr="00B86FE8" w:rsidRDefault="00927644" w:rsidP="004332DF">
            <w:pPr>
              <w:pStyle w:val="TableTextLeft"/>
              <w:rPr>
                <w:color w:val="002C47" w:themeColor="accent1"/>
              </w:rPr>
            </w:pPr>
            <w:r w:rsidRPr="00B86FE8">
              <w:rPr>
                <w:color w:val="002C47" w:themeColor="accent1"/>
              </w:rPr>
              <w:t>Western Australia</w:t>
            </w:r>
          </w:p>
        </w:tc>
        <w:tc>
          <w:tcPr>
            <w:tcW w:w="599" w:type="pct"/>
            <w:tcBorders>
              <w:top w:val="nil"/>
              <w:left w:val="nil"/>
              <w:bottom w:val="nil"/>
              <w:right w:val="nil"/>
            </w:tcBorders>
            <w:vAlign w:val="center"/>
          </w:tcPr>
          <w:p w14:paraId="574575A6" w14:textId="77777777" w:rsidR="00927644" w:rsidRPr="000C46CC" w:rsidRDefault="00927644" w:rsidP="000649FA">
            <w:pPr>
              <w:pStyle w:val="TableTextLeft"/>
              <w:jc w:val="right"/>
            </w:pPr>
            <w:r w:rsidRPr="000C46CC">
              <w:t>252</w:t>
            </w:r>
          </w:p>
        </w:tc>
        <w:tc>
          <w:tcPr>
            <w:tcW w:w="599" w:type="pct"/>
            <w:tcBorders>
              <w:top w:val="nil"/>
              <w:left w:val="nil"/>
              <w:bottom w:val="nil"/>
              <w:right w:val="nil"/>
            </w:tcBorders>
            <w:vAlign w:val="center"/>
          </w:tcPr>
          <w:p w14:paraId="1EBF4CE7" w14:textId="77777777" w:rsidR="00927644" w:rsidRPr="000C46CC" w:rsidRDefault="00927644" w:rsidP="000649FA">
            <w:pPr>
              <w:pStyle w:val="TableTextLeft"/>
              <w:jc w:val="right"/>
            </w:pPr>
            <w:r w:rsidRPr="000C46CC">
              <w:t>0.8</w:t>
            </w:r>
          </w:p>
        </w:tc>
        <w:tc>
          <w:tcPr>
            <w:tcW w:w="599" w:type="pct"/>
            <w:tcBorders>
              <w:top w:val="nil"/>
              <w:left w:val="nil"/>
              <w:bottom w:val="nil"/>
              <w:right w:val="nil"/>
            </w:tcBorders>
            <w:vAlign w:val="center"/>
          </w:tcPr>
          <w:p w14:paraId="2BF60D77" w14:textId="4711A9A9" w:rsidR="00927644" w:rsidRPr="000C46CC" w:rsidRDefault="000018AE" w:rsidP="000649FA">
            <w:pPr>
              <w:pStyle w:val="TableTextLeft"/>
              <w:jc w:val="right"/>
            </w:pPr>
            <w:r w:rsidRPr="000C46CC">
              <w:t>-</w:t>
            </w:r>
            <w:r w:rsidR="00927644" w:rsidRPr="000C46CC">
              <w:t>562</w:t>
            </w:r>
          </w:p>
        </w:tc>
        <w:tc>
          <w:tcPr>
            <w:tcW w:w="599" w:type="pct"/>
            <w:tcBorders>
              <w:top w:val="nil"/>
              <w:left w:val="nil"/>
              <w:bottom w:val="nil"/>
              <w:right w:val="nil"/>
            </w:tcBorders>
            <w:vAlign w:val="center"/>
          </w:tcPr>
          <w:p w14:paraId="196F5604" w14:textId="53A25FEE" w:rsidR="00927644" w:rsidRPr="000C46CC" w:rsidRDefault="000018AE" w:rsidP="000649FA">
            <w:pPr>
              <w:pStyle w:val="TableTextLeft"/>
              <w:jc w:val="right"/>
            </w:pPr>
            <w:r w:rsidRPr="000C46CC">
              <w:t>-</w:t>
            </w:r>
            <w:r w:rsidR="00927644" w:rsidRPr="000C46CC">
              <w:t>3.</w:t>
            </w:r>
            <w:r w:rsidR="00FD4155" w:rsidRPr="000C46CC">
              <w:t>6</w:t>
            </w:r>
          </w:p>
        </w:tc>
        <w:tc>
          <w:tcPr>
            <w:tcW w:w="599" w:type="pct"/>
            <w:tcBorders>
              <w:top w:val="nil"/>
              <w:left w:val="nil"/>
              <w:bottom w:val="nil"/>
              <w:right w:val="nil"/>
            </w:tcBorders>
            <w:vAlign w:val="center"/>
          </w:tcPr>
          <w:p w14:paraId="5F438B60" w14:textId="77777777" w:rsidR="00927644" w:rsidRPr="000C46CC" w:rsidRDefault="00927644" w:rsidP="000649FA">
            <w:pPr>
              <w:pStyle w:val="TableTextLeft"/>
              <w:jc w:val="right"/>
            </w:pPr>
            <w:r w:rsidRPr="000C46CC">
              <w:t>667</w:t>
            </w:r>
          </w:p>
        </w:tc>
        <w:tc>
          <w:tcPr>
            <w:tcW w:w="599" w:type="pct"/>
            <w:tcBorders>
              <w:top w:val="nil"/>
              <w:left w:val="nil"/>
              <w:bottom w:val="nil"/>
              <w:right w:val="nil"/>
            </w:tcBorders>
            <w:vAlign w:val="center"/>
          </w:tcPr>
          <w:p w14:paraId="3D46DD5B" w14:textId="77777777" w:rsidR="00927644" w:rsidRPr="000C46CC" w:rsidRDefault="00927644" w:rsidP="000649FA">
            <w:pPr>
              <w:pStyle w:val="TableTextLeft"/>
              <w:jc w:val="right"/>
            </w:pPr>
            <w:r w:rsidRPr="000C46CC">
              <w:t>1,108</w:t>
            </w:r>
          </w:p>
        </w:tc>
      </w:tr>
      <w:tr w:rsidR="00927644" w:rsidRPr="00116886" w14:paraId="16BB467E" w14:textId="77777777" w:rsidTr="004332DF">
        <w:tc>
          <w:tcPr>
            <w:tcW w:w="1407" w:type="pct"/>
          </w:tcPr>
          <w:p w14:paraId="34FCC377" w14:textId="77777777" w:rsidR="00927644" w:rsidRPr="00B86FE8" w:rsidRDefault="00927644" w:rsidP="004332DF">
            <w:pPr>
              <w:pStyle w:val="TableTextLeft"/>
              <w:rPr>
                <w:color w:val="002C47" w:themeColor="accent1"/>
              </w:rPr>
            </w:pPr>
            <w:r w:rsidRPr="00B86FE8">
              <w:rPr>
                <w:color w:val="002C47" w:themeColor="accent1"/>
              </w:rPr>
              <w:t>Tasmania</w:t>
            </w:r>
          </w:p>
        </w:tc>
        <w:tc>
          <w:tcPr>
            <w:tcW w:w="599" w:type="pct"/>
            <w:tcBorders>
              <w:top w:val="nil"/>
              <w:left w:val="nil"/>
              <w:bottom w:val="nil"/>
              <w:right w:val="nil"/>
            </w:tcBorders>
            <w:vAlign w:val="center"/>
          </w:tcPr>
          <w:p w14:paraId="5FE38937" w14:textId="77777777" w:rsidR="00927644" w:rsidRPr="000C46CC" w:rsidRDefault="00927644" w:rsidP="000649FA">
            <w:pPr>
              <w:pStyle w:val="TableTextLeft"/>
              <w:jc w:val="right"/>
            </w:pPr>
            <w:r w:rsidRPr="000C46CC">
              <w:t>119</w:t>
            </w:r>
          </w:p>
        </w:tc>
        <w:tc>
          <w:tcPr>
            <w:tcW w:w="599" w:type="pct"/>
            <w:tcBorders>
              <w:top w:val="nil"/>
              <w:left w:val="nil"/>
              <w:bottom w:val="nil"/>
              <w:right w:val="nil"/>
            </w:tcBorders>
            <w:vAlign w:val="center"/>
          </w:tcPr>
          <w:p w14:paraId="3713ECC8" w14:textId="77777777" w:rsidR="00927644" w:rsidRPr="000C46CC" w:rsidRDefault="00927644" w:rsidP="000649FA">
            <w:pPr>
              <w:pStyle w:val="TableTextLeft"/>
              <w:jc w:val="right"/>
            </w:pPr>
            <w:r w:rsidRPr="000C46CC">
              <w:t>2.1</w:t>
            </w:r>
          </w:p>
        </w:tc>
        <w:tc>
          <w:tcPr>
            <w:tcW w:w="599" w:type="pct"/>
            <w:tcBorders>
              <w:top w:val="nil"/>
              <w:left w:val="nil"/>
              <w:bottom w:val="nil"/>
              <w:right w:val="nil"/>
            </w:tcBorders>
            <w:vAlign w:val="center"/>
          </w:tcPr>
          <w:p w14:paraId="126F7A6B" w14:textId="11616CAB" w:rsidR="00927644" w:rsidRPr="000C46CC" w:rsidRDefault="000018AE" w:rsidP="000649FA">
            <w:pPr>
              <w:pStyle w:val="TableTextLeft"/>
              <w:jc w:val="right"/>
            </w:pPr>
            <w:r w:rsidRPr="000C46CC">
              <w:t>-</w:t>
            </w:r>
            <w:r w:rsidR="00927644" w:rsidRPr="000C46CC">
              <w:t>235</w:t>
            </w:r>
          </w:p>
        </w:tc>
        <w:tc>
          <w:tcPr>
            <w:tcW w:w="599" w:type="pct"/>
            <w:tcBorders>
              <w:top w:val="nil"/>
              <w:left w:val="nil"/>
              <w:bottom w:val="nil"/>
              <w:right w:val="nil"/>
            </w:tcBorders>
            <w:vAlign w:val="center"/>
          </w:tcPr>
          <w:p w14:paraId="59B81277" w14:textId="17471730" w:rsidR="00927644" w:rsidRPr="000C46CC" w:rsidRDefault="000018AE" w:rsidP="000649FA">
            <w:pPr>
              <w:pStyle w:val="TableTextLeft"/>
              <w:jc w:val="right"/>
            </w:pPr>
            <w:r w:rsidRPr="000C46CC">
              <w:t>-</w:t>
            </w:r>
            <w:r w:rsidR="00FD4155" w:rsidRPr="000C46CC">
              <w:t>5.1</w:t>
            </w:r>
          </w:p>
        </w:tc>
        <w:tc>
          <w:tcPr>
            <w:tcW w:w="599" w:type="pct"/>
            <w:tcBorders>
              <w:top w:val="nil"/>
              <w:left w:val="nil"/>
              <w:bottom w:val="nil"/>
              <w:right w:val="nil"/>
            </w:tcBorders>
            <w:vAlign w:val="center"/>
          </w:tcPr>
          <w:p w14:paraId="05A956E5" w14:textId="50A3FAD8" w:rsidR="00927644" w:rsidRPr="000C46CC" w:rsidRDefault="000018AE" w:rsidP="000649FA">
            <w:pPr>
              <w:pStyle w:val="TableTextLeft"/>
              <w:jc w:val="right"/>
            </w:pPr>
            <w:r w:rsidRPr="000C46CC">
              <w:t>-</w:t>
            </w:r>
            <w:r w:rsidR="00927644" w:rsidRPr="000C46CC">
              <w:t>118</w:t>
            </w:r>
          </w:p>
        </w:tc>
        <w:tc>
          <w:tcPr>
            <w:tcW w:w="599" w:type="pct"/>
            <w:tcBorders>
              <w:top w:val="nil"/>
              <w:left w:val="nil"/>
              <w:bottom w:val="nil"/>
              <w:right w:val="nil"/>
            </w:tcBorders>
            <w:vAlign w:val="center"/>
          </w:tcPr>
          <w:p w14:paraId="4C7745BD" w14:textId="3DDB1F37" w:rsidR="00927644" w:rsidRPr="000C46CC" w:rsidRDefault="000018AE" w:rsidP="000649FA">
            <w:pPr>
              <w:pStyle w:val="TableTextLeft"/>
              <w:jc w:val="right"/>
            </w:pPr>
            <w:r w:rsidRPr="000C46CC">
              <w:t>-</w:t>
            </w:r>
            <w:r w:rsidR="00927644" w:rsidRPr="000C46CC">
              <w:t>1,398</w:t>
            </w:r>
          </w:p>
        </w:tc>
      </w:tr>
      <w:tr w:rsidR="00927644" w:rsidRPr="00116886" w14:paraId="02BC29AB" w14:textId="77777777" w:rsidTr="004332DF">
        <w:tc>
          <w:tcPr>
            <w:tcW w:w="1407" w:type="pct"/>
            <w:tcBorders>
              <w:bottom w:val="nil"/>
            </w:tcBorders>
          </w:tcPr>
          <w:p w14:paraId="298C19A8" w14:textId="77777777" w:rsidR="00927644" w:rsidRPr="00B86FE8" w:rsidRDefault="00927644" w:rsidP="004332DF">
            <w:pPr>
              <w:pStyle w:val="TableTextLeft"/>
              <w:rPr>
                <w:color w:val="002C47" w:themeColor="accent1"/>
              </w:rPr>
            </w:pPr>
            <w:r w:rsidRPr="00B86FE8">
              <w:rPr>
                <w:color w:val="002C47" w:themeColor="accent1"/>
              </w:rPr>
              <w:t>Northern Territory</w:t>
            </w:r>
          </w:p>
        </w:tc>
        <w:tc>
          <w:tcPr>
            <w:tcW w:w="599" w:type="pct"/>
            <w:tcBorders>
              <w:top w:val="nil"/>
              <w:left w:val="nil"/>
              <w:bottom w:val="nil"/>
              <w:right w:val="nil"/>
            </w:tcBorders>
            <w:vAlign w:val="center"/>
          </w:tcPr>
          <w:p w14:paraId="7EC0F940" w14:textId="77777777" w:rsidR="00927644" w:rsidRPr="000C46CC" w:rsidRDefault="00927644" w:rsidP="000649FA">
            <w:pPr>
              <w:pStyle w:val="TableTextLeft"/>
              <w:jc w:val="right"/>
            </w:pPr>
            <w:r w:rsidRPr="000C46CC">
              <w:t>187</w:t>
            </w:r>
          </w:p>
        </w:tc>
        <w:tc>
          <w:tcPr>
            <w:tcW w:w="599" w:type="pct"/>
            <w:tcBorders>
              <w:top w:val="nil"/>
              <w:left w:val="nil"/>
              <w:bottom w:val="nil"/>
              <w:right w:val="nil"/>
            </w:tcBorders>
            <w:vAlign w:val="center"/>
          </w:tcPr>
          <w:p w14:paraId="4C27076F" w14:textId="4342ECE1" w:rsidR="00927644" w:rsidRPr="000C46CC" w:rsidRDefault="00FD4155" w:rsidP="000649FA">
            <w:pPr>
              <w:pStyle w:val="TableTextLeft"/>
              <w:jc w:val="right"/>
            </w:pPr>
            <w:r w:rsidRPr="000C46CC">
              <w:t>4.9</w:t>
            </w:r>
          </w:p>
        </w:tc>
        <w:tc>
          <w:tcPr>
            <w:tcW w:w="599" w:type="pct"/>
            <w:tcBorders>
              <w:top w:val="nil"/>
              <w:left w:val="nil"/>
              <w:bottom w:val="nil"/>
              <w:right w:val="nil"/>
            </w:tcBorders>
            <w:vAlign w:val="center"/>
          </w:tcPr>
          <w:p w14:paraId="1054F87B" w14:textId="1A49464B" w:rsidR="00927644" w:rsidRPr="000C46CC" w:rsidRDefault="000018AE" w:rsidP="000649FA">
            <w:pPr>
              <w:pStyle w:val="TableTextLeft"/>
              <w:jc w:val="right"/>
            </w:pPr>
            <w:r w:rsidRPr="000C46CC">
              <w:t>-</w:t>
            </w:r>
            <w:r w:rsidR="00927644" w:rsidRPr="000C46CC">
              <w:t>47</w:t>
            </w:r>
          </w:p>
        </w:tc>
        <w:tc>
          <w:tcPr>
            <w:tcW w:w="599" w:type="pct"/>
            <w:tcBorders>
              <w:top w:val="nil"/>
              <w:left w:val="nil"/>
              <w:bottom w:val="nil"/>
              <w:right w:val="nil"/>
            </w:tcBorders>
            <w:vAlign w:val="center"/>
          </w:tcPr>
          <w:p w14:paraId="26CD4148" w14:textId="1D514B3B" w:rsidR="00927644" w:rsidRPr="000C46CC" w:rsidRDefault="000018AE" w:rsidP="000649FA">
            <w:pPr>
              <w:pStyle w:val="TableTextLeft"/>
              <w:jc w:val="right"/>
            </w:pPr>
            <w:r w:rsidRPr="000C46CC">
              <w:t>-</w:t>
            </w:r>
            <w:r w:rsidR="00FD4155" w:rsidRPr="000C46CC">
              <w:t>4.0</w:t>
            </w:r>
          </w:p>
        </w:tc>
        <w:tc>
          <w:tcPr>
            <w:tcW w:w="599" w:type="pct"/>
            <w:tcBorders>
              <w:top w:val="nil"/>
              <w:left w:val="nil"/>
              <w:bottom w:val="nil"/>
              <w:right w:val="nil"/>
            </w:tcBorders>
            <w:vAlign w:val="center"/>
          </w:tcPr>
          <w:p w14:paraId="2B4E1C48" w14:textId="77777777" w:rsidR="00927644" w:rsidRPr="000C46CC" w:rsidRDefault="00927644" w:rsidP="000649FA">
            <w:pPr>
              <w:pStyle w:val="TableTextLeft"/>
              <w:jc w:val="right"/>
            </w:pPr>
            <w:r w:rsidRPr="000C46CC">
              <w:t>95</w:t>
            </w:r>
          </w:p>
        </w:tc>
        <w:tc>
          <w:tcPr>
            <w:tcW w:w="599" w:type="pct"/>
            <w:tcBorders>
              <w:top w:val="nil"/>
              <w:left w:val="nil"/>
              <w:bottom w:val="nil"/>
              <w:right w:val="nil"/>
            </w:tcBorders>
            <w:vAlign w:val="center"/>
          </w:tcPr>
          <w:p w14:paraId="6E9FC7AD" w14:textId="76CA8FB6" w:rsidR="00927644" w:rsidRPr="000C46CC" w:rsidRDefault="000018AE" w:rsidP="000649FA">
            <w:pPr>
              <w:pStyle w:val="TableTextLeft"/>
              <w:jc w:val="right"/>
            </w:pPr>
            <w:r w:rsidRPr="000C46CC">
              <w:t>-</w:t>
            </w:r>
            <w:r w:rsidR="00927644" w:rsidRPr="000C46CC">
              <w:t>1,817</w:t>
            </w:r>
          </w:p>
        </w:tc>
      </w:tr>
      <w:tr w:rsidR="00927644" w:rsidRPr="00116886" w14:paraId="11B9535D" w14:textId="77777777" w:rsidTr="004332DF">
        <w:tc>
          <w:tcPr>
            <w:tcW w:w="1407" w:type="pct"/>
            <w:tcBorders>
              <w:bottom w:val="single" w:sz="4" w:space="0" w:color="auto"/>
              <w:right w:val="nil"/>
            </w:tcBorders>
          </w:tcPr>
          <w:p w14:paraId="0797354E" w14:textId="77777777" w:rsidR="00927644" w:rsidRPr="00B86FE8" w:rsidRDefault="00927644" w:rsidP="004332DF">
            <w:pPr>
              <w:pStyle w:val="TableTextLeft"/>
              <w:rPr>
                <w:color w:val="002C47" w:themeColor="accent1"/>
              </w:rPr>
            </w:pPr>
            <w:r w:rsidRPr="00B86FE8">
              <w:rPr>
                <w:color w:val="002C47" w:themeColor="accent1"/>
              </w:rPr>
              <w:t>Australian Capital Territory</w:t>
            </w:r>
          </w:p>
        </w:tc>
        <w:tc>
          <w:tcPr>
            <w:tcW w:w="599" w:type="pct"/>
            <w:tcBorders>
              <w:top w:val="nil"/>
              <w:left w:val="nil"/>
              <w:bottom w:val="single" w:sz="4" w:space="0" w:color="auto"/>
              <w:right w:val="nil"/>
            </w:tcBorders>
            <w:vAlign w:val="center"/>
          </w:tcPr>
          <w:p w14:paraId="4EE49CF2" w14:textId="77777777" w:rsidR="00927644" w:rsidRPr="000C46CC" w:rsidRDefault="00927644" w:rsidP="000649FA">
            <w:pPr>
              <w:pStyle w:val="TableTextLeft"/>
              <w:jc w:val="right"/>
            </w:pPr>
            <w:r w:rsidRPr="000C46CC">
              <w:t>86</w:t>
            </w:r>
          </w:p>
        </w:tc>
        <w:tc>
          <w:tcPr>
            <w:tcW w:w="599" w:type="pct"/>
            <w:tcBorders>
              <w:top w:val="nil"/>
              <w:left w:val="nil"/>
              <w:bottom w:val="single" w:sz="4" w:space="0" w:color="auto"/>
              <w:right w:val="nil"/>
            </w:tcBorders>
            <w:vAlign w:val="center"/>
          </w:tcPr>
          <w:p w14:paraId="3365D5CF" w14:textId="77777777" w:rsidR="00927644" w:rsidRPr="000C46CC" w:rsidRDefault="00927644" w:rsidP="000649FA">
            <w:pPr>
              <w:pStyle w:val="TableTextLeft"/>
              <w:jc w:val="right"/>
            </w:pPr>
            <w:r w:rsidRPr="000C46CC">
              <w:t>1.6</w:t>
            </w:r>
          </w:p>
        </w:tc>
        <w:tc>
          <w:tcPr>
            <w:tcW w:w="599" w:type="pct"/>
            <w:tcBorders>
              <w:top w:val="nil"/>
              <w:left w:val="nil"/>
              <w:bottom w:val="single" w:sz="4" w:space="0" w:color="auto"/>
              <w:right w:val="nil"/>
            </w:tcBorders>
            <w:vAlign w:val="center"/>
          </w:tcPr>
          <w:p w14:paraId="64C831F3" w14:textId="53F83A25" w:rsidR="00927644" w:rsidRPr="000C46CC" w:rsidRDefault="000018AE" w:rsidP="000649FA">
            <w:pPr>
              <w:pStyle w:val="TableTextLeft"/>
              <w:jc w:val="right"/>
            </w:pPr>
            <w:r w:rsidRPr="000C46CC">
              <w:t>-</w:t>
            </w:r>
            <w:r w:rsidR="00927644" w:rsidRPr="000C46CC">
              <w:t>97</w:t>
            </w:r>
          </w:p>
        </w:tc>
        <w:tc>
          <w:tcPr>
            <w:tcW w:w="599" w:type="pct"/>
            <w:tcBorders>
              <w:top w:val="nil"/>
              <w:left w:val="nil"/>
              <w:bottom w:val="single" w:sz="4" w:space="0" w:color="auto"/>
              <w:right w:val="nil"/>
            </w:tcBorders>
            <w:vAlign w:val="center"/>
          </w:tcPr>
          <w:p w14:paraId="6F31299E" w14:textId="1ABE884B" w:rsidR="00927644" w:rsidRPr="000C46CC" w:rsidRDefault="000018AE" w:rsidP="000649FA">
            <w:pPr>
              <w:pStyle w:val="TableTextLeft"/>
              <w:jc w:val="right"/>
            </w:pPr>
            <w:r w:rsidRPr="000C46CC">
              <w:t>-</w:t>
            </w:r>
            <w:r w:rsidR="00927644" w:rsidRPr="000C46CC">
              <w:t>4.</w:t>
            </w:r>
            <w:r w:rsidR="00FD4155" w:rsidRPr="000C46CC">
              <w:t>5</w:t>
            </w:r>
          </w:p>
        </w:tc>
        <w:tc>
          <w:tcPr>
            <w:tcW w:w="599" w:type="pct"/>
            <w:tcBorders>
              <w:top w:val="nil"/>
              <w:left w:val="nil"/>
              <w:bottom w:val="single" w:sz="4" w:space="0" w:color="auto"/>
              <w:right w:val="nil"/>
            </w:tcBorders>
            <w:vAlign w:val="center"/>
          </w:tcPr>
          <w:p w14:paraId="4C167348" w14:textId="77777777" w:rsidR="00927644" w:rsidRPr="000C46CC" w:rsidRDefault="00927644" w:rsidP="000649FA">
            <w:pPr>
              <w:pStyle w:val="TableTextLeft"/>
              <w:jc w:val="right"/>
            </w:pPr>
            <w:r w:rsidRPr="000C46CC">
              <w:t>73</w:t>
            </w:r>
          </w:p>
        </w:tc>
        <w:tc>
          <w:tcPr>
            <w:tcW w:w="599" w:type="pct"/>
            <w:tcBorders>
              <w:top w:val="nil"/>
              <w:left w:val="nil"/>
              <w:bottom w:val="single" w:sz="4" w:space="0" w:color="auto"/>
              <w:right w:val="nil"/>
            </w:tcBorders>
            <w:vAlign w:val="center"/>
          </w:tcPr>
          <w:p w14:paraId="145165C1" w14:textId="214564CC" w:rsidR="00927644" w:rsidRPr="000C46CC" w:rsidRDefault="000018AE" w:rsidP="000649FA">
            <w:pPr>
              <w:pStyle w:val="TableTextLeft"/>
              <w:jc w:val="right"/>
            </w:pPr>
            <w:r w:rsidRPr="000C46CC">
              <w:t>-</w:t>
            </w:r>
            <w:r w:rsidR="00927644" w:rsidRPr="000C46CC">
              <w:t>995</w:t>
            </w:r>
          </w:p>
        </w:tc>
      </w:tr>
    </w:tbl>
    <w:p w14:paraId="0DBFDDBF" w14:textId="3A5550C6" w:rsidR="00927644" w:rsidRPr="00116886" w:rsidRDefault="00927644" w:rsidP="00927644">
      <w:pPr>
        <w:pStyle w:val="Source"/>
        <w:spacing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14AA9C64" w14:textId="49FFADB2" w:rsidR="00927644" w:rsidRPr="00116886" w:rsidRDefault="00927644" w:rsidP="00927644">
      <w:pPr>
        <w:pStyle w:val="Source"/>
      </w:pPr>
      <w:r w:rsidRPr="00116886">
        <w:t xml:space="preserve">Source: </w:t>
      </w:r>
      <w:r w:rsidR="00CE24A5">
        <w:rPr>
          <w:noProof/>
        </w:rPr>
        <w:t>Australian Bureau of Statistics, National, state and territory population, March 2022, 2022</w:t>
      </w:r>
      <w:r w:rsidR="003D26E1">
        <w:rPr>
          <w:noProof/>
        </w:rPr>
        <w:t xml:space="preserve"> </w:t>
      </w:r>
      <w:r w:rsidRPr="00116886">
        <w:t>and Centre for Population projections.</w:t>
      </w:r>
    </w:p>
    <w:p w14:paraId="3EE745D9" w14:textId="4C32601A" w:rsidR="007B0BED" w:rsidRDefault="00686B8D" w:rsidP="00686B8D">
      <w:r w:rsidRPr="00116886">
        <w:t>Net overseas migration has historically been the most volatile component of national population growth and consequently the most difficult to forecast</w:t>
      </w:r>
      <w:r>
        <w:t xml:space="preserve"> (</w:t>
      </w:r>
      <w:r w:rsidR="002C2CC1">
        <w:t>Table 19</w:t>
      </w:r>
      <w:r>
        <w:t>)</w:t>
      </w:r>
      <w:r w:rsidRPr="00116886">
        <w:t>. The loss of overseas migration since the onset of the pandemic</w:t>
      </w:r>
      <w:r>
        <w:t xml:space="preserve"> </w:t>
      </w:r>
      <w:r w:rsidRPr="00116886">
        <w:t>disrupted trends</w:t>
      </w:r>
      <w:r>
        <w:t>, making historical data –</w:t>
      </w:r>
      <w:r w:rsidRPr="00116886">
        <w:t xml:space="preserve"> including the latest data available at the time of the 2021 Population Statement</w:t>
      </w:r>
      <w:r>
        <w:t xml:space="preserve"> –</w:t>
      </w:r>
      <w:r w:rsidRPr="00116886">
        <w:t xml:space="preserve"> less reliable for forecasting.</w:t>
      </w:r>
    </w:p>
    <w:p w14:paraId="6596B9D9" w14:textId="77777777" w:rsidR="007B0BED" w:rsidRDefault="007B0BED">
      <w:pPr>
        <w:spacing w:before="0" w:after="160" w:line="259" w:lineRule="auto"/>
      </w:pPr>
      <w:r>
        <w:br w:type="page"/>
      </w:r>
    </w:p>
    <w:p w14:paraId="703E5E0D" w14:textId="25D6DCF4" w:rsidR="00927644" w:rsidRPr="00116886" w:rsidRDefault="00927644" w:rsidP="005540BC">
      <w:pPr>
        <w:pStyle w:val="TableMainHeading"/>
      </w:pPr>
      <w:bookmarkStart w:id="234" w:name="_Ref120876446"/>
      <w:r w:rsidRPr="00116886">
        <w:lastRenderedPageBreak/>
        <w:t xml:space="preserve">Difference between 2021 Population Statement migration </w:t>
      </w:r>
      <w:r w:rsidR="00C36251">
        <w:t>forecasts</w:t>
      </w:r>
      <w:r w:rsidRPr="00116886">
        <w:t xml:space="preserve"> and outcome, by state, 2020</w:t>
      </w:r>
      <w:r w:rsidR="0033101B">
        <w:t>–</w:t>
      </w:r>
      <w:r w:rsidRPr="00116886">
        <w:t>21</w:t>
      </w:r>
      <w:bookmarkEnd w:id="234"/>
    </w:p>
    <w:tbl>
      <w:tblPr>
        <w:tblStyle w:val="CPOPTable"/>
        <w:tblW w:w="5000" w:type="pct"/>
        <w:tblLayout w:type="fixed"/>
        <w:tblLook w:val="04A0" w:firstRow="1" w:lastRow="0" w:firstColumn="1" w:lastColumn="0" w:noHBand="0" w:noVBand="1"/>
        <w:tblCaption w:val="Table"/>
      </w:tblPr>
      <w:tblGrid>
        <w:gridCol w:w="1984"/>
        <w:gridCol w:w="885"/>
        <w:gridCol w:w="887"/>
        <w:gridCol w:w="885"/>
        <w:gridCol w:w="887"/>
        <w:gridCol w:w="885"/>
        <w:gridCol w:w="887"/>
        <w:gridCol w:w="885"/>
        <w:gridCol w:w="885"/>
      </w:tblGrid>
      <w:tr w:rsidR="00927644" w:rsidRPr="00116886" w14:paraId="51C66119" w14:textId="77777777" w:rsidTr="00D24A9E">
        <w:trPr>
          <w:cnfStyle w:val="100000000000" w:firstRow="1" w:lastRow="0" w:firstColumn="0" w:lastColumn="0" w:oddVBand="0" w:evenVBand="0" w:oddHBand="0" w:evenHBand="0" w:firstRowFirstColumn="0" w:firstRowLastColumn="0" w:lastRowFirstColumn="0" w:lastRowLastColumn="0"/>
        </w:trPr>
        <w:tc>
          <w:tcPr>
            <w:tcW w:w="1093" w:type="pct"/>
          </w:tcPr>
          <w:p w14:paraId="23AAFBA1" w14:textId="77777777" w:rsidR="00927644" w:rsidRPr="00116886" w:rsidRDefault="00927644" w:rsidP="00676947">
            <w:pPr>
              <w:spacing w:after="0"/>
              <w:rPr>
                <w:b/>
                <w:bCs/>
                <w:color w:val="002C47" w:themeColor="accent1"/>
              </w:rPr>
            </w:pPr>
          </w:p>
        </w:tc>
        <w:tc>
          <w:tcPr>
            <w:tcW w:w="1953" w:type="pct"/>
            <w:gridSpan w:val="4"/>
          </w:tcPr>
          <w:p w14:paraId="71842055" w14:textId="77777777" w:rsidR="00927644" w:rsidRPr="00D24A9E" w:rsidRDefault="00927644" w:rsidP="00D24A9E">
            <w:pPr>
              <w:pStyle w:val="TableColumnHeadingLeft"/>
            </w:pPr>
            <w:r w:rsidRPr="00D24A9E">
              <w:t>Overseas migration</w:t>
            </w:r>
          </w:p>
        </w:tc>
        <w:tc>
          <w:tcPr>
            <w:tcW w:w="1953" w:type="pct"/>
            <w:gridSpan w:val="4"/>
          </w:tcPr>
          <w:p w14:paraId="74D95CB4" w14:textId="77777777" w:rsidR="00927644" w:rsidRPr="00D24A9E" w:rsidRDefault="00927644" w:rsidP="00D24A9E">
            <w:pPr>
              <w:pStyle w:val="TableColumnHeadingLeft"/>
            </w:pPr>
            <w:r w:rsidRPr="00D24A9E">
              <w:t>Interstate migration</w:t>
            </w:r>
          </w:p>
        </w:tc>
      </w:tr>
      <w:tr w:rsidR="00927644" w:rsidRPr="00116886" w14:paraId="2088F791" w14:textId="77777777" w:rsidTr="00D24A9E">
        <w:tc>
          <w:tcPr>
            <w:tcW w:w="1093" w:type="pct"/>
          </w:tcPr>
          <w:p w14:paraId="4287D1BA" w14:textId="77777777" w:rsidR="00927644" w:rsidRPr="00D16476" w:rsidRDefault="00927644" w:rsidP="00676947">
            <w:pPr>
              <w:spacing w:after="0"/>
              <w:rPr>
                <w:rFonts w:ascii="Calibri" w:eastAsia="Times New Roman" w:hAnsi="Calibri" w:cs="Calibri"/>
                <w:color w:val="002C47"/>
                <w:lang w:eastAsia="en-AU"/>
              </w:rPr>
            </w:pPr>
          </w:p>
        </w:tc>
        <w:tc>
          <w:tcPr>
            <w:tcW w:w="977" w:type="pct"/>
            <w:gridSpan w:val="2"/>
            <w:tcBorders>
              <w:top w:val="nil"/>
              <w:left w:val="nil"/>
              <w:bottom w:val="nil"/>
            </w:tcBorders>
          </w:tcPr>
          <w:p w14:paraId="6F8597A5" w14:textId="77777777" w:rsidR="00927644" w:rsidRPr="00D24A9E" w:rsidRDefault="00927644" w:rsidP="00D24A9E">
            <w:pPr>
              <w:pStyle w:val="TableColumnHeadingLeft"/>
            </w:pPr>
            <w:r w:rsidRPr="00D24A9E">
              <w:t>Arrivals</w:t>
            </w:r>
          </w:p>
        </w:tc>
        <w:tc>
          <w:tcPr>
            <w:tcW w:w="977" w:type="pct"/>
            <w:gridSpan w:val="2"/>
          </w:tcPr>
          <w:p w14:paraId="7317954A" w14:textId="77777777" w:rsidR="00927644" w:rsidRPr="00D24A9E" w:rsidRDefault="00927644" w:rsidP="00D24A9E">
            <w:pPr>
              <w:pStyle w:val="TableColumnHeadingLeft"/>
            </w:pPr>
            <w:r w:rsidRPr="00D24A9E">
              <w:t>Departures</w:t>
            </w:r>
          </w:p>
        </w:tc>
        <w:tc>
          <w:tcPr>
            <w:tcW w:w="977" w:type="pct"/>
            <w:gridSpan w:val="2"/>
            <w:tcBorders>
              <w:top w:val="nil"/>
              <w:left w:val="nil"/>
              <w:bottom w:val="nil"/>
            </w:tcBorders>
          </w:tcPr>
          <w:p w14:paraId="6AC73DED" w14:textId="77777777" w:rsidR="00927644" w:rsidRPr="00D24A9E" w:rsidRDefault="00927644" w:rsidP="00D24A9E">
            <w:pPr>
              <w:pStyle w:val="TableColumnHeadingLeft"/>
            </w:pPr>
            <w:r w:rsidRPr="00D24A9E">
              <w:t>Arrivals</w:t>
            </w:r>
          </w:p>
        </w:tc>
        <w:tc>
          <w:tcPr>
            <w:tcW w:w="977" w:type="pct"/>
            <w:gridSpan w:val="2"/>
          </w:tcPr>
          <w:p w14:paraId="789FABA6" w14:textId="77777777" w:rsidR="00927644" w:rsidRPr="00D24A9E" w:rsidRDefault="00927644" w:rsidP="00D24A9E">
            <w:pPr>
              <w:pStyle w:val="TableColumnHeadingLeft"/>
            </w:pPr>
            <w:r w:rsidRPr="00D24A9E">
              <w:t>Departures</w:t>
            </w:r>
          </w:p>
        </w:tc>
      </w:tr>
      <w:tr w:rsidR="00927644" w:rsidRPr="00116886" w14:paraId="51C64659" w14:textId="77777777" w:rsidTr="00D24A9E">
        <w:tc>
          <w:tcPr>
            <w:tcW w:w="1093" w:type="pct"/>
          </w:tcPr>
          <w:p w14:paraId="418E3DAF" w14:textId="77777777" w:rsidR="00927644" w:rsidRPr="00D16476" w:rsidRDefault="00927644" w:rsidP="00676947">
            <w:pPr>
              <w:spacing w:after="0"/>
              <w:rPr>
                <w:rFonts w:ascii="Calibri" w:eastAsia="Times New Roman" w:hAnsi="Calibri" w:cs="Calibri"/>
                <w:color w:val="002C47"/>
                <w:lang w:eastAsia="en-AU"/>
              </w:rPr>
            </w:pPr>
          </w:p>
        </w:tc>
        <w:tc>
          <w:tcPr>
            <w:tcW w:w="488" w:type="pct"/>
            <w:tcBorders>
              <w:top w:val="nil"/>
              <w:left w:val="nil"/>
              <w:bottom w:val="nil"/>
              <w:right w:val="nil"/>
            </w:tcBorders>
          </w:tcPr>
          <w:p w14:paraId="08E12B69" w14:textId="77777777" w:rsidR="00927644" w:rsidRPr="00D24A9E" w:rsidRDefault="00927644" w:rsidP="00D24A9E">
            <w:pPr>
              <w:pStyle w:val="TableColumnHeadingLeft"/>
            </w:pPr>
            <w:r w:rsidRPr="00D24A9E">
              <w:t>no.</w:t>
            </w:r>
          </w:p>
        </w:tc>
        <w:tc>
          <w:tcPr>
            <w:tcW w:w="488" w:type="pct"/>
          </w:tcPr>
          <w:p w14:paraId="414AFD89" w14:textId="77777777" w:rsidR="00927644" w:rsidRPr="00D24A9E" w:rsidRDefault="00927644" w:rsidP="00D24A9E">
            <w:pPr>
              <w:pStyle w:val="TableColumnHeadingLeft"/>
            </w:pPr>
            <w:r w:rsidRPr="00D24A9E">
              <w:t>%</w:t>
            </w:r>
          </w:p>
        </w:tc>
        <w:tc>
          <w:tcPr>
            <w:tcW w:w="488" w:type="pct"/>
          </w:tcPr>
          <w:p w14:paraId="74ED58EB" w14:textId="77777777" w:rsidR="00927644" w:rsidRPr="00D24A9E" w:rsidRDefault="00927644" w:rsidP="00D24A9E">
            <w:pPr>
              <w:pStyle w:val="TableColumnHeadingLeft"/>
            </w:pPr>
            <w:r w:rsidRPr="00D24A9E">
              <w:t>no.</w:t>
            </w:r>
          </w:p>
        </w:tc>
        <w:tc>
          <w:tcPr>
            <w:tcW w:w="488" w:type="pct"/>
          </w:tcPr>
          <w:p w14:paraId="50791BA4" w14:textId="77777777" w:rsidR="00927644" w:rsidRPr="00D24A9E" w:rsidRDefault="00927644" w:rsidP="00D24A9E">
            <w:pPr>
              <w:pStyle w:val="TableColumnHeadingLeft"/>
            </w:pPr>
            <w:r w:rsidRPr="00D24A9E">
              <w:t>%</w:t>
            </w:r>
          </w:p>
        </w:tc>
        <w:tc>
          <w:tcPr>
            <w:tcW w:w="488" w:type="pct"/>
            <w:tcBorders>
              <w:top w:val="nil"/>
              <w:left w:val="nil"/>
              <w:bottom w:val="nil"/>
              <w:right w:val="nil"/>
            </w:tcBorders>
          </w:tcPr>
          <w:p w14:paraId="51264E8D" w14:textId="77777777" w:rsidR="00927644" w:rsidRPr="00D24A9E" w:rsidRDefault="00927644" w:rsidP="00D24A9E">
            <w:pPr>
              <w:pStyle w:val="TableColumnHeadingLeft"/>
            </w:pPr>
            <w:r w:rsidRPr="00D24A9E">
              <w:t>no.</w:t>
            </w:r>
          </w:p>
        </w:tc>
        <w:tc>
          <w:tcPr>
            <w:tcW w:w="488" w:type="pct"/>
          </w:tcPr>
          <w:p w14:paraId="45A0473F" w14:textId="77777777" w:rsidR="00927644" w:rsidRPr="00D24A9E" w:rsidRDefault="00927644" w:rsidP="00D24A9E">
            <w:pPr>
              <w:pStyle w:val="TableColumnHeadingLeft"/>
            </w:pPr>
            <w:r w:rsidRPr="00D24A9E">
              <w:t>%</w:t>
            </w:r>
          </w:p>
        </w:tc>
        <w:tc>
          <w:tcPr>
            <w:tcW w:w="488" w:type="pct"/>
          </w:tcPr>
          <w:p w14:paraId="30DA156D" w14:textId="77777777" w:rsidR="00927644" w:rsidRPr="00D24A9E" w:rsidRDefault="00927644" w:rsidP="00D24A9E">
            <w:pPr>
              <w:pStyle w:val="TableColumnHeadingLeft"/>
            </w:pPr>
            <w:r w:rsidRPr="00D24A9E">
              <w:t>no.</w:t>
            </w:r>
          </w:p>
        </w:tc>
        <w:tc>
          <w:tcPr>
            <w:tcW w:w="488" w:type="pct"/>
          </w:tcPr>
          <w:p w14:paraId="3974D2C3" w14:textId="77777777" w:rsidR="00927644" w:rsidRPr="00D24A9E" w:rsidRDefault="00927644" w:rsidP="00D24A9E">
            <w:pPr>
              <w:pStyle w:val="TableColumnHeadingLeft"/>
            </w:pPr>
            <w:r w:rsidRPr="00D24A9E">
              <w:t>%</w:t>
            </w:r>
          </w:p>
        </w:tc>
      </w:tr>
      <w:tr w:rsidR="00927644" w:rsidRPr="00116886" w14:paraId="7882DC5F" w14:textId="77777777" w:rsidTr="00D24A9E">
        <w:tc>
          <w:tcPr>
            <w:tcW w:w="1093" w:type="pct"/>
          </w:tcPr>
          <w:p w14:paraId="3E85B76C" w14:textId="77777777" w:rsidR="00927644" w:rsidRPr="00B86FE8" w:rsidRDefault="00927644" w:rsidP="00D24A9E">
            <w:pPr>
              <w:pStyle w:val="TableTextLeft"/>
              <w:rPr>
                <w:b/>
                <w:bCs/>
                <w:color w:val="002C47" w:themeColor="accent1"/>
              </w:rPr>
            </w:pPr>
            <w:r w:rsidRPr="00B86FE8">
              <w:rPr>
                <w:b/>
                <w:bCs/>
                <w:color w:val="002C47" w:themeColor="accent1"/>
              </w:rPr>
              <w:t>Australia</w:t>
            </w:r>
          </w:p>
        </w:tc>
        <w:tc>
          <w:tcPr>
            <w:tcW w:w="488" w:type="pct"/>
            <w:tcBorders>
              <w:top w:val="nil"/>
              <w:left w:val="nil"/>
              <w:bottom w:val="nil"/>
              <w:right w:val="nil"/>
            </w:tcBorders>
            <w:vAlign w:val="center"/>
          </w:tcPr>
          <w:p w14:paraId="2ADA8413" w14:textId="77777777" w:rsidR="00927644" w:rsidRPr="00D24A9E" w:rsidRDefault="00927644" w:rsidP="000649FA">
            <w:pPr>
              <w:pStyle w:val="TableTextLeft"/>
              <w:jc w:val="right"/>
              <w:rPr>
                <w:b/>
                <w:bCs/>
              </w:rPr>
            </w:pPr>
            <w:r w:rsidRPr="00D24A9E">
              <w:rPr>
                <w:b/>
                <w:bCs/>
              </w:rPr>
              <w:t>3,257</w:t>
            </w:r>
          </w:p>
        </w:tc>
        <w:tc>
          <w:tcPr>
            <w:tcW w:w="488" w:type="pct"/>
            <w:tcBorders>
              <w:top w:val="nil"/>
              <w:left w:val="nil"/>
              <w:bottom w:val="nil"/>
              <w:right w:val="nil"/>
            </w:tcBorders>
            <w:vAlign w:val="center"/>
          </w:tcPr>
          <w:p w14:paraId="1C099E94" w14:textId="2F0EE719" w:rsidR="00927644" w:rsidRPr="00D24A9E" w:rsidRDefault="00927644" w:rsidP="000649FA">
            <w:pPr>
              <w:pStyle w:val="TableTextLeft"/>
              <w:jc w:val="right"/>
              <w:rPr>
                <w:b/>
                <w:bCs/>
              </w:rPr>
            </w:pPr>
            <w:r w:rsidRPr="00D24A9E">
              <w:rPr>
                <w:b/>
                <w:bCs/>
              </w:rPr>
              <w:t>2.</w:t>
            </w:r>
            <w:r w:rsidR="00FD4155" w:rsidRPr="00D24A9E">
              <w:rPr>
                <w:b/>
                <w:bCs/>
              </w:rPr>
              <w:t>2</w:t>
            </w:r>
          </w:p>
        </w:tc>
        <w:tc>
          <w:tcPr>
            <w:tcW w:w="488" w:type="pct"/>
            <w:tcBorders>
              <w:top w:val="nil"/>
              <w:left w:val="nil"/>
              <w:bottom w:val="nil"/>
              <w:right w:val="nil"/>
            </w:tcBorders>
            <w:vAlign w:val="center"/>
          </w:tcPr>
          <w:p w14:paraId="381546CB" w14:textId="025654D3" w:rsidR="00927644" w:rsidRPr="00D24A9E" w:rsidRDefault="00283A4C" w:rsidP="000649FA">
            <w:pPr>
              <w:pStyle w:val="TableTextLeft"/>
              <w:jc w:val="right"/>
              <w:rPr>
                <w:b/>
                <w:bCs/>
              </w:rPr>
            </w:pPr>
            <w:r w:rsidRPr="00D24A9E">
              <w:rPr>
                <w:b/>
                <w:bCs/>
              </w:rPr>
              <w:t>-</w:t>
            </w:r>
            <w:r w:rsidR="00927644" w:rsidRPr="00D24A9E">
              <w:rPr>
                <w:b/>
                <w:bCs/>
              </w:rPr>
              <w:t>12,406</w:t>
            </w:r>
          </w:p>
        </w:tc>
        <w:tc>
          <w:tcPr>
            <w:tcW w:w="488" w:type="pct"/>
            <w:tcBorders>
              <w:top w:val="nil"/>
              <w:left w:val="nil"/>
              <w:bottom w:val="nil"/>
              <w:right w:val="nil"/>
            </w:tcBorders>
            <w:vAlign w:val="center"/>
          </w:tcPr>
          <w:p w14:paraId="2349A7F9" w14:textId="2E42FD3E" w:rsidR="00927644" w:rsidRPr="00D24A9E" w:rsidRDefault="00283A4C" w:rsidP="000649FA">
            <w:pPr>
              <w:pStyle w:val="TableTextLeft"/>
              <w:jc w:val="right"/>
              <w:rPr>
                <w:b/>
                <w:bCs/>
              </w:rPr>
            </w:pPr>
            <w:r w:rsidRPr="00D24A9E">
              <w:rPr>
                <w:b/>
                <w:bCs/>
              </w:rPr>
              <w:t>-</w:t>
            </w:r>
            <w:r w:rsidR="00927644" w:rsidRPr="00D24A9E">
              <w:rPr>
                <w:b/>
                <w:bCs/>
              </w:rPr>
              <w:t>5.</w:t>
            </w:r>
            <w:r w:rsidR="00FD4155" w:rsidRPr="00D24A9E">
              <w:rPr>
                <w:b/>
                <w:bCs/>
              </w:rPr>
              <w:t>4</w:t>
            </w:r>
          </w:p>
        </w:tc>
        <w:tc>
          <w:tcPr>
            <w:tcW w:w="488" w:type="pct"/>
            <w:tcBorders>
              <w:top w:val="nil"/>
              <w:left w:val="nil"/>
              <w:bottom w:val="nil"/>
              <w:right w:val="nil"/>
            </w:tcBorders>
            <w:vAlign w:val="center"/>
          </w:tcPr>
          <w:p w14:paraId="5BBDC735" w14:textId="495AA1BC" w:rsidR="00927644" w:rsidRPr="00D24A9E" w:rsidRDefault="0033101B" w:rsidP="000649FA">
            <w:pPr>
              <w:pStyle w:val="TableTextLeft"/>
              <w:jc w:val="right"/>
              <w:rPr>
                <w:b/>
                <w:bCs/>
              </w:rPr>
            </w:pPr>
            <w:r w:rsidRPr="00D24A9E">
              <w:rPr>
                <w:b/>
                <w:bCs/>
              </w:rPr>
              <w:t>–</w:t>
            </w:r>
          </w:p>
        </w:tc>
        <w:tc>
          <w:tcPr>
            <w:tcW w:w="488" w:type="pct"/>
            <w:vAlign w:val="center"/>
          </w:tcPr>
          <w:p w14:paraId="1A902E99" w14:textId="34FB8BE7" w:rsidR="00927644" w:rsidRPr="00D24A9E" w:rsidRDefault="0033101B" w:rsidP="000649FA">
            <w:pPr>
              <w:pStyle w:val="TableTextLeft"/>
              <w:jc w:val="right"/>
              <w:rPr>
                <w:b/>
                <w:bCs/>
              </w:rPr>
            </w:pPr>
            <w:r w:rsidRPr="00D24A9E">
              <w:rPr>
                <w:b/>
                <w:bCs/>
              </w:rPr>
              <w:t>–</w:t>
            </w:r>
          </w:p>
        </w:tc>
        <w:tc>
          <w:tcPr>
            <w:tcW w:w="488" w:type="pct"/>
            <w:vAlign w:val="center"/>
          </w:tcPr>
          <w:p w14:paraId="28585E1A" w14:textId="3132F842" w:rsidR="00927644" w:rsidRPr="00D24A9E" w:rsidRDefault="0033101B" w:rsidP="000649FA">
            <w:pPr>
              <w:pStyle w:val="TableTextLeft"/>
              <w:jc w:val="right"/>
              <w:rPr>
                <w:b/>
                <w:bCs/>
              </w:rPr>
            </w:pPr>
            <w:r w:rsidRPr="00D24A9E">
              <w:rPr>
                <w:b/>
                <w:bCs/>
              </w:rPr>
              <w:t>–</w:t>
            </w:r>
          </w:p>
        </w:tc>
        <w:tc>
          <w:tcPr>
            <w:tcW w:w="488" w:type="pct"/>
            <w:vAlign w:val="center"/>
          </w:tcPr>
          <w:p w14:paraId="611EDFF6" w14:textId="0B6ABF91" w:rsidR="00927644" w:rsidRPr="00D24A9E" w:rsidRDefault="0033101B" w:rsidP="000649FA">
            <w:pPr>
              <w:pStyle w:val="TableTextLeft"/>
              <w:jc w:val="right"/>
              <w:rPr>
                <w:b/>
                <w:bCs/>
              </w:rPr>
            </w:pPr>
            <w:r w:rsidRPr="00D24A9E">
              <w:rPr>
                <w:b/>
                <w:bCs/>
              </w:rPr>
              <w:t>–</w:t>
            </w:r>
          </w:p>
        </w:tc>
      </w:tr>
      <w:tr w:rsidR="00927644" w:rsidRPr="00116886" w14:paraId="493FE9EF" w14:textId="77777777" w:rsidTr="00D24A9E">
        <w:tc>
          <w:tcPr>
            <w:tcW w:w="1093" w:type="pct"/>
          </w:tcPr>
          <w:p w14:paraId="4F4D19F4" w14:textId="77777777" w:rsidR="00927644" w:rsidRPr="00B86FE8" w:rsidRDefault="00927644" w:rsidP="00D24A9E">
            <w:pPr>
              <w:pStyle w:val="TableTextLeft"/>
              <w:rPr>
                <w:color w:val="002C47" w:themeColor="accent1"/>
              </w:rPr>
            </w:pPr>
            <w:r w:rsidRPr="00B86FE8">
              <w:rPr>
                <w:color w:val="002C47" w:themeColor="accent1"/>
              </w:rPr>
              <w:t>New South Wales</w:t>
            </w:r>
          </w:p>
        </w:tc>
        <w:tc>
          <w:tcPr>
            <w:tcW w:w="488" w:type="pct"/>
            <w:tcBorders>
              <w:top w:val="nil"/>
              <w:left w:val="nil"/>
              <w:bottom w:val="nil"/>
              <w:right w:val="nil"/>
            </w:tcBorders>
            <w:vAlign w:val="center"/>
          </w:tcPr>
          <w:p w14:paraId="5BE97FC7" w14:textId="77777777" w:rsidR="00927644" w:rsidRPr="00D16476" w:rsidRDefault="00927644" w:rsidP="000649FA">
            <w:pPr>
              <w:pStyle w:val="TableTextLeft"/>
              <w:jc w:val="right"/>
            </w:pPr>
            <w:r w:rsidRPr="00D16476">
              <w:t>4,402</w:t>
            </w:r>
          </w:p>
        </w:tc>
        <w:tc>
          <w:tcPr>
            <w:tcW w:w="488" w:type="pct"/>
            <w:tcBorders>
              <w:top w:val="nil"/>
              <w:left w:val="nil"/>
              <w:bottom w:val="nil"/>
              <w:right w:val="nil"/>
            </w:tcBorders>
            <w:vAlign w:val="center"/>
          </w:tcPr>
          <w:p w14:paraId="27D7E2D7" w14:textId="10AE4DF5" w:rsidR="00927644" w:rsidRPr="00D16476" w:rsidRDefault="00927644" w:rsidP="000649FA">
            <w:pPr>
              <w:pStyle w:val="TableTextLeft"/>
              <w:jc w:val="right"/>
            </w:pPr>
            <w:r w:rsidRPr="00D16476">
              <w:t>6.</w:t>
            </w:r>
            <w:r w:rsidR="00FD4155" w:rsidRPr="00D16476">
              <w:t>2</w:t>
            </w:r>
          </w:p>
        </w:tc>
        <w:tc>
          <w:tcPr>
            <w:tcW w:w="488" w:type="pct"/>
            <w:tcBorders>
              <w:top w:val="nil"/>
              <w:left w:val="nil"/>
              <w:bottom w:val="nil"/>
              <w:right w:val="nil"/>
            </w:tcBorders>
            <w:vAlign w:val="center"/>
          </w:tcPr>
          <w:p w14:paraId="20261B03" w14:textId="1943CB03" w:rsidR="00927644" w:rsidRPr="00D16476" w:rsidRDefault="00283A4C" w:rsidP="000649FA">
            <w:pPr>
              <w:pStyle w:val="TableTextLeft"/>
              <w:jc w:val="right"/>
            </w:pPr>
            <w:r w:rsidRPr="00D16476">
              <w:t>-</w:t>
            </w:r>
            <w:r w:rsidR="00927644" w:rsidRPr="00D16476">
              <w:t>5,061</w:t>
            </w:r>
          </w:p>
        </w:tc>
        <w:tc>
          <w:tcPr>
            <w:tcW w:w="488" w:type="pct"/>
            <w:tcBorders>
              <w:top w:val="nil"/>
              <w:left w:val="nil"/>
              <w:bottom w:val="nil"/>
              <w:right w:val="nil"/>
            </w:tcBorders>
            <w:vAlign w:val="center"/>
          </w:tcPr>
          <w:p w14:paraId="70E711D0" w14:textId="0C0C5CA9" w:rsidR="00927644" w:rsidRPr="00D16476" w:rsidRDefault="00283A4C" w:rsidP="000649FA">
            <w:pPr>
              <w:pStyle w:val="TableTextLeft"/>
              <w:jc w:val="right"/>
            </w:pPr>
            <w:r w:rsidRPr="00D16476">
              <w:t>-</w:t>
            </w:r>
            <w:r w:rsidR="00927644" w:rsidRPr="00D16476">
              <w:t>6.</w:t>
            </w:r>
            <w:r w:rsidR="00FD4155" w:rsidRPr="00D16476">
              <w:t>5</w:t>
            </w:r>
          </w:p>
        </w:tc>
        <w:tc>
          <w:tcPr>
            <w:tcW w:w="488" w:type="pct"/>
            <w:tcBorders>
              <w:top w:val="nil"/>
              <w:left w:val="nil"/>
              <w:bottom w:val="nil"/>
              <w:right w:val="nil"/>
            </w:tcBorders>
            <w:vAlign w:val="center"/>
          </w:tcPr>
          <w:p w14:paraId="6BA33C97" w14:textId="77777777" w:rsidR="00927644" w:rsidRPr="00D16476" w:rsidRDefault="00927644" w:rsidP="000649FA">
            <w:pPr>
              <w:pStyle w:val="TableTextLeft"/>
              <w:jc w:val="right"/>
            </w:pPr>
            <w:r w:rsidRPr="00D16476">
              <w:t>9,152</w:t>
            </w:r>
          </w:p>
        </w:tc>
        <w:tc>
          <w:tcPr>
            <w:tcW w:w="488" w:type="pct"/>
            <w:tcBorders>
              <w:top w:val="nil"/>
              <w:left w:val="nil"/>
              <w:bottom w:val="nil"/>
              <w:right w:val="nil"/>
            </w:tcBorders>
            <w:vAlign w:val="center"/>
          </w:tcPr>
          <w:p w14:paraId="70585993" w14:textId="58C46CB0" w:rsidR="00927644" w:rsidRPr="00D16476" w:rsidRDefault="00FD4155" w:rsidP="000649FA">
            <w:pPr>
              <w:pStyle w:val="TableTextLeft"/>
              <w:jc w:val="right"/>
            </w:pPr>
            <w:r w:rsidRPr="00D16476">
              <w:t>9</w:t>
            </w:r>
            <w:r w:rsidR="00927644" w:rsidRPr="00D16476">
              <w:t>.5</w:t>
            </w:r>
          </w:p>
        </w:tc>
        <w:tc>
          <w:tcPr>
            <w:tcW w:w="488" w:type="pct"/>
            <w:tcBorders>
              <w:top w:val="nil"/>
              <w:left w:val="nil"/>
              <w:bottom w:val="nil"/>
              <w:right w:val="nil"/>
            </w:tcBorders>
            <w:vAlign w:val="center"/>
          </w:tcPr>
          <w:p w14:paraId="08714BD3" w14:textId="77777777" w:rsidR="00927644" w:rsidRPr="00D16476" w:rsidRDefault="00927644" w:rsidP="000649FA">
            <w:pPr>
              <w:pStyle w:val="TableTextLeft"/>
              <w:jc w:val="right"/>
            </w:pPr>
            <w:r w:rsidRPr="00D16476">
              <w:t>3,369</w:t>
            </w:r>
          </w:p>
        </w:tc>
        <w:tc>
          <w:tcPr>
            <w:tcW w:w="488" w:type="pct"/>
            <w:tcBorders>
              <w:top w:val="nil"/>
              <w:left w:val="nil"/>
              <w:bottom w:val="nil"/>
              <w:right w:val="nil"/>
            </w:tcBorders>
            <w:vAlign w:val="center"/>
          </w:tcPr>
          <w:p w14:paraId="7D769505" w14:textId="171CAAB7" w:rsidR="00927644" w:rsidRPr="00D16476" w:rsidRDefault="00927644" w:rsidP="000649FA">
            <w:pPr>
              <w:pStyle w:val="TableTextLeft"/>
              <w:jc w:val="right"/>
            </w:pPr>
            <w:r w:rsidRPr="00D16476">
              <w:t>3.</w:t>
            </w:r>
            <w:r w:rsidR="00FD4155" w:rsidRPr="00D16476">
              <w:t>0</w:t>
            </w:r>
          </w:p>
        </w:tc>
      </w:tr>
      <w:tr w:rsidR="00927644" w:rsidRPr="00116886" w14:paraId="776D4A00" w14:textId="77777777" w:rsidTr="00D24A9E">
        <w:tc>
          <w:tcPr>
            <w:tcW w:w="1093" w:type="pct"/>
          </w:tcPr>
          <w:p w14:paraId="33FE5F40" w14:textId="77777777" w:rsidR="00927644" w:rsidRPr="00B86FE8" w:rsidRDefault="00927644" w:rsidP="00D24A9E">
            <w:pPr>
              <w:pStyle w:val="TableTextLeft"/>
              <w:rPr>
                <w:color w:val="002C47" w:themeColor="accent1"/>
              </w:rPr>
            </w:pPr>
            <w:r w:rsidRPr="00B86FE8">
              <w:rPr>
                <w:color w:val="002C47" w:themeColor="accent1"/>
              </w:rPr>
              <w:t>Victoria</w:t>
            </w:r>
          </w:p>
        </w:tc>
        <w:tc>
          <w:tcPr>
            <w:tcW w:w="488" w:type="pct"/>
            <w:tcBorders>
              <w:top w:val="nil"/>
              <w:left w:val="nil"/>
              <w:bottom w:val="nil"/>
              <w:right w:val="nil"/>
            </w:tcBorders>
            <w:vAlign w:val="center"/>
          </w:tcPr>
          <w:p w14:paraId="4098E388" w14:textId="3A08A476" w:rsidR="00927644" w:rsidRPr="00D16476" w:rsidRDefault="00283A4C" w:rsidP="000649FA">
            <w:pPr>
              <w:pStyle w:val="TableTextLeft"/>
              <w:jc w:val="right"/>
            </w:pPr>
            <w:r w:rsidRPr="00D16476">
              <w:t>-</w:t>
            </w:r>
            <w:r w:rsidR="00927644" w:rsidRPr="00D16476">
              <w:t>1,636</w:t>
            </w:r>
          </w:p>
        </w:tc>
        <w:tc>
          <w:tcPr>
            <w:tcW w:w="488" w:type="pct"/>
            <w:tcBorders>
              <w:top w:val="nil"/>
              <w:left w:val="nil"/>
              <w:bottom w:val="nil"/>
              <w:right w:val="nil"/>
            </w:tcBorders>
            <w:vAlign w:val="center"/>
          </w:tcPr>
          <w:p w14:paraId="445DA49C" w14:textId="136DB0A8" w:rsidR="00927644" w:rsidRPr="00D16476" w:rsidRDefault="00283A4C" w:rsidP="000649FA">
            <w:pPr>
              <w:pStyle w:val="TableTextLeft"/>
              <w:jc w:val="right"/>
            </w:pPr>
            <w:r w:rsidRPr="00D16476">
              <w:t>-</w:t>
            </w:r>
            <w:r w:rsidR="00FD4155" w:rsidRPr="00D16476">
              <w:t>6.1</w:t>
            </w:r>
          </w:p>
        </w:tc>
        <w:tc>
          <w:tcPr>
            <w:tcW w:w="488" w:type="pct"/>
            <w:tcBorders>
              <w:top w:val="nil"/>
              <w:left w:val="nil"/>
              <w:bottom w:val="nil"/>
              <w:right w:val="nil"/>
            </w:tcBorders>
            <w:vAlign w:val="center"/>
          </w:tcPr>
          <w:p w14:paraId="5780C418" w14:textId="4AB3C448" w:rsidR="00927644" w:rsidRPr="00D16476" w:rsidRDefault="00283A4C" w:rsidP="000649FA">
            <w:pPr>
              <w:pStyle w:val="TableTextLeft"/>
              <w:jc w:val="right"/>
            </w:pPr>
            <w:r w:rsidRPr="00D16476">
              <w:t>-</w:t>
            </w:r>
            <w:r w:rsidR="00927644" w:rsidRPr="00D16476">
              <w:t>3,577</w:t>
            </w:r>
          </w:p>
        </w:tc>
        <w:tc>
          <w:tcPr>
            <w:tcW w:w="488" w:type="pct"/>
            <w:tcBorders>
              <w:top w:val="nil"/>
              <w:left w:val="nil"/>
              <w:bottom w:val="nil"/>
              <w:right w:val="nil"/>
            </w:tcBorders>
            <w:vAlign w:val="center"/>
          </w:tcPr>
          <w:p w14:paraId="01EFBB3E" w14:textId="21D32CAE" w:rsidR="00927644" w:rsidRPr="00D16476" w:rsidRDefault="00283A4C" w:rsidP="000649FA">
            <w:pPr>
              <w:pStyle w:val="TableTextLeft"/>
              <w:jc w:val="right"/>
            </w:pPr>
            <w:r w:rsidRPr="00D16476">
              <w:t>-</w:t>
            </w:r>
            <w:r w:rsidR="00927644" w:rsidRPr="00D16476">
              <w:t>4.</w:t>
            </w:r>
            <w:r w:rsidR="00FD4155" w:rsidRPr="00D16476">
              <w:t>5</w:t>
            </w:r>
          </w:p>
        </w:tc>
        <w:tc>
          <w:tcPr>
            <w:tcW w:w="488" w:type="pct"/>
            <w:tcBorders>
              <w:top w:val="nil"/>
              <w:left w:val="nil"/>
              <w:bottom w:val="nil"/>
              <w:right w:val="nil"/>
            </w:tcBorders>
            <w:vAlign w:val="center"/>
          </w:tcPr>
          <w:p w14:paraId="64EEE9ED" w14:textId="77777777" w:rsidR="00927644" w:rsidRPr="00D16476" w:rsidRDefault="00927644" w:rsidP="000649FA">
            <w:pPr>
              <w:pStyle w:val="TableTextLeft"/>
              <w:jc w:val="right"/>
            </w:pPr>
            <w:r w:rsidRPr="00D16476">
              <w:t>1,549</w:t>
            </w:r>
          </w:p>
        </w:tc>
        <w:tc>
          <w:tcPr>
            <w:tcW w:w="488" w:type="pct"/>
            <w:tcBorders>
              <w:top w:val="nil"/>
              <w:left w:val="nil"/>
              <w:bottom w:val="nil"/>
              <w:right w:val="nil"/>
            </w:tcBorders>
            <w:vAlign w:val="center"/>
          </w:tcPr>
          <w:p w14:paraId="3C910FFA" w14:textId="77777777" w:rsidR="00927644" w:rsidRPr="00D16476" w:rsidRDefault="00927644" w:rsidP="000649FA">
            <w:pPr>
              <w:pStyle w:val="TableTextLeft"/>
              <w:jc w:val="right"/>
            </w:pPr>
            <w:r w:rsidRPr="00D16476">
              <w:t>2.3</w:t>
            </w:r>
          </w:p>
        </w:tc>
        <w:tc>
          <w:tcPr>
            <w:tcW w:w="488" w:type="pct"/>
            <w:tcBorders>
              <w:top w:val="nil"/>
              <w:left w:val="nil"/>
              <w:bottom w:val="nil"/>
              <w:right w:val="nil"/>
            </w:tcBorders>
            <w:vAlign w:val="center"/>
          </w:tcPr>
          <w:p w14:paraId="241EC35D" w14:textId="77777777" w:rsidR="00927644" w:rsidRPr="00D16476" w:rsidRDefault="00927644" w:rsidP="000649FA">
            <w:pPr>
              <w:pStyle w:val="TableTextLeft"/>
              <w:jc w:val="right"/>
            </w:pPr>
            <w:r w:rsidRPr="00D16476">
              <w:t>2,838</w:t>
            </w:r>
          </w:p>
        </w:tc>
        <w:tc>
          <w:tcPr>
            <w:tcW w:w="488" w:type="pct"/>
            <w:tcBorders>
              <w:top w:val="nil"/>
              <w:left w:val="nil"/>
              <w:bottom w:val="nil"/>
              <w:right w:val="nil"/>
            </w:tcBorders>
            <w:vAlign w:val="center"/>
          </w:tcPr>
          <w:p w14:paraId="4B397C95" w14:textId="5EA292C5" w:rsidR="00927644" w:rsidRPr="00D16476" w:rsidRDefault="00927644" w:rsidP="000649FA">
            <w:pPr>
              <w:pStyle w:val="TableTextLeft"/>
              <w:jc w:val="right"/>
            </w:pPr>
            <w:r w:rsidRPr="00D16476">
              <w:t>3.</w:t>
            </w:r>
            <w:r w:rsidR="00FD4155" w:rsidRPr="00D16476">
              <w:t>3</w:t>
            </w:r>
          </w:p>
        </w:tc>
      </w:tr>
      <w:tr w:rsidR="00927644" w:rsidRPr="00116886" w14:paraId="7EA2E0DE" w14:textId="77777777" w:rsidTr="00D24A9E">
        <w:tc>
          <w:tcPr>
            <w:tcW w:w="1093" w:type="pct"/>
          </w:tcPr>
          <w:p w14:paraId="36BCD517" w14:textId="77777777" w:rsidR="00927644" w:rsidRPr="00B86FE8" w:rsidRDefault="00927644" w:rsidP="00D24A9E">
            <w:pPr>
              <w:pStyle w:val="TableTextLeft"/>
              <w:rPr>
                <w:color w:val="002C47" w:themeColor="accent1"/>
              </w:rPr>
            </w:pPr>
            <w:r w:rsidRPr="00B86FE8">
              <w:rPr>
                <w:color w:val="002C47" w:themeColor="accent1"/>
              </w:rPr>
              <w:t>Queensland</w:t>
            </w:r>
          </w:p>
        </w:tc>
        <w:tc>
          <w:tcPr>
            <w:tcW w:w="488" w:type="pct"/>
            <w:tcBorders>
              <w:top w:val="nil"/>
              <w:left w:val="nil"/>
              <w:bottom w:val="nil"/>
              <w:right w:val="nil"/>
            </w:tcBorders>
            <w:vAlign w:val="center"/>
          </w:tcPr>
          <w:p w14:paraId="0547AD33" w14:textId="77777777" w:rsidR="00927644" w:rsidRPr="00D16476" w:rsidRDefault="00927644" w:rsidP="000649FA">
            <w:pPr>
              <w:pStyle w:val="TableTextLeft"/>
              <w:jc w:val="right"/>
            </w:pPr>
            <w:r w:rsidRPr="00D16476">
              <w:t>1,166</w:t>
            </w:r>
          </w:p>
        </w:tc>
        <w:tc>
          <w:tcPr>
            <w:tcW w:w="488" w:type="pct"/>
            <w:tcBorders>
              <w:top w:val="nil"/>
              <w:left w:val="nil"/>
              <w:bottom w:val="nil"/>
              <w:right w:val="nil"/>
            </w:tcBorders>
            <w:vAlign w:val="center"/>
          </w:tcPr>
          <w:p w14:paraId="29CC28D6" w14:textId="0656FD75" w:rsidR="00927644" w:rsidRPr="00D16476" w:rsidRDefault="00927644" w:rsidP="000649FA">
            <w:pPr>
              <w:pStyle w:val="TableTextLeft"/>
              <w:jc w:val="right"/>
            </w:pPr>
            <w:r w:rsidRPr="00D16476">
              <w:t>5.</w:t>
            </w:r>
            <w:r w:rsidR="00FD4155" w:rsidRPr="00D16476">
              <w:t>0</w:t>
            </w:r>
          </w:p>
        </w:tc>
        <w:tc>
          <w:tcPr>
            <w:tcW w:w="488" w:type="pct"/>
            <w:tcBorders>
              <w:top w:val="nil"/>
              <w:left w:val="nil"/>
              <w:bottom w:val="nil"/>
              <w:right w:val="nil"/>
            </w:tcBorders>
            <w:vAlign w:val="center"/>
          </w:tcPr>
          <w:p w14:paraId="18477322" w14:textId="0E027843" w:rsidR="00927644" w:rsidRPr="00D16476" w:rsidRDefault="00283A4C" w:rsidP="000649FA">
            <w:pPr>
              <w:pStyle w:val="TableTextLeft"/>
              <w:jc w:val="right"/>
            </w:pPr>
            <w:r w:rsidRPr="00D16476">
              <w:t>-</w:t>
            </w:r>
            <w:r w:rsidR="00927644" w:rsidRPr="00D16476">
              <w:t>2,075</w:t>
            </w:r>
          </w:p>
        </w:tc>
        <w:tc>
          <w:tcPr>
            <w:tcW w:w="488" w:type="pct"/>
            <w:tcBorders>
              <w:top w:val="nil"/>
              <w:left w:val="nil"/>
              <w:bottom w:val="nil"/>
              <w:right w:val="nil"/>
            </w:tcBorders>
            <w:vAlign w:val="center"/>
          </w:tcPr>
          <w:p w14:paraId="0818AD95" w14:textId="654DE226" w:rsidR="00927644" w:rsidRPr="00D16476" w:rsidRDefault="00283A4C" w:rsidP="000649FA">
            <w:pPr>
              <w:pStyle w:val="TableTextLeft"/>
              <w:jc w:val="right"/>
            </w:pPr>
            <w:r w:rsidRPr="00D16476">
              <w:t>-</w:t>
            </w:r>
            <w:r w:rsidR="00927644" w:rsidRPr="00D16476">
              <w:t>5.</w:t>
            </w:r>
            <w:r w:rsidR="00FD4155" w:rsidRPr="00D16476">
              <w:t>7</w:t>
            </w:r>
          </w:p>
        </w:tc>
        <w:tc>
          <w:tcPr>
            <w:tcW w:w="488" w:type="pct"/>
            <w:tcBorders>
              <w:top w:val="nil"/>
              <w:left w:val="nil"/>
              <w:bottom w:val="nil"/>
              <w:right w:val="nil"/>
            </w:tcBorders>
            <w:vAlign w:val="center"/>
          </w:tcPr>
          <w:p w14:paraId="35C7D285" w14:textId="77777777" w:rsidR="00927644" w:rsidRPr="00D16476" w:rsidRDefault="00927644" w:rsidP="000649FA">
            <w:pPr>
              <w:pStyle w:val="TableTextLeft"/>
              <w:jc w:val="right"/>
            </w:pPr>
            <w:r w:rsidRPr="00D16476">
              <w:t>5,724</w:t>
            </w:r>
          </w:p>
        </w:tc>
        <w:tc>
          <w:tcPr>
            <w:tcW w:w="488" w:type="pct"/>
            <w:tcBorders>
              <w:top w:val="nil"/>
              <w:left w:val="nil"/>
              <w:bottom w:val="nil"/>
              <w:right w:val="nil"/>
            </w:tcBorders>
            <w:vAlign w:val="center"/>
          </w:tcPr>
          <w:p w14:paraId="4DE4044B" w14:textId="5F2D3B6E" w:rsidR="00927644" w:rsidRPr="00D16476" w:rsidRDefault="00927644" w:rsidP="000649FA">
            <w:pPr>
              <w:pStyle w:val="TableTextLeft"/>
              <w:jc w:val="right"/>
            </w:pPr>
            <w:r w:rsidRPr="00D16476">
              <w:t>5.</w:t>
            </w:r>
            <w:r w:rsidR="00FD4155" w:rsidRPr="00D16476">
              <w:t>2</w:t>
            </w:r>
          </w:p>
        </w:tc>
        <w:tc>
          <w:tcPr>
            <w:tcW w:w="488" w:type="pct"/>
            <w:tcBorders>
              <w:top w:val="nil"/>
              <w:left w:val="nil"/>
              <w:bottom w:val="nil"/>
              <w:right w:val="nil"/>
            </w:tcBorders>
            <w:vAlign w:val="center"/>
          </w:tcPr>
          <w:p w14:paraId="3F859221" w14:textId="77777777" w:rsidR="00927644" w:rsidRPr="00D16476" w:rsidRDefault="00927644" w:rsidP="000649FA">
            <w:pPr>
              <w:pStyle w:val="TableTextLeft"/>
              <w:jc w:val="right"/>
            </w:pPr>
            <w:r w:rsidRPr="00D16476">
              <w:t>6,498</w:t>
            </w:r>
          </w:p>
        </w:tc>
        <w:tc>
          <w:tcPr>
            <w:tcW w:w="488" w:type="pct"/>
            <w:tcBorders>
              <w:top w:val="nil"/>
              <w:left w:val="nil"/>
              <w:bottom w:val="nil"/>
              <w:right w:val="nil"/>
            </w:tcBorders>
            <w:vAlign w:val="center"/>
          </w:tcPr>
          <w:p w14:paraId="0243D083" w14:textId="786905C1" w:rsidR="00927644" w:rsidRPr="00D16476" w:rsidRDefault="00FD4155" w:rsidP="000649FA">
            <w:pPr>
              <w:pStyle w:val="TableTextLeft"/>
              <w:jc w:val="right"/>
            </w:pPr>
            <w:r w:rsidRPr="00D16476">
              <w:t>8.3</w:t>
            </w:r>
          </w:p>
        </w:tc>
      </w:tr>
      <w:tr w:rsidR="00927644" w:rsidRPr="00116886" w14:paraId="09300FFF" w14:textId="77777777" w:rsidTr="00D24A9E">
        <w:tc>
          <w:tcPr>
            <w:tcW w:w="1093" w:type="pct"/>
          </w:tcPr>
          <w:p w14:paraId="49999618" w14:textId="77777777" w:rsidR="00927644" w:rsidRPr="00B86FE8" w:rsidRDefault="00927644" w:rsidP="00D24A9E">
            <w:pPr>
              <w:pStyle w:val="TableTextLeft"/>
              <w:rPr>
                <w:color w:val="002C47" w:themeColor="accent1"/>
              </w:rPr>
            </w:pPr>
            <w:r w:rsidRPr="00B86FE8">
              <w:rPr>
                <w:color w:val="002C47" w:themeColor="accent1"/>
              </w:rPr>
              <w:t>South Australia</w:t>
            </w:r>
          </w:p>
        </w:tc>
        <w:tc>
          <w:tcPr>
            <w:tcW w:w="488" w:type="pct"/>
            <w:tcBorders>
              <w:top w:val="nil"/>
              <w:left w:val="nil"/>
              <w:bottom w:val="nil"/>
              <w:right w:val="nil"/>
            </w:tcBorders>
            <w:vAlign w:val="center"/>
          </w:tcPr>
          <w:p w14:paraId="241FE16D" w14:textId="2F43EABC" w:rsidR="00927644" w:rsidRPr="00D16476" w:rsidRDefault="00283A4C" w:rsidP="000649FA">
            <w:pPr>
              <w:pStyle w:val="TableTextLeft"/>
              <w:jc w:val="right"/>
            </w:pPr>
            <w:r w:rsidRPr="00D16476">
              <w:t>-</w:t>
            </w:r>
            <w:r w:rsidR="00927644" w:rsidRPr="00D16476">
              <w:t>59</w:t>
            </w:r>
          </w:p>
        </w:tc>
        <w:tc>
          <w:tcPr>
            <w:tcW w:w="488" w:type="pct"/>
            <w:tcBorders>
              <w:top w:val="nil"/>
              <w:left w:val="nil"/>
              <w:bottom w:val="nil"/>
              <w:right w:val="nil"/>
            </w:tcBorders>
            <w:vAlign w:val="center"/>
          </w:tcPr>
          <w:p w14:paraId="7617C9BE" w14:textId="5B90F51A" w:rsidR="00927644" w:rsidRPr="00D16476" w:rsidRDefault="00283A4C" w:rsidP="000649FA">
            <w:pPr>
              <w:pStyle w:val="TableTextLeft"/>
              <w:jc w:val="right"/>
            </w:pPr>
            <w:r w:rsidRPr="00D16476">
              <w:t>-</w:t>
            </w:r>
            <w:r w:rsidR="00927644" w:rsidRPr="00D16476">
              <w:t>1.0</w:t>
            </w:r>
          </w:p>
        </w:tc>
        <w:tc>
          <w:tcPr>
            <w:tcW w:w="488" w:type="pct"/>
            <w:tcBorders>
              <w:top w:val="nil"/>
              <w:left w:val="nil"/>
              <w:bottom w:val="nil"/>
              <w:right w:val="nil"/>
            </w:tcBorders>
            <w:vAlign w:val="center"/>
          </w:tcPr>
          <w:p w14:paraId="09A3723E" w14:textId="6317D93C" w:rsidR="00927644" w:rsidRPr="00D16476" w:rsidRDefault="00283A4C" w:rsidP="000649FA">
            <w:pPr>
              <w:pStyle w:val="TableTextLeft"/>
              <w:jc w:val="right"/>
            </w:pPr>
            <w:r w:rsidRPr="00D16476">
              <w:t>-</w:t>
            </w:r>
            <w:r w:rsidR="00927644" w:rsidRPr="00D16476">
              <w:t>338</w:t>
            </w:r>
          </w:p>
        </w:tc>
        <w:tc>
          <w:tcPr>
            <w:tcW w:w="488" w:type="pct"/>
            <w:tcBorders>
              <w:top w:val="nil"/>
              <w:left w:val="nil"/>
              <w:bottom w:val="nil"/>
              <w:right w:val="nil"/>
            </w:tcBorders>
            <w:vAlign w:val="center"/>
          </w:tcPr>
          <w:p w14:paraId="5E625D82" w14:textId="4FAAEFC3" w:rsidR="00927644" w:rsidRPr="00D16476" w:rsidRDefault="00283A4C" w:rsidP="000649FA">
            <w:pPr>
              <w:pStyle w:val="TableTextLeft"/>
              <w:jc w:val="right"/>
            </w:pPr>
            <w:r w:rsidRPr="00D16476">
              <w:t>-</w:t>
            </w:r>
            <w:r w:rsidR="00927644" w:rsidRPr="00D16476">
              <w:t>3.</w:t>
            </w:r>
            <w:r w:rsidR="00FD4155" w:rsidRPr="00D16476">
              <w:t>8</w:t>
            </w:r>
          </w:p>
        </w:tc>
        <w:tc>
          <w:tcPr>
            <w:tcW w:w="488" w:type="pct"/>
            <w:tcBorders>
              <w:top w:val="nil"/>
              <w:left w:val="nil"/>
              <w:bottom w:val="nil"/>
              <w:right w:val="nil"/>
            </w:tcBorders>
            <w:vAlign w:val="center"/>
          </w:tcPr>
          <w:p w14:paraId="7EAA2BC6" w14:textId="77777777" w:rsidR="00927644" w:rsidRPr="00D16476" w:rsidRDefault="00927644" w:rsidP="000649FA">
            <w:pPr>
              <w:pStyle w:val="TableTextLeft"/>
              <w:jc w:val="right"/>
            </w:pPr>
            <w:r w:rsidRPr="00D16476">
              <w:t>1,300</w:t>
            </w:r>
          </w:p>
        </w:tc>
        <w:tc>
          <w:tcPr>
            <w:tcW w:w="488" w:type="pct"/>
            <w:tcBorders>
              <w:top w:val="nil"/>
              <w:left w:val="nil"/>
              <w:bottom w:val="nil"/>
              <w:right w:val="nil"/>
            </w:tcBorders>
            <w:vAlign w:val="center"/>
          </w:tcPr>
          <w:p w14:paraId="615E4C2E" w14:textId="46E57B74" w:rsidR="00927644" w:rsidRPr="00D16476" w:rsidRDefault="00FD4155" w:rsidP="000649FA">
            <w:pPr>
              <w:pStyle w:val="TableTextLeft"/>
              <w:jc w:val="right"/>
            </w:pPr>
            <w:r w:rsidRPr="00D16476">
              <w:t>4.9</w:t>
            </w:r>
          </w:p>
        </w:tc>
        <w:tc>
          <w:tcPr>
            <w:tcW w:w="488" w:type="pct"/>
            <w:tcBorders>
              <w:top w:val="nil"/>
              <w:left w:val="nil"/>
              <w:bottom w:val="nil"/>
              <w:right w:val="nil"/>
            </w:tcBorders>
            <w:vAlign w:val="center"/>
          </w:tcPr>
          <w:p w14:paraId="799D6749" w14:textId="77777777" w:rsidR="00927644" w:rsidRPr="00D16476" w:rsidRDefault="00927644" w:rsidP="000649FA">
            <w:pPr>
              <w:pStyle w:val="TableTextLeft"/>
              <w:jc w:val="right"/>
            </w:pPr>
            <w:r w:rsidRPr="00D16476">
              <w:t>1,918</w:t>
            </w:r>
          </w:p>
        </w:tc>
        <w:tc>
          <w:tcPr>
            <w:tcW w:w="488" w:type="pct"/>
            <w:tcBorders>
              <w:top w:val="nil"/>
              <w:left w:val="nil"/>
              <w:bottom w:val="nil"/>
              <w:right w:val="nil"/>
            </w:tcBorders>
            <w:vAlign w:val="center"/>
          </w:tcPr>
          <w:p w14:paraId="26904EE9" w14:textId="4CBE72ED" w:rsidR="00927644" w:rsidRPr="00D16476" w:rsidRDefault="00FD4155" w:rsidP="000649FA">
            <w:pPr>
              <w:pStyle w:val="TableTextLeft"/>
              <w:jc w:val="right"/>
            </w:pPr>
            <w:r w:rsidRPr="00D16476">
              <w:t>7.5</w:t>
            </w:r>
          </w:p>
        </w:tc>
      </w:tr>
      <w:tr w:rsidR="00927644" w:rsidRPr="00116886" w14:paraId="007371BF" w14:textId="77777777" w:rsidTr="00D24A9E">
        <w:tc>
          <w:tcPr>
            <w:tcW w:w="1093" w:type="pct"/>
            <w:tcBorders>
              <w:bottom w:val="nil"/>
            </w:tcBorders>
          </w:tcPr>
          <w:p w14:paraId="13E26AD4" w14:textId="77777777" w:rsidR="00927644" w:rsidRPr="00B86FE8" w:rsidRDefault="00927644" w:rsidP="00D24A9E">
            <w:pPr>
              <w:pStyle w:val="TableTextLeft"/>
              <w:rPr>
                <w:color w:val="002C47" w:themeColor="accent1"/>
              </w:rPr>
            </w:pPr>
            <w:r w:rsidRPr="00B86FE8">
              <w:rPr>
                <w:color w:val="002C47" w:themeColor="accent1"/>
              </w:rPr>
              <w:t>Western Australia</w:t>
            </w:r>
          </w:p>
        </w:tc>
        <w:tc>
          <w:tcPr>
            <w:tcW w:w="488" w:type="pct"/>
            <w:tcBorders>
              <w:top w:val="nil"/>
              <w:left w:val="nil"/>
              <w:bottom w:val="nil"/>
              <w:right w:val="nil"/>
            </w:tcBorders>
            <w:vAlign w:val="center"/>
          </w:tcPr>
          <w:p w14:paraId="7028FB8A" w14:textId="017F28C9" w:rsidR="00927644" w:rsidRPr="00D16476" w:rsidRDefault="00283A4C" w:rsidP="000649FA">
            <w:pPr>
              <w:pStyle w:val="TableTextLeft"/>
              <w:jc w:val="right"/>
            </w:pPr>
            <w:r w:rsidRPr="00D16476">
              <w:t>-</w:t>
            </w:r>
            <w:r w:rsidR="00927644" w:rsidRPr="00D16476">
              <w:t>229</w:t>
            </w:r>
          </w:p>
        </w:tc>
        <w:tc>
          <w:tcPr>
            <w:tcW w:w="488" w:type="pct"/>
            <w:tcBorders>
              <w:top w:val="nil"/>
              <w:left w:val="nil"/>
              <w:bottom w:val="nil"/>
              <w:right w:val="nil"/>
            </w:tcBorders>
            <w:vAlign w:val="center"/>
          </w:tcPr>
          <w:p w14:paraId="6F46C3A2" w14:textId="064C588D" w:rsidR="00927644" w:rsidRPr="00D16476" w:rsidRDefault="00283A4C" w:rsidP="000649FA">
            <w:pPr>
              <w:pStyle w:val="TableTextLeft"/>
              <w:jc w:val="right"/>
            </w:pPr>
            <w:r w:rsidRPr="00D16476">
              <w:t>-</w:t>
            </w:r>
            <w:r w:rsidR="00927644" w:rsidRPr="00D16476">
              <w:t>1.8</w:t>
            </w:r>
          </w:p>
        </w:tc>
        <w:tc>
          <w:tcPr>
            <w:tcW w:w="488" w:type="pct"/>
            <w:tcBorders>
              <w:top w:val="nil"/>
              <w:left w:val="nil"/>
              <w:bottom w:val="nil"/>
              <w:right w:val="nil"/>
            </w:tcBorders>
            <w:vAlign w:val="center"/>
          </w:tcPr>
          <w:p w14:paraId="08CC0A47" w14:textId="39EDCF2C" w:rsidR="00927644" w:rsidRPr="00D16476" w:rsidRDefault="00283A4C" w:rsidP="000649FA">
            <w:pPr>
              <w:pStyle w:val="TableTextLeft"/>
              <w:jc w:val="right"/>
            </w:pPr>
            <w:r w:rsidRPr="00D16476">
              <w:t>-</w:t>
            </w:r>
            <w:r w:rsidR="00927644" w:rsidRPr="00D16476">
              <w:t>895</w:t>
            </w:r>
          </w:p>
        </w:tc>
        <w:tc>
          <w:tcPr>
            <w:tcW w:w="488" w:type="pct"/>
            <w:tcBorders>
              <w:top w:val="nil"/>
              <w:left w:val="nil"/>
              <w:bottom w:val="nil"/>
              <w:right w:val="nil"/>
            </w:tcBorders>
            <w:vAlign w:val="center"/>
          </w:tcPr>
          <w:p w14:paraId="16B2F2FA" w14:textId="738D4546" w:rsidR="00927644" w:rsidRPr="00D16476" w:rsidRDefault="00283A4C" w:rsidP="000649FA">
            <w:pPr>
              <w:pStyle w:val="TableTextLeft"/>
              <w:jc w:val="right"/>
            </w:pPr>
            <w:r w:rsidRPr="00D16476">
              <w:t>-</w:t>
            </w:r>
            <w:r w:rsidR="00FD4155" w:rsidRPr="00D16476">
              <w:t>5.0</w:t>
            </w:r>
          </w:p>
        </w:tc>
        <w:tc>
          <w:tcPr>
            <w:tcW w:w="488" w:type="pct"/>
            <w:tcBorders>
              <w:top w:val="nil"/>
              <w:left w:val="nil"/>
              <w:bottom w:val="nil"/>
              <w:right w:val="nil"/>
            </w:tcBorders>
            <w:vAlign w:val="center"/>
          </w:tcPr>
          <w:p w14:paraId="6A202899" w14:textId="77777777" w:rsidR="00927644" w:rsidRPr="00D16476" w:rsidRDefault="00927644" w:rsidP="000649FA">
            <w:pPr>
              <w:pStyle w:val="TableTextLeft"/>
              <w:jc w:val="right"/>
            </w:pPr>
            <w:r w:rsidRPr="00D16476">
              <w:t>2,382</w:t>
            </w:r>
          </w:p>
        </w:tc>
        <w:tc>
          <w:tcPr>
            <w:tcW w:w="488" w:type="pct"/>
            <w:tcBorders>
              <w:top w:val="nil"/>
              <w:left w:val="nil"/>
              <w:bottom w:val="nil"/>
              <w:right w:val="nil"/>
            </w:tcBorders>
            <w:vAlign w:val="center"/>
          </w:tcPr>
          <w:p w14:paraId="6EC2763B" w14:textId="7159A01C" w:rsidR="00927644" w:rsidRPr="00D16476" w:rsidRDefault="00927644" w:rsidP="000649FA">
            <w:pPr>
              <w:pStyle w:val="TableTextLeft"/>
              <w:jc w:val="right"/>
            </w:pPr>
            <w:r w:rsidRPr="00D16476">
              <w:t>7.</w:t>
            </w:r>
            <w:r w:rsidR="00FD4155" w:rsidRPr="00D16476">
              <w:t>1</w:t>
            </w:r>
          </w:p>
        </w:tc>
        <w:tc>
          <w:tcPr>
            <w:tcW w:w="488" w:type="pct"/>
            <w:tcBorders>
              <w:top w:val="nil"/>
              <w:left w:val="nil"/>
              <w:bottom w:val="nil"/>
              <w:right w:val="nil"/>
            </w:tcBorders>
            <w:vAlign w:val="center"/>
          </w:tcPr>
          <w:p w14:paraId="353EB0EB" w14:textId="77777777" w:rsidR="00927644" w:rsidRPr="00D16476" w:rsidRDefault="00927644" w:rsidP="000649FA">
            <w:pPr>
              <w:pStyle w:val="TableTextLeft"/>
              <w:jc w:val="right"/>
            </w:pPr>
            <w:r w:rsidRPr="00D16476">
              <w:t>1,274</w:t>
            </w:r>
          </w:p>
        </w:tc>
        <w:tc>
          <w:tcPr>
            <w:tcW w:w="488" w:type="pct"/>
            <w:tcBorders>
              <w:top w:val="nil"/>
              <w:left w:val="nil"/>
              <w:bottom w:val="nil"/>
              <w:right w:val="nil"/>
            </w:tcBorders>
            <w:vAlign w:val="center"/>
          </w:tcPr>
          <w:p w14:paraId="4115E809" w14:textId="09111585" w:rsidR="00927644" w:rsidRPr="00D16476" w:rsidRDefault="00927644" w:rsidP="000649FA">
            <w:pPr>
              <w:pStyle w:val="TableTextLeft"/>
              <w:jc w:val="right"/>
            </w:pPr>
            <w:r w:rsidRPr="00D16476">
              <w:t>4.</w:t>
            </w:r>
            <w:r w:rsidR="00FD4155" w:rsidRPr="00D16476">
              <w:t>5</w:t>
            </w:r>
          </w:p>
        </w:tc>
      </w:tr>
      <w:tr w:rsidR="00927644" w:rsidRPr="00116886" w14:paraId="021490FF" w14:textId="77777777" w:rsidTr="00D24A9E">
        <w:tc>
          <w:tcPr>
            <w:tcW w:w="1093" w:type="pct"/>
            <w:tcBorders>
              <w:bottom w:val="nil"/>
            </w:tcBorders>
          </w:tcPr>
          <w:p w14:paraId="67DF6302" w14:textId="77777777" w:rsidR="00927644" w:rsidRPr="00B86FE8" w:rsidRDefault="00927644" w:rsidP="00D24A9E">
            <w:pPr>
              <w:pStyle w:val="TableTextLeft"/>
              <w:rPr>
                <w:color w:val="002C47" w:themeColor="accent1"/>
              </w:rPr>
            </w:pPr>
            <w:r w:rsidRPr="00B86FE8">
              <w:rPr>
                <w:color w:val="002C47" w:themeColor="accent1"/>
              </w:rPr>
              <w:t>Tasmania</w:t>
            </w:r>
          </w:p>
        </w:tc>
        <w:tc>
          <w:tcPr>
            <w:tcW w:w="488" w:type="pct"/>
            <w:tcBorders>
              <w:top w:val="nil"/>
              <w:left w:val="nil"/>
              <w:bottom w:val="nil"/>
              <w:right w:val="nil"/>
            </w:tcBorders>
            <w:vAlign w:val="center"/>
          </w:tcPr>
          <w:p w14:paraId="7FE62D86" w14:textId="530420FD" w:rsidR="00927644" w:rsidRPr="00D16476" w:rsidRDefault="00283A4C" w:rsidP="000649FA">
            <w:pPr>
              <w:pStyle w:val="TableTextLeft"/>
              <w:jc w:val="right"/>
            </w:pPr>
            <w:r w:rsidRPr="00D16476">
              <w:t>-</w:t>
            </w:r>
            <w:r w:rsidR="00927644" w:rsidRPr="00D16476">
              <w:t>95</w:t>
            </w:r>
          </w:p>
        </w:tc>
        <w:tc>
          <w:tcPr>
            <w:tcW w:w="488" w:type="pct"/>
            <w:tcBorders>
              <w:top w:val="nil"/>
              <w:left w:val="nil"/>
              <w:bottom w:val="nil"/>
              <w:right w:val="nil"/>
            </w:tcBorders>
            <w:vAlign w:val="center"/>
          </w:tcPr>
          <w:p w14:paraId="3C6D6544" w14:textId="3240E9A7" w:rsidR="00927644" w:rsidRPr="00D16476" w:rsidRDefault="00283A4C" w:rsidP="000649FA">
            <w:pPr>
              <w:pStyle w:val="TableTextLeft"/>
              <w:jc w:val="right"/>
            </w:pPr>
            <w:r w:rsidRPr="00D16476">
              <w:t>-</w:t>
            </w:r>
            <w:r w:rsidR="00927644" w:rsidRPr="00D16476">
              <w:t>5.</w:t>
            </w:r>
            <w:r w:rsidR="00FD4155" w:rsidRPr="00D16476">
              <w:t>9</w:t>
            </w:r>
          </w:p>
        </w:tc>
        <w:tc>
          <w:tcPr>
            <w:tcW w:w="488" w:type="pct"/>
            <w:tcBorders>
              <w:top w:val="nil"/>
              <w:left w:val="nil"/>
              <w:bottom w:val="nil"/>
              <w:right w:val="nil"/>
            </w:tcBorders>
            <w:vAlign w:val="center"/>
          </w:tcPr>
          <w:p w14:paraId="4BD2B7A5" w14:textId="77777777" w:rsidR="00927644" w:rsidRPr="00D16476" w:rsidRDefault="00927644" w:rsidP="000649FA">
            <w:pPr>
              <w:pStyle w:val="TableTextLeft"/>
              <w:jc w:val="right"/>
            </w:pPr>
            <w:r w:rsidRPr="00D16476">
              <w:t>23</w:t>
            </w:r>
          </w:p>
        </w:tc>
        <w:tc>
          <w:tcPr>
            <w:tcW w:w="488" w:type="pct"/>
            <w:tcBorders>
              <w:top w:val="nil"/>
              <w:left w:val="nil"/>
              <w:bottom w:val="nil"/>
              <w:right w:val="nil"/>
            </w:tcBorders>
            <w:vAlign w:val="center"/>
          </w:tcPr>
          <w:p w14:paraId="6DDC1BE4" w14:textId="77777777" w:rsidR="00927644" w:rsidRPr="00D16476" w:rsidRDefault="00927644" w:rsidP="000649FA">
            <w:pPr>
              <w:pStyle w:val="TableTextLeft"/>
              <w:jc w:val="right"/>
            </w:pPr>
            <w:r w:rsidRPr="00D16476">
              <w:t>1.2</w:t>
            </w:r>
          </w:p>
        </w:tc>
        <w:tc>
          <w:tcPr>
            <w:tcW w:w="488" w:type="pct"/>
            <w:tcBorders>
              <w:top w:val="nil"/>
              <w:left w:val="nil"/>
              <w:bottom w:val="nil"/>
              <w:right w:val="nil"/>
            </w:tcBorders>
            <w:vAlign w:val="center"/>
          </w:tcPr>
          <w:p w14:paraId="3026E9B3" w14:textId="1FF38837" w:rsidR="00927644" w:rsidRPr="00D16476" w:rsidRDefault="00283A4C" w:rsidP="000649FA">
            <w:pPr>
              <w:pStyle w:val="TableTextLeft"/>
              <w:jc w:val="right"/>
            </w:pPr>
            <w:r w:rsidRPr="00D16476">
              <w:t>-</w:t>
            </w:r>
            <w:r w:rsidR="00927644" w:rsidRPr="00D16476">
              <w:t>93</w:t>
            </w:r>
          </w:p>
        </w:tc>
        <w:tc>
          <w:tcPr>
            <w:tcW w:w="488" w:type="pct"/>
            <w:tcBorders>
              <w:top w:val="nil"/>
              <w:left w:val="nil"/>
              <w:bottom w:val="nil"/>
              <w:right w:val="nil"/>
            </w:tcBorders>
            <w:vAlign w:val="center"/>
          </w:tcPr>
          <w:p w14:paraId="5FE032D8" w14:textId="5CBD7960" w:rsidR="00927644" w:rsidRPr="00D16476" w:rsidRDefault="00283A4C" w:rsidP="000649FA">
            <w:pPr>
              <w:pStyle w:val="TableTextLeft"/>
              <w:jc w:val="right"/>
            </w:pPr>
            <w:r w:rsidRPr="00D16476">
              <w:t>-</w:t>
            </w:r>
            <w:r w:rsidR="00927644" w:rsidRPr="00D16476">
              <w:t>0.7</w:t>
            </w:r>
          </w:p>
        </w:tc>
        <w:tc>
          <w:tcPr>
            <w:tcW w:w="488" w:type="pct"/>
            <w:tcBorders>
              <w:top w:val="nil"/>
              <w:left w:val="nil"/>
              <w:bottom w:val="nil"/>
              <w:right w:val="nil"/>
            </w:tcBorders>
            <w:vAlign w:val="center"/>
          </w:tcPr>
          <w:p w14:paraId="370B78DD" w14:textId="77777777" w:rsidR="00927644" w:rsidRPr="00D16476" w:rsidRDefault="00927644" w:rsidP="000649FA">
            <w:pPr>
              <w:pStyle w:val="TableTextLeft"/>
              <w:jc w:val="right"/>
            </w:pPr>
            <w:r w:rsidRPr="00D16476">
              <w:t>1,305</w:t>
            </w:r>
          </w:p>
        </w:tc>
        <w:tc>
          <w:tcPr>
            <w:tcW w:w="488" w:type="pct"/>
            <w:tcBorders>
              <w:top w:val="nil"/>
              <w:left w:val="nil"/>
              <w:bottom w:val="nil"/>
              <w:right w:val="nil"/>
            </w:tcBorders>
            <w:vAlign w:val="center"/>
          </w:tcPr>
          <w:p w14:paraId="4E287B72" w14:textId="694551CE" w:rsidR="00927644" w:rsidRPr="00D16476" w:rsidRDefault="00FD4155" w:rsidP="000649FA">
            <w:pPr>
              <w:pStyle w:val="TableTextLeft"/>
              <w:jc w:val="right"/>
            </w:pPr>
            <w:r w:rsidRPr="00D16476">
              <w:t>9.9</w:t>
            </w:r>
          </w:p>
        </w:tc>
      </w:tr>
      <w:tr w:rsidR="00927644" w:rsidRPr="00116886" w14:paraId="7CC36F74" w14:textId="77777777" w:rsidTr="00D24A9E">
        <w:tc>
          <w:tcPr>
            <w:tcW w:w="1093" w:type="pct"/>
            <w:tcBorders>
              <w:top w:val="nil"/>
              <w:bottom w:val="nil"/>
            </w:tcBorders>
          </w:tcPr>
          <w:p w14:paraId="6A0B2C2C" w14:textId="77777777" w:rsidR="00927644" w:rsidRPr="00B86FE8" w:rsidRDefault="00927644" w:rsidP="00D24A9E">
            <w:pPr>
              <w:pStyle w:val="TableTextLeft"/>
              <w:rPr>
                <w:color w:val="002C47" w:themeColor="accent1"/>
              </w:rPr>
            </w:pPr>
            <w:r w:rsidRPr="00B86FE8">
              <w:rPr>
                <w:color w:val="002C47" w:themeColor="accent1"/>
              </w:rPr>
              <w:t>Northern Territory</w:t>
            </w:r>
          </w:p>
        </w:tc>
        <w:tc>
          <w:tcPr>
            <w:tcW w:w="488" w:type="pct"/>
            <w:tcBorders>
              <w:top w:val="nil"/>
              <w:left w:val="nil"/>
              <w:bottom w:val="nil"/>
              <w:right w:val="nil"/>
            </w:tcBorders>
            <w:vAlign w:val="center"/>
          </w:tcPr>
          <w:p w14:paraId="49AA9444" w14:textId="6BE63815" w:rsidR="00927644" w:rsidRPr="00D16476" w:rsidRDefault="00283A4C" w:rsidP="000649FA">
            <w:pPr>
              <w:pStyle w:val="TableTextLeft"/>
              <w:jc w:val="right"/>
            </w:pPr>
            <w:r w:rsidRPr="00D16476">
              <w:t>-</w:t>
            </w:r>
            <w:r w:rsidR="00927644" w:rsidRPr="00D16476">
              <w:t>305</w:t>
            </w:r>
          </w:p>
        </w:tc>
        <w:tc>
          <w:tcPr>
            <w:tcW w:w="488" w:type="pct"/>
            <w:tcBorders>
              <w:top w:val="nil"/>
              <w:left w:val="nil"/>
              <w:bottom w:val="nil"/>
              <w:right w:val="nil"/>
            </w:tcBorders>
            <w:vAlign w:val="center"/>
          </w:tcPr>
          <w:p w14:paraId="3006BDFC" w14:textId="3E0787B0" w:rsidR="00927644" w:rsidRPr="00D16476" w:rsidRDefault="00FD4155" w:rsidP="000649FA">
            <w:pPr>
              <w:pStyle w:val="TableTextLeft"/>
              <w:jc w:val="right"/>
            </w:pPr>
            <w:r w:rsidRPr="00D16476">
              <w:t>-21.1</w:t>
            </w:r>
          </w:p>
        </w:tc>
        <w:tc>
          <w:tcPr>
            <w:tcW w:w="488" w:type="pct"/>
            <w:tcBorders>
              <w:top w:val="nil"/>
              <w:left w:val="nil"/>
              <w:bottom w:val="nil"/>
              <w:right w:val="nil"/>
            </w:tcBorders>
            <w:vAlign w:val="center"/>
          </w:tcPr>
          <w:p w14:paraId="0DB338C1" w14:textId="482FD957" w:rsidR="00927644" w:rsidRPr="00D16476" w:rsidRDefault="00283A4C" w:rsidP="000649FA">
            <w:pPr>
              <w:pStyle w:val="TableTextLeft"/>
              <w:jc w:val="right"/>
            </w:pPr>
            <w:r w:rsidRPr="00D16476">
              <w:t>-</w:t>
            </w:r>
            <w:r w:rsidR="00927644" w:rsidRPr="00D16476">
              <w:t>400</w:t>
            </w:r>
          </w:p>
        </w:tc>
        <w:tc>
          <w:tcPr>
            <w:tcW w:w="488" w:type="pct"/>
            <w:tcBorders>
              <w:top w:val="nil"/>
              <w:left w:val="nil"/>
              <w:bottom w:val="nil"/>
              <w:right w:val="nil"/>
            </w:tcBorders>
            <w:vAlign w:val="center"/>
          </w:tcPr>
          <w:p w14:paraId="2F94ED2D" w14:textId="45E49E6E" w:rsidR="00927644" w:rsidRPr="00D16476" w:rsidRDefault="00FD4155" w:rsidP="000649FA">
            <w:pPr>
              <w:pStyle w:val="TableTextLeft"/>
              <w:jc w:val="right"/>
            </w:pPr>
            <w:r w:rsidRPr="00D16476">
              <w:t>-21.3</w:t>
            </w:r>
          </w:p>
        </w:tc>
        <w:tc>
          <w:tcPr>
            <w:tcW w:w="488" w:type="pct"/>
            <w:tcBorders>
              <w:top w:val="nil"/>
              <w:left w:val="nil"/>
              <w:bottom w:val="nil"/>
              <w:right w:val="nil"/>
            </w:tcBorders>
            <w:vAlign w:val="center"/>
          </w:tcPr>
          <w:p w14:paraId="7F5B9F80" w14:textId="3154523A" w:rsidR="00927644" w:rsidRPr="00D16476" w:rsidRDefault="00283A4C" w:rsidP="000649FA">
            <w:pPr>
              <w:pStyle w:val="TableTextLeft"/>
              <w:jc w:val="right"/>
            </w:pPr>
            <w:r w:rsidRPr="00D16476">
              <w:t>-</w:t>
            </w:r>
            <w:r w:rsidR="00927644" w:rsidRPr="00D16476">
              <w:t>809</w:t>
            </w:r>
          </w:p>
        </w:tc>
        <w:tc>
          <w:tcPr>
            <w:tcW w:w="488" w:type="pct"/>
            <w:tcBorders>
              <w:top w:val="nil"/>
              <w:left w:val="nil"/>
              <w:bottom w:val="nil"/>
              <w:right w:val="nil"/>
            </w:tcBorders>
            <w:vAlign w:val="center"/>
          </w:tcPr>
          <w:p w14:paraId="7902EEA1" w14:textId="5CA86159" w:rsidR="00927644" w:rsidRPr="00D16476" w:rsidRDefault="00283A4C" w:rsidP="000649FA">
            <w:pPr>
              <w:pStyle w:val="TableTextLeft"/>
              <w:jc w:val="right"/>
            </w:pPr>
            <w:r w:rsidRPr="00D16476">
              <w:t>-</w:t>
            </w:r>
            <w:r w:rsidR="00FD4155" w:rsidRPr="00D16476">
              <w:t>6.0</w:t>
            </w:r>
          </w:p>
        </w:tc>
        <w:tc>
          <w:tcPr>
            <w:tcW w:w="488" w:type="pct"/>
            <w:tcBorders>
              <w:top w:val="nil"/>
              <w:left w:val="nil"/>
              <w:bottom w:val="nil"/>
              <w:right w:val="nil"/>
            </w:tcBorders>
            <w:vAlign w:val="center"/>
          </w:tcPr>
          <w:p w14:paraId="00897D85" w14:textId="77777777" w:rsidR="00927644" w:rsidRPr="00D16476" w:rsidRDefault="00927644" w:rsidP="000649FA">
            <w:pPr>
              <w:pStyle w:val="TableTextLeft"/>
              <w:jc w:val="right"/>
            </w:pPr>
            <w:r w:rsidRPr="00D16476">
              <w:t>1,009</w:t>
            </w:r>
          </w:p>
        </w:tc>
        <w:tc>
          <w:tcPr>
            <w:tcW w:w="488" w:type="pct"/>
            <w:tcBorders>
              <w:top w:val="nil"/>
              <w:left w:val="nil"/>
              <w:bottom w:val="nil"/>
              <w:right w:val="nil"/>
            </w:tcBorders>
            <w:vAlign w:val="center"/>
          </w:tcPr>
          <w:p w14:paraId="35A10181" w14:textId="46D573A8" w:rsidR="00927644" w:rsidRPr="00D16476" w:rsidRDefault="00927644" w:rsidP="000649FA">
            <w:pPr>
              <w:pStyle w:val="TableTextLeft"/>
              <w:jc w:val="right"/>
            </w:pPr>
            <w:r w:rsidRPr="00D16476">
              <w:t>6.</w:t>
            </w:r>
            <w:r w:rsidR="00FD4155" w:rsidRPr="00D16476">
              <w:t>3</w:t>
            </w:r>
          </w:p>
        </w:tc>
      </w:tr>
      <w:tr w:rsidR="00927644" w:rsidRPr="00116886" w14:paraId="7EC9352D" w14:textId="77777777" w:rsidTr="00D24A9E">
        <w:tc>
          <w:tcPr>
            <w:tcW w:w="1093" w:type="pct"/>
            <w:tcBorders>
              <w:bottom w:val="single" w:sz="4" w:space="0" w:color="auto"/>
              <w:right w:val="nil"/>
            </w:tcBorders>
          </w:tcPr>
          <w:p w14:paraId="7097A648" w14:textId="77777777" w:rsidR="00927644" w:rsidRPr="00B86FE8" w:rsidRDefault="00927644" w:rsidP="00D24A9E">
            <w:pPr>
              <w:pStyle w:val="TableTextLeft"/>
              <w:rPr>
                <w:color w:val="002C47" w:themeColor="accent1"/>
              </w:rPr>
            </w:pPr>
            <w:r w:rsidRPr="00B86FE8">
              <w:rPr>
                <w:color w:val="002C47" w:themeColor="accent1"/>
              </w:rPr>
              <w:t>Australian Capital Territory</w:t>
            </w:r>
          </w:p>
        </w:tc>
        <w:tc>
          <w:tcPr>
            <w:tcW w:w="488" w:type="pct"/>
            <w:tcBorders>
              <w:top w:val="nil"/>
              <w:left w:val="nil"/>
              <w:bottom w:val="single" w:sz="4" w:space="0" w:color="auto"/>
              <w:right w:val="nil"/>
            </w:tcBorders>
            <w:vAlign w:val="center"/>
          </w:tcPr>
          <w:p w14:paraId="04D2FCCA" w14:textId="4D9C478F" w:rsidR="00927644" w:rsidRPr="00D16476" w:rsidRDefault="00283A4C" w:rsidP="000649FA">
            <w:pPr>
              <w:pStyle w:val="TableTextLeft"/>
              <w:jc w:val="right"/>
            </w:pPr>
            <w:r w:rsidRPr="00D16476">
              <w:t>-</w:t>
            </w:r>
            <w:r w:rsidR="00927644" w:rsidRPr="00D16476">
              <w:t>28</w:t>
            </w:r>
          </w:p>
        </w:tc>
        <w:tc>
          <w:tcPr>
            <w:tcW w:w="488" w:type="pct"/>
            <w:tcBorders>
              <w:top w:val="nil"/>
              <w:left w:val="nil"/>
              <w:bottom w:val="single" w:sz="4" w:space="0" w:color="auto"/>
              <w:right w:val="nil"/>
            </w:tcBorders>
            <w:vAlign w:val="center"/>
          </w:tcPr>
          <w:p w14:paraId="2D3882C3" w14:textId="7F7212EF" w:rsidR="00927644" w:rsidRPr="00D16476" w:rsidRDefault="00283A4C" w:rsidP="000649FA">
            <w:pPr>
              <w:pStyle w:val="TableTextLeft"/>
              <w:jc w:val="right"/>
            </w:pPr>
            <w:r w:rsidRPr="00D16476">
              <w:t>-</w:t>
            </w:r>
            <w:r w:rsidR="00927644" w:rsidRPr="00D16476">
              <w:t>1.0</w:t>
            </w:r>
          </w:p>
        </w:tc>
        <w:tc>
          <w:tcPr>
            <w:tcW w:w="488" w:type="pct"/>
            <w:tcBorders>
              <w:top w:val="nil"/>
              <w:left w:val="nil"/>
              <w:bottom w:val="single" w:sz="4" w:space="0" w:color="auto"/>
              <w:right w:val="nil"/>
            </w:tcBorders>
            <w:vAlign w:val="center"/>
          </w:tcPr>
          <w:p w14:paraId="6BFD4136" w14:textId="564D60CC" w:rsidR="00927644" w:rsidRPr="00D16476" w:rsidRDefault="00283A4C" w:rsidP="000649FA">
            <w:pPr>
              <w:pStyle w:val="TableTextLeft"/>
              <w:jc w:val="right"/>
            </w:pPr>
            <w:r w:rsidRPr="00D16476">
              <w:t>-</w:t>
            </w:r>
            <w:r w:rsidR="00927644" w:rsidRPr="00D16476">
              <w:t>100</w:t>
            </w:r>
          </w:p>
        </w:tc>
        <w:tc>
          <w:tcPr>
            <w:tcW w:w="488" w:type="pct"/>
            <w:tcBorders>
              <w:top w:val="nil"/>
              <w:left w:val="nil"/>
              <w:bottom w:val="single" w:sz="4" w:space="0" w:color="auto"/>
              <w:right w:val="nil"/>
            </w:tcBorders>
            <w:vAlign w:val="center"/>
          </w:tcPr>
          <w:p w14:paraId="6DBBB4AB" w14:textId="71874341" w:rsidR="00927644" w:rsidRPr="00D16476" w:rsidRDefault="00283A4C" w:rsidP="000649FA">
            <w:pPr>
              <w:pStyle w:val="TableTextLeft"/>
              <w:jc w:val="right"/>
            </w:pPr>
            <w:r w:rsidRPr="00D16476">
              <w:t>-</w:t>
            </w:r>
            <w:r w:rsidR="00927644" w:rsidRPr="00D16476">
              <w:t>1.7</w:t>
            </w:r>
          </w:p>
        </w:tc>
        <w:tc>
          <w:tcPr>
            <w:tcW w:w="488" w:type="pct"/>
            <w:tcBorders>
              <w:top w:val="nil"/>
              <w:left w:val="nil"/>
              <w:bottom w:val="single" w:sz="4" w:space="0" w:color="auto"/>
              <w:right w:val="nil"/>
            </w:tcBorders>
            <w:vAlign w:val="center"/>
          </w:tcPr>
          <w:p w14:paraId="550EEE4B" w14:textId="77777777" w:rsidR="00927644" w:rsidRPr="00D16476" w:rsidRDefault="00927644" w:rsidP="000649FA">
            <w:pPr>
              <w:pStyle w:val="TableTextLeft"/>
              <w:jc w:val="right"/>
            </w:pPr>
            <w:r w:rsidRPr="00D16476">
              <w:t>781</w:t>
            </w:r>
          </w:p>
        </w:tc>
        <w:tc>
          <w:tcPr>
            <w:tcW w:w="488" w:type="pct"/>
            <w:tcBorders>
              <w:top w:val="nil"/>
              <w:left w:val="nil"/>
              <w:bottom w:val="single" w:sz="4" w:space="0" w:color="auto"/>
              <w:right w:val="nil"/>
            </w:tcBorders>
            <w:vAlign w:val="center"/>
          </w:tcPr>
          <w:p w14:paraId="38D89BEC" w14:textId="5DCB1118" w:rsidR="00927644" w:rsidRPr="00D16476" w:rsidRDefault="00927644" w:rsidP="000649FA">
            <w:pPr>
              <w:pStyle w:val="TableTextLeft"/>
              <w:jc w:val="right"/>
            </w:pPr>
            <w:r w:rsidRPr="00D16476">
              <w:t>3.</w:t>
            </w:r>
            <w:r w:rsidR="00FD4155" w:rsidRPr="00D16476">
              <w:t>5</w:t>
            </w:r>
          </w:p>
        </w:tc>
        <w:tc>
          <w:tcPr>
            <w:tcW w:w="488" w:type="pct"/>
            <w:tcBorders>
              <w:top w:val="nil"/>
              <w:left w:val="nil"/>
              <w:bottom w:val="single" w:sz="4" w:space="0" w:color="auto"/>
              <w:right w:val="nil"/>
            </w:tcBorders>
            <w:vAlign w:val="center"/>
          </w:tcPr>
          <w:p w14:paraId="68E27D0E" w14:textId="77777777" w:rsidR="00927644" w:rsidRPr="00D16476" w:rsidRDefault="00927644" w:rsidP="000649FA">
            <w:pPr>
              <w:pStyle w:val="TableTextLeft"/>
              <w:jc w:val="right"/>
            </w:pPr>
            <w:r w:rsidRPr="00D16476">
              <w:t>1,776</w:t>
            </w:r>
          </w:p>
        </w:tc>
        <w:tc>
          <w:tcPr>
            <w:tcW w:w="488" w:type="pct"/>
            <w:tcBorders>
              <w:top w:val="nil"/>
              <w:left w:val="nil"/>
              <w:bottom w:val="single" w:sz="4" w:space="0" w:color="auto"/>
              <w:right w:val="nil"/>
            </w:tcBorders>
            <w:vAlign w:val="center"/>
          </w:tcPr>
          <w:p w14:paraId="53E4777F" w14:textId="22216A4F" w:rsidR="00927644" w:rsidRPr="00D16476" w:rsidRDefault="00927644" w:rsidP="000649FA">
            <w:pPr>
              <w:pStyle w:val="TableTextLeft"/>
              <w:jc w:val="right"/>
            </w:pPr>
            <w:r w:rsidRPr="00D16476">
              <w:t>8.</w:t>
            </w:r>
            <w:r w:rsidR="00FD4155" w:rsidRPr="00D16476">
              <w:t>2</w:t>
            </w:r>
          </w:p>
        </w:tc>
      </w:tr>
    </w:tbl>
    <w:p w14:paraId="0809EAB9" w14:textId="48A06724" w:rsidR="00927644" w:rsidRPr="00116886" w:rsidRDefault="00927644" w:rsidP="00927644">
      <w:pPr>
        <w:pStyle w:val="Source"/>
        <w:spacing w:after="0"/>
      </w:pPr>
      <w:r w:rsidRPr="00116886">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p>
    <w:p w14:paraId="7F7E79EB" w14:textId="44E63466" w:rsidR="00927644" w:rsidRPr="00116886" w:rsidRDefault="00927644" w:rsidP="00927644">
      <w:pPr>
        <w:pStyle w:val="Source"/>
      </w:pPr>
      <w:r w:rsidRPr="00116886">
        <w:t xml:space="preserve">Source: </w:t>
      </w:r>
      <w:r w:rsidR="00CE24A5">
        <w:rPr>
          <w:noProof/>
        </w:rPr>
        <w:t>Australian Bureau of Statistics, National, state and territory population, March 2022, 2022</w:t>
      </w:r>
      <w:r w:rsidRPr="00116886">
        <w:t xml:space="preserve"> and Centre for Population projections.</w:t>
      </w:r>
    </w:p>
    <w:p w14:paraId="4C13CA24" w14:textId="3A2E5882" w:rsidR="0029461B" w:rsidRPr="00116886" w:rsidRDefault="0029461B" w:rsidP="0029461B">
      <w:r w:rsidRPr="00116886">
        <w:t xml:space="preserve">Overseas migration of temporary visa holders, including students, was the most difficult to forecast. </w:t>
      </w:r>
      <w:r>
        <w:t>The forecast error of 1</w:t>
      </w:r>
      <w:r w:rsidR="00686B8D">
        <w:t>6</w:t>
      </w:r>
      <w:r>
        <w:t>,</w:t>
      </w:r>
      <w:r w:rsidR="00686B8D">
        <w:t>0</w:t>
      </w:r>
      <w:r>
        <w:t>00 in net overseas migration was predominantly due to an under-forecast of 13,</w:t>
      </w:r>
      <w:r w:rsidR="00686B8D">
        <w:t>0</w:t>
      </w:r>
      <w:r>
        <w:t>00 in the departures of temporary visa holders (</w:t>
      </w:r>
      <w:r w:rsidR="002C2CC1">
        <w:t>Chart 47</w:t>
      </w:r>
      <w:r>
        <w:t>).</w:t>
      </w:r>
      <w:r w:rsidRPr="00116886">
        <w:t xml:space="preserve"> </w:t>
      </w:r>
    </w:p>
    <w:p w14:paraId="691EEB8E" w14:textId="1DD5B6C4" w:rsidR="009750D3" w:rsidRPr="00116886" w:rsidRDefault="00927644" w:rsidP="00FD3C41">
      <w:pPr>
        <w:pStyle w:val="Heading9"/>
        <w:spacing w:after="0"/>
        <w:ind w:left="992" w:hanging="992"/>
        <w:rPr>
          <w:sz w:val="22"/>
          <w:szCs w:val="22"/>
        </w:rPr>
      </w:pPr>
      <w:bookmarkStart w:id="235" w:name="_Ref120622151"/>
      <w:r w:rsidRPr="00D5736C">
        <w:t xml:space="preserve">Difference between 2021 Population Statement overseas migration </w:t>
      </w:r>
      <w:r w:rsidR="00C36251" w:rsidRPr="00D5736C">
        <w:t>forecast</w:t>
      </w:r>
      <w:r w:rsidRPr="00D5736C">
        <w:t xml:space="preserve"> and outcome, 2020</w:t>
      </w:r>
      <w:r w:rsidR="0033101B" w:rsidRPr="00D5736C">
        <w:t>–</w:t>
      </w:r>
      <w:r w:rsidRPr="00D5736C">
        <w:t>21</w:t>
      </w:r>
      <w:bookmarkEnd w:id="235"/>
    </w:p>
    <w:p w14:paraId="1D62F586" w14:textId="4EF20F0D" w:rsidR="009750D3" w:rsidRDefault="00FD3C41" w:rsidP="00FD3C41">
      <w:pPr>
        <w:spacing w:before="0" w:after="0" w:line="252" w:lineRule="auto"/>
        <w:jc w:val="center"/>
        <w:rPr>
          <w:szCs w:val="18"/>
        </w:rPr>
      </w:pPr>
      <w:r w:rsidRPr="00FD3C41">
        <w:rPr>
          <w:noProof/>
        </w:rPr>
        <w:drawing>
          <wp:inline distT="0" distB="0" distL="0" distR="0" wp14:anchorId="26BEF043" wp14:editId="07B549D1">
            <wp:extent cx="5581650" cy="2524125"/>
            <wp:effectExtent l="0" t="0" r="0" b="9525"/>
            <wp:docPr id="106" name="Picture 106" descr="A chart showing that the largest difference between forecasts and outcomes for net overseas migration were for temporary migrant departures, which were underestimated by 13,000. Forecast errors for all other visa groups were under 5,000 in either dir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 chart showing that the largest difference between forecasts and outcomes for net overseas migration were for temporary migrant departures, which were underestimated by 13,000. Forecast errors for all other visa groups were under 5,000 in either direction.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81650" cy="2524125"/>
                    </a:xfrm>
                    <a:prstGeom prst="rect">
                      <a:avLst/>
                    </a:prstGeom>
                    <a:noFill/>
                    <a:ln>
                      <a:noFill/>
                    </a:ln>
                  </pic:spPr>
                </pic:pic>
              </a:graphicData>
            </a:graphic>
          </wp:inline>
        </w:drawing>
      </w:r>
    </w:p>
    <w:p w14:paraId="6C307E5F" w14:textId="7AAD4FD3" w:rsidR="00927644" w:rsidRPr="00EE16E9" w:rsidRDefault="00FD4155" w:rsidP="00D5736C">
      <w:pPr>
        <w:pStyle w:val="Source"/>
        <w:rPr>
          <w:color w:val="0563C1"/>
          <w:szCs w:val="18"/>
        </w:rPr>
      </w:pPr>
      <w:r>
        <w:rPr>
          <w:szCs w:val="18"/>
        </w:rPr>
        <w:t xml:space="preserve">Note: </w:t>
      </w:r>
      <w:r w:rsidR="003D26E1" w:rsidRPr="00116886">
        <w:t xml:space="preserve">Positive numbers indicate </w:t>
      </w:r>
      <w:r w:rsidR="003D26E1">
        <w:t xml:space="preserve">an </w:t>
      </w:r>
      <w:r w:rsidR="003D26E1" w:rsidRPr="00116886">
        <w:t>underestimat</w:t>
      </w:r>
      <w:r w:rsidR="003D26E1">
        <w:t>ion</w:t>
      </w:r>
      <w:r w:rsidR="003D26E1" w:rsidRPr="00116886">
        <w:t xml:space="preserve"> while negative numbers indicate an overestimation</w:t>
      </w:r>
      <w:r w:rsidRPr="00116886">
        <w:t>.</w:t>
      </w:r>
      <w:r>
        <w:rPr>
          <w:szCs w:val="18"/>
        </w:rPr>
        <w:br/>
      </w:r>
      <w:r w:rsidR="00927644" w:rsidRPr="00116886">
        <w:rPr>
          <w:szCs w:val="18"/>
        </w:rPr>
        <w:t xml:space="preserve">Source: </w:t>
      </w:r>
      <w:r w:rsidR="00927644" w:rsidRPr="00116886">
        <w:rPr>
          <w:noProof/>
        </w:rPr>
        <w:t>Australian Bureau of Statistics, Customised data consultancy</w:t>
      </w:r>
      <w:r w:rsidR="00927644" w:rsidRPr="00116886">
        <w:t xml:space="preserve"> and Centre for Population projections.</w:t>
      </w:r>
    </w:p>
    <w:p w14:paraId="765AF29D" w14:textId="77777777" w:rsidR="00D24A9E" w:rsidRDefault="00D24A9E">
      <w:pPr>
        <w:spacing w:before="0" w:after="160" w:line="259" w:lineRule="auto"/>
        <w:rPr>
          <w:b/>
          <w:smallCaps/>
          <w:color w:val="FFFFFF" w:themeColor="background1"/>
          <w:spacing w:val="15"/>
          <w:sz w:val="22"/>
          <w:szCs w:val="22"/>
        </w:rPr>
      </w:pPr>
      <w:bookmarkStart w:id="236" w:name="_Toc122618400"/>
      <w:r>
        <w:br w:type="page"/>
      </w:r>
    </w:p>
    <w:p w14:paraId="13C36FA2" w14:textId="701525E0" w:rsidR="00FD68B9" w:rsidRDefault="00FD68B9" w:rsidP="00FD68B9">
      <w:pPr>
        <w:pStyle w:val="Heading1"/>
      </w:pPr>
      <w:r>
        <w:lastRenderedPageBreak/>
        <w:t>Notes</w:t>
      </w:r>
      <w:bookmarkEnd w:id="236"/>
    </w:p>
    <w:p w14:paraId="26EEA0FB" w14:textId="3BBA10B4" w:rsidR="000E6EBD" w:rsidRPr="00116886" w:rsidRDefault="000E6EBD" w:rsidP="000E6EBD">
      <w:r w:rsidRPr="00116886">
        <w:t>References to years are all on a financial year basis (1 July to 30 June) unless otherwise stated. Population stocks for a year refer to stocks as at 30 June of that year (for example, ‘Australia’s population was 25.7 million in 2019</w:t>
      </w:r>
      <w:r w:rsidR="0033101B">
        <w:t>–</w:t>
      </w:r>
      <w:r w:rsidRPr="00116886">
        <w:t>20’ means that Australia’s population was 25.7 million as at 30 June 2020). Population flows for a year refer to flows during the financial year (for example, ‘Australia’s natural increase was 135,000 in 2019</w:t>
      </w:r>
      <w:r w:rsidR="0033101B">
        <w:t>–</w:t>
      </w:r>
      <w:r w:rsidRPr="00116886">
        <w:t xml:space="preserve">20’ means the natural increase in Australia’s population from 1 July 2019 to 30 June 2020 was 135,000). </w:t>
      </w:r>
    </w:p>
    <w:p w14:paraId="2BA28A49" w14:textId="77777777" w:rsidR="000E6EBD" w:rsidRPr="00116886" w:rsidRDefault="000E6EBD" w:rsidP="000E6EBD">
      <w:r w:rsidRPr="00116886">
        <w:t xml:space="preserve">References to the ‘states’ or ‘each state’ includes the Northern Territory and the Australian Capital Territory. </w:t>
      </w:r>
    </w:p>
    <w:p w14:paraId="159FE8D7" w14:textId="77777777" w:rsidR="000E6EBD" w:rsidRPr="00116886" w:rsidRDefault="000E6EBD" w:rsidP="000E6EBD">
      <w:r w:rsidRPr="00116886">
        <w:t>Figures in tables and in the text have been rounded. Transformations (for example, shares or rates of change) are calculated using unrounded numbers. Discrepancies between totals and sums of components are due to rounding. In general, the rounding conventions used include:</w:t>
      </w:r>
    </w:p>
    <w:p w14:paraId="32B43D2C" w14:textId="77777777" w:rsidR="000E6EBD" w:rsidRPr="00116886" w:rsidRDefault="000E6EBD" w:rsidP="00F801FE">
      <w:pPr>
        <w:pStyle w:val="bulletv2"/>
      </w:pPr>
      <w:r w:rsidRPr="00116886">
        <w:t>most rates are rounded to one decimal place</w:t>
      </w:r>
    </w:p>
    <w:p w14:paraId="479B9C3F" w14:textId="4D876819" w:rsidR="000E6EBD" w:rsidRPr="00116886" w:rsidRDefault="000E6EBD" w:rsidP="00F801FE">
      <w:pPr>
        <w:pStyle w:val="bulletv2"/>
      </w:pPr>
      <w:r w:rsidRPr="00116886">
        <w:t>estimates over 1</w:t>
      </w:r>
      <w:r w:rsidR="00686B8D">
        <w:t>0,000</w:t>
      </w:r>
      <w:r w:rsidRPr="00116886">
        <w:t xml:space="preserve"> are rounded to the nearest thousand</w:t>
      </w:r>
    </w:p>
    <w:p w14:paraId="37C5FFDE" w14:textId="5FA3238B" w:rsidR="000E6EBD" w:rsidRPr="00116886" w:rsidRDefault="000E6EBD" w:rsidP="00F801FE">
      <w:pPr>
        <w:pStyle w:val="bulletv2"/>
      </w:pPr>
      <w:r w:rsidRPr="00116886">
        <w:t xml:space="preserve">estimates between 100 and 9,999 are rounded to the nearest 100 </w:t>
      </w:r>
    </w:p>
    <w:p w14:paraId="41F5BF77" w14:textId="4EE346CA" w:rsidR="000E6EBD" w:rsidRPr="00116886" w:rsidRDefault="000E6EBD" w:rsidP="00F801FE">
      <w:pPr>
        <w:pStyle w:val="bulletv2"/>
      </w:pPr>
      <w:r w:rsidRPr="00116886">
        <w:t>estimates midway between rounding points are rounded up</w:t>
      </w:r>
    </w:p>
    <w:p w14:paraId="0BBF0D94" w14:textId="77777777" w:rsidR="000E6EBD" w:rsidRPr="00116886" w:rsidRDefault="000E6EBD" w:rsidP="000E6EBD">
      <w:r w:rsidRPr="00116886">
        <w:t xml:space="preserve">Estimates of future population and components of change are either forecasts or projections. </w:t>
      </w:r>
    </w:p>
    <w:p w14:paraId="3B7895F9" w14:textId="77777777" w:rsidR="000E6EBD" w:rsidRPr="00116886" w:rsidRDefault="000E6EBD" w:rsidP="00CD449E">
      <w:pPr>
        <w:pStyle w:val="Normalbullet"/>
        <w:numPr>
          <w:ilvl w:val="0"/>
          <w:numId w:val="20"/>
        </w:numPr>
      </w:pPr>
      <w:r w:rsidRPr="00116886">
        <w:rPr>
          <w:b/>
        </w:rPr>
        <w:t>Forecasts</w:t>
      </w:r>
      <w:r w:rsidRPr="00116886">
        <w:t xml:space="preserve"> are predictions about what may happen in the near term based on analysis and modelling in relation to current circumstances. </w:t>
      </w:r>
    </w:p>
    <w:p w14:paraId="1C1E3592" w14:textId="2EDB6F3B" w:rsidR="000E6EBD" w:rsidRDefault="000E6EBD" w:rsidP="00CD449E">
      <w:pPr>
        <w:pStyle w:val="Normalbullet"/>
        <w:numPr>
          <w:ilvl w:val="0"/>
          <w:numId w:val="20"/>
        </w:numPr>
      </w:pPr>
      <w:r w:rsidRPr="00116886">
        <w:rPr>
          <w:b/>
        </w:rPr>
        <w:t>Projections</w:t>
      </w:r>
      <w:r w:rsidRPr="00116886">
        <w:t xml:space="preserve"> are based on analysis and modelling of long</w:t>
      </w:r>
      <w:r w:rsidR="00283A4C">
        <w:t>-</w:t>
      </w:r>
      <w:r w:rsidRPr="00116886">
        <w:t xml:space="preserve">term trends when rates or levels are stable. Projections may also include a transition from the last forecast to the assumed stable level or rate. </w:t>
      </w:r>
    </w:p>
    <w:p w14:paraId="50510DA4" w14:textId="77777777" w:rsidR="0013589F" w:rsidRDefault="0013589F" w:rsidP="003D6593">
      <w:pPr>
        <w:pStyle w:val="Normalbullet"/>
        <w:numPr>
          <w:ilvl w:val="0"/>
          <w:numId w:val="0"/>
        </w:numPr>
        <w:ind w:left="283" w:hanging="283"/>
        <w:sectPr w:rsidR="0013589F" w:rsidSect="00E35CCB">
          <w:pgSz w:w="11906" w:h="16838" w:code="9"/>
          <w:pgMar w:top="1418" w:right="1418" w:bottom="1418" w:left="1418" w:header="709" w:footer="709" w:gutter="0"/>
          <w:cols w:space="708"/>
          <w:docGrid w:linePitch="360"/>
        </w:sectPr>
      </w:pPr>
    </w:p>
    <w:p w14:paraId="5A968DEE" w14:textId="6A919DF5" w:rsidR="00FD68B9" w:rsidRDefault="00FD68B9" w:rsidP="00152209">
      <w:pPr>
        <w:pStyle w:val="Heading1"/>
      </w:pPr>
      <w:bookmarkStart w:id="237" w:name="_Toc122618401"/>
      <w:r>
        <w:lastRenderedPageBreak/>
        <w:t>Glossary</w:t>
      </w:r>
      <w:bookmarkEnd w:id="237"/>
    </w:p>
    <w:p w14:paraId="6F65B1BE" w14:textId="77777777" w:rsidR="00631AE1" w:rsidRPr="00631AE1" w:rsidRDefault="00631AE1" w:rsidP="00631AE1">
      <w:pPr>
        <w:pStyle w:val="nospace"/>
      </w:pPr>
    </w:p>
    <w:p w14:paraId="5033C0AA" w14:textId="21BD10C0" w:rsidR="00EF001A" w:rsidRDefault="00EF001A" w:rsidP="00631AE1">
      <w:pPr>
        <w:pStyle w:val="Glossaryheading"/>
        <w:spacing w:before="120"/>
      </w:pPr>
      <w:bookmarkStart w:id="238" w:name="_Toc118887298"/>
      <w:bookmarkStart w:id="239" w:name="_Toc120635142"/>
      <w:bookmarkStart w:id="240" w:name="_Toc122617975"/>
      <w:bookmarkStart w:id="241" w:name="_Toc122618402"/>
      <w:r>
        <w:t xml:space="preserve">Baby </w:t>
      </w:r>
      <w:r w:rsidR="000546AC">
        <w:t>b</w:t>
      </w:r>
      <w:r>
        <w:t>oomer</w:t>
      </w:r>
      <w:r w:rsidR="000546AC">
        <w:t xml:space="preserve"> generation</w:t>
      </w:r>
      <w:bookmarkEnd w:id="238"/>
      <w:bookmarkEnd w:id="239"/>
      <w:bookmarkEnd w:id="240"/>
      <w:bookmarkEnd w:id="241"/>
    </w:p>
    <w:p w14:paraId="6F35C199" w14:textId="7AB283EC" w:rsidR="00EF001A" w:rsidRPr="00977581" w:rsidRDefault="00EF001A" w:rsidP="00942424">
      <w:r w:rsidRPr="00977581">
        <w:t>Australia</w:t>
      </w:r>
      <w:r w:rsidR="000546AC" w:rsidRPr="00977581">
        <w:t>’s</w:t>
      </w:r>
      <w:r w:rsidRPr="00977581">
        <w:t xml:space="preserve"> </w:t>
      </w:r>
      <w:r w:rsidRPr="00686B8D">
        <w:rPr>
          <w:b/>
          <w:bCs/>
        </w:rPr>
        <w:t>Baby Boomers</w:t>
      </w:r>
      <w:r w:rsidRPr="00977581">
        <w:t xml:space="preserve"> were born between 1946 and 1966 during the post-war economic boom. It was a period characterised by high rates of marriage and fertility, high levels of immigration, rising rates of female participation in both tertiary education and the workforce, and the genesis of the two-income household as the norm.</w:t>
      </w:r>
    </w:p>
    <w:p w14:paraId="23203572" w14:textId="6A3CFBB4" w:rsidR="000E6EBD" w:rsidRPr="00977581" w:rsidRDefault="000569AB" w:rsidP="00631AE1">
      <w:pPr>
        <w:pStyle w:val="Glossaryheading"/>
      </w:pPr>
      <w:bookmarkStart w:id="242" w:name="_Toc118887299"/>
      <w:bookmarkStart w:id="243" w:name="_Toc120635143"/>
      <w:bookmarkStart w:id="244" w:name="_Toc122617976"/>
      <w:bookmarkStart w:id="245" w:name="_Toc122618403"/>
      <w:r w:rsidRPr="00977581">
        <w:t>COVID-</w:t>
      </w:r>
      <w:r w:rsidR="000E6EBD" w:rsidRPr="00977581">
        <w:t>19</w:t>
      </w:r>
      <w:bookmarkEnd w:id="242"/>
      <w:bookmarkEnd w:id="243"/>
      <w:bookmarkEnd w:id="244"/>
      <w:bookmarkEnd w:id="245"/>
    </w:p>
    <w:p w14:paraId="25AF14D2" w14:textId="65DC56CC" w:rsidR="000E6EBD" w:rsidRPr="00977581" w:rsidRDefault="000569AB" w:rsidP="000E6EBD">
      <w:r w:rsidRPr="00977581">
        <w:rPr>
          <w:b/>
          <w:bCs/>
        </w:rPr>
        <w:t>COVID-</w:t>
      </w:r>
      <w:r w:rsidR="000E6EBD" w:rsidRPr="00977581">
        <w:rPr>
          <w:b/>
          <w:bCs/>
        </w:rPr>
        <w:t>19</w:t>
      </w:r>
      <w:r w:rsidR="000E6EBD" w:rsidRPr="00977581">
        <w:t xml:space="preserve"> refers to the </w:t>
      </w:r>
      <w:r w:rsidR="000E6EBD" w:rsidRPr="00977581">
        <w:rPr>
          <w:bCs/>
        </w:rPr>
        <w:t>coronavirus disease</w:t>
      </w:r>
      <w:r w:rsidR="000E6EBD" w:rsidRPr="00977581">
        <w:t xml:space="preserve"> caused by the novel severe acute respiratory syndrome coronavirus</w:t>
      </w:r>
      <w:r w:rsidR="000C1483">
        <w:t> </w:t>
      </w:r>
      <w:r w:rsidR="000E6EBD" w:rsidRPr="00977581">
        <w:t>2 (SARS</w:t>
      </w:r>
      <w:r w:rsidR="00CE2869" w:rsidRPr="00977581">
        <w:t>-</w:t>
      </w:r>
      <w:r w:rsidR="000E6EBD" w:rsidRPr="00977581">
        <w:t>CoV</w:t>
      </w:r>
      <w:r w:rsidR="00CE2869" w:rsidRPr="00977581">
        <w:t>-</w:t>
      </w:r>
      <w:r w:rsidR="000E6EBD" w:rsidRPr="00977581">
        <w:t>2) that was first identified in December 2019.</w:t>
      </w:r>
    </w:p>
    <w:p w14:paraId="48BE92A5" w14:textId="77777777" w:rsidR="000E6EBD" w:rsidRPr="00977581" w:rsidRDefault="000E6EBD" w:rsidP="00631AE1">
      <w:pPr>
        <w:pStyle w:val="Glossaryheading"/>
      </w:pPr>
      <w:bookmarkStart w:id="246" w:name="_Toc118887300"/>
      <w:bookmarkStart w:id="247" w:name="_Toc120635144"/>
      <w:bookmarkStart w:id="248" w:name="_Toc122617977"/>
      <w:bookmarkStart w:id="249" w:name="_Toc122618404"/>
      <w:r w:rsidRPr="00977581">
        <w:t>Estimated resident population</w:t>
      </w:r>
      <w:bookmarkEnd w:id="246"/>
      <w:bookmarkEnd w:id="247"/>
      <w:bookmarkEnd w:id="248"/>
      <w:bookmarkEnd w:id="249"/>
      <w:r w:rsidRPr="00977581">
        <w:t xml:space="preserve"> </w:t>
      </w:r>
    </w:p>
    <w:p w14:paraId="2DB21596" w14:textId="77777777" w:rsidR="00977581" w:rsidRPr="00977581" w:rsidRDefault="00977581" w:rsidP="00977581">
      <w:bookmarkStart w:id="250" w:name="_Toc118887301"/>
      <w:r w:rsidRPr="00977581">
        <w:t xml:space="preserve">The </w:t>
      </w:r>
      <w:r w:rsidRPr="00977581">
        <w:rPr>
          <w:b/>
        </w:rPr>
        <w:t>estimated resident population</w:t>
      </w:r>
      <w:r w:rsidRPr="00977581">
        <w:t xml:space="preserve"> is the official measure of Australia’s population based on the concept of usual residence. It refers to all people, regardless of nationality or citizenship, who usually live in Australia, except foreign diplomatic personnel and their families. It includes usual residents who are overseas for less than 12 months. It excludes overseas visitors who are in Australia for less than 12 months (see ‘overseas migration’ definition).</w:t>
      </w:r>
      <w:r w:rsidRPr="00977581">
        <w:rPr>
          <w:rStyle w:val="FootnoteReference"/>
        </w:rPr>
        <w:footnoteReference w:id="51"/>
      </w:r>
    </w:p>
    <w:p w14:paraId="48238DD5" w14:textId="77777777" w:rsidR="000E6EBD" w:rsidRPr="00977581" w:rsidRDefault="000E6EBD" w:rsidP="00631AE1">
      <w:pPr>
        <w:pStyle w:val="Glossaryheading"/>
      </w:pPr>
      <w:bookmarkStart w:id="251" w:name="_Toc120635145"/>
      <w:bookmarkStart w:id="252" w:name="_Toc122617978"/>
      <w:bookmarkStart w:id="253" w:name="_Toc122618405"/>
      <w:r w:rsidRPr="00977581">
        <w:t>Greater Capital City Statistical Areas</w:t>
      </w:r>
      <w:bookmarkEnd w:id="250"/>
      <w:bookmarkEnd w:id="251"/>
      <w:bookmarkEnd w:id="252"/>
      <w:bookmarkEnd w:id="253"/>
    </w:p>
    <w:p w14:paraId="3BC6147A" w14:textId="77777777" w:rsidR="00977581" w:rsidRPr="00977581" w:rsidRDefault="00977581" w:rsidP="00977581">
      <w:pPr>
        <w:rPr>
          <w:sz w:val="18"/>
        </w:rPr>
      </w:pPr>
      <w:bookmarkStart w:id="254" w:name="_Toc118887302"/>
      <w:r w:rsidRPr="00977581">
        <w:rPr>
          <w:b/>
        </w:rPr>
        <w:t>Greater Capital City Statistical Areas (GCCSA)</w:t>
      </w:r>
      <w:r w:rsidRPr="00977581">
        <w:t xml:space="preserve"> represent the socio-economic extent of the capital cities as defined by the Australian Bureau of Statistics. GCCSAs are derived from Statistical Areas Level 4 (SA4).</w:t>
      </w:r>
      <w:r w:rsidRPr="00977581">
        <w:rPr>
          <w:rStyle w:val="FootnoteReference"/>
        </w:rPr>
        <w:footnoteReference w:id="52"/>
      </w:r>
      <w:r w:rsidRPr="00977581">
        <w:t xml:space="preserve"> </w:t>
      </w:r>
    </w:p>
    <w:p w14:paraId="3399D309" w14:textId="77777777" w:rsidR="000E6EBD" w:rsidRPr="00977581" w:rsidRDefault="000E6EBD" w:rsidP="00631AE1">
      <w:pPr>
        <w:pStyle w:val="Glossaryheading"/>
      </w:pPr>
      <w:bookmarkStart w:id="255" w:name="_Toc120635146"/>
      <w:bookmarkStart w:id="256" w:name="_Toc122617979"/>
      <w:bookmarkStart w:id="257" w:name="_Toc122618406"/>
      <w:r w:rsidRPr="00977581">
        <w:t xml:space="preserve">Gross </w:t>
      </w:r>
      <w:proofErr w:type="spellStart"/>
      <w:r w:rsidRPr="00977581">
        <w:t>migraproduction</w:t>
      </w:r>
      <w:proofErr w:type="spellEnd"/>
      <w:r w:rsidRPr="00977581">
        <w:t xml:space="preserve"> </w:t>
      </w:r>
      <w:r w:rsidRPr="00631AE1">
        <w:t>rates</w:t>
      </w:r>
      <w:bookmarkEnd w:id="254"/>
      <w:bookmarkEnd w:id="255"/>
      <w:bookmarkEnd w:id="256"/>
      <w:bookmarkEnd w:id="257"/>
    </w:p>
    <w:p w14:paraId="332FC7DD" w14:textId="77777777" w:rsidR="00977581" w:rsidRPr="00977581" w:rsidRDefault="00977581" w:rsidP="00977581">
      <w:bookmarkStart w:id="258" w:name="_Toc118887303"/>
      <w:r w:rsidRPr="00977581">
        <w:rPr>
          <w:b/>
        </w:rPr>
        <w:t xml:space="preserve">Gross </w:t>
      </w:r>
      <w:proofErr w:type="spellStart"/>
      <w:r w:rsidRPr="00977581">
        <w:rPr>
          <w:b/>
        </w:rPr>
        <w:t>migraproduction</w:t>
      </w:r>
      <w:proofErr w:type="spellEnd"/>
      <w:r w:rsidRPr="00977581">
        <w:rPr>
          <w:b/>
        </w:rPr>
        <w:t xml:space="preserve"> rates</w:t>
      </w:r>
      <w:r w:rsidRPr="00977581">
        <w:t xml:space="preserve"> are the sum of single year of age and sex migration rates. Gross </w:t>
      </w:r>
      <w:proofErr w:type="spellStart"/>
      <w:r w:rsidRPr="00977581">
        <w:t>migraproduction</w:t>
      </w:r>
      <w:proofErr w:type="spellEnd"/>
      <w:r w:rsidRPr="00977581">
        <w:t xml:space="preserve"> rates are expressed as the average number of moves that a person could expect to make in a lifetime if they were subject to the age-specific migration rates of a given year.</w:t>
      </w:r>
      <w:r w:rsidRPr="00977581">
        <w:rPr>
          <w:rStyle w:val="FootnoteReference"/>
        </w:rPr>
        <w:footnoteReference w:id="53"/>
      </w:r>
    </w:p>
    <w:p w14:paraId="0CFA2E9B" w14:textId="77777777" w:rsidR="000E6EBD" w:rsidRPr="00977581" w:rsidRDefault="000E6EBD" w:rsidP="00631AE1">
      <w:pPr>
        <w:pStyle w:val="Glossaryheading"/>
      </w:pPr>
      <w:bookmarkStart w:id="259" w:name="_Toc120635147"/>
      <w:bookmarkStart w:id="260" w:name="_Toc122617980"/>
      <w:bookmarkStart w:id="261" w:name="_Toc122618407"/>
      <w:r w:rsidRPr="00977581">
        <w:t>Intercensal difference</w:t>
      </w:r>
      <w:bookmarkEnd w:id="258"/>
      <w:bookmarkEnd w:id="259"/>
      <w:bookmarkEnd w:id="260"/>
      <w:bookmarkEnd w:id="261"/>
    </w:p>
    <w:p w14:paraId="0C39B349" w14:textId="68C8EDA0" w:rsidR="00977581" w:rsidRPr="00977581" w:rsidRDefault="00686B8D" w:rsidP="00977581">
      <w:bookmarkStart w:id="262" w:name="_Toc118887304"/>
      <w:r>
        <w:rPr>
          <w:b/>
          <w:bCs/>
        </w:rPr>
        <w:t>I</w:t>
      </w:r>
      <w:r w:rsidR="00977581" w:rsidRPr="00977581">
        <w:rPr>
          <w:b/>
          <w:bCs/>
        </w:rPr>
        <w:t xml:space="preserve">ntercensal difference </w:t>
      </w:r>
      <w:r w:rsidR="00977581" w:rsidRPr="00977581">
        <w:t>is caused by differences in population estimates between successive Censuses, post</w:t>
      </w:r>
      <w:r w:rsidR="00236B87">
        <w:noBreakHyphen/>
      </w:r>
      <w:r w:rsidR="00977581" w:rsidRPr="00977581">
        <w:t>enumeration surveys, and the administrative data sources used for quarterly updates which cannot be attributed to a particular source.</w:t>
      </w:r>
      <w:r w:rsidR="00977581" w:rsidRPr="00977581">
        <w:rPr>
          <w:rStyle w:val="FootnoteReference"/>
        </w:rPr>
        <w:footnoteReference w:id="54"/>
      </w:r>
    </w:p>
    <w:p w14:paraId="02A1E982" w14:textId="77777777" w:rsidR="000E6EBD" w:rsidRPr="00977581" w:rsidRDefault="000E6EBD" w:rsidP="00631AE1">
      <w:pPr>
        <w:pStyle w:val="Glossaryheading"/>
      </w:pPr>
      <w:bookmarkStart w:id="263" w:name="_Toc120635148"/>
      <w:bookmarkStart w:id="264" w:name="_Toc122617981"/>
      <w:bookmarkStart w:id="265" w:name="_Toc122618408"/>
      <w:r w:rsidRPr="00977581">
        <w:t>Internal migration – composition</w:t>
      </w:r>
      <w:bookmarkEnd w:id="262"/>
      <w:bookmarkEnd w:id="263"/>
      <w:bookmarkEnd w:id="264"/>
      <w:bookmarkEnd w:id="265"/>
      <w:r w:rsidRPr="00977581">
        <w:t xml:space="preserve"> </w:t>
      </w:r>
    </w:p>
    <w:p w14:paraId="1887C039" w14:textId="4702E769" w:rsidR="000E6EBD" w:rsidRPr="00977581" w:rsidRDefault="000E6EBD" w:rsidP="000E6EBD">
      <w:r w:rsidRPr="00977581">
        <w:t xml:space="preserve">The </w:t>
      </w:r>
      <w:r w:rsidRPr="00977581">
        <w:rPr>
          <w:b/>
        </w:rPr>
        <w:t>composition of net internal migration</w:t>
      </w:r>
      <w:r w:rsidRPr="00977581">
        <w:t xml:space="preserve"> refers to the specific groups of people who migrate. This </w:t>
      </w:r>
      <w:r w:rsidR="001E167A" w:rsidRPr="00977581">
        <w:t xml:space="preserve">can </w:t>
      </w:r>
      <w:r w:rsidRPr="00977581">
        <w:t xml:space="preserve">be measured by age, sex, ethnicity and place of birth. </w:t>
      </w:r>
    </w:p>
    <w:p w14:paraId="2AE613B1" w14:textId="77777777" w:rsidR="000E6EBD" w:rsidRPr="00977581" w:rsidRDefault="000E6EBD" w:rsidP="00631AE1">
      <w:pPr>
        <w:pStyle w:val="Glossaryheading"/>
      </w:pPr>
      <w:bookmarkStart w:id="266" w:name="_Toc118887305"/>
      <w:bookmarkStart w:id="267" w:name="_Toc120635149"/>
      <w:bookmarkStart w:id="268" w:name="_Toc122617982"/>
      <w:bookmarkStart w:id="269" w:name="_Toc122618409"/>
      <w:r w:rsidRPr="00977581">
        <w:lastRenderedPageBreak/>
        <w:t>Internal migration – internal, interstate, intrastate</w:t>
      </w:r>
      <w:bookmarkEnd w:id="266"/>
      <w:bookmarkEnd w:id="267"/>
      <w:bookmarkEnd w:id="268"/>
      <w:bookmarkEnd w:id="269"/>
    </w:p>
    <w:p w14:paraId="62277ABC" w14:textId="05AEDDB7" w:rsidR="00977581" w:rsidRPr="00977581" w:rsidRDefault="00977581" w:rsidP="00977581">
      <w:bookmarkStart w:id="270" w:name="_Toc118887306"/>
      <w:r w:rsidRPr="00977581">
        <w:rPr>
          <w:b/>
        </w:rPr>
        <w:t xml:space="preserve">Internal migration </w:t>
      </w:r>
      <w:r w:rsidRPr="00977581">
        <w:t>refers to the movement of people across a specified boundary within Australia involving a change in place of usual residence.</w:t>
      </w:r>
      <w:r w:rsidR="00DB1EB2">
        <w:t xml:space="preserve"> </w:t>
      </w:r>
      <w:r w:rsidR="00DB1EB2" w:rsidRPr="00977581">
        <w:t xml:space="preserve">Net </w:t>
      </w:r>
      <w:r w:rsidR="00DB1EB2">
        <w:t>internal</w:t>
      </w:r>
      <w:r w:rsidR="00DB1EB2" w:rsidRPr="00977581">
        <w:t xml:space="preserve"> migration is the difference between arrivals and departures and can be either positive or negative.</w:t>
      </w:r>
    </w:p>
    <w:p w14:paraId="1F9C7104" w14:textId="77777777" w:rsidR="00977581" w:rsidRPr="00977581" w:rsidRDefault="00977581" w:rsidP="00977581">
      <w:r w:rsidRPr="00977581">
        <w:rPr>
          <w:b/>
        </w:rPr>
        <w:t xml:space="preserve">Interstate migration </w:t>
      </w:r>
      <w:r w:rsidRPr="00977581">
        <w:t>refers to the movement of people over a state boundary involving a change in place of usual residence. Net interstate migration is the difference between arrivals and departures and can be either positive or negative.</w:t>
      </w:r>
    </w:p>
    <w:p w14:paraId="4FA85D73" w14:textId="77777777" w:rsidR="00977581" w:rsidRPr="00977581" w:rsidRDefault="00977581" w:rsidP="00977581">
      <w:r w:rsidRPr="00977581">
        <w:rPr>
          <w:b/>
        </w:rPr>
        <w:t xml:space="preserve">Intrastate migration </w:t>
      </w:r>
      <w:r w:rsidRPr="00977581">
        <w:t>refers to the movement of people across a specified boundary within a state.</w:t>
      </w:r>
      <w:r w:rsidRPr="00977581">
        <w:rPr>
          <w:rStyle w:val="FootnoteReference"/>
        </w:rPr>
        <w:footnoteReference w:id="55"/>
      </w:r>
    </w:p>
    <w:p w14:paraId="57935D38" w14:textId="77777777" w:rsidR="000E6EBD" w:rsidRPr="00977581" w:rsidRDefault="000E6EBD" w:rsidP="00631AE1">
      <w:pPr>
        <w:pStyle w:val="Glossaryheading"/>
      </w:pPr>
      <w:bookmarkStart w:id="271" w:name="_Toc120635150"/>
      <w:bookmarkStart w:id="272" w:name="_Toc122617983"/>
      <w:bookmarkStart w:id="273" w:name="_Toc122618410"/>
      <w:r w:rsidRPr="00977581">
        <w:t>Internal migration – level</w:t>
      </w:r>
      <w:bookmarkEnd w:id="270"/>
      <w:bookmarkEnd w:id="271"/>
      <w:bookmarkEnd w:id="272"/>
      <w:bookmarkEnd w:id="273"/>
    </w:p>
    <w:p w14:paraId="4B6C12F3" w14:textId="77777777" w:rsidR="000E6EBD" w:rsidRPr="00977581" w:rsidRDefault="000E6EBD" w:rsidP="000E6EBD">
      <w:r w:rsidRPr="00977581">
        <w:t xml:space="preserve">The </w:t>
      </w:r>
      <w:r w:rsidRPr="00977581">
        <w:rPr>
          <w:b/>
        </w:rPr>
        <w:t xml:space="preserve">level of net internal migration </w:t>
      </w:r>
      <w:r w:rsidRPr="00977581">
        <w:t>refers to the overall number of people moving between locations. This can be measured by the numbers of people leaving and entering a location.</w:t>
      </w:r>
    </w:p>
    <w:p w14:paraId="0C1FBEE9" w14:textId="77777777" w:rsidR="000E6EBD" w:rsidRPr="00977581" w:rsidRDefault="000E6EBD" w:rsidP="00631AE1">
      <w:pPr>
        <w:pStyle w:val="Glossaryheading"/>
      </w:pPr>
      <w:bookmarkStart w:id="274" w:name="_Toc118887307"/>
      <w:bookmarkStart w:id="275" w:name="_Toc120635151"/>
      <w:bookmarkStart w:id="276" w:name="_Toc122617984"/>
      <w:bookmarkStart w:id="277" w:name="_Toc122618411"/>
      <w:r w:rsidRPr="00977581">
        <w:t>Internal migration – patterns</w:t>
      </w:r>
      <w:bookmarkEnd w:id="274"/>
      <w:bookmarkEnd w:id="275"/>
      <w:bookmarkEnd w:id="276"/>
      <w:bookmarkEnd w:id="277"/>
      <w:r w:rsidRPr="00977581">
        <w:t xml:space="preserve"> </w:t>
      </w:r>
    </w:p>
    <w:p w14:paraId="38EBA0D3" w14:textId="77777777" w:rsidR="000E6EBD" w:rsidRPr="00977581" w:rsidRDefault="000E6EBD" w:rsidP="000E6EBD">
      <w:r w:rsidRPr="00977581">
        <w:rPr>
          <w:b/>
        </w:rPr>
        <w:t>Patterns of net internal migration</w:t>
      </w:r>
      <w:r w:rsidRPr="00977581">
        <w:t xml:space="preserve"> refer to the origins and destination locations for migration.</w:t>
      </w:r>
    </w:p>
    <w:p w14:paraId="428590A0" w14:textId="77777777" w:rsidR="000E6EBD" w:rsidRPr="00977581" w:rsidRDefault="000E6EBD" w:rsidP="00631AE1">
      <w:pPr>
        <w:pStyle w:val="Glossaryheading"/>
      </w:pPr>
      <w:bookmarkStart w:id="278" w:name="_Toc118887308"/>
      <w:bookmarkStart w:id="279" w:name="_Toc120635152"/>
      <w:bookmarkStart w:id="280" w:name="_Toc122617985"/>
      <w:bookmarkStart w:id="281" w:name="_Toc122618412"/>
      <w:r w:rsidRPr="00977581">
        <w:t>Life expectancy</w:t>
      </w:r>
      <w:bookmarkEnd w:id="278"/>
      <w:bookmarkEnd w:id="279"/>
      <w:bookmarkEnd w:id="280"/>
      <w:bookmarkEnd w:id="281"/>
    </w:p>
    <w:p w14:paraId="51459209" w14:textId="50FAC7C5" w:rsidR="00977581" w:rsidRPr="00977581" w:rsidRDefault="00977581" w:rsidP="00977581">
      <w:pPr>
        <w:rPr>
          <w:sz w:val="18"/>
        </w:rPr>
      </w:pPr>
      <w:bookmarkStart w:id="282" w:name="_Toc118887309"/>
      <w:r w:rsidRPr="00977581">
        <w:rPr>
          <w:b/>
        </w:rPr>
        <w:t>Life expectancy</w:t>
      </w:r>
      <w:r w:rsidRPr="00977581">
        <w:t xml:space="preserve"> measures how long a person is expected to live if the rest of their life follows the age and sex</w:t>
      </w:r>
      <w:r w:rsidR="00813FB6">
        <w:noBreakHyphen/>
      </w:r>
      <w:r w:rsidRPr="00977581">
        <w:t>specific mortality rates for the relevant year. This is the expectation of the average years that a person lives at a specific age. In the Statement, ‘life expectancy’ usually refers to ‘life expectancy at birth’ unless otherwise specified.</w:t>
      </w:r>
      <w:r w:rsidRPr="00977581">
        <w:rPr>
          <w:rStyle w:val="FootnoteReference"/>
        </w:rPr>
        <w:footnoteReference w:id="56"/>
      </w:r>
    </w:p>
    <w:p w14:paraId="336EDF49" w14:textId="77777777" w:rsidR="000E6EBD" w:rsidRPr="00977581" w:rsidRDefault="000E6EBD" w:rsidP="00631AE1">
      <w:pPr>
        <w:pStyle w:val="Glossaryheading"/>
      </w:pPr>
      <w:bookmarkStart w:id="283" w:name="_Toc120635153"/>
      <w:bookmarkStart w:id="284" w:name="_Toc122617986"/>
      <w:bookmarkStart w:id="285" w:name="_Toc122618413"/>
      <w:r w:rsidRPr="00977581">
        <w:t>Mortality improvement</w:t>
      </w:r>
      <w:bookmarkEnd w:id="282"/>
      <w:bookmarkEnd w:id="283"/>
      <w:bookmarkEnd w:id="284"/>
      <w:bookmarkEnd w:id="285"/>
      <w:r w:rsidRPr="00977581">
        <w:t xml:space="preserve"> </w:t>
      </w:r>
    </w:p>
    <w:p w14:paraId="3F78C0C5" w14:textId="04AC02E8" w:rsidR="000E6EBD" w:rsidRPr="00977581" w:rsidRDefault="000E6EBD" w:rsidP="000E6EBD">
      <w:r w:rsidRPr="00977581">
        <w:rPr>
          <w:b/>
        </w:rPr>
        <w:t xml:space="preserve">Mortality improvement </w:t>
      </w:r>
      <w:r w:rsidRPr="00977581">
        <w:t>measures the reduction in the rate of mortality over time. Rates of mortality have consistently decreased over many years, at all ages. Mortality improvement factors are based on the historic</w:t>
      </w:r>
      <w:r w:rsidR="00FC76F7" w:rsidRPr="00977581">
        <w:t>al</w:t>
      </w:r>
      <w:r w:rsidRPr="00977581">
        <w:t xml:space="preserve"> rates of decline in mortality rates and used to project the rate of future mortality.</w:t>
      </w:r>
    </w:p>
    <w:p w14:paraId="168829D3" w14:textId="73AE8DE3" w:rsidR="000E6EBD" w:rsidRPr="00977581" w:rsidRDefault="000E6EBD" w:rsidP="00631AE1">
      <w:pPr>
        <w:pStyle w:val="Glossaryheading"/>
      </w:pPr>
      <w:bookmarkStart w:id="286" w:name="_Toc118887310"/>
      <w:bookmarkStart w:id="287" w:name="_Toc120635154"/>
      <w:bookmarkStart w:id="288" w:name="_Toc122617987"/>
      <w:bookmarkStart w:id="289" w:name="_Toc122618414"/>
      <w:r w:rsidRPr="00977581">
        <w:t>Old</w:t>
      </w:r>
      <w:r w:rsidR="003C4864" w:rsidRPr="00977581">
        <w:t>-</w:t>
      </w:r>
      <w:r w:rsidRPr="00977581">
        <w:t>age dependency ratio</w:t>
      </w:r>
      <w:bookmarkEnd w:id="286"/>
      <w:bookmarkEnd w:id="287"/>
      <w:bookmarkEnd w:id="288"/>
      <w:bookmarkEnd w:id="289"/>
    </w:p>
    <w:p w14:paraId="527CECDF" w14:textId="1B7A93D2" w:rsidR="00DD7C2F" w:rsidRPr="00977581" w:rsidRDefault="00DD7C2F" w:rsidP="002C06DC">
      <w:pPr>
        <w:rPr>
          <w:iCs/>
        </w:rPr>
      </w:pPr>
      <w:bookmarkStart w:id="290" w:name="_Toc118887311"/>
      <w:r w:rsidRPr="00977581">
        <w:t xml:space="preserve">The </w:t>
      </w:r>
      <w:r w:rsidRPr="002C06DC">
        <w:rPr>
          <w:b/>
        </w:rPr>
        <w:t>old-age dependency ratio</w:t>
      </w:r>
      <w:r w:rsidRPr="00977581">
        <w:t xml:space="preserve"> refers to the </w:t>
      </w:r>
      <w:r w:rsidR="003478C0">
        <w:t>number</w:t>
      </w:r>
      <w:r w:rsidR="003478C0" w:rsidRPr="00977581">
        <w:t xml:space="preserve"> </w:t>
      </w:r>
      <w:r w:rsidRPr="00977581">
        <w:t>of people aged 65 and older for every 100 people of traditional working age (15-64) in the population.</w:t>
      </w:r>
    </w:p>
    <w:p w14:paraId="5CB87C55" w14:textId="69077DD6" w:rsidR="000E6EBD" w:rsidRPr="00977581" w:rsidRDefault="000E6EBD" w:rsidP="00631AE1">
      <w:pPr>
        <w:pStyle w:val="Glossaryheading"/>
      </w:pPr>
      <w:bookmarkStart w:id="291" w:name="_Toc120635155"/>
      <w:bookmarkStart w:id="292" w:name="_Toc122617988"/>
      <w:bookmarkStart w:id="293" w:name="_Toc122618415"/>
      <w:r w:rsidRPr="00977581">
        <w:t xml:space="preserve">Omicron </w:t>
      </w:r>
      <w:r w:rsidR="001E167A" w:rsidRPr="00977581">
        <w:t xml:space="preserve">variant </w:t>
      </w:r>
      <w:r w:rsidRPr="00977581">
        <w:t>wave</w:t>
      </w:r>
      <w:bookmarkEnd w:id="290"/>
      <w:bookmarkEnd w:id="291"/>
      <w:bookmarkEnd w:id="292"/>
      <w:bookmarkEnd w:id="293"/>
    </w:p>
    <w:p w14:paraId="2C86A4D2" w14:textId="4703099C" w:rsidR="000E6EBD" w:rsidRPr="00977581" w:rsidRDefault="000E6EBD" w:rsidP="000E6EBD">
      <w:r w:rsidRPr="00977581">
        <w:t xml:space="preserve">The </w:t>
      </w:r>
      <w:r w:rsidRPr="00977581">
        <w:rPr>
          <w:b/>
        </w:rPr>
        <w:t xml:space="preserve">Omicron </w:t>
      </w:r>
      <w:r w:rsidR="001E167A" w:rsidRPr="00977581">
        <w:rPr>
          <w:b/>
        </w:rPr>
        <w:t>variant</w:t>
      </w:r>
      <w:r w:rsidRPr="00977581">
        <w:rPr>
          <w:b/>
        </w:rPr>
        <w:t xml:space="preserve"> wave</w:t>
      </w:r>
      <w:r w:rsidRPr="00977581">
        <w:t xml:space="preserve"> refers to the outbreak of </w:t>
      </w:r>
      <w:r w:rsidR="000569AB" w:rsidRPr="00977581">
        <w:t>COVID-</w:t>
      </w:r>
      <w:r w:rsidRPr="00977581">
        <w:t>19</w:t>
      </w:r>
      <w:r w:rsidR="00FC76F7" w:rsidRPr="00977581">
        <w:t xml:space="preserve"> and subsequent </w:t>
      </w:r>
      <w:r w:rsidR="008F54ED" w:rsidRPr="00977581">
        <w:t>increase in</w:t>
      </w:r>
      <w:r w:rsidRPr="00977581">
        <w:t xml:space="preserve"> case numbers due to the Omicron variant during the last month of 2021 and the first part of 2022.</w:t>
      </w:r>
    </w:p>
    <w:p w14:paraId="446DC65C" w14:textId="77777777" w:rsidR="000E6EBD" w:rsidRPr="00977581" w:rsidRDefault="000E6EBD" w:rsidP="00631AE1">
      <w:pPr>
        <w:pStyle w:val="Glossaryheading"/>
      </w:pPr>
      <w:bookmarkStart w:id="294" w:name="_Toc118887312"/>
      <w:bookmarkStart w:id="295" w:name="_Toc120635156"/>
      <w:bookmarkStart w:id="296" w:name="_Toc122617989"/>
      <w:bookmarkStart w:id="297" w:name="_Toc122618416"/>
      <w:r w:rsidRPr="00977581">
        <w:t>Overseas migrant – permanent resident</w:t>
      </w:r>
      <w:bookmarkEnd w:id="294"/>
      <w:bookmarkEnd w:id="295"/>
      <w:bookmarkEnd w:id="296"/>
      <w:bookmarkEnd w:id="297"/>
    </w:p>
    <w:p w14:paraId="43FD5FEC" w14:textId="77777777" w:rsidR="0029461B" w:rsidRPr="00977581" w:rsidRDefault="0029461B" w:rsidP="0029461B">
      <w:bookmarkStart w:id="298" w:name="_Toc118887313"/>
      <w:r w:rsidRPr="00977581">
        <w:t xml:space="preserve">For population purposes, an </w:t>
      </w:r>
      <w:r w:rsidRPr="00977581">
        <w:rPr>
          <w:b/>
        </w:rPr>
        <w:t>Australian permanent resident</w:t>
      </w:r>
      <w:r w:rsidRPr="00977581">
        <w:t xml:space="preserve"> is a non-citizen who holds an Australian permanent visa and is usually resident in Australia (see ‘overseas migration’ definition below). Generally, permanent residents can live, work and study with fewer restrictions than temporary visa holders in Australia.</w:t>
      </w:r>
    </w:p>
    <w:p w14:paraId="66043824" w14:textId="77777777" w:rsidR="000E6EBD" w:rsidRPr="00977581" w:rsidRDefault="000E6EBD" w:rsidP="00631AE1">
      <w:pPr>
        <w:pStyle w:val="Glossaryheading"/>
      </w:pPr>
      <w:bookmarkStart w:id="299" w:name="_Toc120635157"/>
      <w:bookmarkStart w:id="300" w:name="_Toc122617990"/>
      <w:bookmarkStart w:id="301" w:name="_Toc122618417"/>
      <w:r w:rsidRPr="00977581">
        <w:lastRenderedPageBreak/>
        <w:t>Overseas migrant – temporary resident</w:t>
      </w:r>
      <w:bookmarkEnd w:id="298"/>
      <w:bookmarkEnd w:id="299"/>
      <w:bookmarkEnd w:id="300"/>
      <w:bookmarkEnd w:id="301"/>
    </w:p>
    <w:p w14:paraId="6815D428" w14:textId="77777777" w:rsidR="00942424" w:rsidRDefault="000E6EBD" w:rsidP="00942424">
      <w:r w:rsidRPr="00686B8D">
        <w:rPr>
          <w:bCs/>
        </w:rPr>
        <w:t xml:space="preserve">A </w:t>
      </w:r>
      <w:r w:rsidRPr="00977581">
        <w:rPr>
          <w:b/>
        </w:rPr>
        <w:t>temporary resident</w:t>
      </w:r>
      <w:r w:rsidRPr="00977581">
        <w:t xml:space="preserve"> is a non</w:t>
      </w:r>
      <w:r w:rsidR="003C4864" w:rsidRPr="00977581">
        <w:t>-</w:t>
      </w:r>
      <w:r w:rsidRPr="00977581">
        <w:t>citizen who holds a temporary visa that grants authority for travel to and from Australia within a specific period for a specific purpose (such as work or study) and is usually resident in Australia (see ‘overseas migration’ definition below). Temporary visa holders may have other conditions tied to their stay in Australia. Not all temporary visa holders are considered residents as they may not meet the ‘usually resident in Australia’ criterion.</w:t>
      </w:r>
      <w:bookmarkStart w:id="302" w:name="_Toc118887314"/>
      <w:bookmarkStart w:id="303" w:name="_Toc120635158"/>
    </w:p>
    <w:p w14:paraId="27DFC230" w14:textId="48074163" w:rsidR="000E6EBD" w:rsidRPr="00977581" w:rsidRDefault="000E6EBD" w:rsidP="00631AE1">
      <w:pPr>
        <w:pStyle w:val="Glossaryheading"/>
      </w:pPr>
      <w:bookmarkStart w:id="304" w:name="_Toc122617991"/>
      <w:bookmarkStart w:id="305" w:name="_Toc122618418"/>
      <w:r w:rsidRPr="00977581">
        <w:t>Overseas migration</w:t>
      </w:r>
      <w:bookmarkEnd w:id="302"/>
      <w:bookmarkEnd w:id="303"/>
      <w:bookmarkEnd w:id="304"/>
      <w:bookmarkEnd w:id="305"/>
    </w:p>
    <w:p w14:paraId="4E296D39" w14:textId="1DC8C120" w:rsidR="000E6EBD" w:rsidRPr="00977581" w:rsidRDefault="000E6EBD" w:rsidP="000E6EBD">
      <w:r w:rsidRPr="00977581">
        <w:rPr>
          <w:b/>
        </w:rPr>
        <w:t>Overseas migration</w:t>
      </w:r>
      <w:r w:rsidRPr="00977581">
        <w:t xml:space="preserve"> is defined using a 12/16 month rule. Under this rule, incoming overseas travellers (who are not currently counted in the population) must be resident in Australia for a total period of 12 months or more during a 16</w:t>
      </w:r>
      <w:r w:rsidR="003C4864" w:rsidRPr="00977581">
        <w:t>-</w:t>
      </w:r>
      <w:r w:rsidRPr="00977581">
        <w:t>month period to be included in the estimated resident population. Similarly, those travellers departing Australia (who are currently counted in the population) must be absent from Australia for a total of 12 months or more during a 16</w:t>
      </w:r>
      <w:r w:rsidR="003C4864" w:rsidRPr="00977581">
        <w:t>-</w:t>
      </w:r>
      <w:r w:rsidRPr="00977581">
        <w:t>month period to then be subtracted from the estimated resident population.</w:t>
      </w:r>
    </w:p>
    <w:p w14:paraId="26500FFB" w14:textId="1CB0D385" w:rsidR="000E6EBD" w:rsidRPr="00977581" w:rsidRDefault="000E6EBD" w:rsidP="000E6EBD">
      <w:r w:rsidRPr="00977581">
        <w:t>The</w:t>
      </w:r>
      <w:r w:rsidR="008F54ED" w:rsidRPr="00977581">
        <w:t>refore, the</w:t>
      </w:r>
      <w:r w:rsidRPr="00977581">
        <w:t xml:space="preserve"> 12/16</w:t>
      </w:r>
      <w:r w:rsidR="003C4864" w:rsidRPr="00977581">
        <w:t>-</w:t>
      </w:r>
      <w:r w:rsidRPr="00977581">
        <w:t>month rule takes account of those people who may have left Australia briefly and returned, while still being resident for 12 months out of 16. Similarly, it accounts for Australian citizens who live</w:t>
      </w:r>
      <w:r w:rsidR="008F54ED" w:rsidRPr="00977581">
        <w:t xml:space="preserve"> overseas</w:t>
      </w:r>
      <w:r w:rsidRPr="00977581">
        <w:t xml:space="preserve"> most of the time but</w:t>
      </w:r>
      <w:r w:rsidR="008F54ED" w:rsidRPr="00977581">
        <w:t xml:space="preserve"> who</w:t>
      </w:r>
      <w:r w:rsidRPr="00977581">
        <w:t xml:space="preserve"> periodically return to Australia for short </w:t>
      </w:r>
      <w:r w:rsidR="008F54ED" w:rsidRPr="00977581">
        <w:t>intervals.</w:t>
      </w:r>
    </w:p>
    <w:p w14:paraId="6881D5B7" w14:textId="77777777" w:rsidR="000E6EBD" w:rsidRPr="00977581" w:rsidRDefault="000E6EBD" w:rsidP="00631AE1">
      <w:pPr>
        <w:pStyle w:val="Glossaryheading"/>
      </w:pPr>
      <w:bookmarkStart w:id="306" w:name="_Toc118887315"/>
      <w:bookmarkStart w:id="307" w:name="_Toc120635159"/>
      <w:bookmarkStart w:id="308" w:name="_Toc122617992"/>
      <w:bookmarkStart w:id="309" w:name="_Toc122618419"/>
      <w:r w:rsidRPr="00977581">
        <w:t>Population momentum</w:t>
      </w:r>
      <w:bookmarkEnd w:id="306"/>
      <w:bookmarkEnd w:id="307"/>
      <w:bookmarkEnd w:id="308"/>
      <w:bookmarkEnd w:id="309"/>
    </w:p>
    <w:p w14:paraId="57F0BCE6" w14:textId="499FB77D" w:rsidR="000E6EBD" w:rsidRPr="00977581" w:rsidRDefault="000E6EBD" w:rsidP="000E6EBD">
      <w:r w:rsidRPr="00977581">
        <w:rPr>
          <w:rFonts w:eastAsia="Times New Roman"/>
          <w:b/>
          <w:bCs/>
        </w:rPr>
        <w:t>Population momentum</w:t>
      </w:r>
      <w:r w:rsidRPr="00977581">
        <w:rPr>
          <w:rFonts w:eastAsia="Times New Roman"/>
        </w:rPr>
        <w:t xml:space="preserve"> refers to the effect that the age structure of the current population has on its future size and composition. Population momentum can be conducive to positive or negative population growth. The current age structure can be driven by factors like the fertility decision of previous generations or previous waves of overseas migration. Younger age structures contribute to faster population growth, as births from the relatively large number of women of reproductive age outnumber the number of deaths. This means that a young population can continue to grow, even if there are constant levels of mortality, net migration of zero and fertility at or below replacement level. Older age structures contribute to slower rates of growth or, in more extreme cases, to population decline.</w:t>
      </w:r>
    </w:p>
    <w:p w14:paraId="498BA137" w14:textId="77777777" w:rsidR="000E6EBD" w:rsidRPr="00977581" w:rsidRDefault="000E6EBD" w:rsidP="00631AE1">
      <w:pPr>
        <w:pStyle w:val="Glossaryheading"/>
      </w:pPr>
      <w:bookmarkStart w:id="310" w:name="_Toc118887316"/>
      <w:bookmarkStart w:id="311" w:name="_Toc120635160"/>
      <w:bookmarkStart w:id="312" w:name="_Toc122617993"/>
      <w:bookmarkStart w:id="313" w:name="_Toc122618420"/>
      <w:r w:rsidRPr="00977581">
        <w:t>Probability of dying (</w:t>
      </w:r>
      <w:proofErr w:type="spellStart"/>
      <w:r w:rsidRPr="00977581">
        <w:t>qx</w:t>
      </w:r>
      <w:proofErr w:type="spellEnd"/>
      <w:r w:rsidRPr="00977581">
        <w:t>)</w:t>
      </w:r>
      <w:bookmarkEnd w:id="310"/>
      <w:bookmarkEnd w:id="311"/>
      <w:bookmarkEnd w:id="312"/>
      <w:bookmarkEnd w:id="313"/>
      <w:r w:rsidRPr="00977581">
        <w:t xml:space="preserve"> </w:t>
      </w:r>
    </w:p>
    <w:p w14:paraId="0CB496C5" w14:textId="77777777" w:rsidR="000E6EBD" w:rsidRPr="00977581" w:rsidRDefault="000E6EBD" w:rsidP="000E6EBD">
      <w:pPr>
        <w:rPr>
          <w:b/>
          <w:i/>
          <w:color w:val="002C47" w:themeColor="accent1"/>
        </w:rPr>
      </w:pPr>
      <w:r w:rsidRPr="00977581">
        <w:t>A demographic measure used in life tables referring to a probability of death between age x and age x+1.</w:t>
      </w:r>
    </w:p>
    <w:p w14:paraId="0708CA9A" w14:textId="77777777" w:rsidR="000E6EBD" w:rsidRPr="00977581" w:rsidRDefault="000E6EBD" w:rsidP="00631AE1">
      <w:pPr>
        <w:pStyle w:val="Glossaryheading"/>
      </w:pPr>
      <w:bookmarkStart w:id="314" w:name="_Toc118887317"/>
      <w:bookmarkStart w:id="315" w:name="_Toc120635161"/>
      <w:bookmarkStart w:id="316" w:name="_Toc122617994"/>
      <w:bookmarkStart w:id="317" w:name="_Toc122618421"/>
      <w:r w:rsidRPr="00977581">
        <w:t>Replacement rate</w:t>
      </w:r>
      <w:bookmarkEnd w:id="314"/>
      <w:bookmarkEnd w:id="315"/>
      <w:bookmarkEnd w:id="316"/>
      <w:bookmarkEnd w:id="317"/>
    </w:p>
    <w:p w14:paraId="775130E9" w14:textId="6CF412BE" w:rsidR="000E6EBD" w:rsidRPr="00977581" w:rsidRDefault="000E6EBD" w:rsidP="000E6EBD">
      <w:r w:rsidRPr="00977581">
        <w:rPr>
          <w:rFonts w:eastAsia="Times New Roman"/>
        </w:rPr>
        <w:t xml:space="preserve">The </w:t>
      </w:r>
      <w:r w:rsidRPr="00977581">
        <w:rPr>
          <w:rFonts w:eastAsia="Times New Roman"/>
          <w:b/>
          <w:bCs/>
        </w:rPr>
        <w:t>replacement rate</w:t>
      </w:r>
      <w:r w:rsidRPr="00977581">
        <w:rPr>
          <w:rFonts w:eastAsia="Times New Roman"/>
        </w:rPr>
        <w:t xml:space="preserve"> (or replacement</w:t>
      </w:r>
      <w:r w:rsidR="00905CDE" w:rsidRPr="00977581">
        <w:rPr>
          <w:rFonts w:eastAsia="Times New Roman"/>
        </w:rPr>
        <w:t>-</w:t>
      </w:r>
      <w:r w:rsidRPr="00977581">
        <w:rPr>
          <w:rFonts w:eastAsia="Times New Roman"/>
        </w:rPr>
        <w:t xml:space="preserve">level fertility) is the number of babies a </w:t>
      </w:r>
      <w:r w:rsidR="001E167A" w:rsidRPr="00977581">
        <w:rPr>
          <w:rFonts w:eastAsia="Times New Roman"/>
        </w:rPr>
        <w:t xml:space="preserve">woman </w:t>
      </w:r>
      <w:r w:rsidRPr="00977581">
        <w:rPr>
          <w:rFonts w:eastAsia="Times New Roman"/>
        </w:rPr>
        <w:t>would need to have over her reproductive life span to replace herself and her partner. Given not all babies survive to reproductive age and babies are more likely to be male, replacement fertility is around 2.1 babies per woman in most developed countries.</w:t>
      </w:r>
    </w:p>
    <w:p w14:paraId="00CE58FA" w14:textId="16420C44" w:rsidR="000E6EBD" w:rsidRPr="00977581" w:rsidRDefault="000E6EBD" w:rsidP="00631AE1">
      <w:pPr>
        <w:pStyle w:val="Glossaryheading"/>
      </w:pPr>
      <w:bookmarkStart w:id="318" w:name="_Toc118887318"/>
      <w:bookmarkStart w:id="319" w:name="_Toc120635162"/>
      <w:bookmarkStart w:id="320" w:name="_Toc122617995"/>
      <w:bookmarkStart w:id="321" w:name="_Toc122618422"/>
      <w:r w:rsidRPr="00977581">
        <w:t>Rest</w:t>
      </w:r>
      <w:r w:rsidR="00905CDE" w:rsidRPr="00977581">
        <w:t>-</w:t>
      </w:r>
      <w:r w:rsidRPr="00977581">
        <w:t>of</w:t>
      </w:r>
      <w:r w:rsidR="00905CDE" w:rsidRPr="00977581">
        <w:t>-</w:t>
      </w:r>
      <w:r w:rsidRPr="00977581">
        <w:t>state area</w:t>
      </w:r>
      <w:bookmarkEnd w:id="318"/>
      <w:bookmarkEnd w:id="319"/>
      <w:bookmarkEnd w:id="320"/>
      <w:bookmarkEnd w:id="321"/>
    </w:p>
    <w:p w14:paraId="08686652" w14:textId="2D954F50" w:rsidR="00977581" w:rsidRPr="00977581" w:rsidRDefault="00977581" w:rsidP="00977581">
      <w:pPr>
        <w:rPr>
          <w:sz w:val="18"/>
        </w:rPr>
      </w:pPr>
      <w:bookmarkStart w:id="322" w:name="_Toc118887319"/>
      <w:r w:rsidRPr="00977581">
        <w:t xml:space="preserve">Within each state, the area not defined as being part of the Greater Capital City is represented by a </w:t>
      </w:r>
      <w:r w:rsidRPr="00977581">
        <w:rPr>
          <w:b/>
        </w:rPr>
        <w:t>rest</w:t>
      </w:r>
      <w:r w:rsidR="00813FB6">
        <w:rPr>
          <w:b/>
        </w:rPr>
        <w:noBreakHyphen/>
      </w:r>
      <w:r w:rsidRPr="00977581">
        <w:rPr>
          <w:b/>
        </w:rPr>
        <w:t>of</w:t>
      </w:r>
      <w:r w:rsidR="00813FB6">
        <w:rPr>
          <w:b/>
        </w:rPr>
        <w:noBreakHyphen/>
      </w:r>
      <w:r w:rsidRPr="00977581">
        <w:rPr>
          <w:b/>
        </w:rPr>
        <w:t>state area</w:t>
      </w:r>
      <w:r w:rsidRPr="00977581">
        <w:rPr>
          <w:sz w:val="18"/>
        </w:rPr>
        <w:t>.</w:t>
      </w:r>
      <w:r w:rsidRPr="00977581">
        <w:rPr>
          <w:rStyle w:val="FootnoteReference"/>
        </w:rPr>
        <w:footnoteReference w:id="57"/>
      </w:r>
    </w:p>
    <w:p w14:paraId="10F87EBB" w14:textId="77777777" w:rsidR="000E6EBD" w:rsidRPr="00977581" w:rsidRDefault="000E6EBD" w:rsidP="00631AE1">
      <w:pPr>
        <w:pStyle w:val="Glossaryheading"/>
      </w:pPr>
      <w:bookmarkStart w:id="323" w:name="_Toc120635163"/>
      <w:bookmarkStart w:id="324" w:name="_Toc122617996"/>
      <w:bookmarkStart w:id="325" w:name="_Toc122618423"/>
      <w:r w:rsidRPr="00977581">
        <w:lastRenderedPageBreak/>
        <w:t>Second Melbourne lockdown</w:t>
      </w:r>
      <w:bookmarkEnd w:id="322"/>
      <w:bookmarkEnd w:id="323"/>
      <w:bookmarkEnd w:id="324"/>
      <w:bookmarkEnd w:id="325"/>
    </w:p>
    <w:p w14:paraId="53DBA62F" w14:textId="77777777" w:rsidR="00942424" w:rsidRDefault="000E6EBD" w:rsidP="00942424">
      <w:r w:rsidRPr="00977581">
        <w:t xml:space="preserve">The </w:t>
      </w:r>
      <w:r w:rsidRPr="00977581">
        <w:rPr>
          <w:b/>
          <w:bCs/>
        </w:rPr>
        <w:t xml:space="preserve">second Melbourne lockdown </w:t>
      </w:r>
      <w:r w:rsidRPr="00977581">
        <w:t xml:space="preserve">refers to the </w:t>
      </w:r>
      <w:r w:rsidR="001E167A" w:rsidRPr="00977581">
        <w:t xml:space="preserve">COVID-19 </w:t>
      </w:r>
      <w:r w:rsidRPr="00977581">
        <w:t xml:space="preserve">lockdown experienced in Melbourne between early July 2020 and late October 2020. </w:t>
      </w:r>
      <w:bookmarkStart w:id="326" w:name="_Toc118887320"/>
      <w:bookmarkStart w:id="327" w:name="_Toc120635164"/>
    </w:p>
    <w:p w14:paraId="51969D30" w14:textId="000ED3B0" w:rsidR="000E6EBD" w:rsidRPr="00977581" w:rsidRDefault="000E6EBD" w:rsidP="00631AE1">
      <w:pPr>
        <w:pStyle w:val="Glossaryheading"/>
      </w:pPr>
      <w:bookmarkStart w:id="328" w:name="_Toc122617997"/>
      <w:bookmarkStart w:id="329" w:name="_Toc122618424"/>
      <w:r w:rsidRPr="00977581">
        <w:t>Standardised death rate</w:t>
      </w:r>
      <w:bookmarkEnd w:id="326"/>
      <w:bookmarkEnd w:id="327"/>
      <w:bookmarkEnd w:id="328"/>
      <w:bookmarkEnd w:id="329"/>
      <w:r w:rsidRPr="00977581">
        <w:t xml:space="preserve"> </w:t>
      </w:r>
    </w:p>
    <w:p w14:paraId="1D2C8527" w14:textId="77777777" w:rsidR="00942424" w:rsidRDefault="000E6EBD" w:rsidP="00942424">
      <w:r w:rsidRPr="00977581">
        <w:t>The age</w:t>
      </w:r>
      <w:r w:rsidR="00905CDE" w:rsidRPr="00977581">
        <w:t>-</w:t>
      </w:r>
      <w:r w:rsidRPr="00977581">
        <w:rPr>
          <w:b/>
        </w:rPr>
        <w:t>standardised death rate</w:t>
      </w:r>
      <w:r w:rsidRPr="00977581">
        <w:t xml:space="preserve"> allows for comparison of mortality trends across populations of different size and age structure. It is a weighted average of the age</w:t>
      </w:r>
      <w:r w:rsidR="00905CDE" w:rsidRPr="00977581">
        <w:t>-</w:t>
      </w:r>
      <w:r w:rsidRPr="00977581">
        <w:t>specific mortality rates per 100,000 (or 1,000) persons, where the weights are the proportions of persons in the corresponding age groups of the standard population.</w:t>
      </w:r>
      <w:bookmarkStart w:id="330" w:name="_Toc118887321"/>
      <w:bookmarkStart w:id="331" w:name="_Toc120635165"/>
      <w:r w:rsidR="00942424" w:rsidRPr="00977581">
        <w:t xml:space="preserve"> </w:t>
      </w:r>
    </w:p>
    <w:p w14:paraId="4E8F108D" w14:textId="06A85DEA" w:rsidR="000E6EBD" w:rsidRPr="00977581" w:rsidRDefault="000E6EBD" w:rsidP="00631AE1">
      <w:pPr>
        <w:pStyle w:val="Glossaryheading"/>
      </w:pPr>
      <w:bookmarkStart w:id="332" w:name="_Toc122617998"/>
      <w:bookmarkStart w:id="333" w:name="_Toc122618425"/>
      <w:r w:rsidRPr="00977581">
        <w:t>Total fertility rate (TFR)</w:t>
      </w:r>
      <w:bookmarkEnd w:id="330"/>
      <w:bookmarkEnd w:id="331"/>
      <w:bookmarkEnd w:id="332"/>
      <w:bookmarkEnd w:id="333"/>
    </w:p>
    <w:p w14:paraId="297985C1" w14:textId="223DCA52" w:rsidR="006B4A89" w:rsidRPr="00294D7C" w:rsidRDefault="00977581" w:rsidP="00CB2DC9">
      <w:pPr>
        <w:rPr>
          <w:spacing w:val="-2"/>
        </w:rPr>
      </w:pPr>
      <w:r w:rsidRPr="00631AE1">
        <w:rPr>
          <w:spacing w:val="-2"/>
        </w:rPr>
        <w:t xml:space="preserve">The </w:t>
      </w:r>
      <w:r w:rsidRPr="00631AE1">
        <w:rPr>
          <w:b/>
          <w:spacing w:val="-2"/>
        </w:rPr>
        <w:t>total fertility rate</w:t>
      </w:r>
      <w:r w:rsidRPr="00631AE1">
        <w:rPr>
          <w:spacing w:val="-2"/>
        </w:rPr>
        <w:t xml:space="preserve"> is the sum of age-specific fertility rates (divided by 1,000). It represents the number of children a woman would bear during her lifetime if she experienced current age-specific fertility rates at each age of her reproductive life. Age-specific fertility rates are the annual number of babies in a specific age group.</w:t>
      </w:r>
      <w:r w:rsidRPr="00631AE1">
        <w:rPr>
          <w:rStyle w:val="FootnoteReference"/>
          <w:rFonts w:asciiTheme="minorHAnsi" w:hAnsiTheme="minorHAnsi"/>
          <w:spacing w:val="-2"/>
        </w:rPr>
        <w:footnoteReference w:id="58"/>
      </w:r>
    </w:p>
    <w:p w14:paraId="47E26BA3" w14:textId="77777777" w:rsidR="00B46EC6" w:rsidRDefault="00B46EC6">
      <w:pPr>
        <w:spacing w:before="0" w:after="160" w:line="259" w:lineRule="auto"/>
        <w:rPr>
          <w:b/>
          <w:smallCaps/>
          <w:color w:val="FFFFFF" w:themeColor="background1"/>
          <w:spacing w:val="15"/>
          <w:sz w:val="22"/>
          <w:szCs w:val="22"/>
        </w:rPr>
      </w:pPr>
      <w:bookmarkStart w:id="334" w:name="_Toc122618426"/>
      <w:r>
        <w:br w:type="page"/>
      </w:r>
    </w:p>
    <w:p w14:paraId="57B299C5" w14:textId="1EEB6730" w:rsidR="00FD68B9" w:rsidRDefault="00FD68B9" w:rsidP="006B4A89">
      <w:pPr>
        <w:pStyle w:val="Heading1"/>
      </w:pPr>
      <w:r>
        <w:lastRenderedPageBreak/>
        <w:t>References</w:t>
      </w:r>
      <w:bookmarkEnd w:id="334"/>
    </w:p>
    <w:sdt>
      <w:sdtPr>
        <w:rPr>
          <w:rFonts w:ascii="Calibri" w:eastAsiaTheme="minorHAnsi" w:hAnsi="Calibri" w:cs="Calibri"/>
          <w:sz w:val="22"/>
          <w:szCs w:val="22"/>
        </w:rPr>
        <w:id w:val="-573587230"/>
        <w:bibliography/>
      </w:sdtPr>
      <w:sdtEndPr>
        <w:rPr>
          <w:rFonts w:asciiTheme="minorHAnsi" w:eastAsiaTheme="minorEastAsia" w:hAnsiTheme="minorHAnsi" w:cstheme="minorBidi"/>
          <w:sz w:val="20"/>
          <w:szCs w:val="20"/>
        </w:rPr>
      </w:sdtEndPr>
      <w:sdtContent>
        <w:sdt>
          <w:sdtPr>
            <w:rPr>
              <w:rFonts w:ascii="Calibri" w:eastAsiaTheme="minorHAnsi" w:hAnsi="Calibri" w:cs="Calibri"/>
              <w:sz w:val="22"/>
              <w:szCs w:val="22"/>
            </w:rPr>
            <w:id w:val="1407652271"/>
            <w:bibliography/>
          </w:sdtPr>
          <w:sdtEndPr>
            <w:rPr>
              <w:rFonts w:asciiTheme="minorHAnsi" w:eastAsiaTheme="minorEastAsia" w:hAnsiTheme="minorHAnsi" w:cstheme="minorBidi"/>
              <w:sz w:val="20"/>
              <w:szCs w:val="20"/>
            </w:rPr>
          </w:sdtEndPr>
          <w:sdtContent>
            <w:sdt>
              <w:sdtPr>
                <w:rPr>
                  <w:rFonts w:ascii="Calibri" w:eastAsiaTheme="minorHAnsi" w:hAnsi="Calibri" w:cs="Calibri"/>
                  <w:sz w:val="22"/>
                  <w:szCs w:val="22"/>
                </w:rPr>
                <w:id w:val="1894929110"/>
                <w:bibliography/>
              </w:sdtPr>
              <w:sdtEndPr>
                <w:rPr>
                  <w:rFonts w:asciiTheme="minorHAnsi" w:eastAsiaTheme="minorEastAsia" w:hAnsiTheme="minorHAnsi" w:cstheme="minorBidi"/>
                  <w:sz w:val="20"/>
                  <w:szCs w:val="20"/>
                </w:rPr>
              </w:sdtEndPr>
              <w:sdtContent>
                <w:p w14:paraId="5C36EE5E" w14:textId="77777777" w:rsidR="001E6276" w:rsidRPr="00631AE1" w:rsidRDefault="004D1659" w:rsidP="005F054E">
                  <w:pPr>
                    <w:pStyle w:val="Bibliography"/>
                  </w:pPr>
                  <w:r w:rsidRPr="00631AE1">
                    <w:fldChar w:fldCharType="begin"/>
                  </w:r>
                  <w:r w:rsidRPr="00631AE1">
                    <w:instrText xml:space="preserve"> BIBLIOGRAPHY </w:instrText>
                  </w:r>
                  <w:r w:rsidRPr="00631AE1">
                    <w:fldChar w:fldCharType="separate"/>
                  </w:r>
                  <w:r w:rsidR="001E6276" w:rsidRPr="00631AE1">
                    <w:t>Australian Bureau of Statistics. (2016, July 12). Australian Statistical Geography Standard: Volume 1 - Main Structure and Greater Capital City Statistical Areas. Retrieved from https://www.abs.gov.au/ausstats/abs@.nsf/mf/1270.0.55.001</w:t>
                  </w:r>
                </w:p>
                <w:p w14:paraId="42637C3E" w14:textId="77777777" w:rsidR="001E6276" w:rsidRPr="00631AE1" w:rsidRDefault="001E6276" w:rsidP="005F054E">
                  <w:pPr>
                    <w:pStyle w:val="Bibliography"/>
                  </w:pPr>
                  <w:r w:rsidRPr="00631AE1">
                    <w:t>Australian Bureau of Statistics. (2021, December 8). Births, Australia. Retrieved from https://www.abs.gov.au/statistics/people/population/births-australia/2020</w:t>
                  </w:r>
                </w:p>
                <w:p w14:paraId="7DA2262B" w14:textId="77777777" w:rsidR="001E6276" w:rsidRPr="00631AE1" w:rsidRDefault="001E6276" w:rsidP="005F054E">
                  <w:pPr>
                    <w:pStyle w:val="Bibliography"/>
                  </w:pPr>
                  <w:r w:rsidRPr="00631AE1">
                    <w:t>Australian Bureau of Statistics. (2021). Causes of Death, Australia. Retrieved from https://www.abs.gov.au/statistics/health/causes-death/causes-death-australia/2021</w:t>
                  </w:r>
                </w:p>
                <w:p w14:paraId="509F430B" w14:textId="77777777" w:rsidR="001E6276" w:rsidRPr="00631AE1" w:rsidRDefault="001E6276" w:rsidP="005F054E">
                  <w:pPr>
                    <w:pStyle w:val="Bibliography"/>
                  </w:pPr>
                  <w:r w:rsidRPr="00631AE1">
                    <w:t>Australian Bureau of Statistics. (2021, November 4). Life tables. Retrieved from https://www.abs.gov.au/statistics/people/population/life-tables/2018-2020</w:t>
                  </w:r>
                </w:p>
                <w:p w14:paraId="7842F994" w14:textId="77777777" w:rsidR="001E6276" w:rsidRPr="00631AE1" w:rsidRDefault="001E6276" w:rsidP="005F054E">
                  <w:pPr>
                    <w:pStyle w:val="Bibliography"/>
                  </w:pPr>
                  <w:r w:rsidRPr="00631AE1">
                    <w:t>Australian Bureau of Statistics. (2021, September 16). National, state and territory population methodology, March 2021. Retrieved from https://www.abs.gov.au/methodologies/national-state-and-territory-population-methodology/mar-2021</w:t>
                  </w:r>
                </w:p>
                <w:p w14:paraId="3C6D9F39" w14:textId="77777777" w:rsidR="001E6276" w:rsidRPr="00631AE1" w:rsidRDefault="001E6276" w:rsidP="005F054E">
                  <w:pPr>
                    <w:pStyle w:val="Bibliography"/>
                  </w:pPr>
                  <w:r w:rsidRPr="00631AE1">
                    <w:t>Australian Bureau of Statistics. (2021, December 16). National, state and territory population, methodology, June 2021. Retrieved from https://www.abs.gov.au/methodologies/national-state-and-territory-population-methodology/jun-2021#interstate-migration</w:t>
                  </w:r>
                </w:p>
                <w:p w14:paraId="54821C4E" w14:textId="77777777" w:rsidR="001E6276" w:rsidRPr="00631AE1" w:rsidRDefault="001E6276" w:rsidP="005F054E">
                  <w:pPr>
                    <w:pStyle w:val="Bibliography"/>
                  </w:pPr>
                  <w:r w:rsidRPr="00631AE1">
                    <w:t>Australian Bureau of Statistics. (2021, December 17). Overseas Migration, 2020-21. Retrieved from https://www.abs.gov.au/statistics/people/population/overseas-migration/2020-21</w:t>
                  </w:r>
                </w:p>
                <w:p w14:paraId="1E84CAEF" w14:textId="77777777" w:rsidR="001E6276" w:rsidRPr="00631AE1" w:rsidRDefault="001E6276" w:rsidP="005F054E">
                  <w:pPr>
                    <w:pStyle w:val="Bibliography"/>
                  </w:pPr>
                  <w:r w:rsidRPr="00631AE1">
                    <w:t>Australian Bureau of Statistics. (2021, August 8). Regional internal migration estimates, provisional, March 2021. Retrieved from https://www.abs.gov.au/statistics/people/population/regional-internal-migration-estimates-provisional/mar-2021</w:t>
                  </w:r>
                </w:p>
                <w:p w14:paraId="6769EA32" w14:textId="77777777" w:rsidR="001E6276" w:rsidRPr="00631AE1" w:rsidRDefault="001E6276" w:rsidP="005F054E">
                  <w:pPr>
                    <w:pStyle w:val="Bibliography"/>
                  </w:pPr>
                  <w:r w:rsidRPr="00631AE1">
                    <w:t>Australian Bureau of Statistics. (2022). 2021 Census overcount and undercount. Retrieved from https://www.abs.gov.au/statistics/people/population/2021-census-overcount-and-undercount/latest-release</w:t>
                  </w:r>
                </w:p>
                <w:p w14:paraId="654A62EB" w14:textId="77777777" w:rsidR="001E6276" w:rsidRPr="00631AE1" w:rsidRDefault="001E6276" w:rsidP="005F054E">
                  <w:pPr>
                    <w:pStyle w:val="Bibliography"/>
                  </w:pPr>
                  <w:r w:rsidRPr="00631AE1">
                    <w:t>Australian Bureau of Statistics. (2022). Census of Population and Housing, 2021. Retrieved from https://www.abs.gov.au/census</w:t>
                  </w:r>
                </w:p>
                <w:p w14:paraId="71C1BAA5" w14:textId="77777777" w:rsidR="001E6276" w:rsidRPr="00631AE1" w:rsidRDefault="001E6276" w:rsidP="005F054E">
                  <w:pPr>
                    <w:pStyle w:val="Bibliography"/>
                  </w:pPr>
                  <w:r w:rsidRPr="00631AE1">
                    <w:t>Australian Bureau of Statistics. (2022, November 16). COVID-19 Mortality by wave. Retrieved from https://www.abs.gov.au/articles/covid-19-mortality-wave</w:t>
                  </w:r>
                </w:p>
                <w:p w14:paraId="30222DA6" w14:textId="77777777" w:rsidR="001E6276" w:rsidRPr="00631AE1" w:rsidRDefault="001E6276" w:rsidP="005F054E">
                  <w:pPr>
                    <w:pStyle w:val="Bibliography"/>
                  </w:pPr>
                  <w:r w:rsidRPr="00631AE1">
                    <w:t>Australian Bureau of Statistics. (2022, November 25). COVID-19 Mortality in Australia: Deaths registered until 31 October 2022. Retrieved from https://www.abs.gov.au/articles/covid-19-mortality-australia-deaths-registered-until-31-october-2022</w:t>
                  </w:r>
                </w:p>
                <w:p w14:paraId="2A3E0DC0" w14:textId="77777777" w:rsidR="001E6276" w:rsidRPr="00631AE1" w:rsidRDefault="001E6276" w:rsidP="005F054E">
                  <w:pPr>
                    <w:pStyle w:val="Bibliography"/>
                  </w:pPr>
                  <w:r w:rsidRPr="00631AE1">
                    <w:t>Australian Bureau of Statistics. (2022, September 29). Deaths, Australia. Retrieved from https://www.abs.gov.au/statistics/people/population/deaths-australia/2021</w:t>
                  </w:r>
                </w:p>
                <w:p w14:paraId="29A24D6D" w14:textId="77777777" w:rsidR="001E6276" w:rsidRPr="00631AE1" w:rsidRDefault="001E6276" w:rsidP="005F054E">
                  <w:pPr>
                    <w:pStyle w:val="Bibliography"/>
                  </w:pPr>
                  <w:r w:rsidRPr="00631AE1">
                    <w:t>Australian Bureau of Statistics. (2022, June 28). National, state and territory population, December 2021. Retrieved from https://www.abs.gov.au/statistics/people/population/national-state-and-territory-population/dec-2021</w:t>
                  </w:r>
                </w:p>
                <w:p w14:paraId="52811DCC" w14:textId="77777777" w:rsidR="001E6276" w:rsidRPr="00631AE1" w:rsidRDefault="001E6276" w:rsidP="005F054E">
                  <w:pPr>
                    <w:pStyle w:val="Bibliography"/>
                  </w:pPr>
                  <w:r w:rsidRPr="00631AE1">
                    <w:lastRenderedPageBreak/>
                    <w:t>Australian Bureau of Statistics. (2022, September 21). National, state and territory population, March 2022. Retrieved from https://www.abs.gov.au/statistics/people/population/national-state-and-territory-population/latest-release</w:t>
                  </w:r>
                </w:p>
                <w:p w14:paraId="3E60F4B9" w14:textId="77777777" w:rsidR="001E6276" w:rsidRPr="00631AE1" w:rsidRDefault="001E6276" w:rsidP="005F054E">
                  <w:pPr>
                    <w:pStyle w:val="Bibliography"/>
                  </w:pPr>
                  <w:r w:rsidRPr="00631AE1">
                    <w:t>Australian Bureau of Statistics. (2022, November 25). Provisional Mortality Statistics, Jan - Aug 2022. Retrieved from https://www.abs.gov.au/statistics/health/causes-death/provisional-mortality-statistics/jan-aug-2022</w:t>
                  </w:r>
                </w:p>
                <w:p w14:paraId="28994057" w14:textId="77777777" w:rsidR="001E6276" w:rsidRPr="00631AE1" w:rsidRDefault="001E6276" w:rsidP="005F054E">
                  <w:pPr>
                    <w:pStyle w:val="Bibliography"/>
                  </w:pPr>
                  <w:r w:rsidRPr="00631AE1">
                    <w:t>Australian Bureau of Statistics. (2022, July 26). Regional population. Retrieved from https://www.abs.gov.au/statistics/people/population/regional-population/2021</w:t>
                  </w:r>
                </w:p>
                <w:p w14:paraId="1A4608FF" w14:textId="77777777" w:rsidR="001E6276" w:rsidRPr="00631AE1" w:rsidRDefault="001E6276" w:rsidP="005F054E">
                  <w:pPr>
                    <w:pStyle w:val="Bibliography"/>
                  </w:pPr>
                  <w:r w:rsidRPr="00631AE1">
                    <w:t>Australian Government Actuary. (2019, December 5). Australian Life Tables 2015-17. Retrieved from https://aga.gov.au/publications/life-tables/australian-life-tables-2015-17</w:t>
                  </w:r>
                </w:p>
                <w:p w14:paraId="0BD3EBBE" w14:textId="77777777" w:rsidR="001E6276" w:rsidRPr="00631AE1" w:rsidRDefault="001E6276" w:rsidP="005F054E">
                  <w:pPr>
                    <w:pStyle w:val="Bibliography"/>
                  </w:pPr>
                  <w:r w:rsidRPr="00631AE1">
                    <w:t>Australian Institute of Health and Welfare. (2020-21). Suicide &amp; self-harm monitoring. Retrieved from https://www.aihw.gov.au/suicide-self-harm-monitoring/data/behaviours-risk-factors/deaths-of-despair</w:t>
                  </w:r>
                </w:p>
                <w:p w14:paraId="5C0787FA" w14:textId="77777777" w:rsidR="001E6276" w:rsidRPr="00631AE1" w:rsidRDefault="001E6276" w:rsidP="005F054E">
                  <w:pPr>
                    <w:pStyle w:val="Bibliography"/>
                  </w:pPr>
                  <w:r w:rsidRPr="00631AE1">
                    <w:t>Australian Institute of Health and Welfare. (2022). Alcohol, tobacco &amp; other drugs in Australia. Retrieved from https://www.aihw.gov.au/reports/alcohol/alcohol-tobacco-other-drugs-australia/contents/about</w:t>
                  </w:r>
                </w:p>
                <w:p w14:paraId="27F86540" w14:textId="77777777" w:rsidR="001E6276" w:rsidRPr="00631AE1" w:rsidRDefault="001E6276" w:rsidP="005F054E">
                  <w:pPr>
                    <w:pStyle w:val="Bibliography"/>
                  </w:pPr>
                  <w:r w:rsidRPr="00631AE1">
                    <w:t>Australian Institute of Health and Welfare. (2022, July 7). Changes in the health of Australians during the COVID-19 period. Retrieved from Australia's health 2022: data insights: https://www.aihw.gov.au/reports/australias-health/australias-health-2022-data-insights/summary</w:t>
                  </w:r>
                </w:p>
                <w:p w14:paraId="7F512382" w14:textId="77777777" w:rsidR="001E6276" w:rsidRPr="00631AE1" w:rsidRDefault="001E6276" w:rsidP="005F054E">
                  <w:pPr>
                    <w:pStyle w:val="Bibliography"/>
                  </w:pPr>
                  <w:r w:rsidRPr="00631AE1">
                    <w:t>Australian Institute of Health and Welfare. (2022). General Record of Incidence of Mortality (GRIM). Retrieved from https://www.aihw.gov.au/reports/life-expectancy-deaths/grim-books/contents/grim-excel-workbooks</w:t>
                  </w:r>
                </w:p>
                <w:p w14:paraId="66CC3B91" w14:textId="77777777" w:rsidR="001E6276" w:rsidRPr="00631AE1" w:rsidRDefault="001E6276" w:rsidP="005F054E">
                  <w:pPr>
                    <w:pStyle w:val="Bibliography"/>
                  </w:pPr>
                  <w:r w:rsidRPr="00631AE1">
                    <w:t>Bell, M., Blake, M., Boyle, P., Duke-Williams, O., Rees, P., Stillwell, J., &amp; Hugo, G. (2002). Cross-National Comparison of Internal Migration: Issues and Measures. Journal of the Royal Statistical Society, 435-464.</w:t>
                  </w:r>
                </w:p>
                <w:p w14:paraId="441627EE" w14:textId="77777777" w:rsidR="001E6276" w:rsidRPr="00631AE1" w:rsidRDefault="001E6276" w:rsidP="005F054E">
                  <w:pPr>
                    <w:pStyle w:val="Bibliography"/>
                  </w:pPr>
                  <w:r w:rsidRPr="00631AE1">
                    <w:t>Case, A., &amp; Deaton, A. (2020). Deaths of Despair and the Future of Capitalism. Princeton University Press.</w:t>
                  </w:r>
                </w:p>
                <w:p w14:paraId="2106B1C6" w14:textId="77777777" w:rsidR="001E6276" w:rsidRPr="00631AE1" w:rsidRDefault="001E6276" w:rsidP="005F054E">
                  <w:pPr>
                    <w:pStyle w:val="Bibliography"/>
                  </w:pPr>
                  <w:r w:rsidRPr="00631AE1">
                    <w:t>Centre for Population. (2020). Population Statement. Canberra.</w:t>
                  </w:r>
                </w:p>
                <w:p w14:paraId="18DECA61" w14:textId="77777777" w:rsidR="001E6276" w:rsidRPr="00631AE1" w:rsidRDefault="001E6276" w:rsidP="005F054E">
                  <w:pPr>
                    <w:pStyle w:val="Bibliography"/>
                  </w:pPr>
                  <w:r w:rsidRPr="00631AE1">
                    <w:t>Centres for Disease Control and Prevention. (2022). CDC Wonder. Retrieved from https://wonder.cdc.gov/</w:t>
                  </w:r>
                </w:p>
                <w:p w14:paraId="3606AFB9" w14:textId="77777777" w:rsidR="001E6276" w:rsidRPr="00631AE1" w:rsidRDefault="001E6276" w:rsidP="005F054E">
                  <w:pPr>
                    <w:pStyle w:val="Bibliography"/>
                  </w:pPr>
                  <w:r w:rsidRPr="00631AE1">
                    <w:t>Commonwealth of Australia. (2021). 2021 Intergenerational Report. Canberra.</w:t>
                  </w:r>
                </w:p>
                <w:p w14:paraId="399026CC" w14:textId="77777777" w:rsidR="001E6276" w:rsidRPr="00631AE1" w:rsidRDefault="001E6276" w:rsidP="005F054E">
                  <w:pPr>
                    <w:pStyle w:val="Bibliography"/>
                  </w:pPr>
                  <w:r w:rsidRPr="00631AE1">
                    <w:t>Department of Home Affairs. (2022, September 29). BP0019 Number of Temporary visa holders in Australia at 2022-08-31. Retrieved from https://data.gov.au/dataset/ds-dga-ab245863-4dea-4661-a334-71ee15937130/distribution/dist-dga-54b2d02b-45bf-4c2d-a2bd-d9a9064f365c/details?q=</w:t>
                  </w:r>
                </w:p>
                <w:p w14:paraId="6A2D2ABC" w14:textId="77777777" w:rsidR="001E6276" w:rsidRPr="00631AE1" w:rsidRDefault="001E6276" w:rsidP="005F054E">
                  <w:pPr>
                    <w:pStyle w:val="Bibliography"/>
                  </w:pPr>
                  <w:r w:rsidRPr="00631AE1">
                    <w:t>Department of Home Affairs, A migration system for Australia's future. (2022, November). A migration system for Australia's future. Retrieved from https://www.homeaffairs.gov.au/reports-and-pubs/files/reviews-and-inquiries/discussion_paper.pdf</w:t>
                  </w:r>
                </w:p>
                <w:p w14:paraId="61CD6B33" w14:textId="77777777" w:rsidR="001E6276" w:rsidRPr="00631AE1" w:rsidRDefault="001E6276" w:rsidP="005F054E">
                  <w:pPr>
                    <w:pStyle w:val="Bibliography"/>
                  </w:pPr>
                  <w:r w:rsidRPr="00631AE1">
                    <w:t>Dong, E., Du, H., &amp; Gardner, L. (2020). An interactive web-based dashboard to track COVID-19 in real time. The Lancet. Retrieved from https://github.com/CSSEGISandData/COVID-19</w:t>
                  </w:r>
                </w:p>
                <w:p w14:paraId="20967BDD" w14:textId="77777777" w:rsidR="001E6276" w:rsidRPr="00631AE1" w:rsidRDefault="001E6276" w:rsidP="005F054E">
                  <w:pPr>
                    <w:pStyle w:val="Bibliography"/>
                  </w:pPr>
                  <w:r w:rsidRPr="00631AE1">
                    <w:lastRenderedPageBreak/>
                    <w:t>Gray, E., Evans, A., &amp; Reimondos, A. (2022). Having babies in times of uncertainty: first results of the impact of COVID-19 on the number of babies born in Australia. Australian Population Studies, 15-30. Retrieved from https://www.australianpopulationstudies.org/index.php/aps/article/view/101</w:t>
                  </w:r>
                </w:p>
                <w:p w14:paraId="481A9C2F" w14:textId="77777777" w:rsidR="001E6276" w:rsidRPr="00631AE1" w:rsidRDefault="001E6276" w:rsidP="005F054E">
                  <w:pPr>
                    <w:pStyle w:val="Bibliography"/>
                  </w:pPr>
                  <w:r w:rsidRPr="00631AE1">
                    <w:t>McDonald, P. (2020). A Projection of Future Fertility Rates. Canberra: Centre for Population.</w:t>
                  </w:r>
                </w:p>
                <w:p w14:paraId="3FE69B2E" w14:textId="77777777" w:rsidR="001E6276" w:rsidRPr="00631AE1" w:rsidRDefault="001E6276" w:rsidP="005F054E">
                  <w:pPr>
                    <w:pStyle w:val="Bibliography"/>
                  </w:pPr>
                  <w:r w:rsidRPr="00631AE1">
                    <w:t>Office of National Statistics. (2022). Deaths. Retrieved from https://www.ons.gov.uk/peoplepopulationandcommunity/birthsdeathsandmarriages/deaths</w:t>
                  </w:r>
                </w:p>
                <w:p w14:paraId="0CDC00F7" w14:textId="77777777" w:rsidR="001E6276" w:rsidRPr="00631AE1" w:rsidRDefault="001E6276" w:rsidP="005F054E">
                  <w:pPr>
                    <w:pStyle w:val="Bibliography"/>
                  </w:pPr>
                  <w:r w:rsidRPr="00631AE1">
                    <w:t>United Nations Department of Economic and Social Affairs, Population Division. (2022, July 11). 2022 Revision of World Population Prospects. Retrieved from https://population.un.org/wpp/</w:t>
                  </w:r>
                </w:p>
                <w:p w14:paraId="6F1DC19E" w14:textId="77777777" w:rsidR="001E6276" w:rsidRPr="00631AE1" w:rsidRDefault="001E6276" w:rsidP="005F054E">
                  <w:pPr>
                    <w:pStyle w:val="Bibliography"/>
                  </w:pPr>
                  <w:r w:rsidRPr="00631AE1">
                    <w:t>United States Census Bureau. (2020, February). Demographic Turning Points for the United States; Population Projections for 2020 to 2060. Retrieved from https://www.census.gov/: http://www.census.gov/content/dam/Census/library/publications/2020/demo/p25-1144.pdf</w:t>
                  </w:r>
                </w:p>
                <w:p w14:paraId="6399CBF3" w14:textId="77777777" w:rsidR="001E6276" w:rsidRPr="004E1230" w:rsidRDefault="001E6276" w:rsidP="005F054E">
                  <w:pPr>
                    <w:pStyle w:val="Bibliography"/>
                    <w:rPr>
                      <w:spacing w:val="-2"/>
                    </w:rPr>
                  </w:pPr>
                  <w:r w:rsidRPr="004E1230">
                    <w:rPr>
                      <w:spacing w:val="-2"/>
                    </w:rPr>
                    <w:t>Wilson, T. (2020). Modelling Age Patterns of Internal Migration at the Highest Ages. Spatial Demography, 175-192.</w:t>
                  </w:r>
                </w:p>
                <w:p w14:paraId="1E32055E" w14:textId="77777777" w:rsidR="001E6276" w:rsidRPr="00631AE1" w:rsidRDefault="001E6276" w:rsidP="005F054E">
                  <w:pPr>
                    <w:pStyle w:val="Bibliography"/>
                  </w:pPr>
                  <w:r w:rsidRPr="00631AE1">
                    <w:t>World Health Organisation. (n.d.). Indicator Metadata Registry List. Retrieved from The Global Health Observatory: https://www.who.int/data/gho/indicator-metadata-registry/imr-details/3131</w:t>
                  </w:r>
                </w:p>
                <w:p w14:paraId="20353C16" w14:textId="5B7AF5D7" w:rsidR="00794453" w:rsidRDefault="004D1659" w:rsidP="005F054E">
                  <w:pPr>
                    <w:pStyle w:val="Bibliography"/>
                  </w:pPr>
                  <w:r w:rsidRPr="00631AE1">
                    <w:fldChar w:fldCharType="end"/>
                  </w:r>
                </w:p>
              </w:sdtContent>
            </w:sdt>
          </w:sdtContent>
        </w:sdt>
      </w:sdtContent>
    </w:sdt>
    <w:p w14:paraId="17361A97" w14:textId="1423C652" w:rsidR="00794453" w:rsidRDefault="00794453">
      <w:pPr>
        <w:spacing w:before="0" w:after="160" w:line="259" w:lineRule="auto"/>
        <w:rPr>
          <w:spacing w:val="-2"/>
        </w:rPr>
      </w:pPr>
    </w:p>
    <w:sectPr w:rsidR="00794453" w:rsidSect="00E35CCB">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D2D44" w14:textId="77777777" w:rsidR="00B10B8D" w:rsidRDefault="00B10B8D">
      <w:pPr>
        <w:spacing w:before="0" w:after="0"/>
      </w:pPr>
      <w:r>
        <w:separator/>
      </w:r>
    </w:p>
  </w:endnote>
  <w:endnote w:type="continuationSeparator" w:id="0">
    <w:p w14:paraId="27FE0AE5" w14:textId="77777777" w:rsidR="00B10B8D" w:rsidRDefault="00B10B8D">
      <w:pPr>
        <w:spacing w:before="0" w:after="0"/>
      </w:pPr>
      <w:r>
        <w:continuationSeparator/>
      </w:r>
    </w:p>
  </w:endnote>
  <w:endnote w:type="continuationNotice" w:id="1">
    <w:p w14:paraId="62D55B52" w14:textId="77777777" w:rsidR="00B10B8D" w:rsidRDefault="00B10B8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w:altName w:val="Palatino Linotyp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33388" w14:textId="77777777" w:rsidR="00716831" w:rsidRPr="00E77C89" w:rsidRDefault="00716831" w:rsidP="00B46EC6">
    <w:pPr>
      <w:pStyle w:val="FooterOdd"/>
      <w:jc w:val="left"/>
    </w:pPr>
    <w:r>
      <w:t xml:space="preserve">Centre for Population | </w:t>
    </w:r>
    <w:r w:rsidRPr="00F60198">
      <w:fldChar w:fldCharType="begin"/>
    </w:r>
    <w:r w:rsidRPr="00F60198">
      <w:instrText xml:space="preserve"> PAGE   \* MERGEFORMAT </w:instrText>
    </w:r>
    <w:r w:rsidRPr="00F60198">
      <w:fldChar w:fldCharType="separate"/>
    </w:r>
    <w:r>
      <w:t>1</w:t>
    </w:r>
    <w:r w:rsidRPr="00F6019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A1BC" w14:textId="77777777" w:rsidR="00716831" w:rsidRPr="009D2B3D" w:rsidRDefault="00716831" w:rsidP="00B46EC6">
    <w:pPr>
      <w:pStyle w:val="FooterOdd"/>
    </w:pPr>
    <w:r>
      <w:t xml:space="preserve">Centre for Population | </w:t>
    </w:r>
    <w:r w:rsidRPr="00F60198">
      <w:fldChar w:fldCharType="begin"/>
    </w:r>
    <w:r w:rsidRPr="00F60198">
      <w:instrText xml:space="preserve"> PAGE   \* MERGEFORMAT </w:instrText>
    </w:r>
    <w:r w:rsidRPr="00F60198">
      <w:fldChar w:fldCharType="separate"/>
    </w:r>
    <w:r>
      <w:t>1</w:t>
    </w:r>
    <w:r w:rsidRPr="00F6019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16F5" w14:textId="67BA234B" w:rsidR="00EF145E" w:rsidRPr="00E77C89" w:rsidRDefault="009D2B3D" w:rsidP="00B46EC6">
    <w:pPr>
      <w:pStyle w:val="FooterOdd"/>
      <w:jc w:val="left"/>
    </w:pPr>
    <w:r>
      <w:t xml:space="preserve">Centre for Population | </w:t>
    </w:r>
    <w:r w:rsidRPr="00F60198">
      <w:fldChar w:fldCharType="begin"/>
    </w:r>
    <w:r w:rsidRPr="00F60198">
      <w:instrText xml:space="preserve"> PAGE   \* MERGEFORMAT </w:instrText>
    </w:r>
    <w:r w:rsidRPr="00F60198">
      <w:fldChar w:fldCharType="separate"/>
    </w:r>
    <w:r>
      <w:t>1</w:t>
    </w:r>
    <w:r w:rsidRPr="00F6019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4D28E" w14:textId="5DE5D907" w:rsidR="00EF145E" w:rsidRPr="009D2B3D" w:rsidRDefault="009D2B3D" w:rsidP="00B46EC6">
    <w:pPr>
      <w:pStyle w:val="FooterOdd"/>
    </w:pPr>
    <w:r>
      <w:t xml:space="preserve">Centre for Population | </w:t>
    </w:r>
    <w:r w:rsidRPr="00F60198">
      <w:fldChar w:fldCharType="begin"/>
    </w:r>
    <w:r w:rsidRPr="00F60198">
      <w:instrText xml:space="preserve"> PAGE   \* MERGEFORMAT </w:instrText>
    </w:r>
    <w:r w:rsidRPr="00F60198">
      <w:fldChar w:fldCharType="separate"/>
    </w:r>
    <w:r>
      <w:t>1</w:t>
    </w:r>
    <w:r w:rsidRPr="00F6019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6A36" w14:textId="77777777" w:rsidR="00B10B8D" w:rsidRDefault="00B10B8D">
      <w:pPr>
        <w:spacing w:before="0" w:after="0"/>
      </w:pPr>
      <w:r>
        <w:separator/>
      </w:r>
    </w:p>
  </w:footnote>
  <w:footnote w:type="continuationSeparator" w:id="0">
    <w:p w14:paraId="5770A7E6" w14:textId="77777777" w:rsidR="00B10B8D" w:rsidRDefault="00B10B8D">
      <w:pPr>
        <w:spacing w:before="0" w:after="0"/>
      </w:pPr>
      <w:r>
        <w:continuationSeparator/>
      </w:r>
    </w:p>
  </w:footnote>
  <w:footnote w:type="continuationNotice" w:id="1">
    <w:p w14:paraId="705D9A57" w14:textId="77777777" w:rsidR="00B10B8D" w:rsidRDefault="00B10B8D">
      <w:pPr>
        <w:spacing w:before="0" w:after="0" w:line="240" w:lineRule="auto"/>
      </w:pPr>
    </w:p>
  </w:footnote>
  <w:footnote w:id="2">
    <w:p w14:paraId="42D1BFE0" w14:textId="093DBE38" w:rsidR="00031CDB" w:rsidRDefault="00BA3482" w:rsidP="00DC3774">
      <w:pPr>
        <w:pStyle w:val="Footnotev2"/>
      </w:pPr>
      <w:r w:rsidRPr="00BA3482">
        <w:rPr>
          <w:rStyle w:val="FootnoteReference"/>
          <w:sz w:val="18"/>
          <w:vertAlign w:val="baseline"/>
        </w:rPr>
        <w:footnoteRef/>
      </w:r>
      <w:r w:rsidR="00031CDB" w:rsidRPr="007F66C2">
        <w:t xml:space="preserve"> </w:t>
      </w:r>
      <w:r w:rsidR="00DC3774">
        <w:tab/>
      </w:r>
      <w:r w:rsidR="00031CDB" w:rsidRPr="007F66C2">
        <w:rPr>
          <w:noProof/>
        </w:rPr>
        <w:t xml:space="preserve">McDonald, P. (2020). </w:t>
      </w:r>
      <w:r w:rsidR="00031CDB" w:rsidRPr="007F66C2">
        <w:rPr>
          <w:i/>
          <w:iCs/>
          <w:noProof/>
        </w:rPr>
        <w:t>A Projection of Future Fertility Rates.</w:t>
      </w:r>
      <w:r w:rsidR="00031CDB" w:rsidRPr="007F66C2">
        <w:rPr>
          <w:noProof/>
        </w:rPr>
        <w:t xml:space="preserve"> Canberra: Centre for Population.</w:t>
      </w:r>
    </w:p>
  </w:footnote>
  <w:footnote w:id="3">
    <w:p w14:paraId="6B6DFE83" w14:textId="20B71342" w:rsidR="006B6D6C" w:rsidRPr="001A3279" w:rsidRDefault="00BA3482" w:rsidP="00DC3774">
      <w:pPr>
        <w:pStyle w:val="Footnotev2"/>
      </w:pPr>
      <w:r w:rsidRPr="00BA3482">
        <w:rPr>
          <w:rStyle w:val="FootnoteReference"/>
          <w:rFonts w:asciiTheme="minorHAnsi" w:hAnsiTheme="minorHAnsi" w:cstheme="minorHAnsi"/>
          <w:sz w:val="18"/>
          <w:vertAlign w:val="baseline"/>
        </w:rPr>
        <w:footnoteRef/>
      </w:r>
      <w:r w:rsidR="006B6D6C" w:rsidRPr="001A3279">
        <w:t xml:space="preserve"> </w:t>
      </w:r>
      <w:r w:rsidR="00DC3774">
        <w:tab/>
      </w:r>
      <w:r w:rsidR="006B6D6C" w:rsidRPr="001A3279">
        <w:t>Treasury calculations based on unpublished data</w:t>
      </w:r>
      <w:r w:rsidR="004A37DB">
        <w:t xml:space="preserve"> from the Department of Home Affairs</w:t>
      </w:r>
      <w:r w:rsidR="00FE7C11">
        <w:t>.</w:t>
      </w:r>
    </w:p>
  </w:footnote>
  <w:footnote w:id="4">
    <w:p w14:paraId="7C7FC716" w14:textId="2A6A8533" w:rsidR="00E81C49" w:rsidRPr="006C7B01" w:rsidRDefault="00BA3482" w:rsidP="00DC3774">
      <w:pPr>
        <w:pStyle w:val="Footnotev2"/>
      </w:pPr>
      <w:r w:rsidRPr="00BA3482">
        <w:rPr>
          <w:rStyle w:val="FootnoteReference"/>
          <w:rFonts w:asciiTheme="minorHAnsi" w:hAnsiTheme="minorHAnsi" w:cstheme="minorHAnsi"/>
          <w:sz w:val="18"/>
          <w:vertAlign w:val="baseline"/>
        </w:rPr>
        <w:footnoteRef/>
      </w:r>
      <w:r w:rsidR="00E81C49" w:rsidRPr="006C7B01">
        <w:t xml:space="preserve"> </w:t>
      </w:r>
      <w:r w:rsidR="00DC3774">
        <w:tab/>
      </w:r>
      <w:r w:rsidR="00E81C49" w:rsidRPr="006C7B01">
        <w:rPr>
          <w:noProof/>
        </w:rPr>
        <w:t xml:space="preserve">Department of Home Affairs, A migration system for Australia's future. (2022, November). </w:t>
      </w:r>
      <w:r w:rsidR="00E81C49" w:rsidRPr="006C7B01">
        <w:rPr>
          <w:i/>
          <w:iCs/>
          <w:noProof/>
        </w:rPr>
        <w:t>A migration system for Australia's future.</w:t>
      </w:r>
      <w:r w:rsidR="00E81C49" w:rsidRPr="006C7B01">
        <w:rPr>
          <w:noProof/>
        </w:rPr>
        <w:t xml:space="preserve"> Retrieved from https://www.homeaffairs.gov.au/reports-and-pubs/files/reviews-and-inquiries/discussion_paper.pdf</w:t>
      </w:r>
    </w:p>
  </w:footnote>
  <w:footnote w:id="5">
    <w:p w14:paraId="3C6F650B" w14:textId="0507BFEE" w:rsidR="00E75E1C" w:rsidRPr="007833E7" w:rsidRDefault="00BA3482" w:rsidP="00DC3774">
      <w:pPr>
        <w:pStyle w:val="Footnotev2"/>
        <w:rPr>
          <w:noProof/>
        </w:rPr>
      </w:pPr>
      <w:r w:rsidRPr="00BA3482">
        <w:rPr>
          <w:rStyle w:val="FootnoteReference"/>
          <w:sz w:val="18"/>
          <w:vertAlign w:val="baseline"/>
        </w:rPr>
        <w:footnoteRef/>
      </w:r>
      <w:r w:rsidR="00E75E1C" w:rsidRPr="007833E7">
        <w:t xml:space="preserve"> </w:t>
      </w:r>
      <w:r w:rsidR="00DC3774">
        <w:tab/>
      </w:r>
      <w:r w:rsidR="007833E7" w:rsidRPr="007833E7">
        <w:rPr>
          <w:noProof/>
        </w:rPr>
        <w:t>Gray, E., Evans, A., &amp; Reimondos, A. (2022). Having babies in times of uncertainty: first results of the impact of COVID</w:t>
      </w:r>
      <w:r w:rsidR="00575E08">
        <w:rPr>
          <w:noProof/>
        </w:rPr>
        <w:noBreakHyphen/>
      </w:r>
      <w:r w:rsidR="007833E7" w:rsidRPr="007833E7">
        <w:rPr>
          <w:noProof/>
        </w:rPr>
        <w:t xml:space="preserve">19 on the number of babies born in Australia. </w:t>
      </w:r>
      <w:r w:rsidR="007833E7" w:rsidRPr="007833E7">
        <w:rPr>
          <w:i/>
          <w:iCs/>
          <w:noProof/>
        </w:rPr>
        <w:t>Australian Population Studies</w:t>
      </w:r>
      <w:r w:rsidR="007833E7" w:rsidRPr="007833E7">
        <w:rPr>
          <w:noProof/>
        </w:rPr>
        <w:t>, 15-30. Retrieved from https://www.australianpopulationstudies.org/index.php/aps/article/view/101</w:t>
      </w:r>
      <w:r w:rsidR="00751082">
        <w:rPr>
          <w:noProof/>
        </w:rPr>
        <w:t>.</w:t>
      </w:r>
    </w:p>
  </w:footnote>
  <w:footnote w:id="6">
    <w:p w14:paraId="188433C3" w14:textId="3E872F7A"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7833E7">
        <w:rPr>
          <w:noProof/>
        </w:rPr>
        <w:t>Ibid.</w:t>
      </w:r>
    </w:p>
  </w:footnote>
  <w:footnote w:id="7">
    <w:p w14:paraId="22C26E5F" w14:textId="63352400" w:rsidR="00E75E1C" w:rsidRPr="00676947" w:rsidRDefault="00BA3482" w:rsidP="00DC3774">
      <w:pPr>
        <w:pStyle w:val="Footnotev2"/>
      </w:pPr>
      <w:r w:rsidRPr="00BA3482">
        <w:rPr>
          <w:rStyle w:val="FootnoteReference"/>
          <w:sz w:val="18"/>
          <w:vertAlign w:val="baseline"/>
        </w:rPr>
        <w:footnoteRef/>
      </w:r>
      <w:r w:rsidR="00E75E1C" w:rsidRPr="00676947">
        <w:t xml:space="preserve"> </w:t>
      </w:r>
      <w:r w:rsidR="00DC3774">
        <w:tab/>
      </w:r>
      <w:r w:rsidR="007833E7">
        <w:rPr>
          <w:noProof/>
        </w:rPr>
        <w:t>Australian Bureau of Statistics, National, state and territory population, March 2022, 2022</w:t>
      </w:r>
      <w:r w:rsidR="00751082">
        <w:rPr>
          <w:noProof/>
        </w:rPr>
        <w:t>.</w:t>
      </w:r>
    </w:p>
  </w:footnote>
  <w:footnote w:id="8">
    <w:p w14:paraId="181104A3" w14:textId="08B2F530"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E75E1C" w:rsidRPr="000F2141">
        <w:t>The Australian Bureau of Statis</w:t>
      </w:r>
      <w:r w:rsidR="00E75E1C" w:rsidRPr="00672342">
        <w:t>tics initially reported the total fertility rate for 2020</w:t>
      </w:r>
      <w:r w:rsidR="00E75E1C">
        <w:t>–</w:t>
      </w:r>
      <w:r w:rsidR="00E75E1C" w:rsidRPr="00672342">
        <w:t>21</w:t>
      </w:r>
      <w:r w:rsidR="00E75E1C" w:rsidRPr="0016547E">
        <w:t xml:space="preserve"> at 1.63 (registration</w:t>
      </w:r>
      <w:r w:rsidR="00BE2995">
        <w:t>-</w:t>
      </w:r>
      <w:r w:rsidR="00E75E1C" w:rsidRPr="0016547E">
        <w:t>based)</w:t>
      </w:r>
      <w:r w:rsidR="00E75E1C">
        <w:t>,</w:t>
      </w:r>
      <w:r w:rsidR="00E75E1C" w:rsidRPr="00672342">
        <w:t xml:space="preserve"> but then revised</w:t>
      </w:r>
      <w:r w:rsidR="00E75E1C">
        <w:t xml:space="preserve"> the rate up</w:t>
      </w:r>
      <w:r w:rsidR="00E75E1C" w:rsidRPr="00672342">
        <w:t xml:space="preserve"> to 1.66 babies per woman (occurrence</w:t>
      </w:r>
      <w:r w:rsidR="00BE2995">
        <w:t>-</w:t>
      </w:r>
      <w:r w:rsidR="00E75E1C" w:rsidRPr="00672342">
        <w:t>based)</w:t>
      </w:r>
      <w:r w:rsidR="008C7F0A">
        <w:t>.</w:t>
      </w:r>
      <w:r w:rsidR="00E75E1C" w:rsidRPr="00672342">
        <w:t xml:space="preserve"> </w:t>
      </w:r>
    </w:p>
  </w:footnote>
  <w:footnote w:id="9">
    <w:p w14:paraId="4D7C86EE" w14:textId="5474D61A" w:rsidR="00E75E1C" w:rsidRPr="00672342"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E75E1C" w:rsidRPr="000F2141">
        <w:t>The replacement rate, which is around 2.1 births per woman, is the rate required to maintain stable population size in the absence of overseas migration.</w:t>
      </w:r>
      <w:r w:rsidR="006D0813">
        <w:t xml:space="preserve"> </w:t>
      </w:r>
      <w:r w:rsidR="006D0813" w:rsidRPr="006D0813">
        <w:t>Australia’s total fertility rate has been below 2.1 since the mid-1970s.</w:t>
      </w:r>
    </w:p>
  </w:footnote>
  <w:footnote w:id="10">
    <w:p w14:paraId="51879E65" w14:textId="21468EF8" w:rsidR="00B24A93" w:rsidRDefault="00BA3482" w:rsidP="00DC3774">
      <w:pPr>
        <w:pStyle w:val="Footnotev2"/>
      </w:pPr>
      <w:r w:rsidRPr="00BA3482">
        <w:rPr>
          <w:rStyle w:val="FootnoteReference"/>
          <w:sz w:val="18"/>
          <w:vertAlign w:val="baseline"/>
        </w:rPr>
        <w:footnoteRef/>
      </w:r>
      <w:r w:rsidR="00B24A93" w:rsidRPr="001A3279">
        <w:t xml:space="preserve"> </w:t>
      </w:r>
      <w:r w:rsidR="00DC3774">
        <w:tab/>
      </w:r>
      <w:r w:rsidR="00B24A93" w:rsidRPr="003C0201">
        <w:t>The old-age dependency ratio figures included in the 2022 Population Statement are not comparable to those included in recent Treasury publications, including the 2020 Population Statement and the 2021 Intergeneration Report, due to methodological differences in calculating them.</w:t>
      </w:r>
    </w:p>
  </w:footnote>
  <w:footnote w:id="11">
    <w:p w14:paraId="5B6DAA99" w14:textId="2AE78CAC" w:rsidR="00661747" w:rsidRPr="00B32E85" w:rsidRDefault="00BA3482" w:rsidP="00DC3774">
      <w:pPr>
        <w:pStyle w:val="Footnotev2"/>
        <w:rPr>
          <w:noProof/>
        </w:rPr>
      </w:pPr>
      <w:r w:rsidRPr="00BA3482">
        <w:rPr>
          <w:rStyle w:val="FootnoteReference"/>
          <w:sz w:val="18"/>
          <w:vertAlign w:val="baseline"/>
        </w:rPr>
        <w:footnoteRef/>
      </w:r>
      <w:r w:rsidR="00661747">
        <w:t xml:space="preserve"> </w:t>
      </w:r>
      <w:r w:rsidR="00DC3774">
        <w:tab/>
      </w:r>
      <w:r w:rsidR="00B32E85" w:rsidRPr="007F66C2">
        <w:rPr>
          <w:noProof/>
        </w:rPr>
        <w:t>Australian Bureau of Statistics</w:t>
      </w:r>
      <w:r w:rsidR="00B32E85">
        <w:rPr>
          <w:noProof/>
        </w:rPr>
        <w:t>,</w:t>
      </w:r>
      <w:r w:rsidR="00B32E85" w:rsidRPr="007F66C2">
        <w:rPr>
          <w:noProof/>
        </w:rPr>
        <w:t xml:space="preserve"> Deaths, Australia, 2021, 2022. </w:t>
      </w:r>
    </w:p>
  </w:footnote>
  <w:footnote w:id="12">
    <w:p w14:paraId="7692DDAD" w14:textId="100C6E64" w:rsidR="007A0116" w:rsidRPr="002C06DC" w:rsidRDefault="00BA3482" w:rsidP="00DC3774">
      <w:pPr>
        <w:pStyle w:val="Footnotev2"/>
        <w:rPr>
          <w:rFonts w:cstheme="minorHAnsi"/>
          <w:noProof/>
        </w:rPr>
      </w:pPr>
      <w:r w:rsidRPr="00BA3482">
        <w:rPr>
          <w:rStyle w:val="FootnoteReference"/>
          <w:rFonts w:asciiTheme="minorHAnsi" w:hAnsiTheme="minorHAnsi" w:cstheme="minorHAnsi"/>
          <w:sz w:val="18"/>
          <w:vertAlign w:val="baseline"/>
        </w:rPr>
        <w:footnoteRef/>
      </w:r>
      <w:r w:rsidR="00E458CE" w:rsidRPr="000F2141">
        <w:t xml:space="preserve"> </w:t>
      </w:r>
      <w:r w:rsidR="00DC3774">
        <w:tab/>
      </w:r>
      <w:r w:rsidR="00435E3F" w:rsidRPr="002C06DC">
        <w:rPr>
          <w:noProof/>
        </w:rPr>
        <w:t>Australian Bureau of Statistics, COVID-19 Mortality in Australia, 2022</w:t>
      </w:r>
      <w:r w:rsidR="00435E3F">
        <w:rPr>
          <w:noProof/>
        </w:rPr>
        <w:t>.</w:t>
      </w:r>
    </w:p>
  </w:footnote>
  <w:footnote w:id="13">
    <w:p w14:paraId="5AD3772A" w14:textId="47F3A5E1" w:rsidR="00E458CE" w:rsidRPr="0067582B" w:rsidRDefault="00BA3482" w:rsidP="00DC3774">
      <w:pPr>
        <w:pStyle w:val="Footnotev2"/>
      </w:pPr>
      <w:r w:rsidRPr="00BA3482">
        <w:rPr>
          <w:rStyle w:val="FootnoteReference"/>
          <w:rFonts w:asciiTheme="minorHAnsi" w:hAnsiTheme="minorHAnsi" w:cstheme="minorHAnsi"/>
          <w:sz w:val="18"/>
          <w:vertAlign w:val="baseline"/>
        </w:rPr>
        <w:footnoteRef/>
      </w:r>
      <w:r w:rsidR="00E458CE" w:rsidRPr="0067582B">
        <w:t xml:space="preserve"> </w:t>
      </w:r>
      <w:r w:rsidR="00DC3774">
        <w:tab/>
      </w:r>
      <w:r w:rsidR="00E458CE" w:rsidRPr="0067582B">
        <w:t>The age-standardised death rates were also above the historical average, indicating that there was a genuine increase in mortality over this period driven by factors other than a larger or older population.</w:t>
      </w:r>
      <w:r w:rsidR="007A655D">
        <w:rPr>
          <w:bCs/>
        </w:rPr>
        <w:t xml:space="preserve"> </w:t>
      </w:r>
      <w:r w:rsidR="007A655D" w:rsidRPr="002C06DC">
        <w:t>Australian Bureau of Statistics, Provisional Mortality Statistics, Jan - Aug 2022, 2022</w:t>
      </w:r>
      <w:r w:rsidR="007A655D" w:rsidRPr="0067582B">
        <w:t>.</w:t>
      </w:r>
    </w:p>
  </w:footnote>
  <w:footnote w:id="14">
    <w:p w14:paraId="4775F604" w14:textId="692F8160" w:rsidR="00F23B4F" w:rsidRPr="0053394E" w:rsidRDefault="00BA3482" w:rsidP="00DC3774">
      <w:pPr>
        <w:pStyle w:val="Footnotev2"/>
      </w:pPr>
      <w:r w:rsidRPr="00BA3482">
        <w:rPr>
          <w:rStyle w:val="FootnoteReference"/>
          <w:sz w:val="18"/>
          <w:vertAlign w:val="baseline"/>
        </w:rPr>
        <w:footnoteRef/>
      </w:r>
      <w:r w:rsidR="00F23B4F">
        <w:t xml:space="preserve"> </w:t>
      </w:r>
      <w:r w:rsidR="00DC3774">
        <w:tab/>
      </w:r>
      <w:r w:rsidR="00FE1305">
        <w:t>D</w:t>
      </w:r>
      <w:r w:rsidR="00F23B4F" w:rsidRPr="00A73960">
        <w:t>ata represent daily new COVID-19 deaths</w:t>
      </w:r>
      <w:r w:rsidR="00CB5D78" w:rsidRPr="00A73960">
        <w:t xml:space="preserve"> per million</w:t>
      </w:r>
      <w:r w:rsidR="00F23B4F" w:rsidRPr="00A73960">
        <w:t xml:space="preserve"> on a rolling 7-day average.</w:t>
      </w:r>
    </w:p>
  </w:footnote>
  <w:footnote w:id="15">
    <w:p w14:paraId="26853ADB" w14:textId="5E833B81" w:rsidR="00E75E1C" w:rsidRPr="00672342"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6F4FB2" w:rsidRPr="006F4FB2">
        <w:rPr>
          <w:noProof/>
        </w:rPr>
        <w:t xml:space="preserve">Dong, E., Du, H., &amp; Gardner, L. (2020). An interactive web-based dashboard to track COVID-19 in real time. </w:t>
      </w:r>
      <w:r w:rsidR="006F4FB2" w:rsidRPr="006F4FB2">
        <w:rPr>
          <w:i/>
          <w:iCs/>
          <w:noProof/>
        </w:rPr>
        <w:t>The Lancet</w:t>
      </w:r>
      <w:r w:rsidR="006F4FB2" w:rsidRPr="006F4FB2">
        <w:rPr>
          <w:noProof/>
        </w:rPr>
        <w:t>. Retrieved from https://github.com/CSSEGISandData/COVID-19</w:t>
      </w:r>
      <w:r w:rsidR="00A00F1A">
        <w:rPr>
          <w:noProof/>
        </w:rPr>
        <w:t>.</w:t>
      </w:r>
    </w:p>
  </w:footnote>
  <w:footnote w:id="16">
    <w:p w14:paraId="602FA4AB" w14:textId="6B8EB8D3" w:rsidR="00E75E1C" w:rsidRPr="00FC0158" w:rsidRDefault="00BA3482" w:rsidP="00DC3774">
      <w:pPr>
        <w:pStyle w:val="Footnotev2"/>
      </w:pPr>
      <w:r w:rsidRPr="00BA3482">
        <w:rPr>
          <w:rStyle w:val="FootnoteReference"/>
          <w:sz w:val="18"/>
          <w:vertAlign w:val="baseline"/>
        </w:rPr>
        <w:footnoteRef/>
      </w:r>
      <w:r w:rsidR="00E75E1C" w:rsidRPr="00FC0158">
        <w:t xml:space="preserve"> </w:t>
      </w:r>
      <w:r w:rsidR="00DC3774">
        <w:tab/>
      </w:r>
      <w:r w:rsidR="00E96590" w:rsidRPr="001A3279">
        <w:rPr>
          <w:noProof/>
        </w:rPr>
        <w:t xml:space="preserve">Australian Bureau of Statistics, </w:t>
      </w:r>
      <w:r w:rsidR="005163FF">
        <w:rPr>
          <w:noProof/>
        </w:rPr>
        <w:t>COVID-19 Mortality by wave, 2022</w:t>
      </w:r>
      <w:r w:rsidR="008C4F55">
        <w:rPr>
          <w:noProof/>
        </w:rPr>
        <w:t>.</w:t>
      </w:r>
    </w:p>
  </w:footnote>
  <w:footnote w:id="17">
    <w:p w14:paraId="1ECD2E68" w14:textId="5D55653F" w:rsidR="00E75E1C" w:rsidRPr="007D0B4F" w:rsidRDefault="00BA3482" w:rsidP="00DC3774">
      <w:pPr>
        <w:pStyle w:val="Footnotev2"/>
      </w:pPr>
      <w:r w:rsidRPr="00BA3482">
        <w:rPr>
          <w:rStyle w:val="FootnoteReference"/>
          <w:sz w:val="18"/>
          <w:vertAlign w:val="baseline"/>
        </w:rPr>
        <w:footnoteRef/>
      </w:r>
      <w:r w:rsidR="00E75E1C" w:rsidRPr="007D0B4F">
        <w:t xml:space="preserve"> </w:t>
      </w:r>
      <w:r w:rsidR="00DC3774">
        <w:tab/>
      </w:r>
      <w:r w:rsidR="00224BCD" w:rsidRPr="007D0B4F">
        <w:t xml:space="preserve">Australian Bureau of Statistics, Provisional Mortality Statistics, Jan - </w:t>
      </w:r>
      <w:r w:rsidR="00EA3B2C">
        <w:t>Aug</w:t>
      </w:r>
      <w:r w:rsidR="00EA3B2C" w:rsidRPr="007D0B4F">
        <w:t xml:space="preserve"> </w:t>
      </w:r>
      <w:r w:rsidR="00224BCD" w:rsidRPr="007D0B4F">
        <w:t>2022, 2022</w:t>
      </w:r>
      <w:r w:rsidR="008C4F55">
        <w:t>.</w:t>
      </w:r>
    </w:p>
  </w:footnote>
  <w:footnote w:id="18">
    <w:p w14:paraId="407A100B" w14:textId="6FBE9939" w:rsidR="00E75E1C" w:rsidRPr="0016547E" w:rsidRDefault="00BA3482" w:rsidP="00DC3774">
      <w:pPr>
        <w:pStyle w:val="Footnotev2"/>
      </w:pPr>
      <w:r w:rsidRPr="00BA3482">
        <w:rPr>
          <w:rStyle w:val="FootnoteReference"/>
          <w:rFonts w:asciiTheme="minorHAnsi" w:hAnsiTheme="minorHAnsi" w:cstheme="minorHAnsi"/>
          <w:sz w:val="18"/>
          <w:vertAlign w:val="baseline"/>
        </w:rPr>
        <w:footnoteRef/>
      </w:r>
      <w:r w:rsidR="00E75E1C" w:rsidRPr="000F2141">
        <w:t xml:space="preserve"> </w:t>
      </w:r>
      <w:r w:rsidR="00DC3774">
        <w:tab/>
      </w:r>
      <w:r w:rsidR="00E75E1C" w:rsidRPr="00672342">
        <w:t>Life expectancy refers to life expectancy at birth and represents the average number of years that a newborn could expect to live, if he or she were to pass through life exposed to the sex- and age-specific death rates prevailing at the time of his or her birth</w:t>
      </w:r>
      <w:r w:rsidR="00E75E1C" w:rsidRPr="0016547E">
        <w:t>, for a specific year, in a given country, territory, or geographic area</w:t>
      </w:r>
      <w:r w:rsidR="00896BD3">
        <w:t>.</w:t>
      </w:r>
      <w:r w:rsidR="00896BD3">
        <w:rPr>
          <w:noProof/>
        </w:rPr>
        <w:t xml:space="preserve"> (World Health Organisation, (n.d.). </w:t>
      </w:r>
      <w:r w:rsidR="00896BD3" w:rsidRPr="00896BD3">
        <w:rPr>
          <w:i/>
          <w:iCs/>
          <w:noProof/>
        </w:rPr>
        <w:t>Indicator Metadata Registry List</w:t>
      </w:r>
      <w:r w:rsidR="00896BD3" w:rsidRPr="00896BD3">
        <w:rPr>
          <w:noProof/>
        </w:rPr>
        <w:t>. Retrieved from The Global Health Observatory: https://www.who.int/data/gho/indicator-metadata-registry/imr-details/3131</w:t>
      </w:r>
      <w:r w:rsidR="00896BD3">
        <w:rPr>
          <w:noProof/>
        </w:rPr>
        <w:t>)</w:t>
      </w:r>
      <w:r w:rsidR="00E75E1C" w:rsidRPr="0016547E">
        <w:t>.</w:t>
      </w:r>
    </w:p>
  </w:footnote>
  <w:footnote w:id="19">
    <w:p w14:paraId="25C63BAE" w14:textId="7E0915B7" w:rsidR="00E75E1C" w:rsidRPr="000F2141" w:rsidRDefault="00BA3482" w:rsidP="00DC3774">
      <w:pPr>
        <w:pStyle w:val="Footnotev2"/>
      </w:pPr>
      <w:r w:rsidRPr="00BA3482">
        <w:rPr>
          <w:rStyle w:val="FootnoteReference"/>
          <w:sz w:val="18"/>
          <w:vertAlign w:val="baseline"/>
        </w:rPr>
        <w:footnoteRef/>
      </w:r>
      <w:r w:rsidR="00E75E1C" w:rsidRPr="000F2141">
        <w:t xml:space="preserve"> </w:t>
      </w:r>
      <w:r w:rsidR="00DC3774">
        <w:tab/>
      </w:r>
      <w:r w:rsidR="001A7438">
        <w:rPr>
          <w:noProof/>
        </w:rPr>
        <w:t>United Nations Department of Economic and Social Affairs. (2022, July 11) op. cit.</w:t>
      </w:r>
    </w:p>
  </w:footnote>
  <w:footnote w:id="20">
    <w:p w14:paraId="509923C2" w14:textId="3D9310FB" w:rsidR="000E6EBD" w:rsidRPr="00890B76" w:rsidRDefault="00BA3482" w:rsidP="00DC3774">
      <w:pPr>
        <w:pStyle w:val="Footnotev2"/>
      </w:pPr>
      <w:r w:rsidRPr="00BA3482">
        <w:rPr>
          <w:rStyle w:val="FootnoteReference"/>
          <w:sz w:val="18"/>
          <w:vertAlign w:val="baseline"/>
        </w:rPr>
        <w:footnoteRef/>
      </w:r>
      <w:r w:rsidR="000E6EBD" w:rsidRPr="00890B76" w:rsidDel="00A520ED">
        <w:t xml:space="preserve"> </w:t>
      </w:r>
      <w:r w:rsidR="00DC3774">
        <w:tab/>
      </w:r>
      <w:r w:rsidR="00C03CF3" w:rsidRPr="00890B76">
        <w:rPr>
          <w:noProof/>
        </w:rPr>
        <w:t xml:space="preserve">Case, A., &amp; Deaton, A. (2020). </w:t>
      </w:r>
      <w:r w:rsidR="00C03CF3" w:rsidRPr="00890B76">
        <w:rPr>
          <w:i/>
          <w:iCs/>
          <w:noProof/>
        </w:rPr>
        <w:t>Deaths of Despair and the Future of Capitalism.</w:t>
      </w:r>
      <w:r w:rsidR="00C03CF3" w:rsidRPr="00890B76">
        <w:rPr>
          <w:noProof/>
        </w:rPr>
        <w:t xml:space="preserve"> Princeton University Press</w:t>
      </w:r>
      <w:r w:rsidR="00F9095D" w:rsidRPr="00890B76">
        <w:rPr>
          <w:noProof/>
        </w:rPr>
        <w:t>.</w:t>
      </w:r>
    </w:p>
  </w:footnote>
  <w:footnote w:id="21">
    <w:p w14:paraId="655B6CE0" w14:textId="4DFF3EA1"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 xml:space="preserve">Australian Institute of Health and Welfare. </w:t>
      </w:r>
      <w:r w:rsidR="00E00F8F" w:rsidRPr="00890B76">
        <w:rPr>
          <w:noProof/>
        </w:rPr>
        <w:t xml:space="preserve">(2020-21). </w:t>
      </w:r>
      <w:r w:rsidR="00E00F8F" w:rsidRPr="00890B76">
        <w:rPr>
          <w:i/>
          <w:iCs/>
          <w:noProof/>
        </w:rPr>
        <w:t>Suicide &amp; self-harm monitoring</w:t>
      </w:r>
      <w:r w:rsidR="00E00F8F" w:rsidRPr="00890B76">
        <w:rPr>
          <w:noProof/>
        </w:rPr>
        <w:t>. Retrieved from https://www.aihw.gov.au/suicide-self-harm-monitoring/data/behaviours-risk-factors/deaths-of-despair</w:t>
      </w:r>
      <w:r w:rsidR="00751082">
        <w:rPr>
          <w:noProof/>
        </w:rPr>
        <w:t>.</w:t>
      </w:r>
    </w:p>
  </w:footnote>
  <w:footnote w:id="22">
    <w:p w14:paraId="1DFDBC45" w14:textId="54129156" w:rsidR="000E6EBD" w:rsidRPr="00890B76" w:rsidRDefault="00BA3482" w:rsidP="00DC3774">
      <w:pPr>
        <w:pStyle w:val="Footnotev2"/>
      </w:pPr>
      <w:r w:rsidRPr="00BA3482">
        <w:rPr>
          <w:rStyle w:val="FootnoteReference"/>
          <w:sz w:val="18"/>
          <w:vertAlign w:val="baseline"/>
        </w:rPr>
        <w:footnoteRef/>
      </w:r>
      <w:r w:rsidR="006A424F" w:rsidRPr="00890B76">
        <w:t xml:space="preserve"> </w:t>
      </w:r>
      <w:r w:rsidR="00DC3774">
        <w:tab/>
      </w:r>
      <w:r w:rsidR="000E6EBD" w:rsidRPr="00890B76">
        <w:t>Age-</w:t>
      </w:r>
      <w:r w:rsidR="00C25F0A" w:rsidRPr="00890B76">
        <w:t xml:space="preserve">standardised death rates enable the comparison of death rates over time and between populations of different age structures by accounting for differences in the size and age structure of the population (Australian Bureau of Statistics, Provisional Mortality Statistics, Jan - </w:t>
      </w:r>
      <w:r w:rsidR="00CA712D">
        <w:t>Aug</w:t>
      </w:r>
      <w:r w:rsidR="00C25F0A" w:rsidRPr="00890B76">
        <w:t xml:space="preserve"> 2022, 2022).</w:t>
      </w:r>
    </w:p>
  </w:footnote>
  <w:footnote w:id="23">
    <w:p w14:paraId="26EE5B6B" w14:textId="675E6AD4"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Australian Institute of Health and Welfare. (2020-21) op. cit.</w:t>
      </w:r>
    </w:p>
  </w:footnote>
  <w:footnote w:id="24">
    <w:p w14:paraId="4A4DBC1B" w14:textId="2C353802" w:rsidR="00E00F8F" w:rsidRPr="00890B76" w:rsidRDefault="00BA3482" w:rsidP="00DC3774">
      <w:pPr>
        <w:pStyle w:val="Footnotev2"/>
      </w:pPr>
      <w:r w:rsidRPr="00BA3482">
        <w:rPr>
          <w:rStyle w:val="FootnoteReference"/>
          <w:sz w:val="18"/>
          <w:vertAlign w:val="baseline"/>
        </w:rPr>
        <w:footnoteRef/>
      </w:r>
      <w:r w:rsidR="00E00F8F" w:rsidRPr="00890B76">
        <w:t xml:space="preserve"> </w:t>
      </w:r>
      <w:r w:rsidR="00DC3774">
        <w:tab/>
      </w:r>
      <w:r w:rsidR="00E00F8F" w:rsidRPr="00890B76">
        <w:t>Australian Bureau of Statistics, Causes of Death, 2021</w:t>
      </w:r>
      <w:r w:rsidR="00F9095D" w:rsidRPr="00890B76">
        <w:t>.</w:t>
      </w:r>
    </w:p>
  </w:footnote>
  <w:footnote w:id="25">
    <w:p w14:paraId="5F35E031" w14:textId="10B27B46" w:rsidR="00A556AB" w:rsidRPr="00890B76" w:rsidRDefault="00BA3482" w:rsidP="00DC3774">
      <w:pPr>
        <w:pStyle w:val="Footnotev2"/>
      </w:pPr>
      <w:r w:rsidRPr="00BA3482">
        <w:rPr>
          <w:rStyle w:val="FootnoteReference"/>
          <w:sz w:val="18"/>
          <w:vertAlign w:val="baseline"/>
        </w:rPr>
        <w:footnoteRef/>
      </w:r>
      <w:r w:rsidR="00A556AB" w:rsidRPr="00890B76">
        <w:t xml:space="preserve"> </w:t>
      </w:r>
      <w:bookmarkStart w:id="103" w:name="_Hlk118367896"/>
      <w:r w:rsidR="00DC3774">
        <w:tab/>
      </w:r>
      <w:r w:rsidR="00A556AB" w:rsidRPr="00890B76">
        <w:t>Australian Institute of Health and Welfare</w:t>
      </w:r>
      <w:bookmarkEnd w:id="103"/>
      <w:r w:rsidR="004B170B" w:rsidRPr="00890B76">
        <w:t>. (2020-21) op. cit.</w:t>
      </w:r>
    </w:p>
  </w:footnote>
  <w:footnote w:id="26">
    <w:p w14:paraId="32ADF105" w14:textId="2A2FD80A" w:rsidR="001B1DC1" w:rsidRPr="00890B76" w:rsidRDefault="00BA3482" w:rsidP="00DC3774">
      <w:pPr>
        <w:pStyle w:val="Footnotev2"/>
      </w:pPr>
      <w:r w:rsidRPr="00BA3482">
        <w:rPr>
          <w:rStyle w:val="FootnoteReference"/>
          <w:sz w:val="18"/>
          <w:vertAlign w:val="baseline"/>
        </w:rPr>
        <w:footnoteRef/>
      </w:r>
      <w:r w:rsidR="001B1DC1" w:rsidRPr="00890B76">
        <w:t xml:space="preserve"> </w:t>
      </w:r>
      <w:r w:rsidR="00DC3774">
        <w:tab/>
      </w:r>
      <w:r w:rsidR="00FC6D19" w:rsidRPr="00890B76">
        <w:t>For further information on England</w:t>
      </w:r>
      <w:r w:rsidR="004A1213" w:rsidRPr="00890B76">
        <w:t xml:space="preserve"> and Wales</w:t>
      </w:r>
      <w:r w:rsidR="00FC6D19" w:rsidRPr="00890B76">
        <w:t xml:space="preserve">, see </w:t>
      </w:r>
      <w:r w:rsidR="0008017B" w:rsidRPr="00890B76">
        <w:rPr>
          <w:noProof/>
        </w:rPr>
        <w:t>Office of National Statistics. (2022)</w:t>
      </w:r>
      <w:r w:rsidR="00465587" w:rsidRPr="00890B76">
        <w:rPr>
          <w:noProof/>
        </w:rPr>
        <w:t>.</w:t>
      </w:r>
      <w:r w:rsidR="0008017B" w:rsidRPr="00890B76">
        <w:rPr>
          <w:noProof/>
        </w:rPr>
        <w:t xml:space="preserve"> </w:t>
      </w:r>
      <w:r w:rsidR="0008017B" w:rsidRPr="00890B76">
        <w:rPr>
          <w:i/>
          <w:iCs/>
          <w:noProof/>
        </w:rPr>
        <w:t>Deaths</w:t>
      </w:r>
      <w:r w:rsidR="0008017B" w:rsidRPr="00890B76">
        <w:rPr>
          <w:noProof/>
        </w:rPr>
        <w:t xml:space="preserve">. Retrieved from https://www.ons.gov.uk/peoplepopulationandcommunity/birthsdeathsandmarriages/deaths. For further information on the United States, see Centres for Disease Control and Prevention. (2022). </w:t>
      </w:r>
      <w:r w:rsidR="0008017B" w:rsidRPr="00890B76">
        <w:rPr>
          <w:i/>
          <w:iCs/>
          <w:noProof/>
        </w:rPr>
        <w:t>CDC Wonder</w:t>
      </w:r>
      <w:r w:rsidR="0008017B" w:rsidRPr="00890B76">
        <w:rPr>
          <w:noProof/>
        </w:rPr>
        <w:t>. Retrieved from https://wonder.cdc.gov/</w:t>
      </w:r>
      <w:r w:rsidR="0081443C" w:rsidRPr="00890B76">
        <w:rPr>
          <w:noProof/>
        </w:rPr>
        <w:t>.</w:t>
      </w:r>
    </w:p>
  </w:footnote>
  <w:footnote w:id="27">
    <w:p w14:paraId="56041F3D" w14:textId="087FC689" w:rsidR="001B1DC1" w:rsidRDefault="00BA3482" w:rsidP="00DC3774">
      <w:pPr>
        <w:pStyle w:val="Footnotev2"/>
      </w:pPr>
      <w:r w:rsidRPr="00BA3482">
        <w:rPr>
          <w:rStyle w:val="FootnoteReference"/>
          <w:sz w:val="18"/>
          <w:vertAlign w:val="baseline"/>
        </w:rPr>
        <w:footnoteRef/>
      </w:r>
      <w:r w:rsidR="001B1DC1" w:rsidRPr="00890B76">
        <w:t xml:space="preserve"> </w:t>
      </w:r>
      <w:r w:rsidR="00DC3774">
        <w:tab/>
      </w:r>
      <w:r w:rsidR="001B1DC1" w:rsidRPr="00890B76">
        <w:t>Australian Bureau of Statistics, Causes of Death</w:t>
      </w:r>
      <w:r w:rsidR="004B170B" w:rsidRPr="00890B76">
        <w:t>,</w:t>
      </w:r>
      <w:r w:rsidR="001B1DC1" w:rsidRPr="00890B76">
        <w:t xml:space="preserve"> 2021; </w:t>
      </w:r>
      <w:r w:rsidR="007114D3" w:rsidRPr="00890B76">
        <w:rPr>
          <w:noProof/>
        </w:rPr>
        <w:t>Australian Institute of Health and Welfare. (2022)</w:t>
      </w:r>
      <w:r w:rsidR="00465587" w:rsidRPr="00890B76">
        <w:rPr>
          <w:noProof/>
        </w:rPr>
        <w:t>.</w:t>
      </w:r>
      <w:r w:rsidR="007114D3" w:rsidRPr="00890B76">
        <w:rPr>
          <w:i/>
          <w:iCs/>
          <w:noProof/>
        </w:rPr>
        <w:t xml:space="preserve"> General Record of Incidence of Mortality (GRIM)</w:t>
      </w:r>
      <w:r w:rsidR="007114D3" w:rsidRPr="00890B76">
        <w:rPr>
          <w:noProof/>
        </w:rPr>
        <w:t xml:space="preserve">. Retrieved from </w:t>
      </w:r>
      <w:r w:rsidR="00465587" w:rsidRPr="00890B76">
        <w:rPr>
          <w:noProof/>
        </w:rPr>
        <w:t>https://www.aihw.gov.au/reports/life-expectancy-deaths/grim-books/contents/grim-excel-workbooks</w:t>
      </w:r>
      <w:r w:rsidR="001B1DC1" w:rsidRPr="00890B76">
        <w:t>;</w:t>
      </w:r>
      <w:r w:rsidR="00465587" w:rsidRPr="00890B76">
        <w:t xml:space="preserve"> </w:t>
      </w:r>
      <w:r w:rsidR="00465587" w:rsidRPr="00890B76">
        <w:rPr>
          <w:noProof/>
        </w:rPr>
        <w:t xml:space="preserve">Australian Institute of Health and Welfare. (2022). </w:t>
      </w:r>
      <w:r w:rsidR="00465587" w:rsidRPr="00890B76">
        <w:rPr>
          <w:i/>
          <w:iCs/>
          <w:noProof/>
        </w:rPr>
        <w:t>Alcohol, tobacco &amp; other drugs in Australia</w:t>
      </w:r>
      <w:r w:rsidR="00465587" w:rsidRPr="00890B76">
        <w:rPr>
          <w:noProof/>
        </w:rPr>
        <w:t>. Retrieved from https://www.aihw.gov.au/reports/alcohol/alcohol-tobacco-other-drugs-australia/contents/about</w:t>
      </w:r>
      <w:r w:rsidR="00751082">
        <w:rPr>
          <w:noProof/>
        </w:rPr>
        <w:t>.</w:t>
      </w:r>
    </w:p>
  </w:footnote>
  <w:footnote w:id="28">
    <w:p w14:paraId="15C31A03" w14:textId="28F03383" w:rsidR="001B1DC1" w:rsidRPr="003C0201" w:rsidRDefault="00BA3482" w:rsidP="00DC3774">
      <w:pPr>
        <w:pStyle w:val="Footnotev2"/>
      </w:pPr>
      <w:r w:rsidRPr="00BA3482">
        <w:rPr>
          <w:rStyle w:val="FootnoteReference"/>
          <w:sz w:val="18"/>
          <w:vertAlign w:val="baseline"/>
        </w:rPr>
        <w:footnoteRef/>
      </w:r>
      <w:r w:rsidR="001B1DC1" w:rsidRPr="003C0201">
        <w:t xml:space="preserve"> </w:t>
      </w:r>
      <w:r w:rsidR="00DC3774">
        <w:tab/>
      </w:r>
      <w:r w:rsidR="00647C14" w:rsidRPr="003C0201">
        <w:rPr>
          <w:noProof/>
        </w:rPr>
        <w:t xml:space="preserve">Commonwealth of Australia. (2021). </w:t>
      </w:r>
      <w:r w:rsidR="00647C14" w:rsidRPr="003C0201">
        <w:rPr>
          <w:i/>
          <w:iCs/>
          <w:noProof/>
        </w:rPr>
        <w:t>2021 Intergenerational Report.</w:t>
      </w:r>
      <w:r w:rsidR="00647C14" w:rsidRPr="003C0201">
        <w:rPr>
          <w:noProof/>
        </w:rPr>
        <w:t xml:space="preserve"> Canberra</w:t>
      </w:r>
    </w:p>
  </w:footnote>
  <w:footnote w:id="29">
    <w:p w14:paraId="200BBDEC" w14:textId="21F4F5D8" w:rsidR="004637DB" w:rsidRPr="003C0201" w:rsidRDefault="00BA3482" w:rsidP="00DC3774">
      <w:pPr>
        <w:pStyle w:val="Footnotev2"/>
      </w:pPr>
      <w:r w:rsidRPr="00BA3482">
        <w:rPr>
          <w:rStyle w:val="FootnoteReference"/>
          <w:sz w:val="18"/>
          <w:vertAlign w:val="baseline"/>
        </w:rPr>
        <w:footnoteRef/>
      </w:r>
      <w:r w:rsidR="004637DB" w:rsidRPr="003C0201">
        <w:t xml:space="preserve"> </w:t>
      </w:r>
      <w:r w:rsidR="00DC3774">
        <w:tab/>
      </w:r>
      <w:r w:rsidR="004637DB" w:rsidRPr="003C0201">
        <w:t>This is the level required for a generation to replace itself. See Glossary for a full definition.</w:t>
      </w:r>
    </w:p>
  </w:footnote>
  <w:footnote w:id="30">
    <w:p w14:paraId="7D81BEED" w14:textId="4D881D5C" w:rsidR="004637DB" w:rsidRPr="003C0201" w:rsidRDefault="00BA3482" w:rsidP="00DC3774">
      <w:pPr>
        <w:pStyle w:val="Footnotev2"/>
      </w:pPr>
      <w:r w:rsidRPr="00BA3482">
        <w:rPr>
          <w:rStyle w:val="FootnoteReference"/>
          <w:sz w:val="18"/>
          <w:vertAlign w:val="baseline"/>
        </w:rPr>
        <w:footnoteRef/>
      </w:r>
      <w:r w:rsidR="004637DB" w:rsidRPr="003C0201">
        <w:t xml:space="preserve"> </w:t>
      </w:r>
      <w:r w:rsidR="00DC3774">
        <w:tab/>
      </w:r>
      <w:r w:rsidR="00BD566D" w:rsidRPr="003C0201">
        <w:t xml:space="preserve">For more information about Australia’s historical population ageing trends </w:t>
      </w:r>
      <w:r w:rsidR="004637DB" w:rsidRPr="003C0201">
        <w:t>see</w:t>
      </w:r>
      <w:r w:rsidR="00BD566D" w:rsidRPr="003C0201">
        <w:t>:</w:t>
      </w:r>
      <w:r w:rsidR="004637DB" w:rsidRPr="003C0201">
        <w:t> </w:t>
      </w:r>
      <w:r w:rsidR="00647C14" w:rsidRPr="003C0201">
        <w:rPr>
          <w:noProof/>
        </w:rPr>
        <w:t xml:space="preserve">Centre for Population. (2020). </w:t>
      </w:r>
      <w:r w:rsidR="00647C14" w:rsidRPr="003C0201">
        <w:rPr>
          <w:i/>
          <w:iCs/>
          <w:noProof/>
        </w:rPr>
        <w:t>Population Statement.</w:t>
      </w:r>
      <w:r w:rsidR="00647C14" w:rsidRPr="003C0201">
        <w:rPr>
          <w:noProof/>
        </w:rPr>
        <w:t xml:space="preserve"> Canberra</w:t>
      </w:r>
      <w:r w:rsidR="004637DB" w:rsidRPr="001A3279">
        <w:t xml:space="preserve"> </w:t>
      </w:r>
      <w:r w:rsidR="004637DB" w:rsidRPr="003C0201">
        <w:t xml:space="preserve">and </w:t>
      </w:r>
      <w:r w:rsidR="00647C14" w:rsidRPr="003C0201">
        <w:rPr>
          <w:noProof/>
        </w:rPr>
        <w:t>Commonwealth of Australia. (2021)</w:t>
      </w:r>
      <w:r w:rsidR="00BD566D" w:rsidRPr="003C0201">
        <w:rPr>
          <w:noProof/>
        </w:rPr>
        <w:t>.</w:t>
      </w:r>
      <w:r w:rsidR="00647C14" w:rsidRPr="003C0201">
        <w:rPr>
          <w:noProof/>
        </w:rPr>
        <w:t xml:space="preserve"> op. ci</w:t>
      </w:r>
      <w:r w:rsidR="004637DB" w:rsidRPr="003C0201">
        <w:t>t</w:t>
      </w:r>
      <w:r w:rsidR="00BD566D" w:rsidRPr="003C0201">
        <w:t>.</w:t>
      </w:r>
      <w:r w:rsidR="004637DB" w:rsidRPr="003C0201">
        <w:t xml:space="preserve"> </w:t>
      </w:r>
    </w:p>
  </w:footnote>
  <w:footnote w:id="31">
    <w:p w14:paraId="6C59D8E9" w14:textId="79DB2D9B" w:rsidR="000E6EBD" w:rsidRPr="001A3279" w:rsidRDefault="00BA3482" w:rsidP="00DC3774">
      <w:pPr>
        <w:pStyle w:val="Footnotev2"/>
      </w:pPr>
      <w:r w:rsidRPr="00BA3482">
        <w:rPr>
          <w:rStyle w:val="FootnoteReference"/>
          <w:sz w:val="18"/>
          <w:vertAlign w:val="baseline"/>
        </w:rPr>
        <w:footnoteRef/>
      </w:r>
      <w:r w:rsidR="00BD566D" w:rsidRPr="003C0201">
        <w:rPr>
          <w:noProof/>
        </w:rPr>
        <w:t xml:space="preserve"> </w:t>
      </w:r>
      <w:r w:rsidR="00DC3774">
        <w:rPr>
          <w:noProof/>
        </w:rPr>
        <w:tab/>
      </w:r>
      <w:r w:rsidR="00BD566D" w:rsidRPr="003C0201">
        <w:rPr>
          <w:noProof/>
        </w:rPr>
        <w:t xml:space="preserve">United States Census Bureau. (2020, February). </w:t>
      </w:r>
      <w:r w:rsidR="00BD566D" w:rsidRPr="003C0201">
        <w:rPr>
          <w:i/>
          <w:iCs/>
          <w:noProof/>
        </w:rPr>
        <w:t>Demographic Turning Points for the United States; Population Projections for 2020 to 2060.</w:t>
      </w:r>
      <w:r w:rsidR="00BD566D" w:rsidRPr="003C0201">
        <w:rPr>
          <w:noProof/>
        </w:rPr>
        <w:t xml:space="preserve"> Retrieved from https://www.census.gov/: http://www.census.gov/content/dam/Census/library/publications/2020/demo/p25-1144.pdf</w:t>
      </w:r>
    </w:p>
  </w:footnote>
  <w:footnote w:id="32">
    <w:p w14:paraId="4DE34A1F" w14:textId="687195AF" w:rsidR="000E6EBD" w:rsidRDefault="00BA3482" w:rsidP="00DC3774">
      <w:pPr>
        <w:pStyle w:val="Footnotev2"/>
      </w:pPr>
      <w:r w:rsidRPr="00BA3482">
        <w:rPr>
          <w:rStyle w:val="FootnoteReference"/>
          <w:vertAlign w:val="baseline"/>
        </w:rPr>
        <w:footnoteRef/>
      </w:r>
      <w:r w:rsidR="000E6EBD">
        <w:t xml:space="preserve"> </w:t>
      </w:r>
      <w:r w:rsidR="00DC3774">
        <w:tab/>
      </w:r>
      <w:r w:rsidR="000E6EBD" w:rsidRPr="009D38A4">
        <w:t xml:space="preserve">As per the </w:t>
      </w:r>
      <w:r w:rsidR="00DA5ECD">
        <w:t>pre-pandemic projections</w:t>
      </w:r>
      <w:r w:rsidR="000E6EBD" w:rsidRPr="009D38A4">
        <w:t xml:space="preserve"> released in </w:t>
      </w:r>
      <w:r w:rsidR="00DA5ECD">
        <w:t>the 2019-20 MYEFO</w:t>
      </w:r>
      <w:r w:rsidR="000E6EBD" w:rsidRPr="009D38A4">
        <w:t>.</w:t>
      </w:r>
    </w:p>
  </w:footnote>
  <w:footnote w:id="33">
    <w:p w14:paraId="50292494" w14:textId="68883682" w:rsidR="008C63B8" w:rsidRPr="00710E27" w:rsidRDefault="00BA3482" w:rsidP="00DC3774">
      <w:pPr>
        <w:pStyle w:val="Footnotev2"/>
      </w:pPr>
      <w:r w:rsidRPr="00BA3482">
        <w:rPr>
          <w:rStyle w:val="FootnoteReference"/>
          <w:sz w:val="18"/>
          <w:vertAlign w:val="baseline"/>
        </w:rPr>
        <w:footnoteRef/>
      </w:r>
      <w:r w:rsidR="008C63B8" w:rsidRPr="00710E27">
        <w:t xml:space="preserve"> </w:t>
      </w:r>
      <w:r w:rsidR="00DC3774">
        <w:tab/>
      </w:r>
      <w:r w:rsidR="008C63B8" w:rsidRPr="00710E27">
        <w:t>The 2021 Intergenerational Report found that the contribution of natural increase to population growth will fall to around one quarter of annual population growth by 2060</w:t>
      </w:r>
      <w:r w:rsidR="00890B76" w:rsidRPr="00710E27">
        <w:t>–</w:t>
      </w:r>
      <w:r w:rsidR="008C63B8" w:rsidRPr="00710E27">
        <w:t>61, compared with around 44 per cent of population growth over the past 20 years</w:t>
      </w:r>
      <w:r w:rsidR="00091E0D" w:rsidRPr="00710E27">
        <w:t xml:space="preserve"> </w:t>
      </w:r>
      <w:r w:rsidR="00091E0D" w:rsidRPr="00710E27">
        <w:rPr>
          <w:noProof/>
        </w:rPr>
        <w:t>(Commonwealth of Australia. (2021). op</w:t>
      </w:r>
      <w:r w:rsidR="00091E0D" w:rsidRPr="00710E27">
        <w:t>. cit.)</w:t>
      </w:r>
      <w:r w:rsidR="003C48C2" w:rsidRPr="00710E27">
        <w:t>.</w:t>
      </w:r>
      <w:r w:rsidR="008C63B8" w:rsidRPr="00710E27">
        <w:t xml:space="preserve"> </w:t>
      </w:r>
    </w:p>
  </w:footnote>
  <w:footnote w:id="34">
    <w:p w14:paraId="556D14DC" w14:textId="4CA0148F" w:rsidR="008C63B8" w:rsidRDefault="00BA3482" w:rsidP="00DC3774">
      <w:pPr>
        <w:pStyle w:val="Footnotev2"/>
      </w:pPr>
      <w:r w:rsidRPr="00BA3482">
        <w:rPr>
          <w:rStyle w:val="FootnoteReference"/>
          <w:sz w:val="18"/>
          <w:vertAlign w:val="baseline"/>
        </w:rPr>
        <w:footnoteRef/>
      </w:r>
      <w:r w:rsidR="008C63B8" w:rsidRPr="00710E27">
        <w:t xml:space="preserve"> </w:t>
      </w:r>
      <w:r w:rsidR="00DC3774">
        <w:tab/>
      </w:r>
      <w:r w:rsidR="00890B76" w:rsidRPr="00710E27">
        <w:t xml:space="preserve">While this scenario combines Australia and New Zealand, it is instructive for each country given the similar age structures they share. The scenario assumes the fertility rate is 2.1 births per woman, net overseas migration is zero and assumes no improvement in mortality rates. This allows the scenario to isolate how much growth is attributable only to the current population age structure. </w:t>
      </w:r>
      <w:r w:rsidR="003C48C2" w:rsidRPr="00710E27">
        <w:rPr>
          <w:noProof/>
        </w:rPr>
        <w:t xml:space="preserve">United Nations Department of Economic and Social Affairs, Population Division. (2022, July 11). </w:t>
      </w:r>
      <w:r w:rsidR="003C48C2" w:rsidRPr="00710E27">
        <w:rPr>
          <w:i/>
          <w:iCs/>
          <w:noProof/>
        </w:rPr>
        <w:t>2022 Revision of World Population Prospects</w:t>
      </w:r>
      <w:r w:rsidR="003C48C2" w:rsidRPr="00710E27">
        <w:rPr>
          <w:noProof/>
        </w:rPr>
        <w:t>. Retrieved from https://population.un.org/wpp/.</w:t>
      </w:r>
    </w:p>
  </w:footnote>
  <w:footnote w:id="35">
    <w:p w14:paraId="1C2D87DA" w14:textId="50F04D6D" w:rsidR="003E076F" w:rsidRPr="00710E27" w:rsidRDefault="00BA3482" w:rsidP="000C59FF">
      <w:pPr>
        <w:pStyle w:val="Footnotev2"/>
      </w:pPr>
      <w:r w:rsidRPr="00BA3482">
        <w:rPr>
          <w:rStyle w:val="FootnoteReference"/>
          <w:sz w:val="18"/>
          <w:vertAlign w:val="baseline"/>
        </w:rPr>
        <w:footnoteRef/>
      </w:r>
      <w:r w:rsidR="003E076F" w:rsidRPr="00710E27">
        <w:t xml:space="preserve"> </w:t>
      </w:r>
      <w:r w:rsidR="000C59FF">
        <w:tab/>
      </w:r>
      <w:r w:rsidR="002768FB" w:rsidRPr="00710E27">
        <w:rPr>
          <w:noProof/>
        </w:rPr>
        <w:t>Australian Bureau of Statistics,</w:t>
      </w:r>
      <w:r w:rsidR="002768FB" w:rsidRPr="00710E27">
        <w:t xml:space="preserve"> </w:t>
      </w:r>
      <w:r w:rsidR="002768FB" w:rsidRPr="00710E27">
        <w:rPr>
          <w:noProof/>
        </w:rPr>
        <w:t>National, state and territory population, methodology, June 2021, 2021</w:t>
      </w:r>
      <w:r w:rsidR="00C429E0" w:rsidRPr="00710E27">
        <w:rPr>
          <w:noProof/>
        </w:rPr>
        <w:t>.</w:t>
      </w:r>
    </w:p>
  </w:footnote>
  <w:footnote w:id="36">
    <w:p w14:paraId="0A82EE6D" w14:textId="2DD739BF" w:rsidR="00AC1248" w:rsidRPr="00710E27" w:rsidRDefault="00BA3482" w:rsidP="000C59FF">
      <w:pPr>
        <w:pStyle w:val="Footnotev2"/>
      </w:pPr>
      <w:r w:rsidRPr="00BA3482">
        <w:rPr>
          <w:rStyle w:val="FootnoteReference"/>
          <w:sz w:val="18"/>
          <w:vertAlign w:val="baseline"/>
        </w:rPr>
        <w:footnoteRef/>
      </w:r>
      <w:r w:rsidR="00AC1248" w:rsidRPr="00710E27">
        <w:t xml:space="preserve"> </w:t>
      </w:r>
      <w:r w:rsidR="000C59FF">
        <w:tab/>
      </w:r>
      <w:r w:rsidR="00476773" w:rsidRPr="00710E27">
        <w:t>At the capital city and rest-of-state level, internal migration refers to moves within states as well as interstate moves.</w:t>
      </w:r>
    </w:p>
  </w:footnote>
  <w:footnote w:id="37">
    <w:p w14:paraId="2FBA504B" w14:textId="6124E4A0" w:rsidR="00027AC6" w:rsidRDefault="00BA3482" w:rsidP="000C59FF">
      <w:pPr>
        <w:pStyle w:val="Footnotev2"/>
      </w:pPr>
      <w:r w:rsidRPr="00BA3482">
        <w:rPr>
          <w:rStyle w:val="FootnoteReference"/>
          <w:sz w:val="18"/>
          <w:vertAlign w:val="baseline"/>
        </w:rPr>
        <w:footnoteRef/>
      </w:r>
      <w:r w:rsidR="00027AC6" w:rsidRPr="001E4102">
        <w:t xml:space="preserve"> </w:t>
      </w:r>
      <w:r w:rsidR="000C59FF">
        <w:tab/>
      </w:r>
      <w:r w:rsidR="00947012" w:rsidRPr="001E4102">
        <w:rPr>
          <w:noProof/>
        </w:rPr>
        <w:t>Centre for Population</w:t>
      </w:r>
      <w:r w:rsidR="00947012">
        <w:rPr>
          <w:noProof/>
        </w:rPr>
        <w:t>.</w:t>
      </w:r>
      <w:r w:rsidR="00947012" w:rsidRPr="001E4102">
        <w:rPr>
          <w:noProof/>
        </w:rPr>
        <w:t xml:space="preserve"> </w:t>
      </w:r>
      <w:r w:rsidR="00947012">
        <w:rPr>
          <w:noProof/>
        </w:rPr>
        <w:t>(</w:t>
      </w:r>
      <w:r w:rsidR="00947012" w:rsidRPr="001E4102">
        <w:rPr>
          <w:noProof/>
        </w:rPr>
        <w:t>2020)</w:t>
      </w:r>
      <w:r w:rsidR="00947012">
        <w:rPr>
          <w:noProof/>
        </w:rPr>
        <w:t>. op. cit.</w:t>
      </w:r>
    </w:p>
  </w:footnote>
  <w:footnote w:id="38">
    <w:p w14:paraId="7DE61CEA" w14:textId="5F63B85F" w:rsidR="008C63B8" w:rsidRPr="0031429D" w:rsidRDefault="00BA3482" w:rsidP="000C59FF">
      <w:pPr>
        <w:pStyle w:val="Footnotev2"/>
      </w:pPr>
      <w:r w:rsidRPr="00BA3482">
        <w:rPr>
          <w:rStyle w:val="FootnoteReference"/>
          <w:sz w:val="18"/>
          <w:vertAlign w:val="baseline"/>
        </w:rPr>
        <w:footnoteRef/>
      </w:r>
      <w:r w:rsidR="008C63B8" w:rsidRPr="00473D18">
        <w:t xml:space="preserve"> </w:t>
      </w:r>
      <w:r w:rsidR="000C59FF">
        <w:tab/>
      </w:r>
      <w:r w:rsidR="0031429D" w:rsidRPr="008B1B2A">
        <w:rPr>
          <w:noProof/>
        </w:rPr>
        <w:t xml:space="preserve">Wilson, </w:t>
      </w:r>
      <w:r w:rsidR="0031429D" w:rsidRPr="0031429D">
        <w:rPr>
          <w:noProof/>
        </w:rPr>
        <w:t xml:space="preserve">T. (2020). Modelling Age Patterns of Internal Migration at the Highest Ages. </w:t>
      </w:r>
      <w:r w:rsidR="0031429D" w:rsidRPr="0031429D">
        <w:rPr>
          <w:i/>
          <w:iCs/>
          <w:noProof/>
        </w:rPr>
        <w:t>Spatial Demography</w:t>
      </w:r>
      <w:r w:rsidR="0031429D" w:rsidRPr="0031429D">
        <w:rPr>
          <w:noProof/>
        </w:rPr>
        <w:t>, 175-192</w:t>
      </w:r>
      <w:r w:rsidR="00751082">
        <w:rPr>
          <w:noProof/>
        </w:rPr>
        <w:t>.</w:t>
      </w:r>
    </w:p>
  </w:footnote>
  <w:footnote w:id="39">
    <w:p w14:paraId="7A4B8184" w14:textId="49A80401" w:rsidR="009949F1" w:rsidRPr="00710E27" w:rsidRDefault="00BA3482" w:rsidP="000C59FF">
      <w:pPr>
        <w:pStyle w:val="Footnotev2"/>
      </w:pPr>
      <w:r w:rsidRPr="00BA3482">
        <w:rPr>
          <w:rStyle w:val="FootnoteReference"/>
          <w:sz w:val="18"/>
          <w:vertAlign w:val="baseline"/>
        </w:rPr>
        <w:footnoteRef/>
      </w:r>
      <w:r w:rsidR="00DC3774">
        <w:tab/>
      </w:r>
      <w:r w:rsidR="009949F1" w:rsidRPr="00710E27">
        <w:t>This is reflected in the relatively high intercensal difference recorded between 2016</w:t>
      </w:r>
      <w:r w:rsidR="0097441E">
        <w:t>–</w:t>
      </w:r>
      <w:r w:rsidR="009949F1" w:rsidRPr="00710E27">
        <w:t>17 and 2020</w:t>
      </w:r>
      <w:r w:rsidR="0097441E">
        <w:t>–</w:t>
      </w:r>
      <w:r w:rsidR="009949F1" w:rsidRPr="00710E27">
        <w:t>21, which could reflect higher levels of overseas migration, natural increase or interstate migration. See Technical Appendix for further details.</w:t>
      </w:r>
    </w:p>
  </w:footnote>
  <w:footnote w:id="40">
    <w:p w14:paraId="19527153" w14:textId="1D135201" w:rsidR="009949F1" w:rsidRDefault="00BA3482" w:rsidP="000C59FF">
      <w:pPr>
        <w:pStyle w:val="Footnotev2"/>
      </w:pPr>
      <w:r w:rsidRPr="00BA3482">
        <w:rPr>
          <w:rStyle w:val="FootnoteReference"/>
          <w:sz w:val="18"/>
          <w:vertAlign w:val="baseline"/>
        </w:rPr>
        <w:footnoteRef/>
      </w:r>
      <w:r w:rsidR="009949F1" w:rsidRPr="00710E27">
        <w:t xml:space="preserve"> </w:t>
      </w:r>
      <w:r w:rsidR="00DC3774">
        <w:tab/>
      </w:r>
      <w:r w:rsidR="007E3A7E" w:rsidRPr="00710E27">
        <w:rPr>
          <w:noProof/>
        </w:rPr>
        <w:t>Centre for Population. (2020)</w:t>
      </w:r>
      <w:r w:rsidR="007E3A7E" w:rsidRPr="00710E27">
        <w:t>. op. cit.</w:t>
      </w:r>
    </w:p>
  </w:footnote>
  <w:footnote w:id="41">
    <w:p w14:paraId="54E7D4F8" w14:textId="0FA50415" w:rsidR="00C3334D" w:rsidRPr="002C06DC" w:rsidRDefault="00BA3482" w:rsidP="000C59FF">
      <w:pPr>
        <w:pStyle w:val="Footnotev2"/>
      </w:pPr>
      <w:r w:rsidRPr="00BA3482">
        <w:rPr>
          <w:rStyle w:val="FootnoteReference"/>
          <w:rFonts w:asciiTheme="minorHAnsi" w:hAnsiTheme="minorHAnsi" w:cstheme="minorHAnsi"/>
          <w:sz w:val="18"/>
          <w:vertAlign w:val="baseline"/>
        </w:rPr>
        <w:footnoteRef/>
      </w:r>
      <w:r w:rsidR="00C3334D" w:rsidRPr="002C06DC">
        <w:t xml:space="preserve"> </w:t>
      </w:r>
      <w:r w:rsidR="000C59FF">
        <w:tab/>
      </w:r>
      <w:r w:rsidR="007C1252" w:rsidRPr="002C06DC">
        <w:t xml:space="preserve">See glossary for </w:t>
      </w:r>
      <w:r w:rsidR="00360B8B">
        <w:t>further details</w:t>
      </w:r>
      <w:r w:rsidR="007C1252" w:rsidRPr="002C06DC">
        <w:t>.</w:t>
      </w:r>
    </w:p>
  </w:footnote>
  <w:footnote w:id="42">
    <w:p w14:paraId="5886C2DD" w14:textId="489A5EDD" w:rsidR="003A5E26" w:rsidRPr="0097441E" w:rsidRDefault="00BA3482" w:rsidP="000C59FF">
      <w:pPr>
        <w:pStyle w:val="Footnotev2"/>
      </w:pPr>
      <w:r w:rsidRPr="00BA3482">
        <w:rPr>
          <w:rStyle w:val="FootnoteReference"/>
          <w:rFonts w:asciiTheme="minorHAnsi" w:hAnsiTheme="minorHAnsi" w:cstheme="minorHAnsi"/>
          <w:sz w:val="18"/>
          <w:vertAlign w:val="baseline"/>
        </w:rPr>
        <w:footnoteRef/>
      </w:r>
      <w:r w:rsidR="003A5E26" w:rsidRPr="0097441E">
        <w:t xml:space="preserve"> </w:t>
      </w:r>
      <w:r w:rsidR="000C59FF">
        <w:tab/>
      </w:r>
      <w:r w:rsidR="00712F0D" w:rsidRPr="0097441E">
        <w:rPr>
          <w:noProof/>
        </w:rPr>
        <w:t>Wilson, T. (2020). op cit.</w:t>
      </w:r>
    </w:p>
  </w:footnote>
  <w:footnote w:id="43">
    <w:p w14:paraId="63F96B54" w14:textId="653617D4" w:rsidR="004842BC" w:rsidRDefault="00BA3482" w:rsidP="000C59FF">
      <w:pPr>
        <w:pStyle w:val="Footnotev2"/>
      </w:pPr>
      <w:r w:rsidRPr="00BA3482">
        <w:rPr>
          <w:rStyle w:val="FootnoteReference"/>
          <w:rFonts w:asciiTheme="minorHAnsi" w:hAnsiTheme="minorHAnsi" w:cstheme="minorHAnsi"/>
          <w:sz w:val="18"/>
          <w:vertAlign w:val="baseline"/>
        </w:rPr>
        <w:footnoteRef/>
      </w:r>
      <w:r w:rsidR="00712F0D" w:rsidRPr="0097441E">
        <w:rPr>
          <w:noProof/>
        </w:rPr>
        <w:t xml:space="preserve"> </w:t>
      </w:r>
      <w:r w:rsidR="000C59FF">
        <w:rPr>
          <w:noProof/>
        </w:rPr>
        <w:tab/>
      </w:r>
      <w:r w:rsidR="00712F0D" w:rsidRPr="0097441E">
        <w:rPr>
          <w:noProof/>
        </w:rPr>
        <w:t>Australian Bureau of Statistics, National, state and territory population methodology, March 2021, 2021</w:t>
      </w:r>
      <w:r w:rsidR="00751082">
        <w:rPr>
          <w:noProof/>
        </w:rPr>
        <w:t>.</w:t>
      </w:r>
    </w:p>
  </w:footnote>
  <w:footnote w:id="44">
    <w:p w14:paraId="21652301" w14:textId="673D0E28" w:rsidR="00D972E8" w:rsidRPr="00676947" w:rsidRDefault="00BA3482" w:rsidP="000C59FF">
      <w:pPr>
        <w:pStyle w:val="Footnotev2"/>
      </w:pPr>
      <w:r w:rsidRPr="00BA3482">
        <w:rPr>
          <w:rStyle w:val="FootnoteReference"/>
          <w:sz w:val="18"/>
          <w:vertAlign w:val="baseline"/>
        </w:rPr>
        <w:footnoteRef/>
      </w:r>
      <w:r w:rsidR="00D972E8" w:rsidRPr="00676947">
        <w:t xml:space="preserve"> </w:t>
      </w:r>
      <w:r w:rsidR="000C59FF">
        <w:tab/>
      </w:r>
      <w:r w:rsidR="0097441E" w:rsidRPr="0097441E">
        <w:rPr>
          <w:noProof/>
        </w:rPr>
        <w:t>Australian Bureau of Statistics, National, state and territory population methodology, March 2021, 2021</w:t>
      </w:r>
      <w:r w:rsidR="00751082">
        <w:rPr>
          <w:noProof/>
        </w:rPr>
        <w:t>.</w:t>
      </w:r>
    </w:p>
  </w:footnote>
  <w:footnote w:id="45">
    <w:p w14:paraId="6028F486" w14:textId="2C55152F" w:rsidR="00A35173" w:rsidRPr="00751082" w:rsidRDefault="00BA3482" w:rsidP="000C59FF">
      <w:pPr>
        <w:pStyle w:val="Footnotev2"/>
      </w:pPr>
      <w:r w:rsidRPr="00BA3482">
        <w:rPr>
          <w:rStyle w:val="FootnoteReference"/>
          <w:sz w:val="18"/>
          <w:vertAlign w:val="baseline"/>
        </w:rPr>
        <w:footnoteRef/>
      </w:r>
      <w:r w:rsidR="00A35173" w:rsidRPr="00751082">
        <w:t xml:space="preserve"> </w:t>
      </w:r>
      <w:r w:rsidR="000C59FF">
        <w:tab/>
      </w:r>
      <w:r w:rsidR="003625EE" w:rsidRPr="00751082">
        <w:rPr>
          <w:noProof/>
        </w:rPr>
        <w:t>Australian Bureau of Statistics, National, state and territory population, March 2022, 2022</w:t>
      </w:r>
      <w:r w:rsidR="00171837" w:rsidRPr="00751082">
        <w:rPr>
          <w:noProof/>
        </w:rPr>
        <w:t>.</w:t>
      </w:r>
    </w:p>
  </w:footnote>
  <w:footnote w:id="46">
    <w:p w14:paraId="3598FAAD" w14:textId="571A8131" w:rsidR="00027AC6" w:rsidRPr="001A3279" w:rsidRDefault="00BA3482" w:rsidP="000C59FF">
      <w:pPr>
        <w:pStyle w:val="Footnotev2"/>
      </w:pPr>
      <w:r w:rsidRPr="00BA3482">
        <w:rPr>
          <w:rStyle w:val="FootnoteReference"/>
          <w:sz w:val="18"/>
          <w:vertAlign w:val="baseline"/>
        </w:rPr>
        <w:footnoteRef/>
      </w:r>
      <w:r w:rsidR="00027AC6" w:rsidRPr="003C0201">
        <w:t xml:space="preserve"> </w:t>
      </w:r>
      <w:r w:rsidR="000C59FF">
        <w:tab/>
      </w:r>
      <w:r w:rsidR="003625EE" w:rsidRPr="003C0201">
        <w:rPr>
          <w:noProof/>
        </w:rPr>
        <w:t>McDonald, P. (2020). op. cit.</w:t>
      </w:r>
    </w:p>
  </w:footnote>
  <w:footnote w:id="47">
    <w:p w14:paraId="48D590BE" w14:textId="2EDB1BD4" w:rsidR="00027AC6" w:rsidRPr="001A3279" w:rsidRDefault="00BA3482" w:rsidP="000C59FF">
      <w:pPr>
        <w:pStyle w:val="Footnotev2"/>
      </w:pPr>
      <w:r w:rsidRPr="00BA3482">
        <w:rPr>
          <w:rStyle w:val="FootnoteReference"/>
          <w:sz w:val="18"/>
          <w:vertAlign w:val="baseline"/>
        </w:rPr>
        <w:footnoteRef/>
      </w:r>
      <w:r w:rsidR="00027AC6" w:rsidRPr="001A3279">
        <w:t xml:space="preserve"> </w:t>
      </w:r>
      <w:r w:rsidR="000C59FF">
        <w:tab/>
      </w:r>
      <w:r w:rsidR="003625EE" w:rsidRPr="003C0201">
        <w:rPr>
          <w:noProof/>
        </w:rPr>
        <w:t>Australian Bureau of Statistics, Births, Australia, 2021</w:t>
      </w:r>
      <w:r w:rsidR="00751082">
        <w:rPr>
          <w:noProof/>
        </w:rPr>
        <w:t>.</w:t>
      </w:r>
    </w:p>
  </w:footnote>
  <w:footnote w:id="48">
    <w:p w14:paraId="441EB751" w14:textId="26C7647E" w:rsidR="00027AC6" w:rsidRPr="001A3279" w:rsidRDefault="00BA3482" w:rsidP="000C59FF">
      <w:pPr>
        <w:pStyle w:val="Footnotev2"/>
      </w:pPr>
      <w:r w:rsidRPr="00BA3482">
        <w:rPr>
          <w:rStyle w:val="FootnoteReference"/>
          <w:sz w:val="18"/>
          <w:vertAlign w:val="baseline"/>
        </w:rPr>
        <w:footnoteRef/>
      </w:r>
      <w:r w:rsidR="00027AC6" w:rsidRPr="001A3279">
        <w:t xml:space="preserve"> </w:t>
      </w:r>
      <w:r w:rsidR="000C59FF">
        <w:tab/>
      </w:r>
      <w:r w:rsidR="003625EE" w:rsidRPr="003C0201">
        <w:rPr>
          <w:noProof/>
        </w:rPr>
        <w:t>Australian Bureau of Statistics, Life tables, 2021</w:t>
      </w:r>
      <w:r w:rsidR="00751082">
        <w:rPr>
          <w:noProof/>
        </w:rPr>
        <w:t>.</w:t>
      </w:r>
    </w:p>
  </w:footnote>
  <w:footnote w:id="49">
    <w:p w14:paraId="4F32079A" w14:textId="4A66EC65" w:rsidR="00EF27EB" w:rsidRDefault="00BA3482" w:rsidP="000C59FF">
      <w:pPr>
        <w:pStyle w:val="Footnotev2"/>
      </w:pPr>
      <w:r w:rsidRPr="00BA3482">
        <w:rPr>
          <w:rStyle w:val="FootnoteReference"/>
          <w:sz w:val="18"/>
          <w:vertAlign w:val="baseline"/>
        </w:rPr>
        <w:footnoteRef/>
      </w:r>
      <w:r w:rsidR="00EF27EB" w:rsidRPr="001A3279">
        <w:t xml:space="preserve"> </w:t>
      </w:r>
      <w:r w:rsidR="000C59FF">
        <w:tab/>
      </w:r>
      <w:r w:rsidR="00EF27EB" w:rsidRPr="003C0201">
        <w:t>The 2019</w:t>
      </w:r>
      <w:r w:rsidR="00751082">
        <w:t>–</w:t>
      </w:r>
      <w:r w:rsidR="00EF27EB" w:rsidRPr="003C0201">
        <w:t>21 life tables released by the Australian Bureau of Statistics on 8 November 202</w:t>
      </w:r>
      <w:r w:rsidR="00751082">
        <w:t>2</w:t>
      </w:r>
      <w:r w:rsidR="00EF27EB" w:rsidRPr="003C0201">
        <w:t xml:space="preserve"> were not able to be </w:t>
      </w:r>
      <w:proofErr w:type="gramStart"/>
      <w:r w:rsidR="00EF27EB" w:rsidRPr="003C0201">
        <w:t>taken</w:t>
      </w:r>
      <w:r w:rsidR="0043251F" w:rsidRPr="003C0201">
        <w:t xml:space="preserve"> </w:t>
      </w:r>
      <w:r w:rsidR="00EF27EB" w:rsidRPr="003C0201">
        <w:t>into account</w:t>
      </w:r>
      <w:proofErr w:type="gramEnd"/>
      <w:r w:rsidR="00EF27EB" w:rsidRPr="003C0201">
        <w:t xml:space="preserve"> in producing the Statement.</w:t>
      </w:r>
      <w:r w:rsidR="00EF27EB">
        <w:t xml:space="preserve"> </w:t>
      </w:r>
    </w:p>
  </w:footnote>
  <w:footnote w:id="50">
    <w:p w14:paraId="3C993DF4" w14:textId="6987C87D" w:rsidR="00BD5FCA" w:rsidRPr="00770AD1" w:rsidRDefault="00BA3482" w:rsidP="000C59FF">
      <w:pPr>
        <w:pStyle w:val="Footnotev2"/>
        <w:rPr>
          <w:noProof/>
        </w:rPr>
      </w:pPr>
      <w:r w:rsidRPr="00BA3482">
        <w:rPr>
          <w:rStyle w:val="FootnoteReference"/>
          <w:sz w:val="18"/>
          <w:vertAlign w:val="baseline"/>
        </w:rPr>
        <w:footnoteRef/>
      </w:r>
      <w:r w:rsidR="00BD5FCA" w:rsidRPr="00473D18">
        <w:t xml:space="preserve"> </w:t>
      </w:r>
      <w:r w:rsidR="000C59FF">
        <w:tab/>
      </w:r>
      <w:r w:rsidR="00BD5FCA" w:rsidRPr="00770AD1">
        <w:t>The A</w:t>
      </w:r>
      <w:r w:rsidR="00770AD1" w:rsidRPr="00770AD1">
        <w:t xml:space="preserve">ustralian </w:t>
      </w:r>
      <w:r w:rsidR="00BD5FCA" w:rsidRPr="00770AD1">
        <w:t>B</w:t>
      </w:r>
      <w:r w:rsidR="00770AD1" w:rsidRPr="00770AD1">
        <w:t xml:space="preserve">ureau of </w:t>
      </w:r>
      <w:r w:rsidR="00BD5FCA" w:rsidRPr="00770AD1">
        <w:t>S</w:t>
      </w:r>
      <w:r w:rsidR="00770AD1" w:rsidRPr="00770AD1">
        <w:t xml:space="preserve">tatistics </w:t>
      </w:r>
      <w:r w:rsidR="00BD5FCA" w:rsidRPr="00770AD1">
        <w:t xml:space="preserve">rebased the </w:t>
      </w:r>
      <w:r w:rsidR="00770AD1" w:rsidRPr="00770AD1">
        <w:t>estimate</w:t>
      </w:r>
      <w:r w:rsidR="00DE76B9">
        <w:t>d</w:t>
      </w:r>
      <w:r w:rsidR="00770AD1" w:rsidRPr="00770AD1">
        <w:t xml:space="preserve"> resident population</w:t>
      </w:r>
      <w:r w:rsidR="00BD5FCA" w:rsidRPr="00770AD1">
        <w:t xml:space="preserve"> as at 30 June 2021 to reflect person counts in the 2021 Census, adjusted for under and overcount estimates from the Post Enumeration Survey. For further detail on the Post Enumeration Survey see</w:t>
      </w:r>
      <w:r w:rsidR="00770AD1" w:rsidRPr="00770AD1">
        <w:t xml:space="preserve"> </w:t>
      </w:r>
      <w:r w:rsidR="00770AD1" w:rsidRPr="00770AD1">
        <w:rPr>
          <w:noProof/>
        </w:rPr>
        <w:t xml:space="preserve">Australian Bureau of Statistics. (2022). </w:t>
      </w:r>
      <w:r w:rsidR="00770AD1" w:rsidRPr="00770AD1">
        <w:rPr>
          <w:i/>
          <w:iCs/>
          <w:noProof/>
        </w:rPr>
        <w:t>2021 Census overcount and undercount</w:t>
      </w:r>
      <w:r w:rsidR="00770AD1" w:rsidRPr="00770AD1">
        <w:rPr>
          <w:noProof/>
        </w:rPr>
        <w:t>. Retrieved from https://www.abs.gov.au/statistics/people/population/2021-census-overcount-and-undercount/latest-release</w:t>
      </w:r>
      <w:r w:rsidR="00DA575E">
        <w:rPr>
          <w:noProof/>
        </w:rPr>
        <w:t>.</w:t>
      </w:r>
    </w:p>
    <w:p w14:paraId="5DEA817F" w14:textId="77777777" w:rsidR="00BD5FCA" w:rsidRPr="00473D18" w:rsidRDefault="00BD5FCA" w:rsidP="00BD5FCA">
      <w:pPr>
        <w:pStyle w:val="FootnoteText"/>
        <w:spacing w:before="0" w:after="0"/>
        <w:rPr>
          <w:sz w:val="18"/>
          <w:szCs w:val="18"/>
        </w:rPr>
      </w:pPr>
    </w:p>
  </w:footnote>
  <w:footnote w:id="51">
    <w:p w14:paraId="23F2DCE8" w14:textId="675B7975"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 National, state and territory population methodology, March 2021, 2021</w:t>
      </w:r>
      <w:r w:rsidR="00686B8D">
        <w:rPr>
          <w:noProof/>
        </w:rPr>
        <w:t>.</w:t>
      </w:r>
    </w:p>
  </w:footnote>
  <w:footnote w:id="52">
    <w:p w14:paraId="390C6BC8" w14:textId="3B4F7C22"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 Australian Statistical Geography Standard: Volume 1 - Main Structure and Greater Capital City Statistical Areas, 2016</w:t>
      </w:r>
      <w:r w:rsidR="00686B8D">
        <w:rPr>
          <w:noProof/>
        </w:rPr>
        <w:t>.</w:t>
      </w:r>
    </w:p>
  </w:footnote>
  <w:footnote w:id="53">
    <w:p w14:paraId="4B132933" w14:textId="7359FD24" w:rsidR="00977581" w:rsidRPr="008A4B20"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 xml:space="preserve">Bell, M., Blake, M., Boyle, P., Duke-Williams, O., Rees, P., Stillwell, J., &amp; Hugo, G. (2002). Cross-National Comparison of Internal Migration: Issues and Measures. </w:t>
      </w:r>
      <w:r w:rsidR="007A7CC4" w:rsidRPr="008A4B20">
        <w:rPr>
          <w:i/>
          <w:iCs/>
          <w:noProof/>
        </w:rPr>
        <w:t>Journal of the Royal Statistical Society</w:t>
      </w:r>
      <w:r w:rsidR="007A7CC4" w:rsidRPr="008A4B20">
        <w:rPr>
          <w:noProof/>
        </w:rPr>
        <w:t>, 435-464</w:t>
      </w:r>
      <w:r w:rsidR="00686B8D">
        <w:rPr>
          <w:noProof/>
        </w:rPr>
        <w:t>.</w:t>
      </w:r>
    </w:p>
  </w:footnote>
  <w:footnote w:id="54">
    <w:p w14:paraId="1C9FB317" w14:textId="5E513148" w:rsidR="00977581" w:rsidRPr="005C703B" w:rsidRDefault="00BA3482" w:rsidP="000D5534">
      <w:pPr>
        <w:pStyle w:val="Footnotev2"/>
      </w:pPr>
      <w:r w:rsidRPr="00BA3482">
        <w:rPr>
          <w:rStyle w:val="FootnoteReference"/>
          <w:sz w:val="18"/>
          <w:vertAlign w:val="baseline"/>
        </w:rPr>
        <w:footnoteRef/>
      </w:r>
      <w:r w:rsidR="00977581" w:rsidRPr="008A4B20">
        <w:t xml:space="preserve"> </w:t>
      </w:r>
      <w:r w:rsidR="000D5534">
        <w:tab/>
      </w:r>
      <w:r w:rsidR="007A7CC4" w:rsidRPr="008A4B20">
        <w:rPr>
          <w:noProof/>
        </w:rPr>
        <w:t>Australian Bureau of Statistics,</w:t>
      </w:r>
      <w:r w:rsidR="004D7CA4" w:rsidRPr="008A4B20">
        <w:rPr>
          <w:noProof/>
        </w:rPr>
        <w:t xml:space="preserve"> Census of Population and Housing, 2021, 2022</w:t>
      </w:r>
      <w:r w:rsidR="00686B8D">
        <w:rPr>
          <w:noProof/>
        </w:rPr>
        <w:t>.</w:t>
      </w:r>
    </w:p>
  </w:footnote>
  <w:footnote w:id="55">
    <w:p w14:paraId="0915EB0F" w14:textId="6BDC83E0" w:rsidR="00977581" w:rsidRPr="005C703B" w:rsidRDefault="00BA3482" w:rsidP="000D5534">
      <w:pPr>
        <w:pStyle w:val="Footnotev2"/>
      </w:pPr>
      <w:r w:rsidRPr="00BA3482">
        <w:rPr>
          <w:rStyle w:val="FootnoteReference"/>
          <w:sz w:val="18"/>
          <w:vertAlign w:val="baseline"/>
        </w:rPr>
        <w:footnoteRef/>
      </w:r>
      <w:r w:rsidR="00977581" w:rsidRPr="005C703B">
        <w:t xml:space="preserve"> </w:t>
      </w:r>
      <w:r w:rsidR="000D5534">
        <w:tab/>
      </w:r>
      <w:r w:rsidR="004D7CA4" w:rsidRPr="005C703B">
        <w:rPr>
          <w:noProof/>
        </w:rPr>
        <w:t>Australian Bureau of Statistics, Regional population,</w:t>
      </w:r>
      <w:r w:rsidR="004D7CA4">
        <w:rPr>
          <w:noProof/>
        </w:rPr>
        <w:t xml:space="preserve"> 2021,</w:t>
      </w:r>
      <w:r w:rsidR="004D7CA4" w:rsidRPr="005C703B">
        <w:rPr>
          <w:noProof/>
        </w:rPr>
        <w:t xml:space="preserve"> 2022</w:t>
      </w:r>
      <w:r w:rsidR="00686B8D">
        <w:rPr>
          <w:noProof/>
        </w:rPr>
        <w:t>.</w:t>
      </w:r>
    </w:p>
  </w:footnote>
  <w:footnote w:id="56">
    <w:p w14:paraId="75003217" w14:textId="05BC17B9" w:rsidR="00977581" w:rsidRDefault="00BA3482" w:rsidP="000D5534">
      <w:pPr>
        <w:pStyle w:val="Footnotev2"/>
      </w:pPr>
      <w:r w:rsidRPr="00BA3482">
        <w:rPr>
          <w:rStyle w:val="FootnoteReference"/>
          <w:sz w:val="18"/>
          <w:vertAlign w:val="baseline"/>
        </w:rPr>
        <w:footnoteRef/>
      </w:r>
      <w:r w:rsidR="00977581" w:rsidRPr="005C703B">
        <w:t xml:space="preserve"> </w:t>
      </w:r>
      <w:r w:rsidR="000D5534">
        <w:tab/>
      </w:r>
      <w:r w:rsidR="004D7CA4" w:rsidRPr="005C703B">
        <w:rPr>
          <w:noProof/>
        </w:rPr>
        <w:t xml:space="preserve">Australian Government Actuary, </w:t>
      </w:r>
      <w:r w:rsidR="004D7CA4" w:rsidRPr="004D7CA4">
        <w:rPr>
          <w:noProof/>
        </w:rPr>
        <w:t>Australian Life Tables 2015</w:t>
      </w:r>
      <w:r w:rsidR="00145B71">
        <w:rPr>
          <w:noProof/>
        </w:rPr>
        <w:t>–</w:t>
      </w:r>
      <w:r w:rsidR="004D7CA4" w:rsidRPr="004D7CA4">
        <w:rPr>
          <w:noProof/>
        </w:rPr>
        <w:t>17</w:t>
      </w:r>
      <w:r w:rsidR="004D7CA4">
        <w:rPr>
          <w:noProof/>
        </w:rPr>
        <w:t xml:space="preserve">, </w:t>
      </w:r>
      <w:r w:rsidR="004D7CA4" w:rsidRPr="005C703B">
        <w:rPr>
          <w:noProof/>
        </w:rPr>
        <w:t>2019</w:t>
      </w:r>
      <w:r w:rsidR="00686B8D">
        <w:rPr>
          <w:noProof/>
        </w:rPr>
        <w:t>.</w:t>
      </w:r>
    </w:p>
  </w:footnote>
  <w:footnote w:id="57">
    <w:p w14:paraId="282A03B3" w14:textId="1BE6C4B0" w:rsidR="00977581" w:rsidRDefault="00BA3482" w:rsidP="000D5534">
      <w:pPr>
        <w:pStyle w:val="Footnotev2"/>
      </w:pPr>
      <w:r w:rsidRPr="00BA3482">
        <w:rPr>
          <w:rStyle w:val="FootnoteReference"/>
          <w:vertAlign w:val="baseline"/>
        </w:rPr>
        <w:footnoteRef/>
      </w:r>
      <w:r w:rsidR="00977581">
        <w:t xml:space="preserve"> </w:t>
      </w:r>
      <w:r w:rsidR="000D5534">
        <w:tab/>
      </w:r>
      <w:r w:rsidR="004D7CA4" w:rsidRPr="00703D03">
        <w:rPr>
          <w:noProof/>
        </w:rPr>
        <w:t>Australian Bureau of Statistics, Australian Statistical Geography Standard: Volume 1 - Main Structure and Greater Capital City Statistical Areas, 2016</w:t>
      </w:r>
      <w:r w:rsidR="00B15836">
        <w:rPr>
          <w:noProof/>
        </w:rPr>
        <w:t>.</w:t>
      </w:r>
    </w:p>
  </w:footnote>
  <w:footnote w:id="58">
    <w:p w14:paraId="5B9D033F" w14:textId="5C9256DE" w:rsidR="00977581" w:rsidRDefault="00BA3482" w:rsidP="008A4B20">
      <w:pPr>
        <w:pStyle w:val="FootnoteText"/>
        <w:spacing w:line="240" w:lineRule="auto"/>
      </w:pPr>
      <w:r w:rsidRPr="00BA3482">
        <w:rPr>
          <w:rStyle w:val="FootnoteReference"/>
          <w:vertAlign w:val="baseline"/>
        </w:rPr>
        <w:footnoteRef/>
      </w:r>
      <w:r w:rsidR="00977581">
        <w:t xml:space="preserve"> </w:t>
      </w:r>
      <w:r w:rsidR="00CE0F1A" w:rsidRPr="00703D03">
        <w:rPr>
          <w:noProof/>
          <w:sz w:val="18"/>
          <w:szCs w:val="18"/>
        </w:rPr>
        <w:t>Australian Bureau of Statistics, Births, Australia, 2021</w:t>
      </w:r>
      <w:r w:rsidR="00B15836">
        <w:rPr>
          <w:noProof/>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F18A1"/>
    <w:multiLevelType w:val="multilevel"/>
    <w:tmpl w:val="68FE65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ED3FC7"/>
    <w:multiLevelType w:val="multilevel"/>
    <w:tmpl w:val="88BE7110"/>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AC00F17"/>
    <w:multiLevelType w:val="hybridMultilevel"/>
    <w:tmpl w:val="3B86E36C"/>
    <w:lvl w:ilvl="0" w:tplc="686EE5F0">
      <w:start w:val="1"/>
      <w:numFmt w:val="decimal"/>
      <w:pStyle w:val="Heading8"/>
      <w:lvlText w:val="Table %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DF7717"/>
    <w:multiLevelType w:val="multilevel"/>
    <w:tmpl w:val="5DAAA53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B26574"/>
    <w:multiLevelType w:val="multilevel"/>
    <w:tmpl w:val="B11AD0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826BF0"/>
    <w:multiLevelType w:val="multilevel"/>
    <w:tmpl w:val="863C3022"/>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AFC4C31"/>
    <w:multiLevelType w:val="hybridMultilevel"/>
    <w:tmpl w:val="ED5C71A6"/>
    <w:lvl w:ilvl="0" w:tplc="4F28137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308C2710"/>
    <w:multiLevelType w:val="multilevel"/>
    <w:tmpl w:val="5810D1F2"/>
    <w:styleLink w:val="BulletedList"/>
    <w:lvl w:ilvl="0">
      <w:start w:val="1"/>
      <w:numFmt w:val="bullet"/>
      <w:lvlRestart w:val="0"/>
      <w:pStyle w:val="Norm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Normaldash"/>
      <w:lvlText w:val="–"/>
      <w:lvlJc w:val="left"/>
      <w:pPr>
        <w:tabs>
          <w:tab w:val="num" w:pos="567"/>
        </w:tabs>
        <w:ind w:left="567" w:hanging="284"/>
      </w:pPr>
      <w:rPr>
        <w:rFonts w:ascii="Times New Roman" w:hAnsi="Times New Roman" w:cs="Times New Roman" w:hint="default"/>
        <w:b w:val="0"/>
        <w:i w:val="0"/>
      </w:rPr>
    </w:lvl>
    <w:lvl w:ilvl="2">
      <w:start w:val="1"/>
      <w:numFmt w:val="bullet"/>
      <w:pStyle w:val="Norm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196163B"/>
    <w:multiLevelType w:val="multilevel"/>
    <w:tmpl w:val="F89C296E"/>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7F6AB3"/>
    <w:multiLevelType w:val="hybridMultilevel"/>
    <w:tmpl w:val="E8D02006"/>
    <w:lvl w:ilvl="0" w:tplc="56DE09CA">
      <w:start w:val="1"/>
      <w:numFmt w:val="decimal"/>
      <w:pStyle w:val="TableHeadingContinued"/>
      <w:lvlText w:val="Table %1."/>
      <w:lvlJc w:val="left"/>
      <w:pPr>
        <w:ind w:left="360" w:hanging="360"/>
      </w:pPr>
      <w:rPr>
        <w:rFonts w:ascii="Calibri" w:hAnsi="Calibri" w:hint="default"/>
        <w:b/>
        <w:bCs w:val="0"/>
        <w:i w:val="0"/>
        <w:iCs w:val="0"/>
        <w:caps w:val="0"/>
        <w:strike w:val="0"/>
        <w:dstrike w:val="0"/>
        <w:outline w:val="0"/>
        <w:shadow w:val="0"/>
        <w:emboss w:val="0"/>
        <w:imprint w:val="0"/>
        <w:vanish w:val="0"/>
        <w:color w:val="002C47" w:themeColor="accent1"/>
        <w:spacing w:val="0"/>
        <w:kern w:val="0"/>
        <w:position w:val="0"/>
        <w:sz w:val="28"/>
        <w:szCs w:val="28"/>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AD300B"/>
    <w:multiLevelType w:val="multilevel"/>
    <w:tmpl w:val="6974F22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F950579"/>
    <w:multiLevelType w:val="hybridMultilevel"/>
    <w:tmpl w:val="FAE4AE2A"/>
    <w:lvl w:ilvl="0" w:tplc="C6C8680C">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3E11F5"/>
    <w:multiLevelType w:val="hybridMultilevel"/>
    <w:tmpl w:val="4D16D9C2"/>
    <w:lvl w:ilvl="0" w:tplc="758ABB72">
      <w:start w:val="1"/>
      <w:numFmt w:val="bullet"/>
      <w:lvlText w:val="•"/>
      <w:lvlJc w:val="left"/>
      <w:pPr>
        <w:tabs>
          <w:tab w:val="num" w:pos="720"/>
        </w:tabs>
        <w:ind w:left="720" w:hanging="360"/>
      </w:pPr>
      <w:rPr>
        <w:rFonts w:ascii="Arial" w:hAnsi="Arial" w:hint="default"/>
      </w:rPr>
    </w:lvl>
    <w:lvl w:ilvl="1" w:tplc="95FEC32C" w:tentative="1">
      <w:start w:val="1"/>
      <w:numFmt w:val="bullet"/>
      <w:lvlText w:val="•"/>
      <w:lvlJc w:val="left"/>
      <w:pPr>
        <w:tabs>
          <w:tab w:val="num" w:pos="1440"/>
        </w:tabs>
        <w:ind w:left="1440" w:hanging="360"/>
      </w:pPr>
      <w:rPr>
        <w:rFonts w:ascii="Arial" w:hAnsi="Arial" w:hint="default"/>
      </w:rPr>
    </w:lvl>
    <w:lvl w:ilvl="2" w:tplc="17AC71AE" w:tentative="1">
      <w:start w:val="1"/>
      <w:numFmt w:val="bullet"/>
      <w:lvlText w:val="•"/>
      <w:lvlJc w:val="left"/>
      <w:pPr>
        <w:tabs>
          <w:tab w:val="num" w:pos="2160"/>
        </w:tabs>
        <w:ind w:left="2160" w:hanging="360"/>
      </w:pPr>
      <w:rPr>
        <w:rFonts w:ascii="Arial" w:hAnsi="Arial" w:hint="default"/>
      </w:rPr>
    </w:lvl>
    <w:lvl w:ilvl="3" w:tplc="B47A3C32" w:tentative="1">
      <w:start w:val="1"/>
      <w:numFmt w:val="bullet"/>
      <w:lvlText w:val="•"/>
      <w:lvlJc w:val="left"/>
      <w:pPr>
        <w:tabs>
          <w:tab w:val="num" w:pos="2880"/>
        </w:tabs>
        <w:ind w:left="2880" w:hanging="360"/>
      </w:pPr>
      <w:rPr>
        <w:rFonts w:ascii="Arial" w:hAnsi="Arial" w:hint="default"/>
      </w:rPr>
    </w:lvl>
    <w:lvl w:ilvl="4" w:tplc="97088C00" w:tentative="1">
      <w:start w:val="1"/>
      <w:numFmt w:val="bullet"/>
      <w:lvlText w:val="•"/>
      <w:lvlJc w:val="left"/>
      <w:pPr>
        <w:tabs>
          <w:tab w:val="num" w:pos="3600"/>
        </w:tabs>
        <w:ind w:left="3600" w:hanging="360"/>
      </w:pPr>
      <w:rPr>
        <w:rFonts w:ascii="Arial" w:hAnsi="Arial" w:hint="default"/>
      </w:rPr>
    </w:lvl>
    <w:lvl w:ilvl="5" w:tplc="77349F14" w:tentative="1">
      <w:start w:val="1"/>
      <w:numFmt w:val="bullet"/>
      <w:lvlText w:val="•"/>
      <w:lvlJc w:val="left"/>
      <w:pPr>
        <w:tabs>
          <w:tab w:val="num" w:pos="4320"/>
        </w:tabs>
        <w:ind w:left="4320" w:hanging="360"/>
      </w:pPr>
      <w:rPr>
        <w:rFonts w:ascii="Arial" w:hAnsi="Arial" w:hint="default"/>
      </w:rPr>
    </w:lvl>
    <w:lvl w:ilvl="6" w:tplc="3DAC72B2" w:tentative="1">
      <w:start w:val="1"/>
      <w:numFmt w:val="bullet"/>
      <w:lvlText w:val="•"/>
      <w:lvlJc w:val="left"/>
      <w:pPr>
        <w:tabs>
          <w:tab w:val="num" w:pos="5040"/>
        </w:tabs>
        <w:ind w:left="5040" w:hanging="360"/>
      </w:pPr>
      <w:rPr>
        <w:rFonts w:ascii="Arial" w:hAnsi="Arial" w:hint="default"/>
      </w:rPr>
    </w:lvl>
    <w:lvl w:ilvl="7" w:tplc="958C9724" w:tentative="1">
      <w:start w:val="1"/>
      <w:numFmt w:val="bullet"/>
      <w:lvlText w:val="•"/>
      <w:lvlJc w:val="left"/>
      <w:pPr>
        <w:tabs>
          <w:tab w:val="num" w:pos="5760"/>
        </w:tabs>
        <w:ind w:left="5760" w:hanging="360"/>
      </w:pPr>
      <w:rPr>
        <w:rFonts w:ascii="Arial" w:hAnsi="Arial" w:hint="default"/>
      </w:rPr>
    </w:lvl>
    <w:lvl w:ilvl="8" w:tplc="B442B9B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0F57A5"/>
    <w:multiLevelType w:val="hybridMultilevel"/>
    <w:tmpl w:val="E33C24F4"/>
    <w:lvl w:ilvl="0" w:tplc="319CA1D2">
      <w:start w:val="1"/>
      <w:numFmt w:val="decimal"/>
      <w:pStyle w:val="TableMainHeading"/>
      <w:lvlText w:val="Table %1."/>
      <w:lvlJc w:val="left"/>
      <w:pPr>
        <w:ind w:left="720" w:hanging="360"/>
      </w:pPr>
      <w:rPr>
        <w:rFonts w:ascii="Calibri" w:hAnsi="Calibri" w:hint="default"/>
        <w:b/>
        <w:i w:val="0"/>
        <w:caps w:val="0"/>
        <w:strike w:val="0"/>
        <w:dstrike w:val="0"/>
        <w:vanish w:val="0"/>
        <w:color w:val="002C47" w:themeColor="accent1"/>
        <w:spacing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FF49FD"/>
    <w:multiLevelType w:val="multilevel"/>
    <w:tmpl w:val="52B8B700"/>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Symbol" w:hAnsi="Symbol" w:hint="default"/>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8" w15:restartNumberingAfterBreak="0">
    <w:nsid w:val="6185687C"/>
    <w:multiLevelType w:val="multilevel"/>
    <w:tmpl w:val="75DC17F8"/>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9966D76"/>
    <w:multiLevelType w:val="hybridMultilevel"/>
    <w:tmpl w:val="2F844B7A"/>
    <w:lvl w:ilvl="0" w:tplc="AC4EB56E">
      <w:start w:val="1"/>
      <w:numFmt w:val="decimal"/>
      <w:pStyle w:val="BoxHeading"/>
      <w:lvlText w:val="Box %1."/>
      <w:lvlJc w:val="left"/>
      <w:pPr>
        <w:ind w:left="360" w:hanging="360"/>
      </w:pPr>
      <w:rPr>
        <w:rFonts w:hint="default"/>
        <w:caps/>
      </w:rPr>
    </w:lvl>
    <w:lvl w:ilvl="1" w:tplc="0C090019">
      <w:start w:val="1"/>
      <w:numFmt w:val="lowerLetter"/>
      <w:lvlText w:val="%2."/>
      <w:lvlJc w:val="left"/>
      <w:pPr>
        <w:ind w:left="590" w:hanging="360"/>
      </w:pPr>
    </w:lvl>
    <w:lvl w:ilvl="2" w:tplc="0C09001B">
      <w:start w:val="1"/>
      <w:numFmt w:val="lowerRoman"/>
      <w:lvlText w:val="%3."/>
      <w:lvlJc w:val="right"/>
      <w:pPr>
        <w:ind w:left="1310" w:hanging="180"/>
      </w:pPr>
    </w:lvl>
    <w:lvl w:ilvl="3" w:tplc="0C09000F" w:tentative="1">
      <w:start w:val="1"/>
      <w:numFmt w:val="decimal"/>
      <w:lvlText w:val="%4."/>
      <w:lvlJc w:val="left"/>
      <w:pPr>
        <w:ind w:left="2030" w:hanging="360"/>
      </w:pPr>
    </w:lvl>
    <w:lvl w:ilvl="4" w:tplc="0C090019" w:tentative="1">
      <w:start w:val="1"/>
      <w:numFmt w:val="lowerLetter"/>
      <w:lvlText w:val="%5."/>
      <w:lvlJc w:val="left"/>
      <w:pPr>
        <w:ind w:left="2750" w:hanging="360"/>
      </w:pPr>
    </w:lvl>
    <w:lvl w:ilvl="5" w:tplc="0C09001B" w:tentative="1">
      <w:start w:val="1"/>
      <w:numFmt w:val="lowerRoman"/>
      <w:lvlText w:val="%6."/>
      <w:lvlJc w:val="right"/>
      <w:pPr>
        <w:ind w:left="3470" w:hanging="180"/>
      </w:pPr>
    </w:lvl>
    <w:lvl w:ilvl="6" w:tplc="0C09000F" w:tentative="1">
      <w:start w:val="1"/>
      <w:numFmt w:val="decimal"/>
      <w:lvlText w:val="%7."/>
      <w:lvlJc w:val="left"/>
      <w:pPr>
        <w:ind w:left="4190" w:hanging="360"/>
      </w:pPr>
    </w:lvl>
    <w:lvl w:ilvl="7" w:tplc="0C090019" w:tentative="1">
      <w:start w:val="1"/>
      <w:numFmt w:val="lowerLetter"/>
      <w:lvlText w:val="%8."/>
      <w:lvlJc w:val="left"/>
      <w:pPr>
        <w:ind w:left="4910" w:hanging="360"/>
      </w:pPr>
    </w:lvl>
    <w:lvl w:ilvl="8" w:tplc="0C09001B" w:tentative="1">
      <w:start w:val="1"/>
      <w:numFmt w:val="lowerRoman"/>
      <w:lvlText w:val="%9."/>
      <w:lvlJc w:val="right"/>
      <w:pPr>
        <w:ind w:left="5630" w:hanging="180"/>
      </w:pPr>
    </w:lvl>
  </w:abstractNum>
  <w:abstractNum w:abstractNumId="20" w15:restartNumberingAfterBreak="0">
    <w:nsid w:val="6A1D296A"/>
    <w:multiLevelType w:val="hybridMultilevel"/>
    <w:tmpl w:val="E29AAC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6B5C0270"/>
    <w:multiLevelType w:val="hybridMultilevel"/>
    <w:tmpl w:val="6D4C5C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72626715"/>
    <w:multiLevelType w:val="multilevel"/>
    <w:tmpl w:val="6C56951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75A02C0"/>
    <w:multiLevelType w:val="hybridMultilevel"/>
    <w:tmpl w:val="38849790"/>
    <w:lvl w:ilvl="0" w:tplc="F1CCB8D8">
      <w:start w:val="1"/>
      <w:numFmt w:val="decimal"/>
      <w:pStyle w:val="Heading9"/>
      <w:lvlText w:val="Chart %1."/>
      <w:lvlJc w:val="left"/>
      <w:pPr>
        <w:ind w:left="1212"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7AA12FF"/>
    <w:multiLevelType w:val="hybridMultilevel"/>
    <w:tmpl w:val="3030EAA2"/>
    <w:lvl w:ilvl="0" w:tplc="8C726214">
      <w:start w:val="1"/>
      <w:numFmt w:val="decimal"/>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AB70A2B"/>
    <w:multiLevelType w:val="hybridMultilevel"/>
    <w:tmpl w:val="671AB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297CAF"/>
    <w:multiLevelType w:val="multilevel"/>
    <w:tmpl w:val="403EF2F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18691076">
    <w:abstractNumId w:val="1"/>
  </w:num>
  <w:num w:numId="2" w16cid:durableId="549728498">
    <w:abstractNumId w:val="8"/>
  </w:num>
  <w:num w:numId="3" w16cid:durableId="821117582">
    <w:abstractNumId w:val="10"/>
  </w:num>
  <w:num w:numId="4" w16cid:durableId="302270182">
    <w:abstractNumId w:val="11"/>
  </w:num>
  <w:num w:numId="5" w16cid:durableId="1438791920">
    <w:abstractNumId w:val="3"/>
  </w:num>
  <w:num w:numId="6" w16cid:durableId="583421328">
    <w:abstractNumId w:val="10"/>
  </w:num>
  <w:num w:numId="7" w16cid:durableId="1862820421">
    <w:abstractNumId w:val="8"/>
  </w:num>
  <w:num w:numId="8" w16cid:durableId="2081825819">
    <w:abstractNumId w:val="4"/>
  </w:num>
  <w:num w:numId="9" w16cid:durableId="35936432">
    <w:abstractNumId w:val="11"/>
  </w:num>
  <w:num w:numId="10" w16cid:durableId="1326737509">
    <w:abstractNumId w:val="3"/>
  </w:num>
  <w:num w:numId="11" w16cid:durableId="1586376221">
    <w:abstractNumId w:val="6"/>
  </w:num>
  <w:num w:numId="12" w16cid:durableId="396244847">
    <w:abstractNumId w:val="12"/>
  </w:num>
  <w:num w:numId="13" w16cid:durableId="91047137">
    <w:abstractNumId w:val="1"/>
  </w:num>
  <w:num w:numId="14" w16cid:durableId="741295271">
    <w:abstractNumId w:val="16"/>
  </w:num>
  <w:num w:numId="15" w16cid:durableId="1705015516">
    <w:abstractNumId w:val="23"/>
  </w:num>
  <w:num w:numId="16" w16cid:durableId="276914083">
    <w:abstractNumId w:val="19"/>
  </w:num>
  <w:num w:numId="17" w16cid:durableId="1125006692">
    <w:abstractNumId w:val="2"/>
  </w:num>
  <w:num w:numId="18" w16cid:durableId="38821051">
    <w:abstractNumId w:val="26"/>
  </w:num>
  <w:num w:numId="19" w16cid:durableId="1400635879">
    <w:abstractNumId w:val="9"/>
  </w:num>
  <w:num w:numId="20" w16cid:durableId="518395405">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01813025">
    <w:abstractNumId w:val="25"/>
  </w:num>
  <w:num w:numId="22" w16cid:durableId="899096385">
    <w:abstractNumId w:val="5"/>
  </w:num>
  <w:num w:numId="23" w16cid:durableId="890845361">
    <w:abstractNumId w:val="0"/>
  </w:num>
  <w:num w:numId="24" w16cid:durableId="427431715">
    <w:abstractNumId w:val="17"/>
  </w:num>
  <w:num w:numId="25" w16cid:durableId="1495757896">
    <w:abstractNumId w:val="14"/>
  </w:num>
  <w:num w:numId="26" w16cid:durableId="770004124">
    <w:abstractNumId w:val="7"/>
  </w:num>
  <w:num w:numId="27" w16cid:durableId="1900749630">
    <w:abstractNumId w:val="21"/>
  </w:num>
  <w:num w:numId="28" w16cid:durableId="1855606426">
    <w:abstractNumId w:val="13"/>
  </w:num>
  <w:num w:numId="29" w16cid:durableId="733041917">
    <w:abstractNumId w:val="20"/>
  </w:num>
  <w:num w:numId="30" w16cid:durableId="2035962146">
    <w:abstractNumId w:val="24"/>
  </w:num>
  <w:num w:numId="31" w16cid:durableId="987706392">
    <w:abstractNumId w:val="15"/>
  </w:num>
  <w:num w:numId="32" w16cid:durableId="5895813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335749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05433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69684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120684451">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3FE"/>
    <w:rsid w:val="000000CC"/>
    <w:rsid w:val="0000032A"/>
    <w:rsid w:val="0000107D"/>
    <w:rsid w:val="0000110A"/>
    <w:rsid w:val="00001272"/>
    <w:rsid w:val="00001746"/>
    <w:rsid w:val="000018AE"/>
    <w:rsid w:val="00001C9D"/>
    <w:rsid w:val="00001FEF"/>
    <w:rsid w:val="00002A00"/>
    <w:rsid w:val="000037D1"/>
    <w:rsid w:val="000046BA"/>
    <w:rsid w:val="000048BE"/>
    <w:rsid w:val="000049F6"/>
    <w:rsid w:val="00004A62"/>
    <w:rsid w:val="00004AA0"/>
    <w:rsid w:val="00004B89"/>
    <w:rsid w:val="00004BC4"/>
    <w:rsid w:val="00004D83"/>
    <w:rsid w:val="000051DA"/>
    <w:rsid w:val="00005D0B"/>
    <w:rsid w:val="00006162"/>
    <w:rsid w:val="00006479"/>
    <w:rsid w:val="000069CB"/>
    <w:rsid w:val="00006A34"/>
    <w:rsid w:val="00006E4D"/>
    <w:rsid w:val="00006F4E"/>
    <w:rsid w:val="0000710A"/>
    <w:rsid w:val="000072DE"/>
    <w:rsid w:val="00007498"/>
    <w:rsid w:val="00007A4D"/>
    <w:rsid w:val="000103BD"/>
    <w:rsid w:val="00010485"/>
    <w:rsid w:val="00010948"/>
    <w:rsid w:val="00010B7C"/>
    <w:rsid w:val="00010C55"/>
    <w:rsid w:val="00010ED4"/>
    <w:rsid w:val="00011107"/>
    <w:rsid w:val="00011725"/>
    <w:rsid w:val="000123E0"/>
    <w:rsid w:val="000124FB"/>
    <w:rsid w:val="00012AE9"/>
    <w:rsid w:val="00012C62"/>
    <w:rsid w:val="00012CF7"/>
    <w:rsid w:val="0001396A"/>
    <w:rsid w:val="00013DA4"/>
    <w:rsid w:val="00013F27"/>
    <w:rsid w:val="00015B9A"/>
    <w:rsid w:val="000164AE"/>
    <w:rsid w:val="00016B46"/>
    <w:rsid w:val="00016D88"/>
    <w:rsid w:val="00017099"/>
    <w:rsid w:val="00017392"/>
    <w:rsid w:val="0001763B"/>
    <w:rsid w:val="00017812"/>
    <w:rsid w:val="00020F92"/>
    <w:rsid w:val="000215B0"/>
    <w:rsid w:val="00021810"/>
    <w:rsid w:val="00021A56"/>
    <w:rsid w:val="00022434"/>
    <w:rsid w:val="00022AFE"/>
    <w:rsid w:val="00022B7F"/>
    <w:rsid w:val="00022FE8"/>
    <w:rsid w:val="000232B4"/>
    <w:rsid w:val="000235BE"/>
    <w:rsid w:val="00024489"/>
    <w:rsid w:val="00024EB6"/>
    <w:rsid w:val="0002544D"/>
    <w:rsid w:val="00025911"/>
    <w:rsid w:val="000261A3"/>
    <w:rsid w:val="000262FC"/>
    <w:rsid w:val="000265CC"/>
    <w:rsid w:val="00026771"/>
    <w:rsid w:val="000268D1"/>
    <w:rsid w:val="00026D04"/>
    <w:rsid w:val="0002704A"/>
    <w:rsid w:val="000271BC"/>
    <w:rsid w:val="00027226"/>
    <w:rsid w:val="00027310"/>
    <w:rsid w:val="00027AC6"/>
    <w:rsid w:val="00027F22"/>
    <w:rsid w:val="00030286"/>
    <w:rsid w:val="000302C2"/>
    <w:rsid w:val="000303B0"/>
    <w:rsid w:val="000309F0"/>
    <w:rsid w:val="00031019"/>
    <w:rsid w:val="00031188"/>
    <w:rsid w:val="00031623"/>
    <w:rsid w:val="00031CDB"/>
    <w:rsid w:val="000323AA"/>
    <w:rsid w:val="00032C57"/>
    <w:rsid w:val="00032C8B"/>
    <w:rsid w:val="00032CD2"/>
    <w:rsid w:val="000331AC"/>
    <w:rsid w:val="000331C3"/>
    <w:rsid w:val="000335B1"/>
    <w:rsid w:val="00033A5F"/>
    <w:rsid w:val="0003469A"/>
    <w:rsid w:val="000346E7"/>
    <w:rsid w:val="0003495D"/>
    <w:rsid w:val="00034C20"/>
    <w:rsid w:val="0003500A"/>
    <w:rsid w:val="00036C77"/>
    <w:rsid w:val="0003714D"/>
    <w:rsid w:val="0003737D"/>
    <w:rsid w:val="00040A92"/>
    <w:rsid w:val="00040D33"/>
    <w:rsid w:val="0004127C"/>
    <w:rsid w:val="00041806"/>
    <w:rsid w:val="000423EB"/>
    <w:rsid w:val="0004263A"/>
    <w:rsid w:val="0004274D"/>
    <w:rsid w:val="0004301D"/>
    <w:rsid w:val="00043348"/>
    <w:rsid w:val="00043979"/>
    <w:rsid w:val="00043BD4"/>
    <w:rsid w:val="00043BD5"/>
    <w:rsid w:val="00043D6F"/>
    <w:rsid w:val="00044010"/>
    <w:rsid w:val="00044020"/>
    <w:rsid w:val="00044026"/>
    <w:rsid w:val="0004412C"/>
    <w:rsid w:val="000441D0"/>
    <w:rsid w:val="00044410"/>
    <w:rsid w:val="0004483F"/>
    <w:rsid w:val="00044C36"/>
    <w:rsid w:val="0004501F"/>
    <w:rsid w:val="00045368"/>
    <w:rsid w:val="000453E0"/>
    <w:rsid w:val="0004555E"/>
    <w:rsid w:val="0004558E"/>
    <w:rsid w:val="00045665"/>
    <w:rsid w:val="0004569F"/>
    <w:rsid w:val="00045CED"/>
    <w:rsid w:val="00046087"/>
    <w:rsid w:val="0004661E"/>
    <w:rsid w:val="00047172"/>
    <w:rsid w:val="000477A5"/>
    <w:rsid w:val="00047B1B"/>
    <w:rsid w:val="00047CDD"/>
    <w:rsid w:val="00050245"/>
    <w:rsid w:val="000506ED"/>
    <w:rsid w:val="00050D24"/>
    <w:rsid w:val="0005138B"/>
    <w:rsid w:val="00051BDE"/>
    <w:rsid w:val="00052197"/>
    <w:rsid w:val="00052280"/>
    <w:rsid w:val="000522B7"/>
    <w:rsid w:val="0005239A"/>
    <w:rsid w:val="000526E0"/>
    <w:rsid w:val="00052895"/>
    <w:rsid w:val="000528A7"/>
    <w:rsid w:val="00053056"/>
    <w:rsid w:val="00053BB8"/>
    <w:rsid w:val="00053C7C"/>
    <w:rsid w:val="00053DE6"/>
    <w:rsid w:val="00054334"/>
    <w:rsid w:val="000544A5"/>
    <w:rsid w:val="000546AC"/>
    <w:rsid w:val="00054AE6"/>
    <w:rsid w:val="00054DDD"/>
    <w:rsid w:val="00054E9E"/>
    <w:rsid w:val="00055125"/>
    <w:rsid w:val="00055296"/>
    <w:rsid w:val="000553F7"/>
    <w:rsid w:val="00055F91"/>
    <w:rsid w:val="00056013"/>
    <w:rsid w:val="000565C1"/>
    <w:rsid w:val="00056794"/>
    <w:rsid w:val="00056880"/>
    <w:rsid w:val="000569AB"/>
    <w:rsid w:val="00057197"/>
    <w:rsid w:val="000578FC"/>
    <w:rsid w:val="00057EA0"/>
    <w:rsid w:val="00060364"/>
    <w:rsid w:val="000605D8"/>
    <w:rsid w:val="000606B0"/>
    <w:rsid w:val="000607C7"/>
    <w:rsid w:val="00060AF3"/>
    <w:rsid w:val="00060EF6"/>
    <w:rsid w:val="000611E1"/>
    <w:rsid w:val="0006187D"/>
    <w:rsid w:val="00062DDD"/>
    <w:rsid w:val="00063A8E"/>
    <w:rsid w:val="00063DDE"/>
    <w:rsid w:val="00064068"/>
    <w:rsid w:val="00064670"/>
    <w:rsid w:val="000649FA"/>
    <w:rsid w:val="00064B0D"/>
    <w:rsid w:val="00064BB9"/>
    <w:rsid w:val="00064D68"/>
    <w:rsid w:val="00064E31"/>
    <w:rsid w:val="00064FAE"/>
    <w:rsid w:val="00065677"/>
    <w:rsid w:val="0006639F"/>
    <w:rsid w:val="00066495"/>
    <w:rsid w:val="00066A96"/>
    <w:rsid w:val="00066AE6"/>
    <w:rsid w:val="00066FB9"/>
    <w:rsid w:val="000671C2"/>
    <w:rsid w:val="00067234"/>
    <w:rsid w:val="000672D8"/>
    <w:rsid w:val="00067313"/>
    <w:rsid w:val="000675D1"/>
    <w:rsid w:val="000677FC"/>
    <w:rsid w:val="000679DD"/>
    <w:rsid w:val="00067AF5"/>
    <w:rsid w:val="00070121"/>
    <w:rsid w:val="0007027D"/>
    <w:rsid w:val="00070779"/>
    <w:rsid w:val="00070B9C"/>
    <w:rsid w:val="00070FE3"/>
    <w:rsid w:val="0007139C"/>
    <w:rsid w:val="000715CA"/>
    <w:rsid w:val="0007163C"/>
    <w:rsid w:val="00071853"/>
    <w:rsid w:val="00071912"/>
    <w:rsid w:val="00071E9B"/>
    <w:rsid w:val="000720CC"/>
    <w:rsid w:val="0007234C"/>
    <w:rsid w:val="00072775"/>
    <w:rsid w:val="00072795"/>
    <w:rsid w:val="00072D96"/>
    <w:rsid w:val="00073521"/>
    <w:rsid w:val="00073B41"/>
    <w:rsid w:val="00073C19"/>
    <w:rsid w:val="000740EF"/>
    <w:rsid w:val="00074162"/>
    <w:rsid w:val="0007432C"/>
    <w:rsid w:val="000747D2"/>
    <w:rsid w:val="00074959"/>
    <w:rsid w:val="00074EAE"/>
    <w:rsid w:val="000754D3"/>
    <w:rsid w:val="0007557A"/>
    <w:rsid w:val="0007577B"/>
    <w:rsid w:val="00075FAC"/>
    <w:rsid w:val="00076D7D"/>
    <w:rsid w:val="00076DB9"/>
    <w:rsid w:val="0007709E"/>
    <w:rsid w:val="000773B5"/>
    <w:rsid w:val="000775DE"/>
    <w:rsid w:val="00077C32"/>
    <w:rsid w:val="0008017B"/>
    <w:rsid w:val="000809DC"/>
    <w:rsid w:val="00080F4A"/>
    <w:rsid w:val="00081013"/>
    <w:rsid w:val="000816D9"/>
    <w:rsid w:val="0008171C"/>
    <w:rsid w:val="00081942"/>
    <w:rsid w:val="00081B2B"/>
    <w:rsid w:val="00081C50"/>
    <w:rsid w:val="00081C7F"/>
    <w:rsid w:val="00081FC9"/>
    <w:rsid w:val="00083558"/>
    <w:rsid w:val="00083767"/>
    <w:rsid w:val="00084044"/>
    <w:rsid w:val="00084271"/>
    <w:rsid w:val="00084604"/>
    <w:rsid w:val="0008552A"/>
    <w:rsid w:val="000857CA"/>
    <w:rsid w:val="00086456"/>
    <w:rsid w:val="00086554"/>
    <w:rsid w:val="00086AFF"/>
    <w:rsid w:val="00086DD8"/>
    <w:rsid w:val="000871C4"/>
    <w:rsid w:val="0008740D"/>
    <w:rsid w:val="000877A1"/>
    <w:rsid w:val="000878F9"/>
    <w:rsid w:val="00087BBC"/>
    <w:rsid w:val="00087E3E"/>
    <w:rsid w:val="00087FAF"/>
    <w:rsid w:val="00090ABD"/>
    <w:rsid w:val="00090F4B"/>
    <w:rsid w:val="00091110"/>
    <w:rsid w:val="000914E7"/>
    <w:rsid w:val="00091C99"/>
    <w:rsid w:val="00091E0D"/>
    <w:rsid w:val="00092C90"/>
    <w:rsid w:val="00092E43"/>
    <w:rsid w:val="00092FD1"/>
    <w:rsid w:val="0009332C"/>
    <w:rsid w:val="000936DD"/>
    <w:rsid w:val="00093A59"/>
    <w:rsid w:val="00094763"/>
    <w:rsid w:val="00094AB2"/>
    <w:rsid w:val="00094B5A"/>
    <w:rsid w:val="00094B8B"/>
    <w:rsid w:val="00094CDC"/>
    <w:rsid w:val="000953C5"/>
    <w:rsid w:val="000960F5"/>
    <w:rsid w:val="00096828"/>
    <w:rsid w:val="00097434"/>
    <w:rsid w:val="000979A3"/>
    <w:rsid w:val="00097A9B"/>
    <w:rsid w:val="00097B3A"/>
    <w:rsid w:val="000A0084"/>
    <w:rsid w:val="000A05FE"/>
    <w:rsid w:val="000A0C1B"/>
    <w:rsid w:val="000A0C85"/>
    <w:rsid w:val="000A1330"/>
    <w:rsid w:val="000A185C"/>
    <w:rsid w:val="000A19B1"/>
    <w:rsid w:val="000A1A87"/>
    <w:rsid w:val="000A1DDF"/>
    <w:rsid w:val="000A2998"/>
    <w:rsid w:val="000A2C67"/>
    <w:rsid w:val="000A324A"/>
    <w:rsid w:val="000A32F2"/>
    <w:rsid w:val="000A34AE"/>
    <w:rsid w:val="000A3704"/>
    <w:rsid w:val="000A41AF"/>
    <w:rsid w:val="000A4298"/>
    <w:rsid w:val="000A44FF"/>
    <w:rsid w:val="000A4A79"/>
    <w:rsid w:val="000A4E84"/>
    <w:rsid w:val="000A58BA"/>
    <w:rsid w:val="000A5B1D"/>
    <w:rsid w:val="000A5CBE"/>
    <w:rsid w:val="000A6227"/>
    <w:rsid w:val="000A6A03"/>
    <w:rsid w:val="000A7116"/>
    <w:rsid w:val="000A79F2"/>
    <w:rsid w:val="000B0A36"/>
    <w:rsid w:val="000B0E57"/>
    <w:rsid w:val="000B0FA1"/>
    <w:rsid w:val="000B1AEE"/>
    <w:rsid w:val="000B1D2E"/>
    <w:rsid w:val="000B1E3F"/>
    <w:rsid w:val="000B2120"/>
    <w:rsid w:val="000B2455"/>
    <w:rsid w:val="000B2975"/>
    <w:rsid w:val="000B3260"/>
    <w:rsid w:val="000B32F7"/>
    <w:rsid w:val="000B33AF"/>
    <w:rsid w:val="000B3E47"/>
    <w:rsid w:val="000B4048"/>
    <w:rsid w:val="000B415F"/>
    <w:rsid w:val="000B4302"/>
    <w:rsid w:val="000B44A4"/>
    <w:rsid w:val="000B4F34"/>
    <w:rsid w:val="000B5BE2"/>
    <w:rsid w:val="000B6303"/>
    <w:rsid w:val="000B67D0"/>
    <w:rsid w:val="000B6A51"/>
    <w:rsid w:val="000B6B89"/>
    <w:rsid w:val="000B6D26"/>
    <w:rsid w:val="000B71D8"/>
    <w:rsid w:val="000B7758"/>
    <w:rsid w:val="000B79FA"/>
    <w:rsid w:val="000C06A3"/>
    <w:rsid w:val="000C0CA8"/>
    <w:rsid w:val="000C1483"/>
    <w:rsid w:val="000C15CB"/>
    <w:rsid w:val="000C1DD1"/>
    <w:rsid w:val="000C1DFB"/>
    <w:rsid w:val="000C25A8"/>
    <w:rsid w:val="000C30E6"/>
    <w:rsid w:val="000C374E"/>
    <w:rsid w:val="000C4294"/>
    <w:rsid w:val="000C46BC"/>
    <w:rsid w:val="000C46CC"/>
    <w:rsid w:val="000C4CD6"/>
    <w:rsid w:val="000C571D"/>
    <w:rsid w:val="000C59FF"/>
    <w:rsid w:val="000C5BD7"/>
    <w:rsid w:val="000C5F40"/>
    <w:rsid w:val="000C6187"/>
    <w:rsid w:val="000C63EB"/>
    <w:rsid w:val="000C6471"/>
    <w:rsid w:val="000C6546"/>
    <w:rsid w:val="000C689F"/>
    <w:rsid w:val="000C6FB3"/>
    <w:rsid w:val="000C7287"/>
    <w:rsid w:val="000C7713"/>
    <w:rsid w:val="000C7A64"/>
    <w:rsid w:val="000D0545"/>
    <w:rsid w:val="000D0948"/>
    <w:rsid w:val="000D0BCC"/>
    <w:rsid w:val="000D146E"/>
    <w:rsid w:val="000D1CE6"/>
    <w:rsid w:val="000D1FFA"/>
    <w:rsid w:val="000D2883"/>
    <w:rsid w:val="000D2957"/>
    <w:rsid w:val="000D29B6"/>
    <w:rsid w:val="000D2E1C"/>
    <w:rsid w:val="000D2E78"/>
    <w:rsid w:val="000D3383"/>
    <w:rsid w:val="000D3869"/>
    <w:rsid w:val="000D509A"/>
    <w:rsid w:val="000D5443"/>
    <w:rsid w:val="000D5534"/>
    <w:rsid w:val="000D5572"/>
    <w:rsid w:val="000D59E2"/>
    <w:rsid w:val="000D6183"/>
    <w:rsid w:val="000D760F"/>
    <w:rsid w:val="000D7B23"/>
    <w:rsid w:val="000D7C23"/>
    <w:rsid w:val="000D7D7E"/>
    <w:rsid w:val="000E05D7"/>
    <w:rsid w:val="000E070D"/>
    <w:rsid w:val="000E0ACC"/>
    <w:rsid w:val="000E0B74"/>
    <w:rsid w:val="000E160A"/>
    <w:rsid w:val="000E1655"/>
    <w:rsid w:val="000E16A9"/>
    <w:rsid w:val="000E1708"/>
    <w:rsid w:val="000E2833"/>
    <w:rsid w:val="000E2968"/>
    <w:rsid w:val="000E29AC"/>
    <w:rsid w:val="000E2A9D"/>
    <w:rsid w:val="000E2CE7"/>
    <w:rsid w:val="000E2CFD"/>
    <w:rsid w:val="000E2E49"/>
    <w:rsid w:val="000E34C2"/>
    <w:rsid w:val="000E39A2"/>
    <w:rsid w:val="000E3C8B"/>
    <w:rsid w:val="000E3E26"/>
    <w:rsid w:val="000E3EF9"/>
    <w:rsid w:val="000E480F"/>
    <w:rsid w:val="000E488B"/>
    <w:rsid w:val="000E4DA8"/>
    <w:rsid w:val="000E5195"/>
    <w:rsid w:val="000E5964"/>
    <w:rsid w:val="000E59A6"/>
    <w:rsid w:val="000E60EE"/>
    <w:rsid w:val="000E6288"/>
    <w:rsid w:val="000E6335"/>
    <w:rsid w:val="000E6CBB"/>
    <w:rsid w:val="000E6EBD"/>
    <w:rsid w:val="000E713C"/>
    <w:rsid w:val="000E726F"/>
    <w:rsid w:val="000E742E"/>
    <w:rsid w:val="000E782C"/>
    <w:rsid w:val="000E7901"/>
    <w:rsid w:val="000E7B51"/>
    <w:rsid w:val="000E7DD0"/>
    <w:rsid w:val="000F0450"/>
    <w:rsid w:val="000F119B"/>
    <w:rsid w:val="000F145E"/>
    <w:rsid w:val="000F1E18"/>
    <w:rsid w:val="000F24A3"/>
    <w:rsid w:val="000F2538"/>
    <w:rsid w:val="000F3005"/>
    <w:rsid w:val="000F31BF"/>
    <w:rsid w:val="000F32F2"/>
    <w:rsid w:val="000F337F"/>
    <w:rsid w:val="000F343B"/>
    <w:rsid w:val="000F3A85"/>
    <w:rsid w:val="000F3C65"/>
    <w:rsid w:val="000F3D2A"/>
    <w:rsid w:val="000F418F"/>
    <w:rsid w:val="000F42AF"/>
    <w:rsid w:val="000F4AD0"/>
    <w:rsid w:val="000F4C5B"/>
    <w:rsid w:val="000F4E62"/>
    <w:rsid w:val="000F52EA"/>
    <w:rsid w:val="000F5517"/>
    <w:rsid w:val="000F552A"/>
    <w:rsid w:val="000F580B"/>
    <w:rsid w:val="000F585B"/>
    <w:rsid w:val="000F5D0C"/>
    <w:rsid w:val="000F5EE1"/>
    <w:rsid w:val="000F5EF1"/>
    <w:rsid w:val="000F602E"/>
    <w:rsid w:val="000F6595"/>
    <w:rsid w:val="000F68BC"/>
    <w:rsid w:val="000F68E8"/>
    <w:rsid w:val="000F6E43"/>
    <w:rsid w:val="000F6FA2"/>
    <w:rsid w:val="000F6FDE"/>
    <w:rsid w:val="000F70EF"/>
    <w:rsid w:val="000F761C"/>
    <w:rsid w:val="000F7CBF"/>
    <w:rsid w:val="000F7EA3"/>
    <w:rsid w:val="0010022C"/>
    <w:rsid w:val="0010031A"/>
    <w:rsid w:val="0010089D"/>
    <w:rsid w:val="00101091"/>
    <w:rsid w:val="001010A0"/>
    <w:rsid w:val="0010115A"/>
    <w:rsid w:val="001016EE"/>
    <w:rsid w:val="00101709"/>
    <w:rsid w:val="001019BB"/>
    <w:rsid w:val="00101A77"/>
    <w:rsid w:val="00102853"/>
    <w:rsid w:val="0010289E"/>
    <w:rsid w:val="00103C2D"/>
    <w:rsid w:val="00103E65"/>
    <w:rsid w:val="0010428A"/>
    <w:rsid w:val="00104991"/>
    <w:rsid w:val="00104ACD"/>
    <w:rsid w:val="00104DBC"/>
    <w:rsid w:val="00105254"/>
    <w:rsid w:val="001055E2"/>
    <w:rsid w:val="00105B76"/>
    <w:rsid w:val="00105CFD"/>
    <w:rsid w:val="00105ED4"/>
    <w:rsid w:val="00105FBF"/>
    <w:rsid w:val="00106663"/>
    <w:rsid w:val="00107097"/>
    <w:rsid w:val="00107368"/>
    <w:rsid w:val="001079DE"/>
    <w:rsid w:val="0011022D"/>
    <w:rsid w:val="001105DC"/>
    <w:rsid w:val="0011134F"/>
    <w:rsid w:val="001116E6"/>
    <w:rsid w:val="00111AC0"/>
    <w:rsid w:val="00111AC6"/>
    <w:rsid w:val="00112A99"/>
    <w:rsid w:val="00112D9C"/>
    <w:rsid w:val="00112F00"/>
    <w:rsid w:val="0011325F"/>
    <w:rsid w:val="00113CF1"/>
    <w:rsid w:val="00113D07"/>
    <w:rsid w:val="00114251"/>
    <w:rsid w:val="0011425A"/>
    <w:rsid w:val="00114F3B"/>
    <w:rsid w:val="001151D0"/>
    <w:rsid w:val="001159C1"/>
    <w:rsid w:val="001165E5"/>
    <w:rsid w:val="00116886"/>
    <w:rsid w:val="001170A9"/>
    <w:rsid w:val="00117180"/>
    <w:rsid w:val="001174CF"/>
    <w:rsid w:val="00117754"/>
    <w:rsid w:val="00117A7C"/>
    <w:rsid w:val="00117B33"/>
    <w:rsid w:val="00117CBD"/>
    <w:rsid w:val="001202EB"/>
    <w:rsid w:val="00120D29"/>
    <w:rsid w:val="00120EC1"/>
    <w:rsid w:val="001210D2"/>
    <w:rsid w:val="00121531"/>
    <w:rsid w:val="0012212A"/>
    <w:rsid w:val="0012263F"/>
    <w:rsid w:val="001228F2"/>
    <w:rsid w:val="00122BE6"/>
    <w:rsid w:val="00122C58"/>
    <w:rsid w:val="00122F43"/>
    <w:rsid w:val="001230F0"/>
    <w:rsid w:val="0012479E"/>
    <w:rsid w:val="00124AAA"/>
    <w:rsid w:val="00124B0D"/>
    <w:rsid w:val="00124C42"/>
    <w:rsid w:val="00125337"/>
    <w:rsid w:val="0012582B"/>
    <w:rsid w:val="00125922"/>
    <w:rsid w:val="00125ACE"/>
    <w:rsid w:val="00126553"/>
    <w:rsid w:val="0012746E"/>
    <w:rsid w:val="00127924"/>
    <w:rsid w:val="00127DBB"/>
    <w:rsid w:val="00127DE8"/>
    <w:rsid w:val="001300E0"/>
    <w:rsid w:val="001307B4"/>
    <w:rsid w:val="001308CB"/>
    <w:rsid w:val="00130B7F"/>
    <w:rsid w:val="00130C75"/>
    <w:rsid w:val="00130E76"/>
    <w:rsid w:val="001311CF"/>
    <w:rsid w:val="00131D90"/>
    <w:rsid w:val="00131DC3"/>
    <w:rsid w:val="00131F94"/>
    <w:rsid w:val="00132386"/>
    <w:rsid w:val="00132C4A"/>
    <w:rsid w:val="00132E80"/>
    <w:rsid w:val="001337FC"/>
    <w:rsid w:val="001339D0"/>
    <w:rsid w:val="00133AC8"/>
    <w:rsid w:val="001340BF"/>
    <w:rsid w:val="001342E6"/>
    <w:rsid w:val="00134CB0"/>
    <w:rsid w:val="00134E50"/>
    <w:rsid w:val="00134FBF"/>
    <w:rsid w:val="00135043"/>
    <w:rsid w:val="001350D9"/>
    <w:rsid w:val="001357FF"/>
    <w:rsid w:val="0013589F"/>
    <w:rsid w:val="00135AB7"/>
    <w:rsid w:val="00135C14"/>
    <w:rsid w:val="00135E4C"/>
    <w:rsid w:val="00136A33"/>
    <w:rsid w:val="00136C21"/>
    <w:rsid w:val="00136E21"/>
    <w:rsid w:val="00136E5C"/>
    <w:rsid w:val="00136EBB"/>
    <w:rsid w:val="001373F5"/>
    <w:rsid w:val="0013743D"/>
    <w:rsid w:val="00137935"/>
    <w:rsid w:val="00137B92"/>
    <w:rsid w:val="00137C64"/>
    <w:rsid w:val="00140216"/>
    <w:rsid w:val="0014050D"/>
    <w:rsid w:val="00141256"/>
    <w:rsid w:val="00141316"/>
    <w:rsid w:val="00141CD4"/>
    <w:rsid w:val="00141E6F"/>
    <w:rsid w:val="001428BB"/>
    <w:rsid w:val="00142949"/>
    <w:rsid w:val="00143A0E"/>
    <w:rsid w:val="00144462"/>
    <w:rsid w:val="00144B50"/>
    <w:rsid w:val="00144DDF"/>
    <w:rsid w:val="00144F7C"/>
    <w:rsid w:val="0014524E"/>
    <w:rsid w:val="001456DE"/>
    <w:rsid w:val="00145753"/>
    <w:rsid w:val="001457FF"/>
    <w:rsid w:val="00145B71"/>
    <w:rsid w:val="00145B7C"/>
    <w:rsid w:val="00146351"/>
    <w:rsid w:val="001467BB"/>
    <w:rsid w:val="001475BD"/>
    <w:rsid w:val="00147A1A"/>
    <w:rsid w:val="001501DD"/>
    <w:rsid w:val="00150340"/>
    <w:rsid w:val="001509C8"/>
    <w:rsid w:val="00150C78"/>
    <w:rsid w:val="0015154F"/>
    <w:rsid w:val="00151D16"/>
    <w:rsid w:val="00152010"/>
    <w:rsid w:val="00152209"/>
    <w:rsid w:val="00152495"/>
    <w:rsid w:val="00152BDC"/>
    <w:rsid w:val="001530D8"/>
    <w:rsid w:val="00153342"/>
    <w:rsid w:val="0015380E"/>
    <w:rsid w:val="00153A32"/>
    <w:rsid w:val="00153BA5"/>
    <w:rsid w:val="00153D52"/>
    <w:rsid w:val="00153F51"/>
    <w:rsid w:val="00154313"/>
    <w:rsid w:val="00154470"/>
    <w:rsid w:val="001544FB"/>
    <w:rsid w:val="00154FF8"/>
    <w:rsid w:val="001557D9"/>
    <w:rsid w:val="00155AE1"/>
    <w:rsid w:val="0015669C"/>
    <w:rsid w:val="001567FB"/>
    <w:rsid w:val="001574C0"/>
    <w:rsid w:val="0015770D"/>
    <w:rsid w:val="00157AE2"/>
    <w:rsid w:val="00157BAB"/>
    <w:rsid w:val="001603F5"/>
    <w:rsid w:val="001606CF"/>
    <w:rsid w:val="001607BE"/>
    <w:rsid w:val="0016128D"/>
    <w:rsid w:val="00161315"/>
    <w:rsid w:val="0016132D"/>
    <w:rsid w:val="00161A84"/>
    <w:rsid w:val="00161F9B"/>
    <w:rsid w:val="00162255"/>
    <w:rsid w:val="0016298C"/>
    <w:rsid w:val="00162D02"/>
    <w:rsid w:val="001633BF"/>
    <w:rsid w:val="001637E2"/>
    <w:rsid w:val="001640E9"/>
    <w:rsid w:val="00164872"/>
    <w:rsid w:val="00164A78"/>
    <w:rsid w:val="00164B82"/>
    <w:rsid w:val="00164EAE"/>
    <w:rsid w:val="00164F21"/>
    <w:rsid w:val="00165567"/>
    <w:rsid w:val="0016595F"/>
    <w:rsid w:val="00165EA2"/>
    <w:rsid w:val="00165FBE"/>
    <w:rsid w:val="00166273"/>
    <w:rsid w:val="00166A9D"/>
    <w:rsid w:val="00166AD1"/>
    <w:rsid w:val="00166AE5"/>
    <w:rsid w:val="00166BCD"/>
    <w:rsid w:val="00167139"/>
    <w:rsid w:val="0016752A"/>
    <w:rsid w:val="00167A1D"/>
    <w:rsid w:val="00167CBD"/>
    <w:rsid w:val="0017062C"/>
    <w:rsid w:val="0017089D"/>
    <w:rsid w:val="00170E48"/>
    <w:rsid w:val="00171837"/>
    <w:rsid w:val="00171F8D"/>
    <w:rsid w:val="001725DF"/>
    <w:rsid w:val="00172A58"/>
    <w:rsid w:val="00172B32"/>
    <w:rsid w:val="00172BC5"/>
    <w:rsid w:val="00172BE5"/>
    <w:rsid w:val="0017344B"/>
    <w:rsid w:val="00173CD5"/>
    <w:rsid w:val="00173CFD"/>
    <w:rsid w:val="00174DE6"/>
    <w:rsid w:val="00174E56"/>
    <w:rsid w:val="00175456"/>
    <w:rsid w:val="00175BBC"/>
    <w:rsid w:val="00175D2F"/>
    <w:rsid w:val="001761BA"/>
    <w:rsid w:val="00176564"/>
    <w:rsid w:val="001768ED"/>
    <w:rsid w:val="00176929"/>
    <w:rsid w:val="00176B13"/>
    <w:rsid w:val="00176C5F"/>
    <w:rsid w:val="00177022"/>
    <w:rsid w:val="0017709F"/>
    <w:rsid w:val="001772B4"/>
    <w:rsid w:val="001772CB"/>
    <w:rsid w:val="00180005"/>
    <w:rsid w:val="00180BFA"/>
    <w:rsid w:val="00180CF0"/>
    <w:rsid w:val="001815CD"/>
    <w:rsid w:val="001815F6"/>
    <w:rsid w:val="0018192F"/>
    <w:rsid w:val="00182B68"/>
    <w:rsid w:val="00182BB8"/>
    <w:rsid w:val="00182C25"/>
    <w:rsid w:val="00183683"/>
    <w:rsid w:val="001839EE"/>
    <w:rsid w:val="00183A95"/>
    <w:rsid w:val="00183C58"/>
    <w:rsid w:val="00184841"/>
    <w:rsid w:val="00184A43"/>
    <w:rsid w:val="0018510E"/>
    <w:rsid w:val="00185B20"/>
    <w:rsid w:val="00186C2E"/>
    <w:rsid w:val="0018718D"/>
    <w:rsid w:val="00187376"/>
    <w:rsid w:val="0018741C"/>
    <w:rsid w:val="00187A9E"/>
    <w:rsid w:val="00187B14"/>
    <w:rsid w:val="00187C48"/>
    <w:rsid w:val="0019002B"/>
    <w:rsid w:val="001900D1"/>
    <w:rsid w:val="001907CD"/>
    <w:rsid w:val="0019090A"/>
    <w:rsid w:val="00190921"/>
    <w:rsid w:val="00190B71"/>
    <w:rsid w:val="00190F2C"/>
    <w:rsid w:val="0019101A"/>
    <w:rsid w:val="0019121C"/>
    <w:rsid w:val="001915BC"/>
    <w:rsid w:val="00191D67"/>
    <w:rsid w:val="00191DEC"/>
    <w:rsid w:val="001923E3"/>
    <w:rsid w:val="00192F0F"/>
    <w:rsid w:val="0019309E"/>
    <w:rsid w:val="00193515"/>
    <w:rsid w:val="001937A5"/>
    <w:rsid w:val="00193943"/>
    <w:rsid w:val="00193D2D"/>
    <w:rsid w:val="001940A7"/>
    <w:rsid w:val="00194A5D"/>
    <w:rsid w:val="00195165"/>
    <w:rsid w:val="00195B56"/>
    <w:rsid w:val="00196179"/>
    <w:rsid w:val="00196588"/>
    <w:rsid w:val="00196747"/>
    <w:rsid w:val="001969B5"/>
    <w:rsid w:val="00196CE0"/>
    <w:rsid w:val="00196D4A"/>
    <w:rsid w:val="001972D2"/>
    <w:rsid w:val="0019735A"/>
    <w:rsid w:val="00197898"/>
    <w:rsid w:val="001979D7"/>
    <w:rsid w:val="001A019C"/>
    <w:rsid w:val="001A0897"/>
    <w:rsid w:val="001A0C14"/>
    <w:rsid w:val="001A1169"/>
    <w:rsid w:val="001A1AAA"/>
    <w:rsid w:val="001A2C0E"/>
    <w:rsid w:val="001A2F69"/>
    <w:rsid w:val="001A3279"/>
    <w:rsid w:val="001A32B7"/>
    <w:rsid w:val="001A3782"/>
    <w:rsid w:val="001A39EC"/>
    <w:rsid w:val="001A3BC3"/>
    <w:rsid w:val="001A3C87"/>
    <w:rsid w:val="001A3D09"/>
    <w:rsid w:val="001A3EFC"/>
    <w:rsid w:val="001A432C"/>
    <w:rsid w:val="001A45DF"/>
    <w:rsid w:val="001A4FA6"/>
    <w:rsid w:val="001A5101"/>
    <w:rsid w:val="001A533B"/>
    <w:rsid w:val="001A560F"/>
    <w:rsid w:val="001A59B1"/>
    <w:rsid w:val="001A5A1D"/>
    <w:rsid w:val="001A65ED"/>
    <w:rsid w:val="001A6BB3"/>
    <w:rsid w:val="001A6C2E"/>
    <w:rsid w:val="001A6DC9"/>
    <w:rsid w:val="001A6FC4"/>
    <w:rsid w:val="001A7270"/>
    <w:rsid w:val="001A730D"/>
    <w:rsid w:val="001A7438"/>
    <w:rsid w:val="001A77B6"/>
    <w:rsid w:val="001A7DA3"/>
    <w:rsid w:val="001B0139"/>
    <w:rsid w:val="001B03AF"/>
    <w:rsid w:val="001B09A8"/>
    <w:rsid w:val="001B117F"/>
    <w:rsid w:val="001B1233"/>
    <w:rsid w:val="001B12B4"/>
    <w:rsid w:val="001B12E5"/>
    <w:rsid w:val="001B13F9"/>
    <w:rsid w:val="001B175C"/>
    <w:rsid w:val="001B1C3D"/>
    <w:rsid w:val="001B1DC1"/>
    <w:rsid w:val="001B1FBF"/>
    <w:rsid w:val="001B200E"/>
    <w:rsid w:val="001B2674"/>
    <w:rsid w:val="001B2ADE"/>
    <w:rsid w:val="001B2CF1"/>
    <w:rsid w:val="001B2E90"/>
    <w:rsid w:val="001B2FB0"/>
    <w:rsid w:val="001B3A19"/>
    <w:rsid w:val="001B3A72"/>
    <w:rsid w:val="001B3E4E"/>
    <w:rsid w:val="001B40E2"/>
    <w:rsid w:val="001B4467"/>
    <w:rsid w:val="001B4664"/>
    <w:rsid w:val="001B57DF"/>
    <w:rsid w:val="001B57E3"/>
    <w:rsid w:val="001B59DD"/>
    <w:rsid w:val="001B6424"/>
    <w:rsid w:val="001B6504"/>
    <w:rsid w:val="001B6609"/>
    <w:rsid w:val="001B68F8"/>
    <w:rsid w:val="001B735C"/>
    <w:rsid w:val="001B7F04"/>
    <w:rsid w:val="001C0026"/>
    <w:rsid w:val="001C0346"/>
    <w:rsid w:val="001C0959"/>
    <w:rsid w:val="001C0B9B"/>
    <w:rsid w:val="001C0ED1"/>
    <w:rsid w:val="001C0F7D"/>
    <w:rsid w:val="001C14E1"/>
    <w:rsid w:val="001C1C14"/>
    <w:rsid w:val="001C2A9C"/>
    <w:rsid w:val="001C2B6C"/>
    <w:rsid w:val="001C358D"/>
    <w:rsid w:val="001C3686"/>
    <w:rsid w:val="001C3B92"/>
    <w:rsid w:val="001C3C80"/>
    <w:rsid w:val="001C3CFB"/>
    <w:rsid w:val="001C46CE"/>
    <w:rsid w:val="001C4748"/>
    <w:rsid w:val="001C506F"/>
    <w:rsid w:val="001C50E0"/>
    <w:rsid w:val="001C522A"/>
    <w:rsid w:val="001C6F7D"/>
    <w:rsid w:val="001C71BF"/>
    <w:rsid w:val="001C73F3"/>
    <w:rsid w:val="001C786F"/>
    <w:rsid w:val="001D008C"/>
    <w:rsid w:val="001D042C"/>
    <w:rsid w:val="001D05B7"/>
    <w:rsid w:val="001D06C2"/>
    <w:rsid w:val="001D0F14"/>
    <w:rsid w:val="001D1C7B"/>
    <w:rsid w:val="001D2346"/>
    <w:rsid w:val="001D27DA"/>
    <w:rsid w:val="001D2C93"/>
    <w:rsid w:val="001D2EB9"/>
    <w:rsid w:val="001D327B"/>
    <w:rsid w:val="001D4000"/>
    <w:rsid w:val="001D4091"/>
    <w:rsid w:val="001D451F"/>
    <w:rsid w:val="001D4855"/>
    <w:rsid w:val="001D4E0F"/>
    <w:rsid w:val="001D561E"/>
    <w:rsid w:val="001D5A19"/>
    <w:rsid w:val="001D5A2A"/>
    <w:rsid w:val="001D5F75"/>
    <w:rsid w:val="001D5FB8"/>
    <w:rsid w:val="001D643E"/>
    <w:rsid w:val="001D682E"/>
    <w:rsid w:val="001D6A25"/>
    <w:rsid w:val="001D6DA6"/>
    <w:rsid w:val="001D790E"/>
    <w:rsid w:val="001D7BB8"/>
    <w:rsid w:val="001D7FDB"/>
    <w:rsid w:val="001E167A"/>
    <w:rsid w:val="001E198B"/>
    <w:rsid w:val="001E1FF0"/>
    <w:rsid w:val="001E21E6"/>
    <w:rsid w:val="001E3F78"/>
    <w:rsid w:val="001E4102"/>
    <w:rsid w:val="001E4164"/>
    <w:rsid w:val="001E4335"/>
    <w:rsid w:val="001E4530"/>
    <w:rsid w:val="001E4650"/>
    <w:rsid w:val="001E4A38"/>
    <w:rsid w:val="001E4B80"/>
    <w:rsid w:val="001E53F3"/>
    <w:rsid w:val="001E544E"/>
    <w:rsid w:val="001E598E"/>
    <w:rsid w:val="001E5E7C"/>
    <w:rsid w:val="001E6040"/>
    <w:rsid w:val="001E6276"/>
    <w:rsid w:val="001E675E"/>
    <w:rsid w:val="001E67EE"/>
    <w:rsid w:val="001E6C97"/>
    <w:rsid w:val="001E7627"/>
    <w:rsid w:val="001E7E07"/>
    <w:rsid w:val="001F010E"/>
    <w:rsid w:val="001F08CF"/>
    <w:rsid w:val="001F0CDD"/>
    <w:rsid w:val="001F0F1C"/>
    <w:rsid w:val="001F13F3"/>
    <w:rsid w:val="001F1503"/>
    <w:rsid w:val="001F15B9"/>
    <w:rsid w:val="001F1842"/>
    <w:rsid w:val="001F1B27"/>
    <w:rsid w:val="001F1E49"/>
    <w:rsid w:val="001F1F5C"/>
    <w:rsid w:val="001F239F"/>
    <w:rsid w:val="001F23E2"/>
    <w:rsid w:val="001F2F04"/>
    <w:rsid w:val="001F32CB"/>
    <w:rsid w:val="001F3387"/>
    <w:rsid w:val="001F340F"/>
    <w:rsid w:val="001F3804"/>
    <w:rsid w:val="001F412A"/>
    <w:rsid w:val="001F4193"/>
    <w:rsid w:val="001F4AF1"/>
    <w:rsid w:val="001F4FC3"/>
    <w:rsid w:val="001F5B26"/>
    <w:rsid w:val="001F633E"/>
    <w:rsid w:val="001F695F"/>
    <w:rsid w:val="001F6B44"/>
    <w:rsid w:val="001F6B4C"/>
    <w:rsid w:val="001F771F"/>
    <w:rsid w:val="001F7760"/>
    <w:rsid w:val="001F7C68"/>
    <w:rsid w:val="001F7FD7"/>
    <w:rsid w:val="00200AC2"/>
    <w:rsid w:val="00202C30"/>
    <w:rsid w:val="00203193"/>
    <w:rsid w:val="0020356D"/>
    <w:rsid w:val="002035AB"/>
    <w:rsid w:val="002035F9"/>
    <w:rsid w:val="00203955"/>
    <w:rsid w:val="00203C4E"/>
    <w:rsid w:val="00204017"/>
    <w:rsid w:val="002042DA"/>
    <w:rsid w:val="00204375"/>
    <w:rsid w:val="00204479"/>
    <w:rsid w:val="002048BD"/>
    <w:rsid w:val="00204B09"/>
    <w:rsid w:val="00204B6C"/>
    <w:rsid w:val="00204BBC"/>
    <w:rsid w:val="002051F2"/>
    <w:rsid w:val="00205AD6"/>
    <w:rsid w:val="00206101"/>
    <w:rsid w:val="00206108"/>
    <w:rsid w:val="002062DC"/>
    <w:rsid w:val="00206D5C"/>
    <w:rsid w:val="00207192"/>
    <w:rsid w:val="002075B8"/>
    <w:rsid w:val="0020781C"/>
    <w:rsid w:val="002106B3"/>
    <w:rsid w:val="00210A95"/>
    <w:rsid w:val="00210B04"/>
    <w:rsid w:val="002112D3"/>
    <w:rsid w:val="00212224"/>
    <w:rsid w:val="00212B67"/>
    <w:rsid w:val="00213A68"/>
    <w:rsid w:val="00213C34"/>
    <w:rsid w:val="00214DC1"/>
    <w:rsid w:val="00215401"/>
    <w:rsid w:val="0021571D"/>
    <w:rsid w:val="002158FB"/>
    <w:rsid w:val="00215DED"/>
    <w:rsid w:val="00215F78"/>
    <w:rsid w:val="00216653"/>
    <w:rsid w:val="00216BE1"/>
    <w:rsid w:val="00216F6E"/>
    <w:rsid w:val="00216FED"/>
    <w:rsid w:val="00217809"/>
    <w:rsid w:val="00217BE5"/>
    <w:rsid w:val="00217E31"/>
    <w:rsid w:val="0022014F"/>
    <w:rsid w:val="002202B4"/>
    <w:rsid w:val="00220C56"/>
    <w:rsid w:val="002213D6"/>
    <w:rsid w:val="00221EA7"/>
    <w:rsid w:val="00221EC0"/>
    <w:rsid w:val="00222163"/>
    <w:rsid w:val="00222628"/>
    <w:rsid w:val="00222DCD"/>
    <w:rsid w:val="00223101"/>
    <w:rsid w:val="002236D3"/>
    <w:rsid w:val="002239DD"/>
    <w:rsid w:val="00224077"/>
    <w:rsid w:val="00224BCD"/>
    <w:rsid w:val="00224C31"/>
    <w:rsid w:val="00224CDA"/>
    <w:rsid w:val="00224F7B"/>
    <w:rsid w:val="002251CF"/>
    <w:rsid w:val="0022523B"/>
    <w:rsid w:val="00225810"/>
    <w:rsid w:val="00225D38"/>
    <w:rsid w:val="00226574"/>
    <w:rsid w:val="00226688"/>
    <w:rsid w:val="00230094"/>
    <w:rsid w:val="002302BB"/>
    <w:rsid w:val="00230477"/>
    <w:rsid w:val="002304D0"/>
    <w:rsid w:val="00231049"/>
    <w:rsid w:val="002314D2"/>
    <w:rsid w:val="002318B5"/>
    <w:rsid w:val="00231916"/>
    <w:rsid w:val="00231BDC"/>
    <w:rsid w:val="00231C32"/>
    <w:rsid w:val="00231C75"/>
    <w:rsid w:val="00232882"/>
    <w:rsid w:val="00232A0C"/>
    <w:rsid w:val="0023305C"/>
    <w:rsid w:val="00233516"/>
    <w:rsid w:val="002335D8"/>
    <w:rsid w:val="00233A37"/>
    <w:rsid w:val="00233BAD"/>
    <w:rsid w:val="00234BF7"/>
    <w:rsid w:val="00234C0D"/>
    <w:rsid w:val="0023504E"/>
    <w:rsid w:val="002350AE"/>
    <w:rsid w:val="002361B7"/>
    <w:rsid w:val="0023649B"/>
    <w:rsid w:val="00236626"/>
    <w:rsid w:val="00236B87"/>
    <w:rsid w:val="00236F3E"/>
    <w:rsid w:val="002370D1"/>
    <w:rsid w:val="002373DA"/>
    <w:rsid w:val="0023775C"/>
    <w:rsid w:val="0023793E"/>
    <w:rsid w:val="00237CAB"/>
    <w:rsid w:val="00237F16"/>
    <w:rsid w:val="00240089"/>
    <w:rsid w:val="0024083F"/>
    <w:rsid w:val="00240962"/>
    <w:rsid w:val="0024099E"/>
    <w:rsid w:val="002415D6"/>
    <w:rsid w:val="00241881"/>
    <w:rsid w:val="00241A23"/>
    <w:rsid w:val="00241E82"/>
    <w:rsid w:val="00242066"/>
    <w:rsid w:val="002423A6"/>
    <w:rsid w:val="00242890"/>
    <w:rsid w:val="0024294C"/>
    <w:rsid w:val="00242A7A"/>
    <w:rsid w:val="00242D51"/>
    <w:rsid w:val="00242E84"/>
    <w:rsid w:val="00242EB9"/>
    <w:rsid w:val="0024306D"/>
    <w:rsid w:val="002431F8"/>
    <w:rsid w:val="00243465"/>
    <w:rsid w:val="00243551"/>
    <w:rsid w:val="00243C9E"/>
    <w:rsid w:val="00244130"/>
    <w:rsid w:val="0024435E"/>
    <w:rsid w:val="002443FB"/>
    <w:rsid w:val="00244B88"/>
    <w:rsid w:val="00244E90"/>
    <w:rsid w:val="00245606"/>
    <w:rsid w:val="00245E29"/>
    <w:rsid w:val="002462C5"/>
    <w:rsid w:val="0024658D"/>
    <w:rsid w:val="002465A4"/>
    <w:rsid w:val="00246A79"/>
    <w:rsid w:val="00246B42"/>
    <w:rsid w:val="00247581"/>
    <w:rsid w:val="002477E9"/>
    <w:rsid w:val="00247BE1"/>
    <w:rsid w:val="00247EE0"/>
    <w:rsid w:val="00247EFA"/>
    <w:rsid w:val="002501AE"/>
    <w:rsid w:val="002502B1"/>
    <w:rsid w:val="002508C6"/>
    <w:rsid w:val="0025093B"/>
    <w:rsid w:val="00250998"/>
    <w:rsid w:val="00250D8A"/>
    <w:rsid w:val="00251981"/>
    <w:rsid w:val="00251C83"/>
    <w:rsid w:val="00252139"/>
    <w:rsid w:val="002528C9"/>
    <w:rsid w:val="00252E07"/>
    <w:rsid w:val="00253009"/>
    <w:rsid w:val="002538F5"/>
    <w:rsid w:val="00253DF9"/>
    <w:rsid w:val="002540D7"/>
    <w:rsid w:val="002542C8"/>
    <w:rsid w:val="0025563B"/>
    <w:rsid w:val="00255C46"/>
    <w:rsid w:val="0025645B"/>
    <w:rsid w:val="0025652F"/>
    <w:rsid w:val="00256706"/>
    <w:rsid w:val="00256AC6"/>
    <w:rsid w:val="00257109"/>
    <w:rsid w:val="002571C3"/>
    <w:rsid w:val="00257DAA"/>
    <w:rsid w:val="00257FC8"/>
    <w:rsid w:val="00260030"/>
    <w:rsid w:val="00260154"/>
    <w:rsid w:val="00260524"/>
    <w:rsid w:val="00260B1B"/>
    <w:rsid w:val="002615E8"/>
    <w:rsid w:val="002619AD"/>
    <w:rsid w:val="00261A04"/>
    <w:rsid w:val="00262B9A"/>
    <w:rsid w:val="00262BAA"/>
    <w:rsid w:val="00263A7D"/>
    <w:rsid w:val="00263B6C"/>
    <w:rsid w:val="00263D54"/>
    <w:rsid w:val="00263E53"/>
    <w:rsid w:val="002640B6"/>
    <w:rsid w:val="00264212"/>
    <w:rsid w:val="00264785"/>
    <w:rsid w:val="00264E04"/>
    <w:rsid w:val="00265914"/>
    <w:rsid w:val="00265C82"/>
    <w:rsid w:val="00265D14"/>
    <w:rsid w:val="00265D2C"/>
    <w:rsid w:val="00267030"/>
    <w:rsid w:val="002679C9"/>
    <w:rsid w:val="00270073"/>
    <w:rsid w:val="002702E1"/>
    <w:rsid w:val="002704C4"/>
    <w:rsid w:val="00270BF1"/>
    <w:rsid w:val="00270D01"/>
    <w:rsid w:val="00270FDD"/>
    <w:rsid w:val="002717DB"/>
    <w:rsid w:val="0027185F"/>
    <w:rsid w:val="002728D2"/>
    <w:rsid w:val="00272939"/>
    <w:rsid w:val="00272DC7"/>
    <w:rsid w:val="002737A2"/>
    <w:rsid w:val="00273921"/>
    <w:rsid w:val="00273CB8"/>
    <w:rsid w:val="00274231"/>
    <w:rsid w:val="002752DB"/>
    <w:rsid w:val="0027590B"/>
    <w:rsid w:val="00275BF2"/>
    <w:rsid w:val="00275CE4"/>
    <w:rsid w:val="00275D24"/>
    <w:rsid w:val="00275D94"/>
    <w:rsid w:val="00276074"/>
    <w:rsid w:val="00276306"/>
    <w:rsid w:val="002768FB"/>
    <w:rsid w:val="00277359"/>
    <w:rsid w:val="00277389"/>
    <w:rsid w:val="002773CA"/>
    <w:rsid w:val="002774BA"/>
    <w:rsid w:val="0027753C"/>
    <w:rsid w:val="00280870"/>
    <w:rsid w:val="00280EAB"/>
    <w:rsid w:val="00281864"/>
    <w:rsid w:val="00281A49"/>
    <w:rsid w:val="00281B8E"/>
    <w:rsid w:val="00281E10"/>
    <w:rsid w:val="0028216E"/>
    <w:rsid w:val="00282B7D"/>
    <w:rsid w:val="00282C37"/>
    <w:rsid w:val="00283682"/>
    <w:rsid w:val="00283A10"/>
    <w:rsid w:val="00283A4C"/>
    <w:rsid w:val="0028496E"/>
    <w:rsid w:val="00284DAD"/>
    <w:rsid w:val="00284FD2"/>
    <w:rsid w:val="002853C1"/>
    <w:rsid w:val="00285573"/>
    <w:rsid w:val="00285969"/>
    <w:rsid w:val="00285A75"/>
    <w:rsid w:val="00285B3F"/>
    <w:rsid w:val="00285FFC"/>
    <w:rsid w:val="00286ABF"/>
    <w:rsid w:val="0028797B"/>
    <w:rsid w:val="00287FA1"/>
    <w:rsid w:val="00290661"/>
    <w:rsid w:val="002907A0"/>
    <w:rsid w:val="00290E9A"/>
    <w:rsid w:val="002910F0"/>
    <w:rsid w:val="002916B1"/>
    <w:rsid w:val="002918B0"/>
    <w:rsid w:val="0029219E"/>
    <w:rsid w:val="0029267F"/>
    <w:rsid w:val="002928AF"/>
    <w:rsid w:val="0029334F"/>
    <w:rsid w:val="00293D2E"/>
    <w:rsid w:val="0029409C"/>
    <w:rsid w:val="0029461B"/>
    <w:rsid w:val="00294C59"/>
    <w:rsid w:val="00294D61"/>
    <w:rsid w:val="00294D7C"/>
    <w:rsid w:val="00294DA2"/>
    <w:rsid w:val="00295426"/>
    <w:rsid w:val="0029586C"/>
    <w:rsid w:val="00295F30"/>
    <w:rsid w:val="002964B2"/>
    <w:rsid w:val="00296DD7"/>
    <w:rsid w:val="0029728B"/>
    <w:rsid w:val="0029757B"/>
    <w:rsid w:val="002977B8"/>
    <w:rsid w:val="00297B46"/>
    <w:rsid w:val="00297D08"/>
    <w:rsid w:val="002A105B"/>
    <w:rsid w:val="002A1CB1"/>
    <w:rsid w:val="002A2116"/>
    <w:rsid w:val="002A237A"/>
    <w:rsid w:val="002A25E1"/>
    <w:rsid w:val="002A2605"/>
    <w:rsid w:val="002A286C"/>
    <w:rsid w:val="002A2B93"/>
    <w:rsid w:val="002A2C56"/>
    <w:rsid w:val="002A2F28"/>
    <w:rsid w:val="002A33A2"/>
    <w:rsid w:val="002A37BE"/>
    <w:rsid w:val="002A40C4"/>
    <w:rsid w:val="002A477E"/>
    <w:rsid w:val="002A4951"/>
    <w:rsid w:val="002A4A8A"/>
    <w:rsid w:val="002A4D43"/>
    <w:rsid w:val="002A4EFC"/>
    <w:rsid w:val="002A51A6"/>
    <w:rsid w:val="002A59D6"/>
    <w:rsid w:val="002A5BF9"/>
    <w:rsid w:val="002A6273"/>
    <w:rsid w:val="002A710C"/>
    <w:rsid w:val="002A719E"/>
    <w:rsid w:val="002A74EF"/>
    <w:rsid w:val="002A7CBF"/>
    <w:rsid w:val="002A7E75"/>
    <w:rsid w:val="002B064A"/>
    <w:rsid w:val="002B09E7"/>
    <w:rsid w:val="002B0AD3"/>
    <w:rsid w:val="002B0CCB"/>
    <w:rsid w:val="002B0E33"/>
    <w:rsid w:val="002B1A25"/>
    <w:rsid w:val="002B1AFB"/>
    <w:rsid w:val="002B1DF3"/>
    <w:rsid w:val="002B22B9"/>
    <w:rsid w:val="002B2391"/>
    <w:rsid w:val="002B321B"/>
    <w:rsid w:val="002B3829"/>
    <w:rsid w:val="002B3B6B"/>
    <w:rsid w:val="002B48C7"/>
    <w:rsid w:val="002B5042"/>
    <w:rsid w:val="002B5FA2"/>
    <w:rsid w:val="002B5FC8"/>
    <w:rsid w:val="002B6321"/>
    <w:rsid w:val="002B6E10"/>
    <w:rsid w:val="002B6E51"/>
    <w:rsid w:val="002B7393"/>
    <w:rsid w:val="002B778B"/>
    <w:rsid w:val="002B78C0"/>
    <w:rsid w:val="002B7EA2"/>
    <w:rsid w:val="002C0248"/>
    <w:rsid w:val="002C06DC"/>
    <w:rsid w:val="002C08A4"/>
    <w:rsid w:val="002C1191"/>
    <w:rsid w:val="002C150C"/>
    <w:rsid w:val="002C1A5B"/>
    <w:rsid w:val="002C1FAD"/>
    <w:rsid w:val="002C22EF"/>
    <w:rsid w:val="002C2373"/>
    <w:rsid w:val="002C2818"/>
    <w:rsid w:val="002C292B"/>
    <w:rsid w:val="002C2C83"/>
    <w:rsid w:val="002C2CC1"/>
    <w:rsid w:val="002C3990"/>
    <w:rsid w:val="002C3CF9"/>
    <w:rsid w:val="002C402A"/>
    <w:rsid w:val="002C43EA"/>
    <w:rsid w:val="002C4467"/>
    <w:rsid w:val="002C4485"/>
    <w:rsid w:val="002C4520"/>
    <w:rsid w:val="002C4BFF"/>
    <w:rsid w:val="002C4E9D"/>
    <w:rsid w:val="002C4F18"/>
    <w:rsid w:val="002C50FF"/>
    <w:rsid w:val="002C529A"/>
    <w:rsid w:val="002C5B6D"/>
    <w:rsid w:val="002C67D8"/>
    <w:rsid w:val="002C699B"/>
    <w:rsid w:val="002C7189"/>
    <w:rsid w:val="002C7810"/>
    <w:rsid w:val="002D0031"/>
    <w:rsid w:val="002D0594"/>
    <w:rsid w:val="002D07BA"/>
    <w:rsid w:val="002D0A1C"/>
    <w:rsid w:val="002D0D8D"/>
    <w:rsid w:val="002D13BA"/>
    <w:rsid w:val="002D1C04"/>
    <w:rsid w:val="002D1E6F"/>
    <w:rsid w:val="002D1F0B"/>
    <w:rsid w:val="002D1F0D"/>
    <w:rsid w:val="002D20D9"/>
    <w:rsid w:val="002D2392"/>
    <w:rsid w:val="002D2967"/>
    <w:rsid w:val="002D2F64"/>
    <w:rsid w:val="002D356F"/>
    <w:rsid w:val="002D3B83"/>
    <w:rsid w:val="002D42EC"/>
    <w:rsid w:val="002D4575"/>
    <w:rsid w:val="002D47A1"/>
    <w:rsid w:val="002D48BE"/>
    <w:rsid w:val="002D4B01"/>
    <w:rsid w:val="002D4D7E"/>
    <w:rsid w:val="002D5ADB"/>
    <w:rsid w:val="002D5E7D"/>
    <w:rsid w:val="002D6354"/>
    <w:rsid w:val="002D6727"/>
    <w:rsid w:val="002D6904"/>
    <w:rsid w:val="002D6B92"/>
    <w:rsid w:val="002D6E9E"/>
    <w:rsid w:val="002D71B0"/>
    <w:rsid w:val="002D73D7"/>
    <w:rsid w:val="002D73DD"/>
    <w:rsid w:val="002D7BC8"/>
    <w:rsid w:val="002D7E3C"/>
    <w:rsid w:val="002E01E5"/>
    <w:rsid w:val="002E0235"/>
    <w:rsid w:val="002E0788"/>
    <w:rsid w:val="002E0A1E"/>
    <w:rsid w:val="002E0B54"/>
    <w:rsid w:val="002E0ED6"/>
    <w:rsid w:val="002E114E"/>
    <w:rsid w:val="002E119B"/>
    <w:rsid w:val="002E1A68"/>
    <w:rsid w:val="002E1E47"/>
    <w:rsid w:val="002E1ED9"/>
    <w:rsid w:val="002E220C"/>
    <w:rsid w:val="002E24D7"/>
    <w:rsid w:val="002E32F5"/>
    <w:rsid w:val="002E3669"/>
    <w:rsid w:val="002E3BDD"/>
    <w:rsid w:val="002E4372"/>
    <w:rsid w:val="002E454C"/>
    <w:rsid w:val="002E4D81"/>
    <w:rsid w:val="002E4F10"/>
    <w:rsid w:val="002E5065"/>
    <w:rsid w:val="002E50AB"/>
    <w:rsid w:val="002E58C7"/>
    <w:rsid w:val="002E5A0D"/>
    <w:rsid w:val="002E63E3"/>
    <w:rsid w:val="002E67ED"/>
    <w:rsid w:val="002E6D4D"/>
    <w:rsid w:val="002E7345"/>
    <w:rsid w:val="002E75F6"/>
    <w:rsid w:val="002E76D8"/>
    <w:rsid w:val="002E78F2"/>
    <w:rsid w:val="002E78F8"/>
    <w:rsid w:val="002E7B5D"/>
    <w:rsid w:val="002E7DFA"/>
    <w:rsid w:val="002E7E38"/>
    <w:rsid w:val="002F018A"/>
    <w:rsid w:val="002F05E1"/>
    <w:rsid w:val="002F0B41"/>
    <w:rsid w:val="002F0C46"/>
    <w:rsid w:val="002F1235"/>
    <w:rsid w:val="002F14FA"/>
    <w:rsid w:val="002F174E"/>
    <w:rsid w:val="002F1AE4"/>
    <w:rsid w:val="002F1E02"/>
    <w:rsid w:val="002F1F1A"/>
    <w:rsid w:val="002F21E1"/>
    <w:rsid w:val="002F266A"/>
    <w:rsid w:val="002F2B57"/>
    <w:rsid w:val="002F30F8"/>
    <w:rsid w:val="002F362D"/>
    <w:rsid w:val="002F37B4"/>
    <w:rsid w:val="002F3C42"/>
    <w:rsid w:val="002F3FF5"/>
    <w:rsid w:val="002F42B6"/>
    <w:rsid w:val="002F44A9"/>
    <w:rsid w:val="002F46D6"/>
    <w:rsid w:val="002F479D"/>
    <w:rsid w:val="002F47AC"/>
    <w:rsid w:val="002F493A"/>
    <w:rsid w:val="002F4A1F"/>
    <w:rsid w:val="002F4B6B"/>
    <w:rsid w:val="002F4F79"/>
    <w:rsid w:val="002F54A2"/>
    <w:rsid w:val="002F617F"/>
    <w:rsid w:val="002F669B"/>
    <w:rsid w:val="002F6B92"/>
    <w:rsid w:val="002F7088"/>
    <w:rsid w:val="002F73BB"/>
    <w:rsid w:val="002F73D3"/>
    <w:rsid w:val="002F75D1"/>
    <w:rsid w:val="002F7DCF"/>
    <w:rsid w:val="002F7E09"/>
    <w:rsid w:val="002F7F19"/>
    <w:rsid w:val="002F7F68"/>
    <w:rsid w:val="002F7F93"/>
    <w:rsid w:val="00300109"/>
    <w:rsid w:val="00300448"/>
    <w:rsid w:val="00300849"/>
    <w:rsid w:val="00300D9E"/>
    <w:rsid w:val="003014E8"/>
    <w:rsid w:val="003015BF"/>
    <w:rsid w:val="00301755"/>
    <w:rsid w:val="003019B7"/>
    <w:rsid w:val="00301B81"/>
    <w:rsid w:val="00302044"/>
    <w:rsid w:val="0030206A"/>
    <w:rsid w:val="0030248B"/>
    <w:rsid w:val="003024DE"/>
    <w:rsid w:val="00302513"/>
    <w:rsid w:val="003026A1"/>
    <w:rsid w:val="003029D2"/>
    <w:rsid w:val="00302A0C"/>
    <w:rsid w:val="00302E36"/>
    <w:rsid w:val="0030315F"/>
    <w:rsid w:val="00303398"/>
    <w:rsid w:val="00303E99"/>
    <w:rsid w:val="00304FF7"/>
    <w:rsid w:val="00305A16"/>
    <w:rsid w:val="00305BEC"/>
    <w:rsid w:val="003061D0"/>
    <w:rsid w:val="003062B3"/>
    <w:rsid w:val="00306374"/>
    <w:rsid w:val="003063AE"/>
    <w:rsid w:val="0030665E"/>
    <w:rsid w:val="00306894"/>
    <w:rsid w:val="00306F39"/>
    <w:rsid w:val="00307251"/>
    <w:rsid w:val="003073C3"/>
    <w:rsid w:val="00307FC3"/>
    <w:rsid w:val="003103E5"/>
    <w:rsid w:val="003103FE"/>
    <w:rsid w:val="00310526"/>
    <w:rsid w:val="003108B8"/>
    <w:rsid w:val="003108F8"/>
    <w:rsid w:val="00310BE8"/>
    <w:rsid w:val="00310C31"/>
    <w:rsid w:val="003112E3"/>
    <w:rsid w:val="0031136A"/>
    <w:rsid w:val="00311482"/>
    <w:rsid w:val="0031148C"/>
    <w:rsid w:val="0031197A"/>
    <w:rsid w:val="00312225"/>
    <w:rsid w:val="003122F4"/>
    <w:rsid w:val="003138D7"/>
    <w:rsid w:val="00313AA5"/>
    <w:rsid w:val="00313FED"/>
    <w:rsid w:val="0031429D"/>
    <w:rsid w:val="003143C8"/>
    <w:rsid w:val="003144B7"/>
    <w:rsid w:val="003144F4"/>
    <w:rsid w:val="00314A15"/>
    <w:rsid w:val="00314B7B"/>
    <w:rsid w:val="00314FAB"/>
    <w:rsid w:val="003156E3"/>
    <w:rsid w:val="00315AEA"/>
    <w:rsid w:val="00315C6E"/>
    <w:rsid w:val="0031600B"/>
    <w:rsid w:val="00316592"/>
    <w:rsid w:val="00317422"/>
    <w:rsid w:val="00317737"/>
    <w:rsid w:val="00317D3D"/>
    <w:rsid w:val="00317DA4"/>
    <w:rsid w:val="003201F0"/>
    <w:rsid w:val="00320208"/>
    <w:rsid w:val="003206C1"/>
    <w:rsid w:val="00320F90"/>
    <w:rsid w:val="003213B8"/>
    <w:rsid w:val="00321447"/>
    <w:rsid w:val="00321918"/>
    <w:rsid w:val="00321CB4"/>
    <w:rsid w:val="0032243C"/>
    <w:rsid w:val="0032250D"/>
    <w:rsid w:val="0032282F"/>
    <w:rsid w:val="00322AE9"/>
    <w:rsid w:val="00323255"/>
    <w:rsid w:val="003233EE"/>
    <w:rsid w:val="003233F2"/>
    <w:rsid w:val="00323A8C"/>
    <w:rsid w:val="00324112"/>
    <w:rsid w:val="003243A3"/>
    <w:rsid w:val="00324970"/>
    <w:rsid w:val="003250F5"/>
    <w:rsid w:val="00325192"/>
    <w:rsid w:val="00325606"/>
    <w:rsid w:val="00325890"/>
    <w:rsid w:val="00325D11"/>
    <w:rsid w:val="00325FE4"/>
    <w:rsid w:val="003268D5"/>
    <w:rsid w:val="00326F4C"/>
    <w:rsid w:val="00327D13"/>
    <w:rsid w:val="00327DBF"/>
    <w:rsid w:val="003304C7"/>
    <w:rsid w:val="0033076D"/>
    <w:rsid w:val="00330A46"/>
    <w:rsid w:val="00330FCF"/>
    <w:rsid w:val="0033101B"/>
    <w:rsid w:val="003316F6"/>
    <w:rsid w:val="00331EBB"/>
    <w:rsid w:val="00332093"/>
    <w:rsid w:val="00332551"/>
    <w:rsid w:val="00332B29"/>
    <w:rsid w:val="00332BF5"/>
    <w:rsid w:val="00332DC8"/>
    <w:rsid w:val="0033316D"/>
    <w:rsid w:val="00333270"/>
    <w:rsid w:val="0033329E"/>
    <w:rsid w:val="003334C1"/>
    <w:rsid w:val="00333A60"/>
    <w:rsid w:val="003341A0"/>
    <w:rsid w:val="003342E1"/>
    <w:rsid w:val="0033448F"/>
    <w:rsid w:val="00334BD7"/>
    <w:rsid w:val="00334C31"/>
    <w:rsid w:val="00334C81"/>
    <w:rsid w:val="00334CED"/>
    <w:rsid w:val="00334E83"/>
    <w:rsid w:val="00335171"/>
    <w:rsid w:val="0033547D"/>
    <w:rsid w:val="0033550C"/>
    <w:rsid w:val="00335646"/>
    <w:rsid w:val="00335CE7"/>
    <w:rsid w:val="003369B7"/>
    <w:rsid w:val="0033708F"/>
    <w:rsid w:val="003373B4"/>
    <w:rsid w:val="00340890"/>
    <w:rsid w:val="003410FF"/>
    <w:rsid w:val="00341189"/>
    <w:rsid w:val="003415A3"/>
    <w:rsid w:val="0034221F"/>
    <w:rsid w:val="0034230B"/>
    <w:rsid w:val="00342358"/>
    <w:rsid w:val="0034312D"/>
    <w:rsid w:val="0034363B"/>
    <w:rsid w:val="00343CA8"/>
    <w:rsid w:val="00343DD2"/>
    <w:rsid w:val="00343E72"/>
    <w:rsid w:val="003442AF"/>
    <w:rsid w:val="003448F6"/>
    <w:rsid w:val="00344E41"/>
    <w:rsid w:val="00345D9D"/>
    <w:rsid w:val="00346817"/>
    <w:rsid w:val="003469BF"/>
    <w:rsid w:val="00346AC5"/>
    <w:rsid w:val="00346B67"/>
    <w:rsid w:val="003471CA"/>
    <w:rsid w:val="0034740E"/>
    <w:rsid w:val="003477B9"/>
    <w:rsid w:val="003478C0"/>
    <w:rsid w:val="00347940"/>
    <w:rsid w:val="003479BB"/>
    <w:rsid w:val="00347AB7"/>
    <w:rsid w:val="00347FA0"/>
    <w:rsid w:val="00350759"/>
    <w:rsid w:val="00350866"/>
    <w:rsid w:val="0035088A"/>
    <w:rsid w:val="003508CF"/>
    <w:rsid w:val="00350ED8"/>
    <w:rsid w:val="00350F2D"/>
    <w:rsid w:val="00351100"/>
    <w:rsid w:val="0035119D"/>
    <w:rsid w:val="003516E3"/>
    <w:rsid w:val="00351A11"/>
    <w:rsid w:val="00351DB0"/>
    <w:rsid w:val="003522B4"/>
    <w:rsid w:val="0035234D"/>
    <w:rsid w:val="0035279F"/>
    <w:rsid w:val="00352E9B"/>
    <w:rsid w:val="003536F5"/>
    <w:rsid w:val="00353990"/>
    <w:rsid w:val="00354996"/>
    <w:rsid w:val="00354D27"/>
    <w:rsid w:val="00355566"/>
    <w:rsid w:val="00355CB0"/>
    <w:rsid w:val="00355E48"/>
    <w:rsid w:val="00356571"/>
    <w:rsid w:val="0035689D"/>
    <w:rsid w:val="003569EC"/>
    <w:rsid w:val="00356D12"/>
    <w:rsid w:val="0035738A"/>
    <w:rsid w:val="0035791B"/>
    <w:rsid w:val="00357B9F"/>
    <w:rsid w:val="00357BA5"/>
    <w:rsid w:val="00357BB7"/>
    <w:rsid w:val="00357E14"/>
    <w:rsid w:val="003603D9"/>
    <w:rsid w:val="003604DD"/>
    <w:rsid w:val="0036061B"/>
    <w:rsid w:val="003606AA"/>
    <w:rsid w:val="003608CF"/>
    <w:rsid w:val="003608D9"/>
    <w:rsid w:val="00360B84"/>
    <w:rsid w:val="00360B8B"/>
    <w:rsid w:val="00361D4D"/>
    <w:rsid w:val="00362077"/>
    <w:rsid w:val="00362430"/>
    <w:rsid w:val="003625EE"/>
    <w:rsid w:val="00362710"/>
    <w:rsid w:val="0036279B"/>
    <w:rsid w:val="00362DD4"/>
    <w:rsid w:val="00363902"/>
    <w:rsid w:val="00363B8C"/>
    <w:rsid w:val="00363EFE"/>
    <w:rsid w:val="003640B9"/>
    <w:rsid w:val="003644D9"/>
    <w:rsid w:val="00364A17"/>
    <w:rsid w:val="00364A34"/>
    <w:rsid w:val="00364D7E"/>
    <w:rsid w:val="003653DB"/>
    <w:rsid w:val="00366630"/>
    <w:rsid w:val="0036678A"/>
    <w:rsid w:val="00366F12"/>
    <w:rsid w:val="0036722C"/>
    <w:rsid w:val="00367513"/>
    <w:rsid w:val="0037028D"/>
    <w:rsid w:val="003702EE"/>
    <w:rsid w:val="0037035B"/>
    <w:rsid w:val="00370B00"/>
    <w:rsid w:val="00370C23"/>
    <w:rsid w:val="00371300"/>
    <w:rsid w:val="00372976"/>
    <w:rsid w:val="00373594"/>
    <w:rsid w:val="003737F0"/>
    <w:rsid w:val="00374121"/>
    <w:rsid w:val="00374327"/>
    <w:rsid w:val="0037439F"/>
    <w:rsid w:val="00374586"/>
    <w:rsid w:val="00374769"/>
    <w:rsid w:val="00374A8A"/>
    <w:rsid w:val="00374FA8"/>
    <w:rsid w:val="003752BA"/>
    <w:rsid w:val="00375929"/>
    <w:rsid w:val="00376524"/>
    <w:rsid w:val="00376661"/>
    <w:rsid w:val="003769FF"/>
    <w:rsid w:val="00376CF1"/>
    <w:rsid w:val="00376E45"/>
    <w:rsid w:val="00377388"/>
    <w:rsid w:val="003774A3"/>
    <w:rsid w:val="00377659"/>
    <w:rsid w:val="0038017F"/>
    <w:rsid w:val="003803D1"/>
    <w:rsid w:val="00380AC2"/>
    <w:rsid w:val="003816B5"/>
    <w:rsid w:val="003817C6"/>
    <w:rsid w:val="0038191C"/>
    <w:rsid w:val="003829BD"/>
    <w:rsid w:val="00382F71"/>
    <w:rsid w:val="003831E9"/>
    <w:rsid w:val="00383939"/>
    <w:rsid w:val="00383A3A"/>
    <w:rsid w:val="00384012"/>
    <w:rsid w:val="00384107"/>
    <w:rsid w:val="003841DF"/>
    <w:rsid w:val="0038426E"/>
    <w:rsid w:val="00384B07"/>
    <w:rsid w:val="0038518B"/>
    <w:rsid w:val="00385324"/>
    <w:rsid w:val="0038555A"/>
    <w:rsid w:val="003858A6"/>
    <w:rsid w:val="00385CB5"/>
    <w:rsid w:val="00385D20"/>
    <w:rsid w:val="00386C52"/>
    <w:rsid w:val="00386D45"/>
    <w:rsid w:val="00386F2F"/>
    <w:rsid w:val="003879A5"/>
    <w:rsid w:val="00387BD3"/>
    <w:rsid w:val="00387C5D"/>
    <w:rsid w:val="00387D16"/>
    <w:rsid w:val="00387D27"/>
    <w:rsid w:val="00387FBC"/>
    <w:rsid w:val="003901AA"/>
    <w:rsid w:val="003905AC"/>
    <w:rsid w:val="00390935"/>
    <w:rsid w:val="00390969"/>
    <w:rsid w:val="00390A37"/>
    <w:rsid w:val="00390A7F"/>
    <w:rsid w:val="0039116A"/>
    <w:rsid w:val="00391595"/>
    <w:rsid w:val="00391B30"/>
    <w:rsid w:val="00391C14"/>
    <w:rsid w:val="003922B8"/>
    <w:rsid w:val="003926B4"/>
    <w:rsid w:val="003927DD"/>
    <w:rsid w:val="00392B7E"/>
    <w:rsid w:val="00392BF2"/>
    <w:rsid w:val="00392DCC"/>
    <w:rsid w:val="003937B8"/>
    <w:rsid w:val="00393875"/>
    <w:rsid w:val="00393CEC"/>
    <w:rsid w:val="00393F18"/>
    <w:rsid w:val="003944F2"/>
    <w:rsid w:val="00394704"/>
    <w:rsid w:val="00394917"/>
    <w:rsid w:val="00394987"/>
    <w:rsid w:val="003950B0"/>
    <w:rsid w:val="003953D5"/>
    <w:rsid w:val="003960E3"/>
    <w:rsid w:val="00396312"/>
    <w:rsid w:val="00396A5C"/>
    <w:rsid w:val="00396D5E"/>
    <w:rsid w:val="0039767A"/>
    <w:rsid w:val="00397D1D"/>
    <w:rsid w:val="003A03AD"/>
    <w:rsid w:val="003A05B5"/>
    <w:rsid w:val="003A0951"/>
    <w:rsid w:val="003A0A4B"/>
    <w:rsid w:val="003A12EA"/>
    <w:rsid w:val="003A158D"/>
    <w:rsid w:val="003A2053"/>
    <w:rsid w:val="003A3002"/>
    <w:rsid w:val="003A3C3D"/>
    <w:rsid w:val="003A3DC7"/>
    <w:rsid w:val="003A3F9A"/>
    <w:rsid w:val="003A416A"/>
    <w:rsid w:val="003A4220"/>
    <w:rsid w:val="003A5150"/>
    <w:rsid w:val="003A5747"/>
    <w:rsid w:val="003A5B36"/>
    <w:rsid w:val="003A5E26"/>
    <w:rsid w:val="003A5FBA"/>
    <w:rsid w:val="003A6051"/>
    <w:rsid w:val="003A631A"/>
    <w:rsid w:val="003A6865"/>
    <w:rsid w:val="003A69DE"/>
    <w:rsid w:val="003A6A71"/>
    <w:rsid w:val="003A6F1B"/>
    <w:rsid w:val="003A7071"/>
    <w:rsid w:val="003A71AE"/>
    <w:rsid w:val="003A76B5"/>
    <w:rsid w:val="003B036E"/>
    <w:rsid w:val="003B067D"/>
    <w:rsid w:val="003B09A2"/>
    <w:rsid w:val="003B0DDA"/>
    <w:rsid w:val="003B218D"/>
    <w:rsid w:val="003B24F8"/>
    <w:rsid w:val="003B2613"/>
    <w:rsid w:val="003B2DDA"/>
    <w:rsid w:val="003B315B"/>
    <w:rsid w:val="003B3406"/>
    <w:rsid w:val="003B3432"/>
    <w:rsid w:val="003B3E40"/>
    <w:rsid w:val="003B446C"/>
    <w:rsid w:val="003B562B"/>
    <w:rsid w:val="003B5A5C"/>
    <w:rsid w:val="003B63E7"/>
    <w:rsid w:val="003B6661"/>
    <w:rsid w:val="003B6986"/>
    <w:rsid w:val="003B6C48"/>
    <w:rsid w:val="003B6DDC"/>
    <w:rsid w:val="003B703A"/>
    <w:rsid w:val="003B754E"/>
    <w:rsid w:val="003B7580"/>
    <w:rsid w:val="003B75D5"/>
    <w:rsid w:val="003B7D3E"/>
    <w:rsid w:val="003C0082"/>
    <w:rsid w:val="003C00CC"/>
    <w:rsid w:val="003C0201"/>
    <w:rsid w:val="003C067A"/>
    <w:rsid w:val="003C0ECD"/>
    <w:rsid w:val="003C1009"/>
    <w:rsid w:val="003C168B"/>
    <w:rsid w:val="003C1EF2"/>
    <w:rsid w:val="003C20C9"/>
    <w:rsid w:val="003C21F0"/>
    <w:rsid w:val="003C229C"/>
    <w:rsid w:val="003C24B4"/>
    <w:rsid w:val="003C2510"/>
    <w:rsid w:val="003C2A55"/>
    <w:rsid w:val="003C2A8F"/>
    <w:rsid w:val="003C3505"/>
    <w:rsid w:val="003C36E0"/>
    <w:rsid w:val="003C40E8"/>
    <w:rsid w:val="003C4864"/>
    <w:rsid w:val="003C48C2"/>
    <w:rsid w:val="003C4AF4"/>
    <w:rsid w:val="003C4E6E"/>
    <w:rsid w:val="003C4EDD"/>
    <w:rsid w:val="003C516A"/>
    <w:rsid w:val="003C5EB7"/>
    <w:rsid w:val="003C61D6"/>
    <w:rsid w:val="003C66C9"/>
    <w:rsid w:val="003C6AC1"/>
    <w:rsid w:val="003C6CF9"/>
    <w:rsid w:val="003C6F88"/>
    <w:rsid w:val="003C715B"/>
    <w:rsid w:val="003C74BE"/>
    <w:rsid w:val="003C751F"/>
    <w:rsid w:val="003D00FA"/>
    <w:rsid w:val="003D03CB"/>
    <w:rsid w:val="003D04E1"/>
    <w:rsid w:val="003D0947"/>
    <w:rsid w:val="003D0C80"/>
    <w:rsid w:val="003D0DBD"/>
    <w:rsid w:val="003D1116"/>
    <w:rsid w:val="003D14CC"/>
    <w:rsid w:val="003D158E"/>
    <w:rsid w:val="003D1CA2"/>
    <w:rsid w:val="003D1F3A"/>
    <w:rsid w:val="003D26E1"/>
    <w:rsid w:val="003D37A4"/>
    <w:rsid w:val="003D38F4"/>
    <w:rsid w:val="003D3D3B"/>
    <w:rsid w:val="003D3D58"/>
    <w:rsid w:val="003D3EE6"/>
    <w:rsid w:val="003D4982"/>
    <w:rsid w:val="003D49F1"/>
    <w:rsid w:val="003D4D12"/>
    <w:rsid w:val="003D6410"/>
    <w:rsid w:val="003D6593"/>
    <w:rsid w:val="003D6949"/>
    <w:rsid w:val="003D6A2D"/>
    <w:rsid w:val="003D6CD6"/>
    <w:rsid w:val="003D723E"/>
    <w:rsid w:val="003D7BB3"/>
    <w:rsid w:val="003E0129"/>
    <w:rsid w:val="003E0186"/>
    <w:rsid w:val="003E076F"/>
    <w:rsid w:val="003E0D72"/>
    <w:rsid w:val="003E11D5"/>
    <w:rsid w:val="003E122E"/>
    <w:rsid w:val="003E17C2"/>
    <w:rsid w:val="003E20D6"/>
    <w:rsid w:val="003E2100"/>
    <w:rsid w:val="003E2124"/>
    <w:rsid w:val="003E2AD6"/>
    <w:rsid w:val="003E2CB0"/>
    <w:rsid w:val="003E2F68"/>
    <w:rsid w:val="003E3082"/>
    <w:rsid w:val="003E3145"/>
    <w:rsid w:val="003E3848"/>
    <w:rsid w:val="003E3F0C"/>
    <w:rsid w:val="003E46E3"/>
    <w:rsid w:val="003E4B25"/>
    <w:rsid w:val="003E4D87"/>
    <w:rsid w:val="003E5137"/>
    <w:rsid w:val="003E5286"/>
    <w:rsid w:val="003E5476"/>
    <w:rsid w:val="003E5505"/>
    <w:rsid w:val="003E58E0"/>
    <w:rsid w:val="003E5917"/>
    <w:rsid w:val="003E59B1"/>
    <w:rsid w:val="003E5C66"/>
    <w:rsid w:val="003E6065"/>
    <w:rsid w:val="003E61B5"/>
    <w:rsid w:val="003E624B"/>
    <w:rsid w:val="003E63A9"/>
    <w:rsid w:val="003E6567"/>
    <w:rsid w:val="003E677F"/>
    <w:rsid w:val="003E706B"/>
    <w:rsid w:val="003E74D8"/>
    <w:rsid w:val="003E77FD"/>
    <w:rsid w:val="003E7CFE"/>
    <w:rsid w:val="003F00D2"/>
    <w:rsid w:val="003F05EE"/>
    <w:rsid w:val="003F097C"/>
    <w:rsid w:val="003F18CA"/>
    <w:rsid w:val="003F1B10"/>
    <w:rsid w:val="003F2248"/>
    <w:rsid w:val="003F2573"/>
    <w:rsid w:val="003F28E0"/>
    <w:rsid w:val="003F2DB5"/>
    <w:rsid w:val="003F32A4"/>
    <w:rsid w:val="003F3BC0"/>
    <w:rsid w:val="003F42E4"/>
    <w:rsid w:val="003F4669"/>
    <w:rsid w:val="003F4980"/>
    <w:rsid w:val="003F508D"/>
    <w:rsid w:val="003F5566"/>
    <w:rsid w:val="003F5608"/>
    <w:rsid w:val="003F5642"/>
    <w:rsid w:val="003F69CB"/>
    <w:rsid w:val="003F7E0C"/>
    <w:rsid w:val="00400007"/>
    <w:rsid w:val="0040000A"/>
    <w:rsid w:val="00400125"/>
    <w:rsid w:val="00400281"/>
    <w:rsid w:val="00400C3B"/>
    <w:rsid w:val="00401082"/>
    <w:rsid w:val="0040127A"/>
    <w:rsid w:val="00401530"/>
    <w:rsid w:val="00401590"/>
    <w:rsid w:val="00401945"/>
    <w:rsid w:val="00402659"/>
    <w:rsid w:val="00402DF6"/>
    <w:rsid w:val="0040300F"/>
    <w:rsid w:val="00403117"/>
    <w:rsid w:val="004040DD"/>
    <w:rsid w:val="004042ED"/>
    <w:rsid w:val="00404AC3"/>
    <w:rsid w:val="00404ECB"/>
    <w:rsid w:val="0040568E"/>
    <w:rsid w:val="0040577D"/>
    <w:rsid w:val="00405A42"/>
    <w:rsid w:val="00405C74"/>
    <w:rsid w:val="00406386"/>
    <w:rsid w:val="004063EF"/>
    <w:rsid w:val="004066E1"/>
    <w:rsid w:val="00407375"/>
    <w:rsid w:val="004077FC"/>
    <w:rsid w:val="00407F4E"/>
    <w:rsid w:val="0041004D"/>
    <w:rsid w:val="0041006F"/>
    <w:rsid w:val="00410119"/>
    <w:rsid w:val="0041079B"/>
    <w:rsid w:val="00410B57"/>
    <w:rsid w:val="00410E4F"/>
    <w:rsid w:val="004113A0"/>
    <w:rsid w:val="0041148E"/>
    <w:rsid w:val="0041192E"/>
    <w:rsid w:val="00411DF8"/>
    <w:rsid w:val="004127B1"/>
    <w:rsid w:val="00412C0B"/>
    <w:rsid w:val="00412FFE"/>
    <w:rsid w:val="0041336B"/>
    <w:rsid w:val="00413382"/>
    <w:rsid w:val="00413875"/>
    <w:rsid w:val="00413CF3"/>
    <w:rsid w:val="0041425E"/>
    <w:rsid w:val="004142AF"/>
    <w:rsid w:val="004145F0"/>
    <w:rsid w:val="00415135"/>
    <w:rsid w:val="00415983"/>
    <w:rsid w:val="00415C98"/>
    <w:rsid w:val="00415D0A"/>
    <w:rsid w:val="00415D22"/>
    <w:rsid w:val="004164DB"/>
    <w:rsid w:val="00416762"/>
    <w:rsid w:val="00416E55"/>
    <w:rsid w:val="00416EA1"/>
    <w:rsid w:val="00417683"/>
    <w:rsid w:val="00417784"/>
    <w:rsid w:val="00417CA3"/>
    <w:rsid w:val="004205A5"/>
    <w:rsid w:val="004208E4"/>
    <w:rsid w:val="00420F7B"/>
    <w:rsid w:val="0042201C"/>
    <w:rsid w:val="00422105"/>
    <w:rsid w:val="004221F7"/>
    <w:rsid w:val="004223B9"/>
    <w:rsid w:val="004229EC"/>
    <w:rsid w:val="00422B9B"/>
    <w:rsid w:val="00422DBA"/>
    <w:rsid w:val="0042394F"/>
    <w:rsid w:val="00423C78"/>
    <w:rsid w:val="00423EB2"/>
    <w:rsid w:val="0042413F"/>
    <w:rsid w:val="00424451"/>
    <w:rsid w:val="0042467D"/>
    <w:rsid w:val="00424C52"/>
    <w:rsid w:val="00425060"/>
    <w:rsid w:val="0042518A"/>
    <w:rsid w:val="00425244"/>
    <w:rsid w:val="004252DC"/>
    <w:rsid w:val="00425B8A"/>
    <w:rsid w:val="00425F45"/>
    <w:rsid w:val="00427071"/>
    <w:rsid w:val="00427169"/>
    <w:rsid w:val="004271F1"/>
    <w:rsid w:val="00427519"/>
    <w:rsid w:val="004276A0"/>
    <w:rsid w:val="00430319"/>
    <w:rsid w:val="004304A5"/>
    <w:rsid w:val="00430702"/>
    <w:rsid w:val="00430908"/>
    <w:rsid w:val="00430C96"/>
    <w:rsid w:val="00430D11"/>
    <w:rsid w:val="004318AD"/>
    <w:rsid w:val="00431C6B"/>
    <w:rsid w:val="0043250C"/>
    <w:rsid w:val="0043251F"/>
    <w:rsid w:val="00432592"/>
    <w:rsid w:val="00432C89"/>
    <w:rsid w:val="00433113"/>
    <w:rsid w:val="004332DF"/>
    <w:rsid w:val="004341C1"/>
    <w:rsid w:val="00434414"/>
    <w:rsid w:val="0043488A"/>
    <w:rsid w:val="00435134"/>
    <w:rsid w:val="0043587D"/>
    <w:rsid w:val="00435A7F"/>
    <w:rsid w:val="00435E3F"/>
    <w:rsid w:val="00436765"/>
    <w:rsid w:val="004373A0"/>
    <w:rsid w:val="00437DB7"/>
    <w:rsid w:val="00437E28"/>
    <w:rsid w:val="00437EB0"/>
    <w:rsid w:val="00437EF7"/>
    <w:rsid w:val="00440029"/>
    <w:rsid w:val="0044035C"/>
    <w:rsid w:val="004403D6"/>
    <w:rsid w:val="0044054A"/>
    <w:rsid w:val="00440EA5"/>
    <w:rsid w:val="00441479"/>
    <w:rsid w:val="0044150F"/>
    <w:rsid w:val="004416C3"/>
    <w:rsid w:val="00441700"/>
    <w:rsid w:val="00441AD6"/>
    <w:rsid w:val="00441C0B"/>
    <w:rsid w:val="00441E68"/>
    <w:rsid w:val="00442161"/>
    <w:rsid w:val="00442259"/>
    <w:rsid w:val="004422C2"/>
    <w:rsid w:val="00443C3F"/>
    <w:rsid w:val="0044402A"/>
    <w:rsid w:val="004440C0"/>
    <w:rsid w:val="004441CB"/>
    <w:rsid w:val="00445265"/>
    <w:rsid w:val="00445393"/>
    <w:rsid w:val="00445637"/>
    <w:rsid w:val="00445728"/>
    <w:rsid w:val="00445AFB"/>
    <w:rsid w:val="00445F4F"/>
    <w:rsid w:val="004460E8"/>
    <w:rsid w:val="004461BE"/>
    <w:rsid w:val="00446238"/>
    <w:rsid w:val="004462F9"/>
    <w:rsid w:val="004469CA"/>
    <w:rsid w:val="00446BF0"/>
    <w:rsid w:val="00446CA8"/>
    <w:rsid w:val="00446DFA"/>
    <w:rsid w:val="00446ECD"/>
    <w:rsid w:val="0044743D"/>
    <w:rsid w:val="00447470"/>
    <w:rsid w:val="004477FC"/>
    <w:rsid w:val="004479C1"/>
    <w:rsid w:val="00447D5C"/>
    <w:rsid w:val="00450271"/>
    <w:rsid w:val="0045040C"/>
    <w:rsid w:val="00450A52"/>
    <w:rsid w:val="00450D63"/>
    <w:rsid w:val="00451331"/>
    <w:rsid w:val="00451672"/>
    <w:rsid w:val="004517F4"/>
    <w:rsid w:val="00452106"/>
    <w:rsid w:val="00452300"/>
    <w:rsid w:val="00452CB0"/>
    <w:rsid w:val="00452F22"/>
    <w:rsid w:val="004534C8"/>
    <w:rsid w:val="00453629"/>
    <w:rsid w:val="004536CE"/>
    <w:rsid w:val="0045387C"/>
    <w:rsid w:val="004538AB"/>
    <w:rsid w:val="0045441E"/>
    <w:rsid w:val="004545C6"/>
    <w:rsid w:val="00454AE3"/>
    <w:rsid w:val="0045556A"/>
    <w:rsid w:val="004555FF"/>
    <w:rsid w:val="004559CE"/>
    <w:rsid w:val="00455A78"/>
    <w:rsid w:val="00456233"/>
    <w:rsid w:val="00456EAC"/>
    <w:rsid w:val="00456FA7"/>
    <w:rsid w:val="00457009"/>
    <w:rsid w:val="0045727F"/>
    <w:rsid w:val="00457548"/>
    <w:rsid w:val="004575AD"/>
    <w:rsid w:val="00457623"/>
    <w:rsid w:val="00457F8B"/>
    <w:rsid w:val="0046008B"/>
    <w:rsid w:val="004602FD"/>
    <w:rsid w:val="004603C5"/>
    <w:rsid w:val="00460830"/>
    <w:rsid w:val="0046096B"/>
    <w:rsid w:val="00460E1A"/>
    <w:rsid w:val="00460FE2"/>
    <w:rsid w:val="0046135A"/>
    <w:rsid w:val="004613DB"/>
    <w:rsid w:val="0046170A"/>
    <w:rsid w:val="0046176A"/>
    <w:rsid w:val="0046198A"/>
    <w:rsid w:val="00462551"/>
    <w:rsid w:val="004625E3"/>
    <w:rsid w:val="004626A0"/>
    <w:rsid w:val="0046336F"/>
    <w:rsid w:val="00463694"/>
    <w:rsid w:val="00463732"/>
    <w:rsid w:val="004637DB"/>
    <w:rsid w:val="00463DF8"/>
    <w:rsid w:val="004643D8"/>
    <w:rsid w:val="00464528"/>
    <w:rsid w:val="00464845"/>
    <w:rsid w:val="00464B88"/>
    <w:rsid w:val="00464C15"/>
    <w:rsid w:val="00464E5B"/>
    <w:rsid w:val="00465587"/>
    <w:rsid w:val="00465599"/>
    <w:rsid w:val="00466493"/>
    <w:rsid w:val="00466A3C"/>
    <w:rsid w:val="00466DDC"/>
    <w:rsid w:val="00466FE7"/>
    <w:rsid w:val="0046767E"/>
    <w:rsid w:val="0046782D"/>
    <w:rsid w:val="00467879"/>
    <w:rsid w:val="00467A02"/>
    <w:rsid w:val="004703DA"/>
    <w:rsid w:val="0047068B"/>
    <w:rsid w:val="00470834"/>
    <w:rsid w:val="004709A2"/>
    <w:rsid w:val="00470E59"/>
    <w:rsid w:val="004719A7"/>
    <w:rsid w:val="00471E57"/>
    <w:rsid w:val="00472240"/>
    <w:rsid w:val="0047267B"/>
    <w:rsid w:val="0047278B"/>
    <w:rsid w:val="00472C9A"/>
    <w:rsid w:val="0047368F"/>
    <w:rsid w:val="004737B6"/>
    <w:rsid w:val="00473BDC"/>
    <w:rsid w:val="00473D18"/>
    <w:rsid w:val="00473D50"/>
    <w:rsid w:val="00473D73"/>
    <w:rsid w:val="00473F1A"/>
    <w:rsid w:val="00474503"/>
    <w:rsid w:val="00474547"/>
    <w:rsid w:val="00474D86"/>
    <w:rsid w:val="00474DD1"/>
    <w:rsid w:val="00475085"/>
    <w:rsid w:val="004752D1"/>
    <w:rsid w:val="00476121"/>
    <w:rsid w:val="0047640D"/>
    <w:rsid w:val="00476773"/>
    <w:rsid w:val="00476CF6"/>
    <w:rsid w:val="00476E1B"/>
    <w:rsid w:val="004771C2"/>
    <w:rsid w:val="00477229"/>
    <w:rsid w:val="0047732A"/>
    <w:rsid w:val="00477618"/>
    <w:rsid w:val="00477990"/>
    <w:rsid w:val="00477AA8"/>
    <w:rsid w:val="00477EB2"/>
    <w:rsid w:val="00477FD4"/>
    <w:rsid w:val="0048040B"/>
    <w:rsid w:val="004805D5"/>
    <w:rsid w:val="00481E9D"/>
    <w:rsid w:val="004820D4"/>
    <w:rsid w:val="0048222A"/>
    <w:rsid w:val="004823A2"/>
    <w:rsid w:val="00482411"/>
    <w:rsid w:val="00482B56"/>
    <w:rsid w:val="00482E25"/>
    <w:rsid w:val="004830B5"/>
    <w:rsid w:val="00483738"/>
    <w:rsid w:val="00483AC7"/>
    <w:rsid w:val="00483B06"/>
    <w:rsid w:val="00483CA8"/>
    <w:rsid w:val="00483EA0"/>
    <w:rsid w:val="0048416F"/>
    <w:rsid w:val="004842BC"/>
    <w:rsid w:val="004847CC"/>
    <w:rsid w:val="00484928"/>
    <w:rsid w:val="004849C7"/>
    <w:rsid w:val="00484ABE"/>
    <w:rsid w:val="00485195"/>
    <w:rsid w:val="0048527F"/>
    <w:rsid w:val="0048544A"/>
    <w:rsid w:val="00485C0D"/>
    <w:rsid w:val="00485E58"/>
    <w:rsid w:val="004863AA"/>
    <w:rsid w:val="004871B4"/>
    <w:rsid w:val="00487857"/>
    <w:rsid w:val="00487C33"/>
    <w:rsid w:val="00490235"/>
    <w:rsid w:val="00490339"/>
    <w:rsid w:val="00490365"/>
    <w:rsid w:val="00490510"/>
    <w:rsid w:val="0049054F"/>
    <w:rsid w:val="00490B41"/>
    <w:rsid w:val="00490C59"/>
    <w:rsid w:val="00491318"/>
    <w:rsid w:val="00492537"/>
    <w:rsid w:val="004926E8"/>
    <w:rsid w:val="00492EC3"/>
    <w:rsid w:val="00492FCB"/>
    <w:rsid w:val="004930F6"/>
    <w:rsid w:val="00493298"/>
    <w:rsid w:val="00493331"/>
    <w:rsid w:val="00493F6E"/>
    <w:rsid w:val="00494091"/>
    <w:rsid w:val="00495472"/>
    <w:rsid w:val="004965DB"/>
    <w:rsid w:val="0049746E"/>
    <w:rsid w:val="00497849"/>
    <w:rsid w:val="00497AA8"/>
    <w:rsid w:val="00497AD8"/>
    <w:rsid w:val="00497F12"/>
    <w:rsid w:val="004A07BA"/>
    <w:rsid w:val="004A0C69"/>
    <w:rsid w:val="004A0D03"/>
    <w:rsid w:val="004A0F11"/>
    <w:rsid w:val="004A1213"/>
    <w:rsid w:val="004A1362"/>
    <w:rsid w:val="004A148C"/>
    <w:rsid w:val="004A166D"/>
    <w:rsid w:val="004A2591"/>
    <w:rsid w:val="004A278B"/>
    <w:rsid w:val="004A37DB"/>
    <w:rsid w:val="004A3C88"/>
    <w:rsid w:val="004A3EAA"/>
    <w:rsid w:val="004A3F79"/>
    <w:rsid w:val="004A4191"/>
    <w:rsid w:val="004A47A5"/>
    <w:rsid w:val="004A48DA"/>
    <w:rsid w:val="004A490C"/>
    <w:rsid w:val="004A4B84"/>
    <w:rsid w:val="004A4C04"/>
    <w:rsid w:val="004A54A3"/>
    <w:rsid w:val="004A54F0"/>
    <w:rsid w:val="004A5864"/>
    <w:rsid w:val="004A5B69"/>
    <w:rsid w:val="004A5CE8"/>
    <w:rsid w:val="004A5D88"/>
    <w:rsid w:val="004A6565"/>
    <w:rsid w:val="004A75CB"/>
    <w:rsid w:val="004A7747"/>
    <w:rsid w:val="004A7D97"/>
    <w:rsid w:val="004B121F"/>
    <w:rsid w:val="004B12C4"/>
    <w:rsid w:val="004B12EF"/>
    <w:rsid w:val="004B1372"/>
    <w:rsid w:val="004B1576"/>
    <w:rsid w:val="004B170B"/>
    <w:rsid w:val="004B190A"/>
    <w:rsid w:val="004B1959"/>
    <w:rsid w:val="004B1C24"/>
    <w:rsid w:val="004B1E26"/>
    <w:rsid w:val="004B22CF"/>
    <w:rsid w:val="004B2321"/>
    <w:rsid w:val="004B285E"/>
    <w:rsid w:val="004B2A55"/>
    <w:rsid w:val="004B2FB7"/>
    <w:rsid w:val="004B3B1F"/>
    <w:rsid w:val="004B402B"/>
    <w:rsid w:val="004B50C0"/>
    <w:rsid w:val="004B5133"/>
    <w:rsid w:val="004B5472"/>
    <w:rsid w:val="004B556A"/>
    <w:rsid w:val="004B557A"/>
    <w:rsid w:val="004B55AE"/>
    <w:rsid w:val="004B6082"/>
    <w:rsid w:val="004B6338"/>
    <w:rsid w:val="004B640E"/>
    <w:rsid w:val="004B6C9F"/>
    <w:rsid w:val="004B6D68"/>
    <w:rsid w:val="004B7299"/>
    <w:rsid w:val="004B731E"/>
    <w:rsid w:val="004B7CC3"/>
    <w:rsid w:val="004B7FF6"/>
    <w:rsid w:val="004C0914"/>
    <w:rsid w:val="004C136D"/>
    <w:rsid w:val="004C1789"/>
    <w:rsid w:val="004C1FF2"/>
    <w:rsid w:val="004C21C6"/>
    <w:rsid w:val="004C26C6"/>
    <w:rsid w:val="004C28FA"/>
    <w:rsid w:val="004C2DE8"/>
    <w:rsid w:val="004C3074"/>
    <w:rsid w:val="004C30E5"/>
    <w:rsid w:val="004C31B6"/>
    <w:rsid w:val="004C3A1D"/>
    <w:rsid w:val="004C3C85"/>
    <w:rsid w:val="004C3F1F"/>
    <w:rsid w:val="004C407A"/>
    <w:rsid w:val="004C41B6"/>
    <w:rsid w:val="004C4626"/>
    <w:rsid w:val="004C488C"/>
    <w:rsid w:val="004C49AF"/>
    <w:rsid w:val="004C4E2A"/>
    <w:rsid w:val="004C57F3"/>
    <w:rsid w:val="004C5C65"/>
    <w:rsid w:val="004C5F00"/>
    <w:rsid w:val="004C65E8"/>
    <w:rsid w:val="004C6903"/>
    <w:rsid w:val="004C6F94"/>
    <w:rsid w:val="004C796A"/>
    <w:rsid w:val="004C7DD1"/>
    <w:rsid w:val="004C7E40"/>
    <w:rsid w:val="004D07CF"/>
    <w:rsid w:val="004D0951"/>
    <w:rsid w:val="004D0D32"/>
    <w:rsid w:val="004D0D65"/>
    <w:rsid w:val="004D1659"/>
    <w:rsid w:val="004D177D"/>
    <w:rsid w:val="004D1A4C"/>
    <w:rsid w:val="004D212F"/>
    <w:rsid w:val="004D2637"/>
    <w:rsid w:val="004D2B1B"/>
    <w:rsid w:val="004D344A"/>
    <w:rsid w:val="004D34E7"/>
    <w:rsid w:val="004D3ABD"/>
    <w:rsid w:val="004D408C"/>
    <w:rsid w:val="004D481D"/>
    <w:rsid w:val="004D4995"/>
    <w:rsid w:val="004D4A11"/>
    <w:rsid w:val="004D5372"/>
    <w:rsid w:val="004D5747"/>
    <w:rsid w:val="004D62FB"/>
    <w:rsid w:val="004D6E37"/>
    <w:rsid w:val="004D6EB3"/>
    <w:rsid w:val="004D6F10"/>
    <w:rsid w:val="004D7027"/>
    <w:rsid w:val="004D7CA4"/>
    <w:rsid w:val="004E00EA"/>
    <w:rsid w:val="004E0320"/>
    <w:rsid w:val="004E057E"/>
    <w:rsid w:val="004E0ACC"/>
    <w:rsid w:val="004E1230"/>
    <w:rsid w:val="004E190D"/>
    <w:rsid w:val="004E19E7"/>
    <w:rsid w:val="004E1D51"/>
    <w:rsid w:val="004E2203"/>
    <w:rsid w:val="004E3239"/>
    <w:rsid w:val="004E3251"/>
    <w:rsid w:val="004E3EC9"/>
    <w:rsid w:val="004E474F"/>
    <w:rsid w:val="004E4AEA"/>
    <w:rsid w:val="004E5069"/>
    <w:rsid w:val="004E529D"/>
    <w:rsid w:val="004E5642"/>
    <w:rsid w:val="004E58BA"/>
    <w:rsid w:val="004E6361"/>
    <w:rsid w:val="004E63B9"/>
    <w:rsid w:val="004E664D"/>
    <w:rsid w:val="004E684D"/>
    <w:rsid w:val="004E6D04"/>
    <w:rsid w:val="004E6F45"/>
    <w:rsid w:val="004E7CEF"/>
    <w:rsid w:val="004F0273"/>
    <w:rsid w:val="004F027B"/>
    <w:rsid w:val="004F0300"/>
    <w:rsid w:val="004F113D"/>
    <w:rsid w:val="004F1ADC"/>
    <w:rsid w:val="004F1B44"/>
    <w:rsid w:val="004F26D0"/>
    <w:rsid w:val="004F272F"/>
    <w:rsid w:val="004F300E"/>
    <w:rsid w:val="004F3017"/>
    <w:rsid w:val="004F35AF"/>
    <w:rsid w:val="004F35B1"/>
    <w:rsid w:val="004F3CB5"/>
    <w:rsid w:val="004F3D19"/>
    <w:rsid w:val="004F42A7"/>
    <w:rsid w:val="004F4893"/>
    <w:rsid w:val="004F4969"/>
    <w:rsid w:val="004F4A5D"/>
    <w:rsid w:val="004F4B10"/>
    <w:rsid w:val="004F4B92"/>
    <w:rsid w:val="004F4BD2"/>
    <w:rsid w:val="004F4ED8"/>
    <w:rsid w:val="004F505D"/>
    <w:rsid w:val="004F526F"/>
    <w:rsid w:val="004F57B8"/>
    <w:rsid w:val="004F59A2"/>
    <w:rsid w:val="004F5CD5"/>
    <w:rsid w:val="004F6396"/>
    <w:rsid w:val="004F6819"/>
    <w:rsid w:val="004F70B5"/>
    <w:rsid w:val="004F774D"/>
    <w:rsid w:val="004F7838"/>
    <w:rsid w:val="004F7851"/>
    <w:rsid w:val="004F7906"/>
    <w:rsid w:val="005008B5"/>
    <w:rsid w:val="00500A89"/>
    <w:rsid w:val="00500B0B"/>
    <w:rsid w:val="005013AB"/>
    <w:rsid w:val="005017B1"/>
    <w:rsid w:val="00501BA7"/>
    <w:rsid w:val="00501C29"/>
    <w:rsid w:val="00501CC1"/>
    <w:rsid w:val="0050212B"/>
    <w:rsid w:val="005021F2"/>
    <w:rsid w:val="0050307D"/>
    <w:rsid w:val="005034E6"/>
    <w:rsid w:val="00503BE4"/>
    <w:rsid w:val="00503CE8"/>
    <w:rsid w:val="00503D53"/>
    <w:rsid w:val="005040FD"/>
    <w:rsid w:val="0050420C"/>
    <w:rsid w:val="0050424E"/>
    <w:rsid w:val="005047F7"/>
    <w:rsid w:val="00505124"/>
    <w:rsid w:val="00505979"/>
    <w:rsid w:val="00505B8C"/>
    <w:rsid w:val="00505C94"/>
    <w:rsid w:val="0050617A"/>
    <w:rsid w:val="00506589"/>
    <w:rsid w:val="00506804"/>
    <w:rsid w:val="0050682B"/>
    <w:rsid w:val="00506D3A"/>
    <w:rsid w:val="00506F09"/>
    <w:rsid w:val="00507300"/>
    <w:rsid w:val="0050747B"/>
    <w:rsid w:val="0050771A"/>
    <w:rsid w:val="0050771C"/>
    <w:rsid w:val="005078B5"/>
    <w:rsid w:val="00507C70"/>
    <w:rsid w:val="00507CD2"/>
    <w:rsid w:val="00507E4E"/>
    <w:rsid w:val="0051025F"/>
    <w:rsid w:val="0051048F"/>
    <w:rsid w:val="00510980"/>
    <w:rsid w:val="0051143C"/>
    <w:rsid w:val="005116C7"/>
    <w:rsid w:val="00511898"/>
    <w:rsid w:val="005120C2"/>
    <w:rsid w:val="005121B7"/>
    <w:rsid w:val="00512407"/>
    <w:rsid w:val="00512BD6"/>
    <w:rsid w:val="00512DF2"/>
    <w:rsid w:val="00512E32"/>
    <w:rsid w:val="0051303F"/>
    <w:rsid w:val="005130F5"/>
    <w:rsid w:val="00513BF9"/>
    <w:rsid w:val="00513D6C"/>
    <w:rsid w:val="00513DFD"/>
    <w:rsid w:val="005144E4"/>
    <w:rsid w:val="00514D36"/>
    <w:rsid w:val="00515C21"/>
    <w:rsid w:val="005163FF"/>
    <w:rsid w:val="00516785"/>
    <w:rsid w:val="0051682D"/>
    <w:rsid w:val="00516F8A"/>
    <w:rsid w:val="005173F1"/>
    <w:rsid w:val="00517697"/>
    <w:rsid w:val="005176E1"/>
    <w:rsid w:val="00517B99"/>
    <w:rsid w:val="00517C10"/>
    <w:rsid w:val="0052061F"/>
    <w:rsid w:val="0052082B"/>
    <w:rsid w:val="005208DC"/>
    <w:rsid w:val="00520D49"/>
    <w:rsid w:val="00520EE4"/>
    <w:rsid w:val="00520EFF"/>
    <w:rsid w:val="00521383"/>
    <w:rsid w:val="005216E8"/>
    <w:rsid w:val="00521804"/>
    <w:rsid w:val="00521F2D"/>
    <w:rsid w:val="00522220"/>
    <w:rsid w:val="005229C8"/>
    <w:rsid w:val="00522D5B"/>
    <w:rsid w:val="00522F09"/>
    <w:rsid w:val="00523068"/>
    <w:rsid w:val="0052368F"/>
    <w:rsid w:val="00523B51"/>
    <w:rsid w:val="0052419D"/>
    <w:rsid w:val="005242C2"/>
    <w:rsid w:val="00524667"/>
    <w:rsid w:val="0052486A"/>
    <w:rsid w:val="005251CD"/>
    <w:rsid w:val="0052553E"/>
    <w:rsid w:val="005255CE"/>
    <w:rsid w:val="00525615"/>
    <w:rsid w:val="005257BD"/>
    <w:rsid w:val="00526048"/>
    <w:rsid w:val="005260E2"/>
    <w:rsid w:val="005261C7"/>
    <w:rsid w:val="005265EF"/>
    <w:rsid w:val="00526974"/>
    <w:rsid w:val="00526DF6"/>
    <w:rsid w:val="00527433"/>
    <w:rsid w:val="0052787B"/>
    <w:rsid w:val="00527F45"/>
    <w:rsid w:val="00530097"/>
    <w:rsid w:val="005301F8"/>
    <w:rsid w:val="0053048C"/>
    <w:rsid w:val="005309CE"/>
    <w:rsid w:val="00530D92"/>
    <w:rsid w:val="00531107"/>
    <w:rsid w:val="0053119C"/>
    <w:rsid w:val="005312FC"/>
    <w:rsid w:val="005317DD"/>
    <w:rsid w:val="005319C2"/>
    <w:rsid w:val="00532561"/>
    <w:rsid w:val="00532861"/>
    <w:rsid w:val="00532B32"/>
    <w:rsid w:val="00533115"/>
    <w:rsid w:val="005331CF"/>
    <w:rsid w:val="00533548"/>
    <w:rsid w:val="0053394E"/>
    <w:rsid w:val="00533B11"/>
    <w:rsid w:val="005340B2"/>
    <w:rsid w:val="005349B3"/>
    <w:rsid w:val="00534A1C"/>
    <w:rsid w:val="00534BAB"/>
    <w:rsid w:val="005353A3"/>
    <w:rsid w:val="00535578"/>
    <w:rsid w:val="0053559D"/>
    <w:rsid w:val="0053569E"/>
    <w:rsid w:val="00535C04"/>
    <w:rsid w:val="00535ED8"/>
    <w:rsid w:val="0053603D"/>
    <w:rsid w:val="00536410"/>
    <w:rsid w:val="0053651F"/>
    <w:rsid w:val="00537299"/>
    <w:rsid w:val="005373BB"/>
    <w:rsid w:val="0053742A"/>
    <w:rsid w:val="00537517"/>
    <w:rsid w:val="00537AE6"/>
    <w:rsid w:val="00537C85"/>
    <w:rsid w:val="005405C5"/>
    <w:rsid w:val="00540940"/>
    <w:rsid w:val="00540941"/>
    <w:rsid w:val="005409F6"/>
    <w:rsid w:val="00541710"/>
    <w:rsid w:val="00541C1E"/>
    <w:rsid w:val="00541D29"/>
    <w:rsid w:val="0054253B"/>
    <w:rsid w:val="0054283E"/>
    <w:rsid w:val="00542DC8"/>
    <w:rsid w:val="0054306D"/>
    <w:rsid w:val="00543440"/>
    <w:rsid w:val="0054361C"/>
    <w:rsid w:val="00543BEB"/>
    <w:rsid w:val="005440ED"/>
    <w:rsid w:val="00544168"/>
    <w:rsid w:val="0054434D"/>
    <w:rsid w:val="005459E7"/>
    <w:rsid w:val="00545BEB"/>
    <w:rsid w:val="00545E8B"/>
    <w:rsid w:val="00545ED6"/>
    <w:rsid w:val="005460EA"/>
    <w:rsid w:val="00546739"/>
    <w:rsid w:val="00547404"/>
    <w:rsid w:val="005476A5"/>
    <w:rsid w:val="005476C0"/>
    <w:rsid w:val="0055033F"/>
    <w:rsid w:val="0055072C"/>
    <w:rsid w:val="00550B23"/>
    <w:rsid w:val="00550BB9"/>
    <w:rsid w:val="00550CD3"/>
    <w:rsid w:val="00551228"/>
    <w:rsid w:val="00551691"/>
    <w:rsid w:val="005518CD"/>
    <w:rsid w:val="005521C6"/>
    <w:rsid w:val="005522BA"/>
    <w:rsid w:val="0055262B"/>
    <w:rsid w:val="005527B6"/>
    <w:rsid w:val="00552FFE"/>
    <w:rsid w:val="005531D9"/>
    <w:rsid w:val="005533DD"/>
    <w:rsid w:val="00553557"/>
    <w:rsid w:val="00553D97"/>
    <w:rsid w:val="00553F5A"/>
    <w:rsid w:val="005540BC"/>
    <w:rsid w:val="0055494B"/>
    <w:rsid w:val="00554DBB"/>
    <w:rsid w:val="00554F57"/>
    <w:rsid w:val="005559D4"/>
    <w:rsid w:val="00555EAD"/>
    <w:rsid w:val="00555F87"/>
    <w:rsid w:val="005562DD"/>
    <w:rsid w:val="0055665D"/>
    <w:rsid w:val="00556C48"/>
    <w:rsid w:val="005570D7"/>
    <w:rsid w:val="00557848"/>
    <w:rsid w:val="005600D3"/>
    <w:rsid w:val="005601F0"/>
    <w:rsid w:val="00560492"/>
    <w:rsid w:val="00560733"/>
    <w:rsid w:val="00560783"/>
    <w:rsid w:val="005608C1"/>
    <w:rsid w:val="005608D3"/>
    <w:rsid w:val="005611C5"/>
    <w:rsid w:val="0056144D"/>
    <w:rsid w:val="00562CF4"/>
    <w:rsid w:val="00562E94"/>
    <w:rsid w:val="00562F17"/>
    <w:rsid w:val="00563355"/>
    <w:rsid w:val="00563FB3"/>
    <w:rsid w:val="00564033"/>
    <w:rsid w:val="005641B9"/>
    <w:rsid w:val="005646D6"/>
    <w:rsid w:val="0056499E"/>
    <w:rsid w:val="00564A73"/>
    <w:rsid w:val="00564E3B"/>
    <w:rsid w:val="005655BC"/>
    <w:rsid w:val="005657B4"/>
    <w:rsid w:val="0056582C"/>
    <w:rsid w:val="00565C91"/>
    <w:rsid w:val="00565E8F"/>
    <w:rsid w:val="005661C4"/>
    <w:rsid w:val="0056624D"/>
    <w:rsid w:val="005662BB"/>
    <w:rsid w:val="00566340"/>
    <w:rsid w:val="005666A6"/>
    <w:rsid w:val="00566E68"/>
    <w:rsid w:val="00566F11"/>
    <w:rsid w:val="00566F63"/>
    <w:rsid w:val="00567309"/>
    <w:rsid w:val="00567475"/>
    <w:rsid w:val="0056752D"/>
    <w:rsid w:val="005676E1"/>
    <w:rsid w:val="00567799"/>
    <w:rsid w:val="00567CE2"/>
    <w:rsid w:val="0057015A"/>
    <w:rsid w:val="00570B27"/>
    <w:rsid w:val="00570FA2"/>
    <w:rsid w:val="005710A7"/>
    <w:rsid w:val="005713CD"/>
    <w:rsid w:val="005715CE"/>
    <w:rsid w:val="0057173B"/>
    <w:rsid w:val="00571ABA"/>
    <w:rsid w:val="00571CC9"/>
    <w:rsid w:val="00571E15"/>
    <w:rsid w:val="00572FCA"/>
    <w:rsid w:val="005731C2"/>
    <w:rsid w:val="00573BB9"/>
    <w:rsid w:val="00573F6B"/>
    <w:rsid w:val="00574A44"/>
    <w:rsid w:val="00574D7D"/>
    <w:rsid w:val="00574F15"/>
    <w:rsid w:val="005752CF"/>
    <w:rsid w:val="00575E08"/>
    <w:rsid w:val="00576997"/>
    <w:rsid w:val="00576C05"/>
    <w:rsid w:val="00576CD0"/>
    <w:rsid w:val="00576EA2"/>
    <w:rsid w:val="00577181"/>
    <w:rsid w:val="00577BFD"/>
    <w:rsid w:val="00577F27"/>
    <w:rsid w:val="00581185"/>
    <w:rsid w:val="0058124A"/>
    <w:rsid w:val="005812A7"/>
    <w:rsid w:val="00581391"/>
    <w:rsid w:val="005814C6"/>
    <w:rsid w:val="0058163F"/>
    <w:rsid w:val="005817DD"/>
    <w:rsid w:val="005818A1"/>
    <w:rsid w:val="00581B25"/>
    <w:rsid w:val="00581CD6"/>
    <w:rsid w:val="00582119"/>
    <w:rsid w:val="0058261F"/>
    <w:rsid w:val="00582830"/>
    <w:rsid w:val="00583166"/>
    <w:rsid w:val="005836CF"/>
    <w:rsid w:val="00584010"/>
    <w:rsid w:val="005849C3"/>
    <w:rsid w:val="00584A2C"/>
    <w:rsid w:val="00584A42"/>
    <w:rsid w:val="005851D2"/>
    <w:rsid w:val="00585270"/>
    <w:rsid w:val="00585546"/>
    <w:rsid w:val="00585FB5"/>
    <w:rsid w:val="00586571"/>
    <w:rsid w:val="005868DE"/>
    <w:rsid w:val="00586B4B"/>
    <w:rsid w:val="00586BCF"/>
    <w:rsid w:val="00586E10"/>
    <w:rsid w:val="005877AC"/>
    <w:rsid w:val="00587A14"/>
    <w:rsid w:val="00587A35"/>
    <w:rsid w:val="00590169"/>
    <w:rsid w:val="00590452"/>
    <w:rsid w:val="005904B8"/>
    <w:rsid w:val="00590828"/>
    <w:rsid w:val="00590919"/>
    <w:rsid w:val="00590952"/>
    <w:rsid w:val="00590FBC"/>
    <w:rsid w:val="00591222"/>
    <w:rsid w:val="00591B94"/>
    <w:rsid w:val="0059260F"/>
    <w:rsid w:val="00592C32"/>
    <w:rsid w:val="00592E57"/>
    <w:rsid w:val="00592F66"/>
    <w:rsid w:val="0059364D"/>
    <w:rsid w:val="005941FC"/>
    <w:rsid w:val="005944B3"/>
    <w:rsid w:val="00595F00"/>
    <w:rsid w:val="00596248"/>
    <w:rsid w:val="005966B7"/>
    <w:rsid w:val="0059740C"/>
    <w:rsid w:val="00597490"/>
    <w:rsid w:val="00597CA2"/>
    <w:rsid w:val="00597E28"/>
    <w:rsid w:val="00597FC6"/>
    <w:rsid w:val="005A0555"/>
    <w:rsid w:val="005A07C4"/>
    <w:rsid w:val="005A17A7"/>
    <w:rsid w:val="005A1E02"/>
    <w:rsid w:val="005A1F73"/>
    <w:rsid w:val="005A1FE6"/>
    <w:rsid w:val="005A2929"/>
    <w:rsid w:val="005A2E1A"/>
    <w:rsid w:val="005A3383"/>
    <w:rsid w:val="005A360A"/>
    <w:rsid w:val="005A39AA"/>
    <w:rsid w:val="005A3D5A"/>
    <w:rsid w:val="005A4334"/>
    <w:rsid w:val="005A471D"/>
    <w:rsid w:val="005A4A6A"/>
    <w:rsid w:val="005A4C06"/>
    <w:rsid w:val="005A54FB"/>
    <w:rsid w:val="005A58A1"/>
    <w:rsid w:val="005A5A45"/>
    <w:rsid w:val="005A5EF2"/>
    <w:rsid w:val="005A5F46"/>
    <w:rsid w:val="005A6525"/>
    <w:rsid w:val="005A6BE7"/>
    <w:rsid w:val="005A6CD6"/>
    <w:rsid w:val="005A6E0A"/>
    <w:rsid w:val="005A70E5"/>
    <w:rsid w:val="005A71BF"/>
    <w:rsid w:val="005A7261"/>
    <w:rsid w:val="005A7407"/>
    <w:rsid w:val="005A7482"/>
    <w:rsid w:val="005A75C6"/>
    <w:rsid w:val="005A765B"/>
    <w:rsid w:val="005A7877"/>
    <w:rsid w:val="005A7C81"/>
    <w:rsid w:val="005B025D"/>
    <w:rsid w:val="005B0B06"/>
    <w:rsid w:val="005B0D64"/>
    <w:rsid w:val="005B1139"/>
    <w:rsid w:val="005B114F"/>
    <w:rsid w:val="005B156E"/>
    <w:rsid w:val="005B182A"/>
    <w:rsid w:val="005B1AF8"/>
    <w:rsid w:val="005B1CC6"/>
    <w:rsid w:val="005B1F71"/>
    <w:rsid w:val="005B2639"/>
    <w:rsid w:val="005B2AB4"/>
    <w:rsid w:val="005B2B26"/>
    <w:rsid w:val="005B3561"/>
    <w:rsid w:val="005B3AD3"/>
    <w:rsid w:val="005B3E4E"/>
    <w:rsid w:val="005B43ED"/>
    <w:rsid w:val="005B4745"/>
    <w:rsid w:val="005B4A0B"/>
    <w:rsid w:val="005B4FB0"/>
    <w:rsid w:val="005B511B"/>
    <w:rsid w:val="005B557F"/>
    <w:rsid w:val="005B5A75"/>
    <w:rsid w:val="005B5BB8"/>
    <w:rsid w:val="005B5C34"/>
    <w:rsid w:val="005B5DB9"/>
    <w:rsid w:val="005B5E2A"/>
    <w:rsid w:val="005B633A"/>
    <w:rsid w:val="005B6649"/>
    <w:rsid w:val="005B7CE2"/>
    <w:rsid w:val="005C0041"/>
    <w:rsid w:val="005C0121"/>
    <w:rsid w:val="005C022C"/>
    <w:rsid w:val="005C02A4"/>
    <w:rsid w:val="005C055C"/>
    <w:rsid w:val="005C0D42"/>
    <w:rsid w:val="005C0F98"/>
    <w:rsid w:val="005C117D"/>
    <w:rsid w:val="005C20D2"/>
    <w:rsid w:val="005C2500"/>
    <w:rsid w:val="005C264F"/>
    <w:rsid w:val="005C2711"/>
    <w:rsid w:val="005C2A34"/>
    <w:rsid w:val="005C2D2E"/>
    <w:rsid w:val="005C32FE"/>
    <w:rsid w:val="005C4A10"/>
    <w:rsid w:val="005C4C31"/>
    <w:rsid w:val="005C503A"/>
    <w:rsid w:val="005C5513"/>
    <w:rsid w:val="005C5809"/>
    <w:rsid w:val="005C5F86"/>
    <w:rsid w:val="005C6139"/>
    <w:rsid w:val="005C695E"/>
    <w:rsid w:val="005C703B"/>
    <w:rsid w:val="005C7334"/>
    <w:rsid w:val="005C7ABC"/>
    <w:rsid w:val="005C7C97"/>
    <w:rsid w:val="005C7F2C"/>
    <w:rsid w:val="005C7FC0"/>
    <w:rsid w:val="005D024A"/>
    <w:rsid w:val="005D0908"/>
    <w:rsid w:val="005D09DC"/>
    <w:rsid w:val="005D0D9C"/>
    <w:rsid w:val="005D0F66"/>
    <w:rsid w:val="005D1455"/>
    <w:rsid w:val="005D1855"/>
    <w:rsid w:val="005D222E"/>
    <w:rsid w:val="005D2288"/>
    <w:rsid w:val="005D2524"/>
    <w:rsid w:val="005D2669"/>
    <w:rsid w:val="005D2914"/>
    <w:rsid w:val="005D2CAA"/>
    <w:rsid w:val="005D2FBD"/>
    <w:rsid w:val="005D3359"/>
    <w:rsid w:val="005D3A46"/>
    <w:rsid w:val="005D3AC4"/>
    <w:rsid w:val="005D3C51"/>
    <w:rsid w:val="005D48F3"/>
    <w:rsid w:val="005D49EA"/>
    <w:rsid w:val="005D4B87"/>
    <w:rsid w:val="005D4FD4"/>
    <w:rsid w:val="005D522D"/>
    <w:rsid w:val="005D5B8A"/>
    <w:rsid w:val="005D6142"/>
    <w:rsid w:val="005D6D64"/>
    <w:rsid w:val="005D6F52"/>
    <w:rsid w:val="005D71D5"/>
    <w:rsid w:val="005D7698"/>
    <w:rsid w:val="005D7841"/>
    <w:rsid w:val="005D7AEF"/>
    <w:rsid w:val="005D7C43"/>
    <w:rsid w:val="005D7D98"/>
    <w:rsid w:val="005D7F0C"/>
    <w:rsid w:val="005E01BA"/>
    <w:rsid w:val="005E1232"/>
    <w:rsid w:val="005E127A"/>
    <w:rsid w:val="005E12DC"/>
    <w:rsid w:val="005E2095"/>
    <w:rsid w:val="005E2155"/>
    <w:rsid w:val="005E2256"/>
    <w:rsid w:val="005E286A"/>
    <w:rsid w:val="005E29A4"/>
    <w:rsid w:val="005E2D8F"/>
    <w:rsid w:val="005E2EA9"/>
    <w:rsid w:val="005E2F71"/>
    <w:rsid w:val="005E3D31"/>
    <w:rsid w:val="005E3D38"/>
    <w:rsid w:val="005E3F8A"/>
    <w:rsid w:val="005E411D"/>
    <w:rsid w:val="005E41DF"/>
    <w:rsid w:val="005E4226"/>
    <w:rsid w:val="005E4448"/>
    <w:rsid w:val="005E4C8A"/>
    <w:rsid w:val="005E5B89"/>
    <w:rsid w:val="005E6097"/>
    <w:rsid w:val="005E6224"/>
    <w:rsid w:val="005E6D0E"/>
    <w:rsid w:val="005E7377"/>
    <w:rsid w:val="005E74A7"/>
    <w:rsid w:val="005E752D"/>
    <w:rsid w:val="005E76F2"/>
    <w:rsid w:val="005E78F7"/>
    <w:rsid w:val="005E7A21"/>
    <w:rsid w:val="005E7D10"/>
    <w:rsid w:val="005F0136"/>
    <w:rsid w:val="005F0403"/>
    <w:rsid w:val="005F054E"/>
    <w:rsid w:val="005F0A28"/>
    <w:rsid w:val="005F10CE"/>
    <w:rsid w:val="005F1770"/>
    <w:rsid w:val="005F1845"/>
    <w:rsid w:val="005F1A54"/>
    <w:rsid w:val="005F1E2F"/>
    <w:rsid w:val="005F20A3"/>
    <w:rsid w:val="005F266B"/>
    <w:rsid w:val="005F2A14"/>
    <w:rsid w:val="005F2C08"/>
    <w:rsid w:val="005F2E54"/>
    <w:rsid w:val="005F2E6A"/>
    <w:rsid w:val="005F2F41"/>
    <w:rsid w:val="005F3020"/>
    <w:rsid w:val="005F3149"/>
    <w:rsid w:val="005F34B4"/>
    <w:rsid w:val="005F37CC"/>
    <w:rsid w:val="005F39B7"/>
    <w:rsid w:val="005F3BBA"/>
    <w:rsid w:val="005F3C28"/>
    <w:rsid w:val="005F4D68"/>
    <w:rsid w:val="005F4EA4"/>
    <w:rsid w:val="005F51A5"/>
    <w:rsid w:val="005F56A7"/>
    <w:rsid w:val="005F576C"/>
    <w:rsid w:val="005F5B73"/>
    <w:rsid w:val="005F5DED"/>
    <w:rsid w:val="005F60CB"/>
    <w:rsid w:val="005F6379"/>
    <w:rsid w:val="005F66AE"/>
    <w:rsid w:val="005F68FA"/>
    <w:rsid w:val="005F6956"/>
    <w:rsid w:val="005F6A93"/>
    <w:rsid w:val="005F7122"/>
    <w:rsid w:val="005F784F"/>
    <w:rsid w:val="005F7853"/>
    <w:rsid w:val="005F78BD"/>
    <w:rsid w:val="005F7C2D"/>
    <w:rsid w:val="005F7C4D"/>
    <w:rsid w:val="005F7E3A"/>
    <w:rsid w:val="006000C1"/>
    <w:rsid w:val="00600200"/>
    <w:rsid w:val="00600754"/>
    <w:rsid w:val="006009AF"/>
    <w:rsid w:val="00600CEF"/>
    <w:rsid w:val="006010CB"/>
    <w:rsid w:val="0060128D"/>
    <w:rsid w:val="0060134D"/>
    <w:rsid w:val="006013CB"/>
    <w:rsid w:val="00601536"/>
    <w:rsid w:val="00601650"/>
    <w:rsid w:val="0060177A"/>
    <w:rsid w:val="0060189B"/>
    <w:rsid w:val="00601D00"/>
    <w:rsid w:val="00601E41"/>
    <w:rsid w:val="00602302"/>
    <w:rsid w:val="006027C5"/>
    <w:rsid w:val="0060301D"/>
    <w:rsid w:val="0060328D"/>
    <w:rsid w:val="006036F8"/>
    <w:rsid w:val="00603D2D"/>
    <w:rsid w:val="00603D6B"/>
    <w:rsid w:val="00603EBD"/>
    <w:rsid w:val="00603ED1"/>
    <w:rsid w:val="00604745"/>
    <w:rsid w:val="006047A3"/>
    <w:rsid w:val="00604EEF"/>
    <w:rsid w:val="0060575D"/>
    <w:rsid w:val="00605AFD"/>
    <w:rsid w:val="006062A2"/>
    <w:rsid w:val="0060630A"/>
    <w:rsid w:val="00606514"/>
    <w:rsid w:val="00606844"/>
    <w:rsid w:val="006069D9"/>
    <w:rsid w:val="006070A8"/>
    <w:rsid w:val="006073A6"/>
    <w:rsid w:val="00607612"/>
    <w:rsid w:val="00607CAA"/>
    <w:rsid w:val="00607DCE"/>
    <w:rsid w:val="0061019B"/>
    <w:rsid w:val="00610919"/>
    <w:rsid w:val="0061154B"/>
    <w:rsid w:val="00611F2E"/>
    <w:rsid w:val="00611F7E"/>
    <w:rsid w:val="00611F92"/>
    <w:rsid w:val="006123D4"/>
    <w:rsid w:val="006123F1"/>
    <w:rsid w:val="00613990"/>
    <w:rsid w:val="00613F2F"/>
    <w:rsid w:val="006141A9"/>
    <w:rsid w:val="006141FC"/>
    <w:rsid w:val="00614301"/>
    <w:rsid w:val="0061445B"/>
    <w:rsid w:val="00614537"/>
    <w:rsid w:val="006148B8"/>
    <w:rsid w:val="00616162"/>
    <w:rsid w:val="00616E2D"/>
    <w:rsid w:val="00617DE5"/>
    <w:rsid w:val="00617E09"/>
    <w:rsid w:val="00617F3C"/>
    <w:rsid w:val="00620061"/>
    <w:rsid w:val="00620234"/>
    <w:rsid w:val="0062089C"/>
    <w:rsid w:val="00620D4B"/>
    <w:rsid w:val="00620E00"/>
    <w:rsid w:val="00622240"/>
    <w:rsid w:val="0062264E"/>
    <w:rsid w:val="00622A6B"/>
    <w:rsid w:val="00622A81"/>
    <w:rsid w:val="006233EE"/>
    <w:rsid w:val="0062367A"/>
    <w:rsid w:val="0062449F"/>
    <w:rsid w:val="00624606"/>
    <w:rsid w:val="00624C4B"/>
    <w:rsid w:val="00624E65"/>
    <w:rsid w:val="00625097"/>
    <w:rsid w:val="00625C23"/>
    <w:rsid w:val="00626483"/>
    <w:rsid w:val="0062665E"/>
    <w:rsid w:val="006267F0"/>
    <w:rsid w:val="00626F26"/>
    <w:rsid w:val="00627037"/>
    <w:rsid w:val="006270EB"/>
    <w:rsid w:val="0062716C"/>
    <w:rsid w:val="00627241"/>
    <w:rsid w:val="0062732B"/>
    <w:rsid w:val="006275F6"/>
    <w:rsid w:val="006276D0"/>
    <w:rsid w:val="00627C27"/>
    <w:rsid w:val="00627FDF"/>
    <w:rsid w:val="00630486"/>
    <w:rsid w:val="00630893"/>
    <w:rsid w:val="00630A09"/>
    <w:rsid w:val="00631613"/>
    <w:rsid w:val="006316F3"/>
    <w:rsid w:val="00631862"/>
    <w:rsid w:val="00631AE1"/>
    <w:rsid w:val="00631D8B"/>
    <w:rsid w:val="006323E4"/>
    <w:rsid w:val="0063266E"/>
    <w:rsid w:val="00632673"/>
    <w:rsid w:val="006327CA"/>
    <w:rsid w:val="0063284E"/>
    <w:rsid w:val="00632B5D"/>
    <w:rsid w:val="00632C2A"/>
    <w:rsid w:val="006336BF"/>
    <w:rsid w:val="0063385D"/>
    <w:rsid w:val="006339EE"/>
    <w:rsid w:val="006343D8"/>
    <w:rsid w:val="00634532"/>
    <w:rsid w:val="006346B0"/>
    <w:rsid w:val="0063540F"/>
    <w:rsid w:val="006355C3"/>
    <w:rsid w:val="00635706"/>
    <w:rsid w:val="006358FF"/>
    <w:rsid w:val="00635ABA"/>
    <w:rsid w:val="006365BD"/>
    <w:rsid w:val="00636901"/>
    <w:rsid w:val="00636AB8"/>
    <w:rsid w:val="00636CB2"/>
    <w:rsid w:val="00636E02"/>
    <w:rsid w:val="0063749C"/>
    <w:rsid w:val="00637681"/>
    <w:rsid w:val="006379FA"/>
    <w:rsid w:val="00637E84"/>
    <w:rsid w:val="00640030"/>
    <w:rsid w:val="00640905"/>
    <w:rsid w:val="006411DA"/>
    <w:rsid w:val="0064145A"/>
    <w:rsid w:val="0064188F"/>
    <w:rsid w:val="00641D40"/>
    <w:rsid w:val="00642948"/>
    <w:rsid w:val="0064302F"/>
    <w:rsid w:val="00643441"/>
    <w:rsid w:val="00643707"/>
    <w:rsid w:val="00643F1A"/>
    <w:rsid w:val="00644055"/>
    <w:rsid w:val="00644657"/>
    <w:rsid w:val="00644C9B"/>
    <w:rsid w:val="00644F43"/>
    <w:rsid w:val="00644FBF"/>
    <w:rsid w:val="0064517D"/>
    <w:rsid w:val="006452C7"/>
    <w:rsid w:val="00645428"/>
    <w:rsid w:val="006457D1"/>
    <w:rsid w:val="00645FAA"/>
    <w:rsid w:val="006460A1"/>
    <w:rsid w:val="0064615D"/>
    <w:rsid w:val="0064619F"/>
    <w:rsid w:val="00646403"/>
    <w:rsid w:val="00646B62"/>
    <w:rsid w:val="00647166"/>
    <w:rsid w:val="00647395"/>
    <w:rsid w:val="00647711"/>
    <w:rsid w:val="006479FA"/>
    <w:rsid w:val="00647C14"/>
    <w:rsid w:val="00647C6E"/>
    <w:rsid w:val="006508BB"/>
    <w:rsid w:val="0065097F"/>
    <w:rsid w:val="00651195"/>
    <w:rsid w:val="00651D36"/>
    <w:rsid w:val="00651EA9"/>
    <w:rsid w:val="0065224F"/>
    <w:rsid w:val="006525BF"/>
    <w:rsid w:val="00652985"/>
    <w:rsid w:val="00652A03"/>
    <w:rsid w:val="00652A34"/>
    <w:rsid w:val="00652A3E"/>
    <w:rsid w:val="006534BE"/>
    <w:rsid w:val="00653656"/>
    <w:rsid w:val="0065377C"/>
    <w:rsid w:val="00653D71"/>
    <w:rsid w:val="006540E8"/>
    <w:rsid w:val="006545BA"/>
    <w:rsid w:val="00654B6B"/>
    <w:rsid w:val="00655C43"/>
    <w:rsid w:val="00656433"/>
    <w:rsid w:val="00656F8C"/>
    <w:rsid w:val="00657790"/>
    <w:rsid w:val="006613F7"/>
    <w:rsid w:val="00661542"/>
    <w:rsid w:val="0066163B"/>
    <w:rsid w:val="00661747"/>
    <w:rsid w:val="00661967"/>
    <w:rsid w:val="00661F38"/>
    <w:rsid w:val="00662E8C"/>
    <w:rsid w:val="00663659"/>
    <w:rsid w:val="0066378A"/>
    <w:rsid w:val="0066396C"/>
    <w:rsid w:val="006653B7"/>
    <w:rsid w:val="0066575C"/>
    <w:rsid w:val="00665DCA"/>
    <w:rsid w:val="00665E86"/>
    <w:rsid w:val="006663B7"/>
    <w:rsid w:val="00666487"/>
    <w:rsid w:val="00666581"/>
    <w:rsid w:val="00666616"/>
    <w:rsid w:val="00666715"/>
    <w:rsid w:val="00666A3D"/>
    <w:rsid w:val="006672ED"/>
    <w:rsid w:val="00667B39"/>
    <w:rsid w:val="00667C4E"/>
    <w:rsid w:val="00667EF8"/>
    <w:rsid w:val="006701C6"/>
    <w:rsid w:val="006703FF"/>
    <w:rsid w:val="0067053F"/>
    <w:rsid w:val="00670A66"/>
    <w:rsid w:val="006711B5"/>
    <w:rsid w:val="0067167C"/>
    <w:rsid w:val="00671725"/>
    <w:rsid w:val="00671F48"/>
    <w:rsid w:val="0067200A"/>
    <w:rsid w:val="00672277"/>
    <w:rsid w:val="00672505"/>
    <w:rsid w:val="00672E8C"/>
    <w:rsid w:val="00672FC7"/>
    <w:rsid w:val="006731CF"/>
    <w:rsid w:val="00673303"/>
    <w:rsid w:val="00673763"/>
    <w:rsid w:val="006739BD"/>
    <w:rsid w:val="00673F16"/>
    <w:rsid w:val="00674241"/>
    <w:rsid w:val="006743FE"/>
    <w:rsid w:val="0067488D"/>
    <w:rsid w:val="00675564"/>
    <w:rsid w:val="0067582B"/>
    <w:rsid w:val="00675C46"/>
    <w:rsid w:val="00675D70"/>
    <w:rsid w:val="0067622C"/>
    <w:rsid w:val="0067632A"/>
    <w:rsid w:val="00676B40"/>
    <w:rsid w:val="0067725F"/>
    <w:rsid w:val="006772DF"/>
    <w:rsid w:val="0067770C"/>
    <w:rsid w:val="0067785A"/>
    <w:rsid w:val="00677C8B"/>
    <w:rsid w:val="00677E1C"/>
    <w:rsid w:val="00680366"/>
    <w:rsid w:val="006807AD"/>
    <w:rsid w:val="006808BD"/>
    <w:rsid w:val="00680951"/>
    <w:rsid w:val="00680B0A"/>
    <w:rsid w:val="00680BAB"/>
    <w:rsid w:val="00680CDE"/>
    <w:rsid w:val="00680E67"/>
    <w:rsid w:val="0068113F"/>
    <w:rsid w:val="006814F0"/>
    <w:rsid w:val="00681A3F"/>
    <w:rsid w:val="00681BBC"/>
    <w:rsid w:val="00682129"/>
    <w:rsid w:val="0068217C"/>
    <w:rsid w:val="006821A0"/>
    <w:rsid w:val="00682584"/>
    <w:rsid w:val="006826E3"/>
    <w:rsid w:val="00682932"/>
    <w:rsid w:val="00682D1A"/>
    <w:rsid w:val="00682F08"/>
    <w:rsid w:val="0068332D"/>
    <w:rsid w:val="00683657"/>
    <w:rsid w:val="006839E5"/>
    <w:rsid w:val="00683BBE"/>
    <w:rsid w:val="00684389"/>
    <w:rsid w:val="00684589"/>
    <w:rsid w:val="00684653"/>
    <w:rsid w:val="0068476F"/>
    <w:rsid w:val="00684B2C"/>
    <w:rsid w:val="0068505F"/>
    <w:rsid w:val="006852AF"/>
    <w:rsid w:val="00685BE8"/>
    <w:rsid w:val="00685CF7"/>
    <w:rsid w:val="00686165"/>
    <w:rsid w:val="006863C2"/>
    <w:rsid w:val="00686402"/>
    <w:rsid w:val="0068647B"/>
    <w:rsid w:val="00686966"/>
    <w:rsid w:val="00686B8D"/>
    <w:rsid w:val="00686DE5"/>
    <w:rsid w:val="00687086"/>
    <w:rsid w:val="0068712D"/>
    <w:rsid w:val="00687375"/>
    <w:rsid w:val="00687687"/>
    <w:rsid w:val="00687A1F"/>
    <w:rsid w:val="00687D82"/>
    <w:rsid w:val="00687E2E"/>
    <w:rsid w:val="0069021B"/>
    <w:rsid w:val="00690224"/>
    <w:rsid w:val="00690282"/>
    <w:rsid w:val="00690551"/>
    <w:rsid w:val="006906B1"/>
    <w:rsid w:val="006910F5"/>
    <w:rsid w:val="0069152E"/>
    <w:rsid w:val="00691CB5"/>
    <w:rsid w:val="00691EA8"/>
    <w:rsid w:val="0069229F"/>
    <w:rsid w:val="006923DF"/>
    <w:rsid w:val="0069273B"/>
    <w:rsid w:val="00692765"/>
    <w:rsid w:val="00692F0F"/>
    <w:rsid w:val="00693032"/>
    <w:rsid w:val="00693123"/>
    <w:rsid w:val="0069352F"/>
    <w:rsid w:val="00693A5C"/>
    <w:rsid w:val="00693F4B"/>
    <w:rsid w:val="006943DB"/>
    <w:rsid w:val="00695C4E"/>
    <w:rsid w:val="00696A01"/>
    <w:rsid w:val="00696D34"/>
    <w:rsid w:val="006974F7"/>
    <w:rsid w:val="00697A69"/>
    <w:rsid w:val="00697E7D"/>
    <w:rsid w:val="006A0047"/>
    <w:rsid w:val="006A09AA"/>
    <w:rsid w:val="006A22BC"/>
    <w:rsid w:val="006A270B"/>
    <w:rsid w:val="006A270D"/>
    <w:rsid w:val="006A37F5"/>
    <w:rsid w:val="006A3C1F"/>
    <w:rsid w:val="006A3EDC"/>
    <w:rsid w:val="006A3F82"/>
    <w:rsid w:val="006A40A3"/>
    <w:rsid w:val="006A4143"/>
    <w:rsid w:val="006A424F"/>
    <w:rsid w:val="006A437F"/>
    <w:rsid w:val="006A442A"/>
    <w:rsid w:val="006A5A4A"/>
    <w:rsid w:val="006A5EF1"/>
    <w:rsid w:val="006A623A"/>
    <w:rsid w:val="006A64B4"/>
    <w:rsid w:val="006A68C3"/>
    <w:rsid w:val="006A6B9C"/>
    <w:rsid w:val="006A6C9E"/>
    <w:rsid w:val="006A732A"/>
    <w:rsid w:val="006A7D44"/>
    <w:rsid w:val="006A7FF6"/>
    <w:rsid w:val="006B03E4"/>
    <w:rsid w:val="006B03FC"/>
    <w:rsid w:val="006B05DB"/>
    <w:rsid w:val="006B0A6C"/>
    <w:rsid w:val="006B0B5C"/>
    <w:rsid w:val="006B115A"/>
    <w:rsid w:val="006B118A"/>
    <w:rsid w:val="006B1A69"/>
    <w:rsid w:val="006B1CA2"/>
    <w:rsid w:val="006B1FB3"/>
    <w:rsid w:val="006B22C2"/>
    <w:rsid w:val="006B2302"/>
    <w:rsid w:val="006B2321"/>
    <w:rsid w:val="006B25E6"/>
    <w:rsid w:val="006B2BBA"/>
    <w:rsid w:val="006B2BCB"/>
    <w:rsid w:val="006B3166"/>
    <w:rsid w:val="006B38FF"/>
    <w:rsid w:val="006B39DD"/>
    <w:rsid w:val="006B42D4"/>
    <w:rsid w:val="006B4A5E"/>
    <w:rsid w:val="006B4A89"/>
    <w:rsid w:val="006B5651"/>
    <w:rsid w:val="006B579B"/>
    <w:rsid w:val="006B595B"/>
    <w:rsid w:val="006B5C05"/>
    <w:rsid w:val="006B63EA"/>
    <w:rsid w:val="006B670B"/>
    <w:rsid w:val="006B6982"/>
    <w:rsid w:val="006B6D6C"/>
    <w:rsid w:val="006B7A77"/>
    <w:rsid w:val="006C077F"/>
    <w:rsid w:val="006C0E70"/>
    <w:rsid w:val="006C110A"/>
    <w:rsid w:val="006C1173"/>
    <w:rsid w:val="006C156E"/>
    <w:rsid w:val="006C1892"/>
    <w:rsid w:val="006C1BCB"/>
    <w:rsid w:val="006C1C48"/>
    <w:rsid w:val="006C1ED5"/>
    <w:rsid w:val="006C1FB0"/>
    <w:rsid w:val="006C21E6"/>
    <w:rsid w:val="006C237C"/>
    <w:rsid w:val="006C28C0"/>
    <w:rsid w:val="006C28E2"/>
    <w:rsid w:val="006C29C1"/>
    <w:rsid w:val="006C2E40"/>
    <w:rsid w:val="006C3456"/>
    <w:rsid w:val="006C3502"/>
    <w:rsid w:val="006C4277"/>
    <w:rsid w:val="006C4325"/>
    <w:rsid w:val="006C47FA"/>
    <w:rsid w:val="006C498A"/>
    <w:rsid w:val="006C4B19"/>
    <w:rsid w:val="006C4E78"/>
    <w:rsid w:val="006C5452"/>
    <w:rsid w:val="006C595E"/>
    <w:rsid w:val="006C59BB"/>
    <w:rsid w:val="006C5B73"/>
    <w:rsid w:val="006C5C6E"/>
    <w:rsid w:val="006C62FE"/>
    <w:rsid w:val="006C643F"/>
    <w:rsid w:val="006C645D"/>
    <w:rsid w:val="006C648C"/>
    <w:rsid w:val="006C6C58"/>
    <w:rsid w:val="006C6EC8"/>
    <w:rsid w:val="006C72C9"/>
    <w:rsid w:val="006C768E"/>
    <w:rsid w:val="006C7B01"/>
    <w:rsid w:val="006C7C20"/>
    <w:rsid w:val="006D0813"/>
    <w:rsid w:val="006D09A6"/>
    <w:rsid w:val="006D0C93"/>
    <w:rsid w:val="006D0DC6"/>
    <w:rsid w:val="006D1345"/>
    <w:rsid w:val="006D1360"/>
    <w:rsid w:val="006D136E"/>
    <w:rsid w:val="006D1D74"/>
    <w:rsid w:val="006D2383"/>
    <w:rsid w:val="006D23D2"/>
    <w:rsid w:val="006D2CF8"/>
    <w:rsid w:val="006D32D9"/>
    <w:rsid w:val="006D345F"/>
    <w:rsid w:val="006D354C"/>
    <w:rsid w:val="006D46E1"/>
    <w:rsid w:val="006D516A"/>
    <w:rsid w:val="006D56A5"/>
    <w:rsid w:val="006D579E"/>
    <w:rsid w:val="006D5C82"/>
    <w:rsid w:val="006D5DFD"/>
    <w:rsid w:val="006D6214"/>
    <w:rsid w:val="006D631B"/>
    <w:rsid w:val="006D67EB"/>
    <w:rsid w:val="006D6BCC"/>
    <w:rsid w:val="006D7260"/>
    <w:rsid w:val="006D7299"/>
    <w:rsid w:val="006D7ADA"/>
    <w:rsid w:val="006D7CB6"/>
    <w:rsid w:val="006E0362"/>
    <w:rsid w:val="006E070F"/>
    <w:rsid w:val="006E0A94"/>
    <w:rsid w:val="006E0FA8"/>
    <w:rsid w:val="006E14DC"/>
    <w:rsid w:val="006E1A01"/>
    <w:rsid w:val="006E1AFB"/>
    <w:rsid w:val="006E1FCA"/>
    <w:rsid w:val="006E20BF"/>
    <w:rsid w:val="006E21AD"/>
    <w:rsid w:val="006E2281"/>
    <w:rsid w:val="006E2795"/>
    <w:rsid w:val="006E2D2A"/>
    <w:rsid w:val="006E2D98"/>
    <w:rsid w:val="006E2F5A"/>
    <w:rsid w:val="006E31F5"/>
    <w:rsid w:val="006E3449"/>
    <w:rsid w:val="006E35E9"/>
    <w:rsid w:val="006E3CC3"/>
    <w:rsid w:val="006E44FF"/>
    <w:rsid w:val="006E45D1"/>
    <w:rsid w:val="006E5259"/>
    <w:rsid w:val="006E5303"/>
    <w:rsid w:val="006E53B3"/>
    <w:rsid w:val="006E5502"/>
    <w:rsid w:val="006E57BD"/>
    <w:rsid w:val="006E5D53"/>
    <w:rsid w:val="006E61CC"/>
    <w:rsid w:val="006E674D"/>
    <w:rsid w:val="006E7533"/>
    <w:rsid w:val="006F0558"/>
    <w:rsid w:val="006F05C8"/>
    <w:rsid w:val="006F0603"/>
    <w:rsid w:val="006F0697"/>
    <w:rsid w:val="006F0C31"/>
    <w:rsid w:val="006F0E66"/>
    <w:rsid w:val="006F122C"/>
    <w:rsid w:val="006F1334"/>
    <w:rsid w:val="006F14C2"/>
    <w:rsid w:val="006F1A78"/>
    <w:rsid w:val="006F1B84"/>
    <w:rsid w:val="006F27E6"/>
    <w:rsid w:val="006F2BF5"/>
    <w:rsid w:val="006F3952"/>
    <w:rsid w:val="006F3A00"/>
    <w:rsid w:val="006F3B60"/>
    <w:rsid w:val="006F3EEA"/>
    <w:rsid w:val="006F4F40"/>
    <w:rsid w:val="006F4FB2"/>
    <w:rsid w:val="006F5930"/>
    <w:rsid w:val="006F5FD4"/>
    <w:rsid w:val="006F6638"/>
    <w:rsid w:val="006F68E7"/>
    <w:rsid w:val="006F6C23"/>
    <w:rsid w:val="006F783D"/>
    <w:rsid w:val="006F786B"/>
    <w:rsid w:val="006F7AC5"/>
    <w:rsid w:val="006F7CC8"/>
    <w:rsid w:val="006F7E08"/>
    <w:rsid w:val="006F7E0B"/>
    <w:rsid w:val="0070002D"/>
    <w:rsid w:val="007000A1"/>
    <w:rsid w:val="007004DC"/>
    <w:rsid w:val="00700EC1"/>
    <w:rsid w:val="007013C5"/>
    <w:rsid w:val="007018B7"/>
    <w:rsid w:val="00701AC2"/>
    <w:rsid w:val="00702239"/>
    <w:rsid w:val="00702481"/>
    <w:rsid w:val="00703907"/>
    <w:rsid w:val="00703CAC"/>
    <w:rsid w:val="00703E54"/>
    <w:rsid w:val="007041A9"/>
    <w:rsid w:val="00704247"/>
    <w:rsid w:val="007044D8"/>
    <w:rsid w:val="00704779"/>
    <w:rsid w:val="00705098"/>
    <w:rsid w:val="00705426"/>
    <w:rsid w:val="00705A4C"/>
    <w:rsid w:val="00706143"/>
    <w:rsid w:val="007061DB"/>
    <w:rsid w:val="007063FA"/>
    <w:rsid w:val="00706B83"/>
    <w:rsid w:val="00706E8E"/>
    <w:rsid w:val="0070788F"/>
    <w:rsid w:val="00707E55"/>
    <w:rsid w:val="0071084F"/>
    <w:rsid w:val="007109D6"/>
    <w:rsid w:val="00710C2E"/>
    <w:rsid w:val="00710DC8"/>
    <w:rsid w:val="00710E27"/>
    <w:rsid w:val="007112D9"/>
    <w:rsid w:val="007114D3"/>
    <w:rsid w:val="0071152D"/>
    <w:rsid w:val="0071196A"/>
    <w:rsid w:val="00712238"/>
    <w:rsid w:val="007128D0"/>
    <w:rsid w:val="00712976"/>
    <w:rsid w:val="00712AE7"/>
    <w:rsid w:val="00712F0D"/>
    <w:rsid w:val="00712F2D"/>
    <w:rsid w:val="00713603"/>
    <w:rsid w:val="00714171"/>
    <w:rsid w:val="00714323"/>
    <w:rsid w:val="0071436F"/>
    <w:rsid w:val="00714747"/>
    <w:rsid w:val="007151CB"/>
    <w:rsid w:val="007153F5"/>
    <w:rsid w:val="007154A4"/>
    <w:rsid w:val="00715676"/>
    <w:rsid w:val="0071592A"/>
    <w:rsid w:val="00715B22"/>
    <w:rsid w:val="00715D4E"/>
    <w:rsid w:val="00716831"/>
    <w:rsid w:val="00716F22"/>
    <w:rsid w:val="007172DB"/>
    <w:rsid w:val="00717324"/>
    <w:rsid w:val="007173A6"/>
    <w:rsid w:val="007175A0"/>
    <w:rsid w:val="00717A18"/>
    <w:rsid w:val="00717D57"/>
    <w:rsid w:val="007202F0"/>
    <w:rsid w:val="00720A0B"/>
    <w:rsid w:val="00720D37"/>
    <w:rsid w:val="007217B5"/>
    <w:rsid w:val="00721940"/>
    <w:rsid w:val="00721CC1"/>
    <w:rsid w:val="00721EC4"/>
    <w:rsid w:val="00721F9C"/>
    <w:rsid w:val="00722102"/>
    <w:rsid w:val="007224C3"/>
    <w:rsid w:val="00722B53"/>
    <w:rsid w:val="00722B5E"/>
    <w:rsid w:val="00722CE1"/>
    <w:rsid w:val="007230F6"/>
    <w:rsid w:val="007230FD"/>
    <w:rsid w:val="0072364D"/>
    <w:rsid w:val="0072372F"/>
    <w:rsid w:val="007237BE"/>
    <w:rsid w:val="00725C0A"/>
    <w:rsid w:val="00725D50"/>
    <w:rsid w:val="00725F32"/>
    <w:rsid w:val="00726225"/>
    <w:rsid w:val="00726708"/>
    <w:rsid w:val="00727060"/>
    <w:rsid w:val="0073007E"/>
    <w:rsid w:val="00730441"/>
    <w:rsid w:val="007314D0"/>
    <w:rsid w:val="00731CB6"/>
    <w:rsid w:val="0073231E"/>
    <w:rsid w:val="007324CB"/>
    <w:rsid w:val="0073252F"/>
    <w:rsid w:val="00732657"/>
    <w:rsid w:val="007328E6"/>
    <w:rsid w:val="007329C2"/>
    <w:rsid w:val="00732BD0"/>
    <w:rsid w:val="00732C77"/>
    <w:rsid w:val="00732F37"/>
    <w:rsid w:val="0073361C"/>
    <w:rsid w:val="00733668"/>
    <w:rsid w:val="00733AC2"/>
    <w:rsid w:val="00733F38"/>
    <w:rsid w:val="00734A51"/>
    <w:rsid w:val="007357A2"/>
    <w:rsid w:val="00736203"/>
    <w:rsid w:val="00736500"/>
    <w:rsid w:val="00736520"/>
    <w:rsid w:val="00736C68"/>
    <w:rsid w:val="00736F8F"/>
    <w:rsid w:val="007375F3"/>
    <w:rsid w:val="00737B1F"/>
    <w:rsid w:val="00737C7B"/>
    <w:rsid w:val="00737D62"/>
    <w:rsid w:val="0074060E"/>
    <w:rsid w:val="007408F1"/>
    <w:rsid w:val="00740D56"/>
    <w:rsid w:val="0074148C"/>
    <w:rsid w:val="00741B00"/>
    <w:rsid w:val="00741EAF"/>
    <w:rsid w:val="00742191"/>
    <w:rsid w:val="007422B0"/>
    <w:rsid w:val="007422DE"/>
    <w:rsid w:val="00742350"/>
    <w:rsid w:val="00742752"/>
    <w:rsid w:val="00742830"/>
    <w:rsid w:val="00742DAA"/>
    <w:rsid w:val="00743759"/>
    <w:rsid w:val="0074387E"/>
    <w:rsid w:val="007439AD"/>
    <w:rsid w:val="00743C8F"/>
    <w:rsid w:val="00743D4B"/>
    <w:rsid w:val="00743D63"/>
    <w:rsid w:val="00743DB1"/>
    <w:rsid w:val="00744032"/>
    <w:rsid w:val="00744A28"/>
    <w:rsid w:val="00744CA3"/>
    <w:rsid w:val="007456D1"/>
    <w:rsid w:val="0074596E"/>
    <w:rsid w:val="00746247"/>
    <w:rsid w:val="00746275"/>
    <w:rsid w:val="0074633F"/>
    <w:rsid w:val="00746379"/>
    <w:rsid w:val="00746414"/>
    <w:rsid w:val="00746432"/>
    <w:rsid w:val="007467DB"/>
    <w:rsid w:val="00746C1D"/>
    <w:rsid w:val="00746C4E"/>
    <w:rsid w:val="007473CA"/>
    <w:rsid w:val="007474F6"/>
    <w:rsid w:val="00747F54"/>
    <w:rsid w:val="007505C4"/>
    <w:rsid w:val="007507E5"/>
    <w:rsid w:val="007509DD"/>
    <w:rsid w:val="00750EDB"/>
    <w:rsid w:val="00751082"/>
    <w:rsid w:val="00751D73"/>
    <w:rsid w:val="00751E2D"/>
    <w:rsid w:val="00752259"/>
    <w:rsid w:val="007523A8"/>
    <w:rsid w:val="00752A20"/>
    <w:rsid w:val="00752B87"/>
    <w:rsid w:val="00753077"/>
    <w:rsid w:val="007532A0"/>
    <w:rsid w:val="007535F8"/>
    <w:rsid w:val="00753947"/>
    <w:rsid w:val="00754059"/>
    <w:rsid w:val="00754C21"/>
    <w:rsid w:val="00754FDC"/>
    <w:rsid w:val="007551D7"/>
    <w:rsid w:val="00755641"/>
    <w:rsid w:val="00755C03"/>
    <w:rsid w:val="00755FB5"/>
    <w:rsid w:val="00756686"/>
    <w:rsid w:val="0075680E"/>
    <w:rsid w:val="00756E28"/>
    <w:rsid w:val="00757423"/>
    <w:rsid w:val="00757785"/>
    <w:rsid w:val="007577D0"/>
    <w:rsid w:val="007600F3"/>
    <w:rsid w:val="007617C1"/>
    <w:rsid w:val="007619C3"/>
    <w:rsid w:val="00762260"/>
    <w:rsid w:val="00762536"/>
    <w:rsid w:val="007628AA"/>
    <w:rsid w:val="00763170"/>
    <w:rsid w:val="0076332B"/>
    <w:rsid w:val="00763474"/>
    <w:rsid w:val="007635BD"/>
    <w:rsid w:val="007636E1"/>
    <w:rsid w:val="00763AAA"/>
    <w:rsid w:val="00763AAE"/>
    <w:rsid w:val="00763B93"/>
    <w:rsid w:val="00763FD7"/>
    <w:rsid w:val="00764474"/>
    <w:rsid w:val="0076472B"/>
    <w:rsid w:val="007648FC"/>
    <w:rsid w:val="00764A10"/>
    <w:rsid w:val="0076559D"/>
    <w:rsid w:val="00765741"/>
    <w:rsid w:val="00765DB8"/>
    <w:rsid w:val="00765DD4"/>
    <w:rsid w:val="00765FDF"/>
    <w:rsid w:val="007665E0"/>
    <w:rsid w:val="0076668E"/>
    <w:rsid w:val="00766867"/>
    <w:rsid w:val="00766CFF"/>
    <w:rsid w:val="00766E9A"/>
    <w:rsid w:val="00766FD0"/>
    <w:rsid w:val="00767A29"/>
    <w:rsid w:val="00767F81"/>
    <w:rsid w:val="00770052"/>
    <w:rsid w:val="00770AD1"/>
    <w:rsid w:val="00770ECF"/>
    <w:rsid w:val="00770F20"/>
    <w:rsid w:val="00771103"/>
    <w:rsid w:val="0077128E"/>
    <w:rsid w:val="00771557"/>
    <w:rsid w:val="00771614"/>
    <w:rsid w:val="00771B68"/>
    <w:rsid w:val="00772316"/>
    <w:rsid w:val="00772D64"/>
    <w:rsid w:val="00772FC5"/>
    <w:rsid w:val="00773B00"/>
    <w:rsid w:val="00773BBB"/>
    <w:rsid w:val="00773DC8"/>
    <w:rsid w:val="007740F9"/>
    <w:rsid w:val="00774384"/>
    <w:rsid w:val="00775015"/>
    <w:rsid w:val="007750A1"/>
    <w:rsid w:val="007750F7"/>
    <w:rsid w:val="0077539B"/>
    <w:rsid w:val="0077591C"/>
    <w:rsid w:val="00776BED"/>
    <w:rsid w:val="00776E72"/>
    <w:rsid w:val="00777177"/>
    <w:rsid w:val="00777274"/>
    <w:rsid w:val="00777319"/>
    <w:rsid w:val="007777A0"/>
    <w:rsid w:val="00777A2B"/>
    <w:rsid w:val="00777CCB"/>
    <w:rsid w:val="00777CDE"/>
    <w:rsid w:val="00777FE0"/>
    <w:rsid w:val="0078005E"/>
    <w:rsid w:val="00780217"/>
    <w:rsid w:val="007807CB"/>
    <w:rsid w:val="00780A2A"/>
    <w:rsid w:val="00780CEB"/>
    <w:rsid w:val="007811CD"/>
    <w:rsid w:val="0078165B"/>
    <w:rsid w:val="00781841"/>
    <w:rsid w:val="00782069"/>
    <w:rsid w:val="00782339"/>
    <w:rsid w:val="007824B7"/>
    <w:rsid w:val="00782F0C"/>
    <w:rsid w:val="007833E7"/>
    <w:rsid w:val="0078357C"/>
    <w:rsid w:val="0078397A"/>
    <w:rsid w:val="007839B8"/>
    <w:rsid w:val="00783B18"/>
    <w:rsid w:val="007843E3"/>
    <w:rsid w:val="007845F4"/>
    <w:rsid w:val="00784812"/>
    <w:rsid w:val="00784C0A"/>
    <w:rsid w:val="00785503"/>
    <w:rsid w:val="007857D8"/>
    <w:rsid w:val="00785B10"/>
    <w:rsid w:val="00785EF0"/>
    <w:rsid w:val="007868FC"/>
    <w:rsid w:val="00786961"/>
    <w:rsid w:val="00786B5E"/>
    <w:rsid w:val="00786D45"/>
    <w:rsid w:val="0078745A"/>
    <w:rsid w:val="00787AA5"/>
    <w:rsid w:val="0079022A"/>
    <w:rsid w:val="00790478"/>
    <w:rsid w:val="00790491"/>
    <w:rsid w:val="00790709"/>
    <w:rsid w:val="007908E4"/>
    <w:rsid w:val="00790AB8"/>
    <w:rsid w:val="00790D26"/>
    <w:rsid w:val="0079192A"/>
    <w:rsid w:val="00791C88"/>
    <w:rsid w:val="00791FF6"/>
    <w:rsid w:val="00792497"/>
    <w:rsid w:val="007928DE"/>
    <w:rsid w:val="0079330E"/>
    <w:rsid w:val="00793370"/>
    <w:rsid w:val="007936A3"/>
    <w:rsid w:val="007942BA"/>
    <w:rsid w:val="00794453"/>
    <w:rsid w:val="00794B40"/>
    <w:rsid w:val="00794D41"/>
    <w:rsid w:val="007956DA"/>
    <w:rsid w:val="00795ABC"/>
    <w:rsid w:val="00795AD5"/>
    <w:rsid w:val="00795D80"/>
    <w:rsid w:val="00796C57"/>
    <w:rsid w:val="0079768D"/>
    <w:rsid w:val="007979BA"/>
    <w:rsid w:val="007A00FE"/>
    <w:rsid w:val="007A0116"/>
    <w:rsid w:val="007A05ED"/>
    <w:rsid w:val="007A0A5F"/>
    <w:rsid w:val="007A1079"/>
    <w:rsid w:val="007A1C39"/>
    <w:rsid w:val="007A1C43"/>
    <w:rsid w:val="007A1ED0"/>
    <w:rsid w:val="007A2503"/>
    <w:rsid w:val="007A37F5"/>
    <w:rsid w:val="007A3BDA"/>
    <w:rsid w:val="007A3C89"/>
    <w:rsid w:val="007A3DA4"/>
    <w:rsid w:val="007A3FCF"/>
    <w:rsid w:val="007A4CFE"/>
    <w:rsid w:val="007A5193"/>
    <w:rsid w:val="007A5309"/>
    <w:rsid w:val="007A5362"/>
    <w:rsid w:val="007A58C9"/>
    <w:rsid w:val="007A592E"/>
    <w:rsid w:val="007A5A49"/>
    <w:rsid w:val="007A5AD6"/>
    <w:rsid w:val="007A5B0E"/>
    <w:rsid w:val="007A5BB6"/>
    <w:rsid w:val="007A5DAA"/>
    <w:rsid w:val="007A5F1E"/>
    <w:rsid w:val="007A623F"/>
    <w:rsid w:val="007A655D"/>
    <w:rsid w:val="007A669C"/>
    <w:rsid w:val="007A6757"/>
    <w:rsid w:val="007A6AD9"/>
    <w:rsid w:val="007A7188"/>
    <w:rsid w:val="007A7364"/>
    <w:rsid w:val="007A75F3"/>
    <w:rsid w:val="007A7709"/>
    <w:rsid w:val="007A77AA"/>
    <w:rsid w:val="007A7CC4"/>
    <w:rsid w:val="007A7D27"/>
    <w:rsid w:val="007A7E5B"/>
    <w:rsid w:val="007B033C"/>
    <w:rsid w:val="007B0503"/>
    <w:rsid w:val="007B0BBE"/>
    <w:rsid w:val="007B0BED"/>
    <w:rsid w:val="007B0E47"/>
    <w:rsid w:val="007B104B"/>
    <w:rsid w:val="007B1333"/>
    <w:rsid w:val="007B1673"/>
    <w:rsid w:val="007B1D0F"/>
    <w:rsid w:val="007B2677"/>
    <w:rsid w:val="007B382E"/>
    <w:rsid w:val="007B401C"/>
    <w:rsid w:val="007B4B34"/>
    <w:rsid w:val="007B53EE"/>
    <w:rsid w:val="007B583C"/>
    <w:rsid w:val="007B5A64"/>
    <w:rsid w:val="007B5F75"/>
    <w:rsid w:val="007B609D"/>
    <w:rsid w:val="007B6153"/>
    <w:rsid w:val="007B64B7"/>
    <w:rsid w:val="007B6887"/>
    <w:rsid w:val="007B68DE"/>
    <w:rsid w:val="007B6A5C"/>
    <w:rsid w:val="007B6EA5"/>
    <w:rsid w:val="007B762B"/>
    <w:rsid w:val="007B76AB"/>
    <w:rsid w:val="007B7708"/>
    <w:rsid w:val="007B7D84"/>
    <w:rsid w:val="007B7DDA"/>
    <w:rsid w:val="007C02BF"/>
    <w:rsid w:val="007C09D4"/>
    <w:rsid w:val="007C1252"/>
    <w:rsid w:val="007C125B"/>
    <w:rsid w:val="007C12C0"/>
    <w:rsid w:val="007C164A"/>
    <w:rsid w:val="007C1826"/>
    <w:rsid w:val="007C1F6C"/>
    <w:rsid w:val="007C22F4"/>
    <w:rsid w:val="007C39BD"/>
    <w:rsid w:val="007C4942"/>
    <w:rsid w:val="007C4A95"/>
    <w:rsid w:val="007C5202"/>
    <w:rsid w:val="007C56AF"/>
    <w:rsid w:val="007C5974"/>
    <w:rsid w:val="007C5B66"/>
    <w:rsid w:val="007C5BA5"/>
    <w:rsid w:val="007C61BC"/>
    <w:rsid w:val="007C62AD"/>
    <w:rsid w:val="007C6AE4"/>
    <w:rsid w:val="007C6FB1"/>
    <w:rsid w:val="007C74A3"/>
    <w:rsid w:val="007D0B4F"/>
    <w:rsid w:val="007D0E94"/>
    <w:rsid w:val="007D149F"/>
    <w:rsid w:val="007D19F2"/>
    <w:rsid w:val="007D1B0A"/>
    <w:rsid w:val="007D1CD2"/>
    <w:rsid w:val="007D31C2"/>
    <w:rsid w:val="007D347F"/>
    <w:rsid w:val="007D35F6"/>
    <w:rsid w:val="007D36D1"/>
    <w:rsid w:val="007D4038"/>
    <w:rsid w:val="007D4709"/>
    <w:rsid w:val="007D4F44"/>
    <w:rsid w:val="007D51C1"/>
    <w:rsid w:val="007D55C1"/>
    <w:rsid w:val="007D592B"/>
    <w:rsid w:val="007D5A35"/>
    <w:rsid w:val="007D5AA6"/>
    <w:rsid w:val="007D6152"/>
    <w:rsid w:val="007D646D"/>
    <w:rsid w:val="007D6751"/>
    <w:rsid w:val="007D6CC2"/>
    <w:rsid w:val="007D6CCD"/>
    <w:rsid w:val="007D70BF"/>
    <w:rsid w:val="007D786A"/>
    <w:rsid w:val="007D79EF"/>
    <w:rsid w:val="007D7A91"/>
    <w:rsid w:val="007D7BB2"/>
    <w:rsid w:val="007D7F43"/>
    <w:rsid w:val="007D7F49"/>
    <w:rsid w:val="007E0702"/>
    <w:rsid w:val="007E077B"/>
    <w:rsid w:val="007E0B09"/>
    <w:rsid w:val="007E1001"/>
    <w:rsid w:val="007E1023"/>
    <w:rsid w:val="007E1266"/>
    <w:rsid w:val="007E147F"/>
    <w:rsid w:val="007E14A2"/>
    <w:rsid w:val="007E19EE"/>
    <w:rsid w:val="007E1B41"/>
    <w:rsid w:val="007E1D52"/>
    <w:rsid w:val="007E1E07"/>
    <w:rsid w:val="007E2974"/>
    <w:rsid w:val="007E2B45"/>
    <w:rsid w:val="007E2C44"/>
    <w:rsid w:val="007E32AD"/>
    <w:rsid w:val="007E368E"/>
    <w:rsid w:val="007E3A7E"/>
    <w:rsid w:val="007E3AD7"/>
    <w:rsid w:val="007E3C24"/>
    <w:rsid w:val="007E4169"/>
    <w:rsid w:val="007E43E2"/>
    <w:rsid w:val="007E44DA"/>
    <w:rsid w:val="007E454F"/>
    <w:rsid w:val="007E4E11"/>
    <w:rsid w:val="007E527D"/>
    <w:rsid w:val="007E578D"/>
    <w:rsid w:val="007E628B"/>
    <w:rsid w:val="007E6456"/>
    <w:rsid w:val="007E6631"/>
    <w:rsid w:val="007E6EDF"/>
    <w:rsid w:val="007E6FF9"/>
    <w:rsid w:val="007E71DC"/>
    <w:rsid w:val="007E769C"/>
    <w:rsid w:val="007E7BD4"/>
    <w:rsid w:val="007E7BDC"/>
    <w:rsid w:val="007E7CB3"/>
    <w:rsid w:val="007F00DE"/>
    <w:rsid w:val="007F0554"/>
    <w:rsid w:val="007F058D"/>
    <w:rsid w:val="007F062D"/>
    <w:rsid w:val="007F069E"/>
    <w:rsid w:val="007F0786"/>
    <w:rsid w:val="007F0C78"/>
    <w:rsid w:val="007F14AC"/>
    <w:rsid w:val="007F1774"/>
    <w:rsid w:val="007F3115"/>
    <w:rsid w:val="007F38AD"/>
    <w:rsid w:val="007F3B36"/>
    <w:rsid w:val="007F3BE6"/>
    <w:rsid w:val="007F4186"/>
    <w:rsid w:val="007F4879"/>
    <w:rsid w:val="007F4BA8"/>
    <w:rsid w:val="007F4E7E"/>
    <w:rsid w:val="007F5511"/>
    <w:rsid w:val="007F58EC"/>
    <w:rsid w:val="007F5D2B"/>
    <w:rsid w:val="007F66C2"/>
    <w:rsid w:val="007F67FC"/>
    <w:rsid w:val="007F6963"/>
    <w:rsid w:val="007F69DA"/>
    <w:rsid w:val="007F6AAD"/>
    <w:rsid w:val="007F6DB9"/>
    <w:rsid w:val="007F726A"/>
    <w:rsid w:val="007F74B8"/>
    <w:rsid w:val="007F7621"/>
    <w:rsid w:val="007F7821"/>
    <w:rsid w:val="007F7A70"/>
    <w:rsid w:val="007F7AB9"/>
    <w:rsid w:val="007F7C30"/>
    <w:rsid w:val="007F7C46"/>
    <w:rsid w:val="007F7F0A"/>
    <w:rsid w:val="00800E85"/>
    <w:rsid w:val="0080123B"/>
    <w:rsid w:val="00801A77"/>
    <w:rsid w:val="00802284"/>
    <w:rsid w:val="00803061"/>
    <w:rsid w:val="0080367C"/>
    <w:rsid w:val="00803704"/>
    <w:rsid w:val="00803F66"/>
    <w:rsid w:val="0080495D"/>
    <w:rsid w:val="00804A3E"/>
    <w:rsid w:val="00804B45"/>
    <w:rsid w:val="008051B9"/>
    <w:rsid w:val="00805B65"/>
    <w:rsid w:val="00805E38"/>
    <w:rsid w:val="00805E8B"/>
    <w:rsid w:val="00806139"/>
    <w:rsid w:val="00806220"/>
    <w:rsid w:val="00810069"/>
    <w:rsid w:val="008103B7"/>
    <w:rsid w:val="00810C87"/>
    <w:rsid w:val="00810D21"/>
    <w:rsid w:val="00810EE9"/>
    <w:rsid w:val="008115C0"/>
    <w:rsid w:val="00811943"/>
    <w:rsid w:val="00811E8A"/>
    <w:rsid w:val="008125F5"/>
    <w:rsid w:val="008126A0"/>
    <w:rsid w:val="008129AD"/>
    <w:rsid w:val="008131DC"/>
    <w:rsid w:val="00813FB6"/>
    <w:rsid w:val="00814241"/>
    <w:rsid w:val="0081443C"/>
    <w:rsid w:val="00814546"/>
    <w:rsid w:val="0081498E"/>
    <w:rsid w:val="00814A2E"/>
    <w:rsid w:val="00814A38"/>
    <w:rsid w:val="00814A3B"/>
    <w:rsid w:val="00815134"/>
    <w:rsid w:val="0081535A"/>
    <w:rsid w:val="00815559"/>
    <w:rsid w:val="00815C01"/>
    <w:rsid w:val="00815D1E"/>
    <w:rsid w:val="00816305"/>
    <w:rsid w:val="008166E3"/>
    <w:rsid w:val="00816EA4"/>
    <w:rsid w:val="008171BB"/>
    <w:rsid w:val="008206A2"/>
    <w:rsid w:val="00820CC1"/>
    <w:rsid w:val="00820F2F"/>
    <w:rsid w:val="00821182"/>
    <w:rsid w:val="00821790"/>
    <w:rsid w:val="00821831"/>
    <w:rsid w:val="00821CA2"/>
    <w:rsid w:val="00822101"/>
    <w:rsid w:val="0082216A"/>
    <w:rsid w:val="0082226A"/>
    <w:rsid w:val="008222DF"/>
    <w:rsid w:val="00822D94"/>
    <w:rsid w:val="00822DC2"/>
    <w:rsid w:val="00822F22"/>
    <w:rsid w:val="0082331D"/>
    <w:rsid w:val="008239D8"/>
    <w:rsid w:val="00823B27"/>
    <w:rsid w:val="00823EDF"/>
    <w:rsid w:val="00824415"/>
    <w:rsid w:val="008249A7"/>
    <w:rsid w:val="00824ABE"/>
    <w:rsid w:val="00824EB5"/>
    <w:rsid w:val="008251DE"/>
    <w:rsid w:val="0082535E"/>
    <w:rsid w:val="00826155"/>
    <w:rsid w:val="008269FC"/>
    <w:rsid w:val="00826AC9"/>
    <w:rsid w:val="00826BAA"/>
    <w:rsid w:val="00827203"/>
    <w:rsid w:val="00827C65"/>
    <w:rsid w:val="00827D70"/>
    <w:rsid w:val="00830636"/>
    <w:rsid w:val="0083075C"/>
    <w:rsid w:val="008310E0"/>
    <w:rsid w:val="008311B8"/>
    <w:rsid w:val="00831246"/>
    <w:rsid w:val="008318C8"/>
    <w:rsid w:val="00831FC3"/>
    <w:rsid w:val="00832571"/>
    <w:rsid w:val="008326E4"/>
    <w:rsid w:val="008328FD"/>
    <w:rsid w:val="00832CF0"/>
    <w:rsid w:val="00832EF2"/>
    <w:rsid w:val="0083317D"/>
    <w:rsid w:val="00833380"/>
    <w:rsid w:val="0083350E"/>
    <w:rsid w:val="008335EF"/>
    <w:rsid w:val="00833AEE"/>
    <w:rsid w:val="00833D5E"/>
    <w:rsid w:val="0083403F"/>
    <w:rsid w:val="0083409F"/>
    <w:rsid w:val="00834243"/>
    <w:rsid w:val="0083428E"/>
    <w:rsid w:val="008344C2"/>
    <w:rsid w:val="00834707"/>
    <w:rsid w:val="00834861"/>
    <w:rsid w:val="008363A5"/>
    <w:rsid w:val="008371F3"/>
    <w:rsid w:val="0083745C"/>
    <w:rsid w:val="0083762A"/>
    <w:rsid w:val="00837D8A"/>
    <w:rsid w:val="00837FB0"/>
    <w:rsid w:val="0084004F"/>
    <w:rsid w:val="008405DC"/>
    <w:rsid w:val="008411F6"/>
    <w:rsid w:val="00841605"/>
    <w:rsid w:val="00841AD0"/>
    <w:rsid w:val="00841E65"/>
    <w:rsid w:val="008420DB"/>
    <w:rsid w:val="0084213E"/>
    <w:rsid w:val="00842232"/>
    <w:rsid w:val="008424CE"/>
    <w:rsid w:val="008427F4"/>
    <w:rsid w:val="00843B5B"/>
    <w:rsid w:val="00844492"/>
    <w:rsid w:val="00844878"/>
    <w:rsid w:val="00844AD8"/>
    <w:rsid w:val="00844EF4"/>
    <w:rsid w:val="00845050"/>
    <w:rsid w:val="00845232"/>
    <w:rsid w:val="0084529A"/>
    <w:rsid w:val="00845C58"/>
    <w:rsid w:val="008462B9"/>
    <w:rsid w:val="00846592"/>
    <w:rsid w:val="00846A96"/>
    <w:rsid w:val="00847011"/>
    <w:rsid w:val="0084716F"/>
    <w:rsid w:val="0084730E"/>
    <w:rsid w:val="00847695"/>
    <w:rsid w:val="00847856"/>
    <w:rsid w:val="00847E07"/>
    <w:rsid w:val="008504D5"/>
    <w:rsid w:val="00850815"/>
    <w:rsid w:val="00851085"/>
    <w:rsid w:val="008511E4"/>
    <w:rsid w:val="008515F9"/>
    <w:rsid w:val="00852136"/>
    <w:rsid w:val="0085225B"/>
    <w:rsid w:val="0085242C"/>
    <w:rsid w:val="00852637"/>
    <w:rsid w:val="00852750"/>
    <w:rsid w:val="00853E9C"/>
    <w:rsid w:val="008547EA"/>
    <w:rsid w:val="00854EAB"/>
    <w:rsid w:val="00855314"/>
    <w:rsid w:val="00855EFD"/>
    <w:rsid w:val="008560B1"/>
    <w:rsid w:val="00856332"/>
    <w:rsid w:val="008567D2"/>
    <w:rsid w:val="00856E3B"/>
    <w:rsid w:val="0085758C"/>
    <w:rsid w:val="00857969"/>
    <w:rsid w:val="008607D2"/>
    <w:rsid w:val="008609B7"/>
    <w:rsid w:val="00860AFF"/>
    <w:rsid w:val="0086179B"/>
    <w:rsid w:val="00861957"/>
    <w:rsid w:val="00862BFF"/>
    <w:rsid w:val="008630A3"/>
    <w:rsid w:val="008630EC"/>
    <w:rsid w:val="008630F5"/>
    <w:rsid w:val="0086313B"/>
    <w:rsid w:val="008635CF"/>
    <w:rsid w:val="008636C3"/>
    <w:rsid w:val="00863768"/>
    <w:rsid w:val="008637CA"/>
    <w:rsid w:val="00863C3C"/>
    <w:rsid w:val="00863CA5"/>
    <w:rsid w:val="00863CEC"/>
    <w:rsid w:val="00863F9B"/>
    <w:rsid w:val="00863FDE"/>
    <w:rsid w:val="00864296"/>
    <w:rsid w:val="00864820"/>
    <w:rsid w:val="00864AD3"/>
    <w:rsid w:val="00864C7E"/>
    <w:rsid w:val="00866337"/>
    <w:rsid w:val="008663C8"/>
    <w:rsid w:val="00866720"/>
    <w:rsid w:val="008668FE"/>
    <w:rsid w:val="0086777F"/>
    <w:rsid w:val="00867F9F"/>
    <w:rsid w:val="00870149"/>
    <w:rsid w:val="00870349"/>
    <w:rsid w:val="008707C4"/>
    <w:rsid w:val="00870A89"/>
    <w:rsid w:val="00870B2A"/>
    <w:rsid w:val="008711CF"/>
    <w:rsid w:val="00871429"/>
    <w:rsid w:val="00872235"/>
    <w:rsid w:val="00872A1E"/>
    <w:rsid w:val="00872D0B"/>
    <w:rsid w:val="00872F32"/>
    <w:rsid w:val="00872FEE"/>
    <w:rsid w:val="008734EB"/>
    <w:rsid w:val="008738A3"/>
    <w:rsid w:val="00873FF2"/>
    <w:rsid w:val="00874029"/>
    <w:rsid w:val="00874AF3"/>
    <w:rsid w:val="00875192"/>
    <w:rsid w:val="00876013"/>
    <w:rsid w:val="00876CBE"/>
    <w:rsid w:val="008778F9"/>
    <w:rsid w:val="00877EDE"/>
    <w:rsid w:val="00881854"/>
    <w:rsid w:val="008819DB"/>
    <w:rsid w:val="00881B06"/>
    <w:rsid w:val="00881CBE"/>
    <w:rsid w:val="0088246A"/>
    <w:rsid w:val="00882B79"/>
    <w:rsid w:val="00882CC4"/>
    <w:rsid w:val="00882D5B"/>
    <w:rsid w:val="008833F5"/>
    <w:rsid w:val="00883546"/>
    <w:rsid w:val="008837D4"/>
    <w:rsid w:val="00883876"/>
    <w:rsid w:val="00883BC0"/>
    <w:rsid w:val="008844AC"/>
    <w:rsid w:val="008854F2"/>
    <w:rsid w:val="0088555D"/>
    <w:rsid w:val="008855FF"/>
    <w:rsid w:val="00885BDD"/>
    <w:rsid w:val="00885ED5"/>
    <w:rsid w:val="008864BA"/>
    <w:rsid w:val="008867B1"/>
    <w:rsid w:val="0088724E"/>
    <w:rsid w:val="00887659"/>
    <w:rsid w:val="008876C1"/>
    <w:rsid w:val="008878F6"/>
    <w:rsid w:val="00887AF9"/>
    <w:rsid w:val="00887E7E"/>
    <w:rsid w:val="00890045"/>
    <w:rsid w:val="00890056"/>
    <w:rsid w:val="008903D5"/>
    <w:rsid w:val="008908EA"/>
    <w:rsid w:val="00890B76"/>
    <w:rsid w:val="00890BDC"/>
    <w:rsid w:val="008912CD"/>
    <w:rsid w:val="008913BF"/>
    <w:rsid w:val="00891C30"/>
    <w:rsid w:val="00891D67"/>
    <w:rsid w:val="00891FCD"/>
    <w:rsid w:val="008925B0"/>
    <w:rsid w:val="008929BF"/>
    <w:rsid w:val="00892C00"/>
    <w:rsid w:val="00892E9D"/>
    <w:rsid w:val="00893511"/>
    <w:rsid w:val="00893EC2"/>
    <w:rsid w:val="00893F2D"/>
    <w:rsid w:val="00894407"/>
    <w:rsid w:val="008945A0"/>
    <w:rsid w:val="00894F9D"/>
    <w:rsid w:val="00895C95"/>
    <w:rsid w:val="00895EB7"/>
    <w:rsid w:val="008961FC"/>
    <w:rsid w:val="00896525"/>
    <w:rsid w:val="008967DF"/>
    <w:rsid w:val="00896BD3"/>
    <w:rsid w:val="00896F6E"/>
    <w:rsid w:val="008974EE"/>
    <w:rsid w:val="00897674"/>
    <w:rsid w:val="008976B1"/>
    <w:rsid w:val="0089785F"/>
    <w:rsid w:val="00897BB9"/>
    <w:rsid w:val="00897D57"/>
    <w:rsid w:val="00897FAB"/>
    <w:rsid w:val="00897FFB"/>
    <w:rsid w:val="008A0600"/>
    <w:rsid w:val="008A061D"/>
    <w:rsid w:val="008A072B"/>
    <w:rsid w:val="008A1002"/>
    <w:rsid w:val="008A152E"/>
    <w:rsid w:val="008A1DDE"/>
    <w:rsid w:val="008A2310"/>
    <w:rsid w:val="008A2998"/>
    <w:rsid w:val="008A31B2"/>
    <w:rsid w:val="008A3264"/>
    <w:rsid w:val="008A32D8"/>
    <w:rsid w:val="008A32F0"/>
    <w:rsid w:val="008A33B2"/>
    <w:rsid w:val="008A3648"/>
    <w:rsid w:val="008A4378"/>
    <w:rsid w:val="008A4483"/>
    <w:rsid w:val="008A4503"/>
    <w:rsid w:val="008A4B20"/>
    <w:rsid w:val="008A5BB9"/>
    <w:rsid w:val="008A5CF9"/>
    <w:rsid w:val="008A5DA7"/>
    <w:rsid w:val="008A6596"/>
    <w:rsid w:val="008A6AD1"/>
    <w:rsid w:val="008A6CCE"/>
    <w:rsid w:val="008A6D56"/>
    <w:rsid w:val="008A75EB"/>
    <w:rsid w:val="008A785F"/>
    <w:rsid w:val="008A7D43"/>
    <w:rsid w:val="008B0561"/>
    <w:rsid w:val="008B05F6"/>
    <w:rsid w:val="008B089D"/>
    <w:rsid w:val="008B0D4B"/>
    <w:rsid w:val="008B1058"/>
    <w:rsid w:val="008B147E"/>
    <w:rsid w:val="008B1AA5"/>
    <w:rsid w:val="008B1ABE"/>
    <w:rsid w:val="008B1B2A"/>
    <w:rsid w:val="008B1FA2"/>
    <w:rsid w:val="008B245F"/>
    <w:rsid w:val="008B282A"/>
    <w:rsid w:val="008B2830"/>
    <w:rsid w:val="008B2B1C"/>
    <w:rsid w:val="008B2CD9"/>
    <w:rsid w:val="008B31BB"/>
    <w:rsid w:val="008B3DE3"/>
    <w:rsid w:val="008B4509"/>
    <w:rsid w:val="008B465F"/>
    <w:rsid w:val="008B4A22"/>
    <w:rsid w:val="008B5521"/>
    <w:rsid w:val="008B56FB"/>
    <w:rsid w:val="008B5F3D"/>
    <w:rsid w:val="008B601E"/>
    <w:rsid w:val="008B6258"/>
    <w:rsid w:val="008B6530"/>
    <w:rsid w:val="008B67DD"/>
    <w:rsid w:val="008B6D28"/>
    <w:rsid w:val="008B779D"/>
    <w:rsid w:val="008B79D1"/>
    <w:rsid w:val="008B7AB0"/>
    <w:rsid w:val="008B7B22"/>
    <w:rsid w:val="008C0187"/>
    <w:rsid w:val="008C09BF"/>
    <w:rsid w:val="008C0F68"/>
    <w:rsid w:val="008C15F3"/>
    <w:rsid w:val="008C16CC"/>
    <w:rsid w:val="008C2451"/>
    <w:rsid w:val="008C2B39"/>
    <w:rsid w:val="008C301D"/>
    <w:rsid w:val="008C3073"/>
    <w:rsid w:val="008C32D1"/>
    <w:rsid w:val="008C352A"/>
    <w:rsid w:val="008C36B9"/>
    <w:rsid w:val="008C3B47"/>
    <w:rsid w:val="008C3C1E"/>
    <w:rsid w:val="008C433F"/>
    <w:rsid w:val="008C46F9"/>
    <w:rsid w:val="008C47AA"/>
    <w:rsid w:val="008C4C5F"/>
    <w:rsid w:val="008C4F55"/>
    <w:rsid w:val="008C5494"/>
    <w:rsid w:val="008C59F1"/>
    <w:rsid w:val="008C5A36"/>
    <w:rsid w:val="008C5FA6"/>
    <w:rsid w:val="008C61B5"/>
    <w:rsid w:val="008C63B8"/>
    <w:rsid w:val="008C66FE"/>
    <w:rsid w:val="008C69FE"/>
    <w:rsid w:val="008C6AAD"/>
    <w:rsid w:val="008C74C5"/>
    <w:rsid w:val="008C793E"/>
    <w:rsid w:val="008C7DD4"/>
    <w:rsid w:val="008C7EBB"/>
    <w:rsid w:val="008C7F0A"/>
    <w:rsid w:val="008C7F71"/>
    <w:rsid w:val="008D0391"/>
    <w:rsid w:val="008D03A7"/>
    <w:rsid w:val="008D067B"/>
    <w:rsid w:val="008D0C3D"/>
    <w:rsid w:val="008D0DBF"/>
    <w:rsid w:val="008D135F"/>
    <w:rsid w:val="008D15F7"/>
    <w:rsid w:val="008D15FD"/>
    <w:rsid w:val="008D20B1"/>
    <w:rsid w:val="008D26BB"/>
    <w:rsid w:val="008D289A"/>
    <w:rsid w:val="008D2BB8"/>
    <w:rsid w:val="008D2C72"/>
    <w:rsid w:val="008D2DDD"/>
    <w:rsid w:val="008D3107"/>
    <w:rsid w:val="008D339F"/>
    <w:rsid w:val="008D3B01"/>
    <w:rsid w:val="008D3C4A"/>
    <w:rsid w:val="008D48FA"/>
    <w:rsid w:val="008D4B61"/>
    <w:rsid w:val="008D5160"/>
    <w:rsid w:val="008D51B6"/>
    <w:rsid w:val="008D57F1"/>
    <w:rsid w:val="008D5916"/>
    <w:rsid w:val="008D603E"/>
    <w:rsid w:val="008D62E4"/>
    <w:rsid w:val="008D6EE9"/>
    <w:rsid w:val="008D7807"/>
    <w:rsid w:val="008D78CA"/>
    <w:rsid w:val="008D7978"/>
    <w:rsid w:val="008D7E6A"/>
    <w:rsid w:val="008D7F28"/>
    <w:rsid w:val="008E0218"/>
    <w:rsid w:val="008E03B2"/>
    <w:rsid w:val="008E0A43"/>
    <w:rsid w:val="008E0C7A"/>
    <w:rsid w:val="008E0D63"/>
    <w:rsid w:val="008E11BB"/>
    <w:rsid w:val="008E13EC"/>
    <w:rsid w:val="008E1638"/>
    <w:rsid w:val="008E18A9"/>
    <w:rsid w:val="008E1B96"/>
    <w:rsid w:val="008E1E2B"/>
    <w:rsid w:val="008E2343"/>
    <w:rsid w:val="008E2770"/>
    <w:rsid w:val="008E2852"/>
    <w:rsid w:val="008E3109"/>
    <w:rsid w:val="008E38B4"/>
    <w:rsid w:val="008E3D96"/>
    <w:rsid w:val="008E3DEC"/>
    <w:rsid w:val="008E3E37"/>
    <w:rsid w:val="008E40D0"/>
    <w:rsid w:val="008E4166"/>
    <w:rsid w:val="008E4470"/>
    <w:rsid w:val="008E4601"/>
    <w:rsid w:val="008E48D4"/>
    <w:rsid w:val="008E55ED"/>
    <w:rsid w:val="008E5910"/>
    <w:rsid w:val="008E61D0"/>
    <w:rsid w:val="008E61EF"/>
    <w:rsid w:val="008E6292"/>
    <w:rsid w:val="008E63EF"/>
    <w:rsid w:val="008E6514"/>
    <w:rsid w:val="008E6583"/>
    <w:rsid w:val="008E6711"/>
    <w:rsid w:val="008E68CD"/>
    <w:rsid w:val="008E6B00"/>
    <w:rsid w:val="008E71BD"/>
    <w:rsid w:val="008E7F07"/>
    <w:rsid w:val="008F0981"/>
    <w:rsid w:val="008F0EAB"/>
    <w:rsid w:val="008F0FB2"/>
    <w:rsid w:val="008F11EA"/>
    <w:rsid w:val="008F1819"/>
    <w:rsid w:val="008F18AA"/>
    <w:rsid w:val="008F23EB"/>
    <w:rsid w:val="008F25BB"/>
    <w:rsid w:val="008F2987"/>
    <w:rsid w:val="008F2BC7"/>
    <w:rsid w:val="008F2E01"/>
    <w:rsid w:val="008F31A3"/>
    <w:rsid w:val="008F33E1"/>
    <w:rsid w:val="008F35ED"/>
    <w:rsid w:val="008F389A"/>
    <w:rsid w:val="008F3D34"/>
    <w:rsid w:val="008F3ECB"/>
    <w:rsid w:val="008F3F2D"/>
    <w:rsid w:val="008F451A"/>
    <w:rsid w:val="008F4A83"/>
    <w:rsid w:val="008F4ACD"/>
    <w:rsid w:val="008F4D4B"/>
    <w:rsid w:val="008F5261"/>
    <w:rsid w:val="008F548B"/>
    <w:rsid w:val="008F54ED"/>
    <w:rsid w:val="008F572E"/>
    <w:rsid w:val="008F583A"/>
    <w:rsid w:val="008F5A4F"/>
    <w:rsid w:val="008F5B8C"/>
    <w:rsid w:val="008F5C68"/>
    <w:rsid w:val="008F5E0C"/>
    <w:rsid w:val="008F5E2A"/>
    <w:rsid w:val="008F6371"/>
    <w:rsid w:val="008F63F7"/>
    <w:rsid w:val="008F6621"/>
    <w:rsid w:val="008F67B5"/>
    <w:rsid w:val="008F69A9"/>
    <w:rsid w:val="008F6C06"/>
    <w:rsid w:val="008F7993"/>
    <w:rsid w:val="008F7C6F"/>
    <w:rsid w:val="008F7D15"/>
    <w:rsid w:val="00900717"/>
    <w:rsid w:val="00900B3B"/>
    <w:rsid w:val="00900E53"/>
    <w:rsid w:val="009017AC"/>
    <w:rsid w:val="00901D47"/>
    <w:rsid w:val="00902013"/>
    <w:rsid w:val="009022CC"/>
    <w:rsid w:val="009028E0"/>
    <w:rsid w:val="00902F68"/>
    <w:rsid w:val="00903666"/>
    <w:rsid w:val="009038C9"/>
    <w:rsid w:val="00903F39"/>
    <w:rsid w:val="00904293"/>
    <w:rsid w:val="00904516"/>
    <w:rsid w:val="00904B92"/>
    <w:rsid w:val="00904DF2"/>
    <w:rsid w:val="00904F9E"/>
    <w:rsid w:val="00905214"/>
    <w:rsid w:val="009052DD"/>
    <w:rsid w:val="009056BA"/>
    <w:rsid w:val="00905BF0"/>
    <w:rsid w:val="00905CDE"/>
    <w:rsid w:val="00905E88"/>
    <w:rsid w:val="0090602D"/>
    <w:rsid w:val="00906CBC"/>
    <w:rsid w:val="00907312"/>
    <w:rsid w:val="00907854"/>
    <w:rsid w:val="00907CDB"/>
    <w:rsid w:val="00907EE6"/>
    <w:rsid w:val="0091010C"/>
    <w:rsid w:val="00910623"/>
    <w:rsid w:val="0091088E"/>
    <w:rsid w:val="00911017"/>
    <w:rsid w:val="00911BC4"/>
    <w:rsid w:val="00911F5F"/>
    <w:rsid w:val="00912011"/>
    <w:rsid w:val="009122DE"/>
    <w:rsid w:val="0091269A"/>
    <w:rsid w:val="00912895"/>
    <w:rsid w:val="00912C2F"/>
    <w:rsid w:val="009133C3"/>
    <w:rsid w:val="0091434F"/>
    <w:rsid w:val="009153C6"/>
    <w:rsid w:val="0091545E"/>
    <w:rsid w:val="0091559C"/>
    <w:rsid w:val="00915D83"/>
    <w:rsid w:val="00915E47"/>
    <w:rsid w:val="00915F98"/>
    <w:rsid w:val="009165DE"/>
    <w:rsid w:val="0091665D"/>
    <w:rsid w:val="009168B3"/>
    <w:rsid w:val="00916AE9"/>
    <w:rsid w:val="009175EF"/>
    <w:rsid w:val="00917BEF"/>
    <w:rsid w:val="00917DFF"/>
    <w:rsid w:val="00917E28"/>
    <w:rsid w:val="00920630"/>
    <w:rsid w:val="0092064E"/>
    <w:rsid w:val="00920AAB"/>
    <w:rsid w:val="00920C13"/>
    <w:rsid w:val="00920CC0"/>
    <w:rsid w:val="00920D8F"/>
    <w:rsid w:val="00920DB7"/>
    <w:rsid w:val="00921071"/>
    <w:rsid w:val="00921656"/>
    <w:rsid w:val="0092171A"/>
    <w:rsid w:val="0092234F"/>
    <w:rsid w:val="0092249F"/>
    <w:rsid w:val="00922532"/>
    <w:rsid w:val="00922775"/>
    <w:rsid w:val="009229A8"/>
    <w:rsid w:val="00923283"/>
    <w:rsid w:val="00923350"/>
    <w:rsid w:val="0092342D"/>
    <w:rsid w:val="0092370B"/>
    <w:rsid w:val="00923B02"/>
    <w:rsid w:val="00923F25"/>
    <w:rsid w:val="00924085"/>
    <w:rsid w:val="00924A7C"/>
    <w:rsid w:val="00924C2A"/>
    <w:rsid w:val="0092522E"/>
    <w:rsid w:val="0092545D"/>
    <w:rsid w:val="00925491"/>
    <w:rsid w:val="00925589"/>
    <w:rsid w:val="0092585A"/>
    <w:rsid w:val="00925AA5"/>
    <w:rsid w:val="00925EC2"/>
    <w:rsid w:val="00926725"/>
    <w:rsid w:val="0092693B"/>
    <w:rsid w:val="00926B56"/>
    <w:rsid w:val="00926EB5"/>
    <w:rsid w:val="00927644"/>
    <w:rsid w:val="00927B0A"/>
    <w:rsid w:val="00927D50"/>
    <w:rsid w:val="00927E2F"/>
    <w:rsid w:val="00930125"/>
    <w:rsid w:val="00930C60"/>
    <w:rsid w:val="00930FE4"/>
    <w:rsid w:val="00931616"/>
    <w:rsid w:val="00932290"/>
    <w:rsid w:val="009325FF"/>
    <w:rsid w:val="009326C7"/>
    <w:rsid w:val="009326E5"/>
    <w:rsid w:val="00932B47"/>
    <w:rsid w:val="00932C58"/>
    <w:rsid w:val="009341D7"/>
    <w:rsid w:val="00934241"/>
    <w:rsid w:val="009346EC"/>
    <w:rsid w:val="009349BC"/>
    <w:rsid w:val="009349CC"/>
    <w:rsid w:val="00934D35"/>
    <w:rsid w:val="00934D72"/>
    <w:rsid w:val="00934F5B"/>
    <w:rsid w:val="0093540D"/>
    <w:rsid w:val="00935A76"/>
    <w:rsid w:val="0093600D"/>
    <w:rsid w:val="009369F7"/>
    <w:rsid w:val="00936A3C"/>
    <w:rsid w:val="00936DC9"/>
    <w:rsid w:val="0093755C"/>
    <w:rsid w:val="00937577"/>
    <w:rsid w:val="00937683"/>
    <w:rsid w:val="0094019D"/>
    <w:rsid w:val="00940763"/>
    <w:rsid w:val="0094080F"/>
    <w:rsid w:val="00940AF2"/>
    <w:rsid w:val="00940D9E"/>
    <w:rsid w:val="009411A7"/>
    <w:rsid w:val="0094137C"/>
    <w:rsid w:val="00941A04"/>
    <w:rsid w:val="009422B2"/>
    <w:rsid w:val="00942424"/>
    <w:rsid w:val="00942A4D"/>
    <w:rsid w:val="00942C11"/>
    <w:rsid w:val="009432C3"/>
    <w:rsid w:val="0094348A"/>
    <w:rsid w:val="0094351F"/>
    <w:rsid w:val="009435D2"/>
    <w:rsid w:val="00943AC1"/>
    <w:rsid w:val="009440C6"/>
    <w:rsid w:val="00944AFB"/>
    <w:rsid w:val="00945C1D"/>
    <w:rsid w:val="00946098"/>
    <w:rsid w:val="0094623C"/>
    <w:rsid w:val="0094635A"/>
    <w:rsid w:val="009464DC"/>
    <w:rsid w:val="00947012"/>
    <w:rsid w:val="00947088"/>
    <w:rsid w:val="00947743"/>
    <w:rsid w:val="00950499"/>
    <w:rsid w:val="00951158"/>
    <w:rsid w:val="00951721"/>
    <w:rsid w:val="00951AE0"/>
    <w:rsid w:val="00951D96"/>
    <w:rsid w:val="009520B3"/>
    <w:rsid w:val="009524EC"/>
    <w:rsid w:val="009527A7"/>
    <w:rsid w:val="0095301E"/>
    <w:rsid w:val="009532FB"/>
    <w:rsid w:val="00953446"/>
    <w:rsid w:val="00953A4F"/>
    <w:rsid w:val="00953D42"/>
    <w:rsid w:val="00953F1C"/>
    <w:rsid w:val="009547F8"/>
    <w:rsid w:val="00955D12"/>
    <w:rsid w:val="00956231"/>
    <w:rsid w:val="00956D66"/>
    <w:rsid w:val="0095714F"/>
    <w:rsid w:val="00957801"/>
    <w:rsid w:val="00957A1C"/>
    <w:rsid w:val="009605E7"/>
    <w:rsid w:val="00960618"/>
    <w:rsid w:val="009606FB"/>
    <w:rsid w:val="00960E0E"/>
    <w:rsid w:val="0096123B"/>
    <w:rsid w:val="009612B5"/>
    <w:rsid w:val="00961DB8"/>
    <w:rsid w:val="00961ED6"/>
    <w:rsid w:val="00961F32"/>
    <w:rsid w:val="009625E3"/>
    <w:rsid w:val="009626D1"/>
    <w:rsid w:val="009629B6"/>
    <w:rsid w:val="00962F01"/>
    <w:rsid w:val="00962FE2"/>
    <w:rsid w:val="00962FFD"/>
    <w:rsid w:val="00963245"/>
    <w:rsid w:val="00963C40"/>
    <w:rsid w:val="00964599"/>
    <w:rsid w:val="00964723"/>
    <w:rsid w:val="00964737"/>
    <w:rsid w:val="00964A9A"/>
    <w:rsid w:val="00965331"/>
    <w:rsid w:val="00965EFD"/>
    <w:rsid w:val="009661EF"/>
    <w:rsid w:val="00966405"/>
    <w:rsid w:val="009665F7"/>
    <w:rsid w:val="00966615"/>
    <w:rsid w:val="009667F3"/>
    <w:rsid w:val="00966E6E"/>
    <w:rsid w:val="00966EF3"/>
    <w:rsid w:val="0096702E"/>
    <w:rsid w:val="009673ED"/>
    <w:rsid w:val="00967794"/>
    <w:rsid w:val="00967918"/>
    <w:rsid w:val="00967ACD"/>
    <w:rsid w:val="00967B71"/>
    <w:rsid w:val="00970ACA"/>
    <w:rsid w:val="00970B16"/>
    <w:rsid w:val="00970CE8"/>
    <w:rsid w:val="00970F27"/>
    <w:rsid w:val="00971DDF"/>
    <w:rsid w:val="009721A0"/>
    <w:rsid w:val="009729D4"/>
    <w:rsid w:val="00972B24"/>
    <w:rsid w:val="00972DF8"/>
    <w:rsid w:val="00972F5B"/>
    <w:rsid w:val="009731C7"/>
    <w:rsid w:val="009743DF"/>
    <w:rsid w:val="0097441E"/>
    <w:rsid w:val="009744B5"/>
    <w:rsid w:val="00974F2D"/>
    <w:rsid w:val="009750D3"/>
    <w:rsid w:val="009753B0"/>
    <w:rsid w:val="009755D8"/>
    <w:rsid w:val="00975C2A"/>
    <w:rsid w:val="00975D90"/>
    <w:rsid w:val="00976342"/>
    <w:rsid w:val="00976631"/>
    <w:rsid w:val="00976D85"/>
    <w:rsid w:val="00977581"/>
    <w:rsid w:val="00977765"/>
    <w:rsid w:val="00977B5E"/>
    <w:rsid w:val="00980091"/>
    <w:rsid w:val="00980759"/>
    <w:rsid w:val="00980C13"/>
    <w:rsid w:val="00980E1E"/>
    <w:rsid w:val="00981130"/>
    <w:rsid w:val="00981337"/>
    <w:rsid w:val="00981663"/>
    <w:rsid w:val="009817B0"/>
    <w:rsid w:val="00981809"/>
    <w:rsid w:val="00981A1F"/>
    <w:rsid w:val="00981F8B"/>
    <w:rsid w:val="00982192"/>
    <w:rsid w:val="009821CE"/>
    <w:rsid w:val="00983072"/>
    <w:rsid w:val="00983413"/>
    <w:rsid w:val="0098356D"/>
    <w:rsid w:val="00983A84"/>
    <w:rsid w:val="009843ED"/>
    <w:rsid w:val="00984444"/>
    <w:rsid w:val="00985FA5"/>
    <w:rsid w:val="0098631D"/>
    <w:rsid w:val="00987284"/>
    <w:rsid w:val="00987955"/>
    <w:rsid w:val="00987AD8"/>
    <w:rsid w:val="0099007E"/>
    <w:rsid w:val="00990675"/>
    <w:rsid w:val="00990B10"/>
    <w:rsid w:val="00990D00"/>
    <w:rsid w:val="00991F02"/>
    <w:rsid w:val="00991FFE"/>
    <w:rsid w:val="0099217D"/>
    <w:rsid w:val="009922CF"/>
    <w:rsid w:val="00992D4F"/>
    <w:rsid w:val="00992F44"/>
    <w:rsid w:val="00992F72"/>
    <w:rsid w:val="0099311F"/>
    <w:rsid w:val="0099340E"/>
    <w:rsid w:val="00994698"/>
    <w:rsid w:val="009946E8"/>
    <w:rsid w:val="009949F1"/>
    <w:rsid w:val="00994B8E"/>
    <w:rsid w:val="00995588"/>
    <w:rsid w:val="009955D0"/>
    <w:rsid w:val="00995BBA"/>
    <w:rsid w:val="00995D2E"/>
    <w:rsid w:val="00996724"/>
    <w:rsid w:val="00996A39"/>
    <w:rsid w:val="0099713A"/>
    <w:rsid w:val="00997FBF"/>
    <w:rsid w:val="009A00CF"/>
    <w:rsid w:val="009A0108"/>
    <w:rsid w:val="009A0118"/>
    <w:rsid w:val="009A01EC"/>
    <w:rsid w:val="009A0A0B"/>
    <w:rsid w:val="009A0BEC"/>
    <w:rsid w:val="009A0F9A"/>
    <w:rsid w:val="009A1354"/>
    <w:rsid w:val="009A138F"/>
    <w:rsid w:val="009A1690"/>
    <w:rsid w:val="009A1D6F"/>
    <w:rsid w:val="009A1FF3"/>
    <w:rsid w:val="009A2512"/>
    <w:rsid w:val="009A277C"/>
    <w:rsid w:val="009A28A6"/>
    <w:rsid w:val="009A29A4"/>
    <w:rsid w:val="009A2C6B"/>
    <w:rsid w:val="009A3E4F"/>
    <w:rsid w:val="009A431C"/>
    <w:rsid w:val="009A4467"/>
    <w:rsid w:val="009A4799"/>
    <w:rsid w:val="009A4BD3"/>
    <w:rsid w:val="009A5772"/>
    <w:rsid w:val="009A61D3"/>
    <w:rsid w:val="009A6342"/>
    <w:rsid w:val="009A658F"/>
    <w:rsid w:val="009A6DDB"/>
    <w:rsid w:val="009A7017"/>
    <w:rsid w:val="009A73DB"/>
    <w:rsid w:val="009A7977"/>
    <w:rsid w:val="009A7A2C"/>
    <w:rsid w:val="009A7BF9"/>
    <w:rsid w:val="009A7DD8"/>
    <w:rsid w:val="009B0388"/>
    <w:rsid w:val="009B05C2"/>
    <w:rsid w:val="009B1288"/>
    <w:rsid w:val="009B1F40"/>
    <w:rsid w:val="009B21B2"/>
    <w:rsid w:val="009B28BC"/>
    <w:rsid w:val="009B29EB"/>
    <w:rsid w:val="009B2B75"/>
    <w:rsid w:val="009B2E3C"/>
    <w:rsid w:val="009B3367"/>
    <w:rsid w:val="009B35B7"/>
    <w:rsid w:val="009B3886"/>
    <w:rsid w:val="009B4A34"/>
    <w:rsid w:val="009B5004"/>
    <w:rsid w:val="009B52E2"/>
    <w:rsid w:val="009B5BE2"/>
    <w:rsid w:val="009B5F10"/>
    <w:rsid w:val="009B66E0"/>
    <w:rsid w:val="009B6ADC"/>
    <w:rsid w:val="009B6D23"/>
    <w:rsid w:val="009B71F2"/>
    <w:rsid w:val="009B7233"/>
    <w:rsid w:val="009B741F"/>
    <w:rsid w:val="009B76A3"/>
    <w:rsid w:val="009B76AF"/>
    <w:rsid w:val="009B78C6"/>
    <w:rsid w:val="009C0356"/>
    <w:rsid w:val="009C04D7"/>
    <w:rsid w:val="009C0A59"/>
    <w:rsid w:val="009C1856"/>
    <w:rsid w:val="009C1F15"/>
    <w:rsid w:val="009C20BD"/>
    <w:rsid w:val="009C2273"/>
    <w:rsid w:val="009C26E1"/>
    <w:rsid w:val="009C2F1A"/>
    <w:rsid w:val="009C3907"/>
    <w:rsid w:val="009C3F17"/>
    <w:rsid w:val="009C45F0"/>
    <w:rsid w:val="009C4737"/>
    <w:rsid w:val="009C4A49"/>
    <w:rsid w:val="009C4BB2"/>
    <w:rsid w:val="009C52F1"/>
    <w:rsid w:val="009C57D0"/>
    <w:rsid w:val="009C57E9"/>
    <w:rsid w:val="009C582B"/>
    <w:rsid w:val="009C5BCD"/>
    <w:rsid w:val="009C6B96"/>
    <w:rsid w:val="009D00CE"/>
    <w:rsid w:val="009D01A0"/>
    <w:rsid w:val="009D02DE"/>
    <w:rsid w:val="009D06B6"/>
    <w:rsid w:val="009D07F3"/>
    <w:rsid w:val="009D0C16"/>
    <w:rsid w:val="009D0CE6"/>
    <w:rsid w:val="009D19D6"/>
    <w:rsid w:val="009D1A97"/>
    <w:rsid w:val="009D1D1F"/>
    <w:rsid w:val="009D2431"/>
    <w:rsid w:val="009D2AA9"/>
    <w:rsid w:val="009D2B3D"/>
    <w:rsid w:val="009D2F51"/>
    <w:rsid w:val="009D374B"/>
    <w:rsid w:val="009D38A4"/>
    <w:rsid w:val="009D3F3B"/>
    <w:rsid w:val="009D47D4"/>
    <w:rsid w:val="009D480E"/>
    <w:rsid w:val="009D4895"/>
    <w:rsid w:val="009D52E4"/>
    <w:rsid w:val="009D562E"/>
    <w:rsid w:val="009D5724"/>
    <w:rsid w:val="009D5B30"/>
    <w:rsid w:val="009D5E0B"/>
    <w:rsid w:val="009D6547"/>
    <w:rsid w:val="009D692B"/>
    <w:rsid w:val="009D6F4A"/>
    <w:rsid w:val="009D7206"/>
    <w:rsid w:val="009D73EA"/>
    <w:rsid w:val="009D7661"/>
    <w:rsid w:val="009D7786"/>
    <w:rsid w:val="009D7798"/>
    <w:rsid w:val="009D7868"/>
    <w:rsid w:val="009D791B"/>
    <w:rsid w:val="009D7B65"/>
    <w:rsid w:val="009D7D32"/>
    <w:rsid w:val="009E07BD"/>
    <w:rsid w:val="009E0BDF"/>
    <w:rsid w:val="009E0CB0"/>
    <w:rsid w:val="009E1703"/>
    <w:rsid w:val="009E171B"/>
    <w:rsid w:val="009E1B62"/>
    <w:rsid w:val="009E1CA6"/>
    <w:rsid w:val="009E1FC1"/>
    <w:rsid w:val="009E2268"/>
    <w:rsid w:val="009E2D38"/>
    <w:rsid w:val="009E2E05"/>
    <w:rsid w:val="009E30DE"/>
    <w:rsid w:val="009E3627"/>
    <w:rsid w:val="009E4384"/>
    <w:rsid w:val="009E4394"/>
    <w:rsid w:val="009E517D"/>
    <w:rsid w:val="009E5CBA"/>
    <w:rsid w:val="009E634E"/>
    <w:rsid w:val="009E66DC"/>
    <w:rsid w:val="009E6746"/>
    <w:rsid w:val="009E6D90"/>
    <w:rsid w:val="009E6E7E"/>
    <w:rsid w:val="009E6EDD"/>
    <w:rsid w:val="009E7307"/>
    <w:rsid w:val="009E7327"/>
    <w:rsid w:val="009E7911"/>
    <w:rsid w:val="009F0818"/>
    <w:rsid w:val="009F0C20"/>
    <w:rsid w:val="009F1104"/>
    <w:rsid w:val="009F18E9"/>
    <w:rsid w:val="009F1E48"/>
    <w:rsid w:val="009F220C"/>
    <w:rsid w:val="009F2CE9"/>
    <w:rsid w:val="009F3596"/>
    <w:rsid w:val="009F3920"/>
    <w:rsid w:val="009F3A2A"/>
    <w:rsid w:val="009F3E40"/>
    <w:rsid w:val="009F3ED8"/>
    <w:rsid w:val="009F41EB"/>
    <w:rsid w:val="009F4751"/>
    <w:rsid w:val="009F47FB"/>
    <w:rsid w:val="009F49CF"/>
    <w:rsid w:val="009F4B2C"/>
    <w:rsid w:val="009F523F"/>
    <w:rsid w:val="009F5244"/>
    <w:rsid w:val="009F54F3"/>
    <w:rsid w:val="009F5ED5"/>
    <w:rsid w:val="009F608F"/>
    <w:rsid w:val="009F632C"/>
    <w:rsid w:val="009F63EA"/>
    <w:rsid w:val="009F660C"/>
    <w:rsid w:val="009F6930"/>
    <w:rsid w:val="009F7326"/>
    <w:rsid w:val="009F7A48"/>
    <w:rsid w:val="00A0023D"/>
    <w:rsid w:val="00A00262"/>
    <w:rsid w:val="00A00269"/>
    <w:rsid w:val="00A00561"/>
    <w:rsid w:val="00A006EB"/>
    <w:rsid w:val="00A0097C"/>
    <w:rsid w:val="00A00D37"/>
    <w:rsid w:val="00A00E43"/>
    <w:rsid w:val="00A00F1A"/>
    <w:rsid w:val="00A01049"/>
    <w:rsid w:val="00A01378"/>
    <w:rsid w:val="00A0147F"/>
    <w:rsid w:val="00A015E8"/>
    <w:rsid w:val="00A01897"/>
    <w:rsid w:val="00A01943"/>
    <w:rsid w:val="00A01A4A"/>
    <w:rsid w:val="00A01B36"/>
    <w:rsid w:val="00A01DE4"/>
    <w:rsid w:val="00A01F11"/>
    <w:rsid w:val="00A022F7"/>
    <w:rsid w:val="00A0242F"/>
    <w:rsid w:val="00A0254A"/>
    <w:rsid w:val="00A031A8"/>
    <w:rsid w:val="00A032A8"/>
    <w:rsid w:val="00A033D8"/>
    <w:rsid w:val="00A039B0"/>
    <w:rsid w:val="00A041C9"/>
    <w:rsid w:val="00A04285"/>
    <w:rsid w:val="00A043AB"/>
    <w:rsid w:val="00A04AA8"/>
    <w:rsid w:val="00A04CDD"/>
    <w:rsid w:val="00A04D84"/>
    <w:rsid w:val="00A04F48"/>
    <w:rsid w:val="00A05483"/>
    <w:rsid w:val="00A05514"/>
    <w:rsid w:val="00A057D6"/>
    <w:rsid w:val="00A057FF"/>
    <w:rsid w:val="00A05BFC"/>
    <w:rsid w:val="00A06754"/>
    <w:rsid w:val="00A0697C"/>
    <w:rsid w:val="00A069AE"/>
    <w:rsid w:val="00A06A29"/>
    <w:rsid w:val="00A06B5D"/>
    <w:rsid w:val="00A06D4B"/>
    <w:rsid w:val="00A07022"/>
    <w:rsid w:val="00A075EF"/>
    <w:rsid w:val="00A0792B"/>
    <w:rsid w:val="00A07C56"/>
    <w:rsid w:val="00A07D47"/>
    <w:rsid w:val="00A07E52"/>
    <w:rsid w:val="00A07ED0"/>
    <w:rsid w:val="00A10267"/>
    <w:rsid w:val="00A104A5"/>
    <w:rsid w:val="00A10507"/>
    <w:rsid w:val="00A105CF"/>
    <w:rsid w:val="00A11251"/>
    <w:rsid w:val="00A11C07"/>
    <w:rsid w:val="00A11F36"/>
    <w:rsid w:val="00A120BE"/>
    <w:rsid w:val="00A1234F"/>
    <w:rsid w:val="00A129D8"/>
    <w:rsid w:val="00A12D5E"/>
    <w:rsid w:val="00A12F62"/>
    <w:rsid w:val="00A12FF3"/>
    <w:rsid w:val="00A13037"/>
    <w:rsid w:val="00A13128"/>
    <w:rsid w:val="00A133B7"/>
    <w:rsid w:val="00A13903"/>
    <w:rsid w:val="00A13BD7"/>
    <w:rsid w:val="00A14C6D"/>
    <w:rsid w:val="00A14FE9"/>
    <w:rsid w:val="00A150F5"/>
    <w:rsid w:val="00A15212"/>
    <w:rsid w:val="00A15370"/>
    <w:rsid w:val="00A157DD"/>
    <w:rsid w:val="00A15A53"/>
    <w:rsid w:val="00A15D11"/>
    <w:rsid w:val="00A16D97"/>
    <w:rsid w:val="00A16F5E"/>
    <w:rsid w:val="00A172E3"/>
    <w:rsid w:val="00A1737D"/>
    <w:rsid w:val="00A17505"/>
    <w:rsid w:val="00A17761"/>
    <w:rsid w:val="00A20145"/>
    <w:rsid w:val="00A2043C"/>
    <w:rsid w:val="00A20B40"/>
    <w:rsid w:val="00A215B3"/>
    <w:rsid w:val="00A21BC0"/>
    <w:rsid w:val="00A232F0"/>
    <w:rsid w:val="00A236D7"/>
    <w:rsid w:val="00A245EC"/>
    <w:rsid w:val="00A246B8"/>
    <w:rsid w:val="00A24B32"/>
    <w:rsid w:val="00A24BCF"/>
    <w:rsid w:val="00A24FB3"/>
    <w:rsid w:val="00A254CC"/>
    <w:rsid w:val="00A259CC"/>
    <w:rsid w:val="00A25ADF"/>
    <w:rsid w:val="00A25B62"/>
    <w:rsid w:val="00A26E5E"/>
    <w:rsid w:val="00A272EB"/>
    <w:rsid w:val="00A278B6"/>
    <w:rsid w:val="00A27CBC"/>
    <w:rsid w:val="00A27D1D"/>
    <w:rsid w:val="00A300B6"/>
    <w:rsid w:val="00A300FD"/>
    <w:rsid w:val="00A30315"/>
    <w:rsid w:val="00A3044A"/>
    <w:rsid w:val="00A305BB"/>
    <w:rsid w:val="00A30CFF"/>
    <w:rsid w:val="00A30E97"/>
    <w:rsid w:val="00A31084"/>
    <w:rsid w:val="00A31206"/>
    <w:rsid w:val="00A314DB"/>
    <w:rsid w:val="00A31CDA"/>
    <w:rsid w:val="00A31D26"/>
    <w:rsid w:val="00A32372"/>
    <w:rsid w:val="00A32743"/>
    <w:rsid w:val="00A32CB6"/>
    <w:rsid w:val="00A33DD5"/>
    <w:rsid w:val="00A3407A"/>
    <w:rsid w:val="00A344E7"/>
    <w:rsid w:val="00A34D32"/>
    <w:rsid w:val="00A35173"/>
    <w:rsid w:val="00A35823"/>
    <w:rsid w:val="00A35EDF"/>
    <w:rsid w:val="00A36304"/>
    <w:rsid w:val="00A36D21"/>
    <w:rsid w:val="00A37217"/>
    <w:rsid w:val="00A3749B"/>
    <w:rsid w:val="00A37B10"/>
    <w:rsid w:val="00A37D87"/>
    <w:rsid w:val="00A37E6C"/>
    <w:rsid w:val="00A4000E"/>
    <w:rsid w:val="00A401B9"/>
    <w:rsid w:val="00A40AD5"/>
    <w:rsid w:val="00A40C7F"/>
    <w:rsid w:val="00A40D38"/>
    <w:rsid w:val="00A40F5A"/>
    <w:rsid w:val="00A41088"/>
    <w:rsid w:val="00A416D2"/>
    <w:rsid w:val="00A421FA"/>
    <w:rsid w:val="00A42692"/>
    <w:rsid w:val="00A42848"/>
    <w:rsid w:val="00A430A7"/>
    <w:rsid w:val="00A43924"/>
    <w:rsid w:val="00A43F93"/>
    <w:rsid w:val="00A4417D"/>
    <w:rsid w:val="00A443C9"/>
    <w:rsid w:val="00A448F7"/>
    <w:rsid w:val="00A45D68"/>
    <w:rsid w:val="00A4719F"/>
    <w:rsid w:val="00A472F5"/>
    <w:rsid w:val="00A47391"/>
    <w:rsid w:val="00A473B6"/>
    <w:rsid w:val="00A503D7"/>
    <w:rsid w:val="00A50D88"/>
    <w:rsid w:val="00A51384"/>
    <w:rsid w:val="00A51459"/>
    <w:rsid w:val="00A5216D"/>
    <w:rsid w:val="00A523EB"/>
    <w:rsid w:val="00A5261F"/>
    <w:rsid w:val="00A52808"/>
    <w:rsid w:val="00A52D79"/>
    <w:rsid w:val="00A539BA"/>
    <w:rsid w:val="00A53E63"/>
    <w:rsid w:val="00A53EFC"/>
    <w:rsid w:val="00A54147"/>
    <w:rsid w:val="00A542B9"/>
    <w:rsid w:val="00A55373"/>
    <w:rsid w:val="00A556AB"/>
    <w:rsid w:val="00A55877"/>
    <w:rsid w:val="00A56923"/>
    <w:rsid w:val="00A56B36"/>
    <w:rsid w:val="00A573BD"/>
    <w:rsid w:val="00A6018F"/>
    <w:rsid w:val="00A604E8"/>
    <w:rsid w:val="00A605B0"/>
    <w:rsid w:val="00A60929"/>
    <w:rsid w:val="00A610EA"/>
    <w:rsid w:val="00A616E6"/>
    <w:rsid w:val="00A62E42"/>
    <w:rsid w:val="00A63583"/>
    <w:rsid w:val="00A6395E"/>
    <w:rsid w:val="00A63AEE"/>
    <w:rsid w:val="00A64028"/>
    <w:rsid w:val="00A64672"/>
    <w:rsid w:val="00A64A71"/>
    <w:rsid w:val="00A64C27"/>
    <w:rsid w:val="00A64DCD"/>
    <w:rsid w:val="00A651EC"/>
    <w:rsid w:val="00A65357"/>
    <w:rsid w:val="00A66D05"/>
    <w:rsid w:val="00A670E6"/>
    <w:rsid w:val="00A67116"/>
    <w:rsid w:val="00A6780D"/>
    <w:rsid w:val="00A7009E"/>
    <w:rsid w:val="00A70496"/>
    <w:rsid w:val="00A70CE9"/>
    <w:rsid w:val="00A710F7"/>
    <w:rsid w:val="00A71411"/>
    <w:rsid w:val="00A71723"/>
    <w:rsid w:val="00A719F3"/>
    <w:rsid w:val="00A71A7A"/>
    <w:rsid w:val="00A71D54"/>
    <w:rsid w:val="00A72325"/>
    <w:rsid w:val="00A72960"/>
    <w:rsid w:val="00A72D8F"/>
    <w:rsid w:val="00A72E6A"/>
    <w:rsid w:val="00A732F3"/>
    <w:rsid w:val="00A736E9"/>
    <w:rsid w:val="00A73960"/>
    <w:rsid w:val="00A73F1E"/>
    <w:rsid w:val="00A74148"/>
    <w:rsid w:val="00A74CFB"/>
    <w:rsid w:val="00A74F99"/>
    <w:rsid w:val="00A75752"/>
    <w:rsid w:val="00A758A6"/>
    <w:rsid w:val="00A75908"/>
    <w:rsid w:val="00A75B69"/>
    <w:rsid w:val="00A765E0"/>
    <w:rsid w:val="00A774EB"/>
    <w:rsid w:val="00A778A3"/>
    <w:rsid w:val="00A77CB8"/>
    <w:rsid w:val="00A77E5C"/>
    <w:rsid w:val="00A77F22"/>
    <w:rsid w:val="00A80014"/>
    <w:rsid w:val="00A80B10"/>
    <w:rsid w:val="00A80DAF"/>
    <w:rsid w:val="00A811BA"/>
    <w:rsid w:val="00A81784"/>
    <w:rsid w:val="00A818EB"/>
    <w:rsid w:val="00A81AC8"/>
    <w:rsid w:val="00A81D2E"/>
    <w:rsid w:val="00A81DA1"/>
    <w:rsid w:val="00A81E57"/>
    <w:rsid w:val="00A82B02"/>
    <w:rsid w:val="00A82B03"/>
    <w:rsid w:val="00A8360D"/>
    <w:rsid w:val="00A83B14"/>
    <w:rsid w:val="00A83C77"/>
    <w:rsid w:val="00A8534E"/>
    <w:rsid w:val="00A8575C"/>
    <w:rsid w:val="00A85DAF"/>
    <w:rsid w:val="00A8627D"/>
    <w:rsid w:val="00A87309"/>
    <w:rsid w:val="00A874BB"/>
    <w:rsid w:val="00A87672"/>
    <w:rsid w:val="00A87D58"/>
    <w:rsid w:val="00A87E40"/>
    <w:rsid w:val="00A87EAC"/>
    <w:rsid w:val="00A90058"/>
    <w:rsid w:val="00A90162"/>
    <w:rsid w:val="00A901DA"/>
    <w:rsid w:val="00A905D7"/>
    <w:rsid w:val="00A91033"/>
    <w:rsid w:val="00A916DB"/>
    <w:rsid w:val="00A91713"/>
    <w:rsid w:val="00A93401"/>
    <w:rsid w:val="00A93A0A"/>
    <w:rsid w:val="00A94624"/>
    <w:rsid w:val="00A954FD"/>
    <w:rsid w:val="00A96756"/>
    <w:rsid w:val="00A9696B"/>
    <w:rsid w:val="00A969C1"/>
    <w:rsid w:val="00A96C34"/>
    <w:rsid w:val="00A97359"/>
    <w:rsid w:val="00A97691"/>
    <w:rsid w:val="00A97AFE"/>
    <w:rsid w:val="00A97B79"/>
    <w:rsid w:val="00A97C29"/>
    <w:rsid w:val="00AA10B4"/>
    <w:rsid w:val="00AA110B"/>
    <w:rsid w:val="00AA14AA"/>
    <w:rsid w:val="00AA18F5"/>
    <w:rsid w:val="00AA1B56"/>
    <w:rsid w:val="00AA1F6B"/>
    <w:rsid w:val="00AA2342"/>
    <w:rsid w:val="00AA2840"/>
    <w:rsid w:val="00AA2A56"/>
    <w:rsid w:val="00AA2B51"/>
    <w:rsid w:val="00AA2FF7"/>
    <w:rsid w:val="00AA3CB7"/>
    <w:rsid w:val="00AA3EC4"/>
    <w:rsid w:val="00AA5620"/>
    <w:rsid w:val="00AA5788"/>
    <w:rsid w:val="00AA57E7"/>
    <w:rsid w:val="00AA59C3"/>
    <w:rsid w:val="00AA5EC6"/>
    <w:rsid w:val="00AA63A0"/>
    <w:rsid w:val="00AA654D"/>
    <w:rsid w:val="00AA6882"/>
    <w:rsid w:val="00AA746A"/>
    <w:rsid w:val="00AA7B93"/>
    <w:rsid w:val="00AB1292"/>
    <w:rsid w:val="00AB155B"/>
    <w:rsid w:val="00AB1E50"/>
    <w:rsid w:val="00AB2073"/>
    <w:rsid w:val="00AB20B5"/>
    <w:rsid w:val="00AB23BF"/>
    <w:rsid w:val="00AB2474"/>
    <w:rsid w:val="00AB25FC"/>
    <w:rsid w:val="00AB27ED"/>
    <w:rsid w:val="00AB2814"/>
    <w:rsid w:val="00AB28B8"/>
    <w:rsid w:val="00AB46D8"/>
    <w:rsid w:val="00AB47E8"/>
    <w:rsid w:val="00AB4AD5"/>
    <w:rsid w:val="00AB4D6C"/>
    <w:rsid w:val="00AB575C"/>
    <w:rsid w:val="00AB5794"/>
    <w:rsid w:val="00AB588F"/>
    <w:rsid w:val="00AB5923"/>
    <w:rsid w:val="00AB5AD4"/>
    <w:rsid w:val="00AB6115"/>
    <w:rsid w:val="00AB6A38"/>
    <w:rsid w:val="00AB7044"/>
    <w:rsid w:val="00AB758A"/>
    <w:rsid w:val="00AB75AC"/>
    <w:rsid w:val="00AB767C"/>
    <w:rsid w:val="00AB7871"/>
    <w:rsid w:val="00AB78C4"/>
    <w:rsid w:val="00AB7C10"/>
    <w:rsid w:val="00AC0834"/>
    <w:rsid w:val="00AC0CF9"/>
    <w:rsid w:val="00AC1248"/>
    <w:rsid w:val="00AC18D5"/>
    <w:rsid w:val="00AC1E38"/>
    <w:rsid w:val="00AC24B9"/>
    <w:rsid w:val="00AC3196"/>
    <w:rsid w:val="00AC31CB"/>
    <w:rsid w:val="00AC334A"/>
    <w:rsid w:val="00AC3BCE"/>
    <w:rsid w:val="00AC47E5"/>
    <w:rsid w:val="00AC4C93"/>
    <w:rsid w:val="00AC4C9B"/>
    <w:rsid w:val="00AC5747"/>
    <w:rsid w:val="00AC5ABC"/>
    <w:rsid w:val="00AC5CA8"/>
    <w:rsid w:val="00AC5CDB"/>
    <w:rsid w:val="00AC6247"/>
    <w:rsid w:val="00AC664D"/>
    <w:rsid w:val="00AC66F1"/>
    <w:rsid w:val="00AC7631"/>
    <w:rsid w:val="00AC7663"/>
    <w:rsid w:val="00AC791E"/>
    <w:rsid w:val="00AC7A93"/>
    <w:rsid w:val="00AC7D91"/>
    <w:rsid w:val="00AD00E5"/>
    <w:rsid w:val="00AD0A9F"/>
    <w:rsid w:val="00AD1054"/>
    <w:rsid w:val="00AD159E"/>
    <w:rsid w:val="00AD1BA1"/>
    <w:rsid w:val="00AD1E1C"/>
    <w:rsid w:val="00AD2086"/>
    <w:rsid w:val="00AD20B1"/>
    <w:rsid w:val="00AD20F4"/>
    <w:rsid w:val="00AD2A9E"/>
    <w:rsid w:val="00AD3063"/>
    <w:rsid w:val="00AD3AB2"/>
    <w:rsid w:val="00AD3C04"/>
    <w:rsid w:val="00AD4BE2"/>
    <w:rsid w:val="00AD4E2C"/>
    <w:rsid w:val="00AD4EEB"/>
    <w:rsid w:val="00AD500D"/>
    <w:rsid w:val="00AD5ED5"/>
    <w:rsid w:val="00AD5F68"/>
    <w:rsid w:val="00AD6B2A"/>
    <w:rsid w:val="00AD6B77"/>
    <w:rsid w:val="00AD6DF9"/>
    <w:rsid w:val="00AD6F6C"/>
    <w:rsid w:val="00AD7B1C"/>
    <w:rsid w:val="00AE0340"/>
    <w:rsid w:val="00AE082E"/>
    <w:rsid w:val="00AE0CC9"/>
    <w:rsid w:val="00AE184A"/>
    <w:rsid w:val="00AE22A4"/>
    <w:rsid w:val="00AE2565"/>
    <w:rsid w:val="00AE2BD0"/>
    <w:rsid w:val="00AE2BFF"/>
    <w:rsid w:val="00AE2C22"/>
    <w:rsid w:val="00AE2F90"/>
    <w:rsid w:val="00AE30CC"/>
    <w:rsid w:val="00AE33AD"/>
    <w:rsid w:val="00AE3CF8"/>
    <w:rsid w:val="00AE4340"/>
    <w:rsid w:val="00AE46B0"/>
    <w:rsid w:val="00AE4DAE"/>
    <w:rsid w:val="00AE5764"/>
    <w:rsid w:val="00AE59E1"/>
    <w:rsid w:val="00AE5BBF"/>
    <w:rsid w:val="00AE5DA3"/>
    <w:rsid w:val="00AE6A27"/>
    <w:rsid w:val="00AE6CC7"/>
    <w:rsid w:val="00AE7087"/>
    <w:rsid w:val="00AE7CD9"/>
    <w:rsid w:val="00AE7DFE"/>
    <w:rsid w:val="00AE7E72"/>
    <w:rsid w:val="00AF03D8"/>
    <w:rsid w:val="00AF067B"/>
    <w:rsid w:val="00AF0828"/>
    <w:rsid w:val="00AF0B8A"/>
    <w:rsid w:val="00AF0BB0"/>
    <w:rsid w:val="00AF0D65"/>
    <w:rsid w:val="00AF10B7"/>
    <w:rsid w:val="00AF14FF"/>
    <w:rsid w:val="00AF15B5"/>
    <w:rsid w:val="00AF17F6"/>
    <w:rsid w:val="00AF2557"/>
    <w:rsid w:val="00AF29E4"/>
    <w:rsid w:val="00AF2EE2"/>
    <w:rsid w:val="00AF3200"/>
    <w:rsid w:val="00AF32A5"/>
    <w:rsid w:val="00AF3402"/>
    <w:rsid w:val="00AF346C"/>
    <w:rsid w:val="00AF3A3B"/>
    <w:rsid w:val="00AF4065"/>
    <w:rsid w:val="00AF4431"/>
    <w:rsid w:val="00AF4508"/>
    <w:rsid w:val="00AF4A64"/>
    <w:rsid w:val="00AF4CEA"/>
    <w:rsid w:val="00AF5082"/>
    <w:rsid w:val="00AF55D8"/>
    <w:rsid w:val="00AF5ACE"/>
    <w:rsid w:val="00AF5E20"/>
    <w:rsid w:val="00AF6756"/>
    <w:rsid w:val="00AF676B"/>
    <w:rsid w:val="00AF7632"/>
    <w:rsid w:val="00AF7E56"/>
    <w:rsid w:val="00B0008D"/>
    <w:rsid w:val="00B00DB2"/>
    <w:rsid w:val="00B00FEE"/>
    <w:rsid w:val="00B01492"/>
    <w:rsid w:val="00B016DE"/>
    <w:rsid w:val="00B018E0"/>
    <w:rsid w:val="00B01B92"/>
    <w:rsid w:val="00B01CCD"/>
    <w:rsid w:val="00B02624"/>
    <w:rsid w:val="00B0347C"/>
    <w:rsid w:val="00B03DD6"/>
    <w:rsid w:val="00B04035"/>
    <w:rsid w:val="00B041FF"/>
    <w:rsid w:val="00B04731"/>
    <w:rsid w:val="00B049C5"/>
    <w:rsid w:val="00B04EDC"/>
    <w:rsid w:val="00B05074"/>
    <w:rsid w:val="00B05D4E"/>
    <w:rsid w:val="00B05F34"/>
    <w:rsid w:val="00B06102"/>
    <w:rsid w:val="00B065E1"/>
    <w:rsid w:val="00B067B7"/>
    <w:rsid w:val="00B06C1D"/>
    <w:rsid w:val="00B0711C"/>
    <w:rsid w:val="00B07713"/>
    <w:rsid w:val="00B07BBE"/>
    <w:rsid w:val="00B07D5B"/>
    <w:rsid w:val="00B10021"/>
    <w:rsid w:val="00B1038D"/>
    <w:rsid w:val="00B10844"/>
    <w:rsid w:val="00B10B8D"/>
    <w:rsid w:val="00B1112F"/>
    <w:rsid w:val="00B11154"/>
    <w:rsid w:val="00B11731"/>
    <w:rsid w:val="00B1184F"/>
    <w:rsid w:val="00B12032"/>
    <w:rsid w:val="00B12060"/>
    <w:rsid w:val="00B12095"/>
    <w:rsid w:val="00B120A3"/>
    <w:rsid w:val="00B124AC"/>
    <w:rsid w:val="00B12B04"/>
    <w:rsid w:val="00B13052"/>
    <w:rsid w:val="00B13850"/>
    <w:rsid w:val="00B138BC"/>
    <w:rsid w:val="00B13951"/>
    <w:rsid w:val="00B139EA"/>
    <w:rsid w:val="00B13B37"/>
    <w:rsid w:val="00B1448C"/>
    <w:rsid w:val="00B144F9"/>
    <w:rsid w:val="00B152CA"/>
    <w:rsid w:val="00B153BB"/>
    <w:rsid w:val="00B1550C"/>
    <w:rsid w:val="00B155EA"/>
    <w:rsid w:val="00B156C3"/>
    <w:rsid w:val="00B157B1"/>
    <w:rsid w:val="00B15836"/>
    <w:rsid w:val="00B15B7A"/>
    <w:rsid w:val="00B15E1E"/>
    <w:rsid w:val="00B1623D"/>
    <w:rsid w:val="00B16385"/>
    <w:rsid w:val="00B1686E"/>
    <w:rsid w:val="00B16980"/>
    <w:rsid w:val="00B16A41"/>
    <w:rsid w:val="00B16B1D"/>
    <w:rsid w:val="00B16EA2"/>
    <w:rsid w:val="00B16FF9"/>
    <w:rsid w:val="00B170C9"/>
    <w:rsid w:val="00B171C5"/>
    <w:rsid w:val="00B17AAC"/>
    <w:rsid w:val="00B17CC2"/>
    <w:rsid w:val="00B17D8A"/>
    <w:rsid w:val="00B17D95"/>
    <w:rsid w:val="00B20199"/>
    <w:rsid w:val="00B21761"/>
    <w:rsid w:val="00B219B9"/>
    <w:rsid w:val="00B225A7"/>
    <w:rsid w:val="00B22623"/>
    <w:rsid w:val="00B226FE"/>
    <w:rsid w:val="00B22A82"/>
    <w:rsid w:val="00B22E9E"/>
    <w:rsid w:val="00B234E8"/>
    <w:rsid w:val="00B23B48"/>
    <w:rsid w:val="00B23C4D"/>
    <w:rsid w:val="00B249D5"/>
    <w:rsid w:val="00B24A93"/>
    <w:rsid w:val="00B2518A"/>
    <w:rsid w:val="00B25312"/>
    <w:rsid w:val="00B25AFB"/>
    <w:rsid w:val="00B25B15"/>
    <w:rsid w:val="00B25D32"/>
    <w:rsid w:val="00B25F0B"/>
    <w:rsid w:val="00B2611C"/>
    <w:rsid w:val="00B2619A"/>
    <w:rsid w:val="00B27336"/>
    <w:rsid w:val="00B27414"/>
    <w:rsid w:val="00B27CCE"/>
    <w:rsid w:val="00B3021C"/>
    <w:rsid w:val="00B303B9"/>
    <w:rsid w:val="00B30F1E"/>
    <w:rsid w:val="00B3161C"/>
    <w:rsid w:val="00B31634"/>
    <w:rsid w:val="00B31898"/>
    <w:rsid w:val="00B3193B"/>
    <w:rsid w:val="00B31B6F"/>
    <w:rsid w:val="00B322AE"/>
    <w:rsid w:val="00B32E85"/>
    <w:rsid w:val="00B33DBB"/>
    <w:rsid w:val="00B344C9"/>
    <w:rsid w:val="00B34FDD"/>
    <w:rsid w:val="00B35597"/>
    <w:rsid w:val="00B3583B"/>
    <w:rsid w:val="00B35B22"/>
    <w:rsid w:val="00B36AA8"/>
    <w:rsid w:val="00B36AEB"/>
    <w:rsid w:val="00B36C5B"/>
    <w:rsid w:val="00B373BB"/>
    <w:rsid w:val="00B374BB"/>
    <w:rsid w:val="00B37A8F"/>
    <w:rsid w:val="00B37B87"/>
    <w:rsid w:val="00B37C45"/>
    <w:rsid w:val="00B4020E"/>
    <w:rsid w:val="00B40301"/>
    <w:rsid w:val="00B40AFF"/>
    <w:rsid w:val="00B40DCA"/>
    <w:rsid w:val="00B41688"/>
    <w:rsid w:val="00B41976"/>
    <w:rsid w:val="00B4215E"/>
    <w:rsid w:val="00B422A1"/>
    <w:rsid w:val="00B423CC"/>
    <w:rsid w:val="00B4298B"/>
    <w:rsid w:val="00B42C8A"/>
    <w:rsid w:val="00B42E38"/>
    <w:rsid w:val="00B4343B"/>
    <w:rsid w:val="00B4359F"/>
    <w:rsid w:val="00B43AD8"/>
    <w:rsid w:val="00B43E44"/>
    <w:rsid w:val="00B43F35"/>
    <w:rsid w:val="00B43FFA"/>
    <w:rsid w:val="00B4438F"/>
    <w:rsid w:val="00B4498B"/>
    <w:rsid w:val="00B44EC9"/>
    <w:rsid w:val="00B45045"/>
    <w:rsid w:val="00B454D8"/>
    <w:rsid w:val="00B4553A"/>
    <w:rsid w:val="00B45627"/>
    <w:rsid w:val="00B45879"/>
    <w:rsid w:val="00B4592F"/>
    <w:rsid w:val="00B46330"/>
    <w:rsid w:val="00B46A55"/>
    <w:rsid w:val="00B46B1B"/>
    <w:rsid w:val="00B46B90"/>
    <w:rsid w:val="00B46BE0"/>
    <w:rsid w:val="00B46D26"/>
    <w:rsid w:val="00B46EC6"/>
    <w:rsid w:val="00B47106"/>
    <w:rsid w:val="00B471AD"/>
    <w:rsid w:val="00B47311"/>
    <w:rsid w:val="00B47364"/>
    <w:rsid w:val="00B47904"/>
    <w:rsid w:val="00B47CD7"/>
    <w:rsid w:val="00B47F90"/>
    <w:rsid w:val="00B509DC"/>
    <w:rsid w:val="00B5155A"/>
    <w:rsid w:val="00B516DA"/>
    <w:rsid w:val="00B51F9E"/>
    <w:rsid w:val="00B52373"/>
    <w:rsid w:val="00B52491"/>
    <w:rsid w:val="00B52CAD"/>
    <w:rsid w:val="00B5388C"/>
    <w:rsid w:val="00B53B66"/>
    <w:rsid w:val="00B53D7B"/>
    <w:rsid w:val="00B53FB6"/>
    <w:rsid w:val="00B54292"/>
    <w:rsid w:val="00B54D5E"/>
    <w:rsid w:val="00B553BE"/>
    <w:rsid w:val="00B5564D"/>
    <w:rsid w:val="00B556AB"/>
    <w:rsid w:val="00B55947"/>
    <w:rsid w:val="00B5600C"/>
    <w:rsid w:val="00B560C9"/>
    <w:rsid w:val="00B56459"/>
    <w:rsid w:val="00B56620"/>
    <w:rsid w:val="00B569DA"/>
    <w:rsid w:val="00B56CCA"/>
    <w:rsid w:val="00B5750B"/>
    <w:rsid w:val="00B57825"/>
    <w:rsid w:val="00B57C8E"/>
    <w:rsid w:val="00B605C5"/>
    <w:rsid w:val="00B6075A"/>
    <w:rsid w:val="00B60BE2"/>
    <w:rsid w:val="00B60E30"/>
    <w:rsid w:val="00B61264"/>
    <w:rsid w:val="00B613BE"/>
    <w:rsid w:val="00B6220F"/>
    <w:rsid w:val="00B6237C"/>
    <w:rsid w:val="00B62455"/>
    <w:rsid w:val="00B6246E"/>
    <w:rsid w:val="00B62517"/>
    <w:rsid w:val="00B625AA"/>
    <w:rsid w:val="00B62B0A"/>
    <w:rsid w:val="00B644E4"/>
    <w:rsid w:val="00B64C95"/>
    <w:rsid w:val="00B65347"/>
    <w:rsid w:val="00B65DE1"/>
    <w:rsid w:val="00B66A34"/>
    <w:rsid w:val="00B66CE7"/>
    <w:rsid w:val="00B66CEB"/>
    <w:rsid w:val="00B66E55"/>
    <w:rsid w:val="00B672A4"/>
    <w:rsid w:val="00B6732E"/>
    <w:rsid w:val="00B67AC9"/>
    <w:rsid w:val="00B67E50"/>
    <w:rsid w:val="00B700FA"/>
    <w:rsid w:val="00B70171"/>
    <w:rsid w:val="00B70734"/>
    <w:rsid w:val="00B708F3"/>
    <w:rsid w:val="00B70DDF"/>
    <w:rsid w:val="00B70E05"/>
    <w:rsid w:val="00B70E54"/>
    <w:rsid w:val="00B7120B"/>
    <w:rsid w:val="00B7140D"/>
    <w:rsid w:val="00B71432"/>
    <w:rsid w:val="00B71B3E"/>
    <w:rsid w:val="00B71B5B"/>
    <w:rsid w:val="00B71B90"/>
    <w:rsid w:val="00B71BE4"/>
    <w:rsid w:val="00B71F01"/>
    <w:rsid w:val="00B72334"/>
    <w:rsid w:val="00B727CA"/>
    <w:rsid w:val="00B729B2"/>
    <w:rsid w:val="00B729E8"/>
    <w:rsid w:val="00B7327A"/>
    <w:rsid w:val="00B73943"/>
    <w:rsid w:val="00B73A3F"/>
    <w:rsid w:val="00B741EC"/>
    <w:rsid w:val="00B74846"/>
    <w:rsid w:val="00B74D23"/>
    <w:rsid w:val="00B74DFF"/>
    <w:rsid w:val="00B75122"/>
    <w:rsid w:val="00B75203"/>
    <w:rsid w:val="00B75991"/>
    <w:rsid w:val="00B75A67"/>
    <w:rsid w:val="00B76E6A"/>
    <w:rsid w:val="00B77352"/>
    <w:rsid w:val="00B7745B"/>
    <w:rsid w:val="00B77F92"/>
    <w:rsid w:val="00B77FB2"/>
    <w:rsid w:val="00B8015B"/>
    <w:rsid w:val="00B801A3"/>
    <w:rsid w:val="00B807C6"/>
    <w:rsid w:val="00B80EA0"/>
    <w:rsid w:val="00B81056"/>
    <w:rsid w:val="00B81297"/>
    <w:rsid w:val="00B81DE1"/>
    <w:rsid w:val="00B82023"/>
    <w:rsid w:val="00B82898"/>
    <w:rsid w:val="00B8293D"/>
    <w:rsid w:val="00B829C0"/>
    <w:rsid w:val="00B83205"/>
    <w:rsid w:val="00B83FE8"/>
    <w:rsid w:val="00B8458D"/>
    <w:rsid w:val="00B845E1"/>
    <w:rsid w:val="00B8467F"/>
    <w:rsid w:val="00B847DA"/>
    <w:rsid w:val="00B84FF5"/>
    <w:rsid w:val="00B85225"/>
    <w:rsid w:val="00B860CD"/>
    <w:rsid w:val="00B864DE"/>
    <w:rsid w:val="00B867E9"/>
    <w:rsid w:val="00B86BA0"/>
    <w:rsid w:val="00B86FE8"/>
    <w:rsid w:val="00B8711D"/>
    <w:rsid w:val="00B8771D"/>
    <w:rsid w:val="00B87927"/>
    <w:rsid w:val="00B87F68"/>
    <w:rsid w:val="00B904AC"/>
    <w:rsid w:val="00B911C5"/>
    <w:rsid w:val="00B912FE"/>
    <w:rsid w:val="00B91D98"/>
    <w:rsid w:val="00B91F11"/>
    <w:rsid w:val="00B92136"/>
    <w:rsid w:val="00B921C9"/>
    <w:rsid w:val="00B923E7"/>
    <w:rsid w:val="00B92496"/>
    <w:rsid w:val="00B92625"/>
    <w:rsid w:val="00B92C49"/>
    <w:rsid w:val="00B92EE2"/>
    <w:rsid w:val="00B93564"/>
    <w:rsid w:val="00B93ABB"/>
    <w:rsid w:val="00B93BAA"/>
    <w:rsid w:val="00B941AA"/>
    <w:rsid w:val="00B94581"/>
    <w:rsid w:val="00B94E2D"/>
    <w:rsid w:val="00B94F5D"/>
    <w:rsid w:val="00B94F97"/>
    <w:rsid w:val="00B95101"/>
    <w:rsid w:val="00B95B10"/>
    <w:rsid w:val="00B95FF6"/>
    <w:rsid w:val="00B962BB"/>
    <w:rsid w:val="00B966B3"/>
    <w:rsid w:val="00B96B43"/>
    <w:rsid w:val="00B96C30"/>
    <w:rsid w:val="00B97336"/>
    <w:rsid w:val="00B9758E"/>
    <w:rsid w:val="00B97CB3"/>
    <w:rsid w:val="00B97F3F"/>
    <w:rsid w:val="00B97F58"/>
    <w:rsid w:val="00BA04C6"/>
    <w:rsid w:val="00BA0C05"/>
    <w:rsid w:val="00BA128F"/>
    <w:rsid w:val="00BA14A4"/>
    <w:rsid w:val="00BA15B2"/>
    <w:rsid w:val="00BA1C9D"/>
    <w:rsid w:val="00BA248B"/>
    <w:rsid w:val="00BA2864"/>
    <w:rsid w:val="00BA2DE4"/>
    <w:rsid w:val="00BA3482"/>
    <w:rsid w:val="00BA3CBC"/>
    <w:rsid w:val="00BA42D2"/>
    <w:rsid w:val="00BA435A"/>
    <w:rsid w:val="00BA46D1"/>
    <w:rsid w:val="00BA48F6"/>
    <w:rsid w:val="00BA496B"/>
    <w:rsid w:val="00BA54A0"/>
    <w:rsid w:val="00BA55D9"/>
    <w:rsid w:val="00BA5748"/>
    <w:rsid w:val="00BA5CA1"/>
    <w:rsid w:val="00BA5EEC"/>
    <w:rsid w:val="00BA6211"/>
    <w:rsid w:val="00BA65E7"/>
    <w:rsid w:val="00BA6822"/>
    <w:rsid w:val="00BA6DED"/>
    <w:rsid w:val="00BA77D9"/>
    <w:rsid w:val="00BA7A16"/>
    <w:rsid w:val="00BA7F65"/>
    <w:rsid w:val="00BB0449"/>
    <w:rsid w:val="00BB0490"/>
    <w:rsid w:val="00BB096B"/>
    <w:rsid w:val="00BB141D"/>
    <w:rsid w:val="00BB143A"/>
    <w:rsid w:val="00BB181E"/>
    <w:rsid w:val="00BB1A59"/>
    <w:rsid w:val="00BB1F4B"/>
    <w:rsid w:val="00BB2041"/>
    <w:rsid w:val="00BB212F"/>
    <w:rsid w:val="00BB2228"/>
    <w:rsid w:val="00BB2316"/>
    <w:rsid w:val="00BB2436"/>
    <w:rsid w:val="00BB243A"/>
    <w:rsid w:val="00BB28EE"/>
    <w:rsid w:val="00BB2CAE"/>
    <w:rsid w:val="00BB3ADF"/>
    <w:rsid w:val="00BB3BDE"/>
    <w:rsid w:val="00BB3C16"/>
    <w:rsid w:val="00BB3E37"/>
    <w:rsid w:val="00BB4406"/>
    <w:rsid w:val="00BB4756"/>
    <w:rsid w:val="00BB4FD6"/>
    <w:rsid w:val="00BB633D"/>
    <w:rsid w:val="00BB64C3"/>
    <w:rsid w:val="00BB6581"/>
    <w:rsid w:val="00BB6697"/>
    <w:rsid w:val="00BB70F1"/>
    <w:rsid w:val="00BB7103"/>
    <w:rsid w:val="00BB7719"/>
    <w:rsid w:val="00BB7CE0"/>
    <w:rsid w:val="00BC0384"/>
    <w:rsid w:val="00BC0A81"/>
    <w:rsid w:val="00BC0B05"/>
    <w:rsid w:val="00BC0F3C"/>
    <w:rsid w:val="00BC14CF"/>
    <w:rsid w:val="00BC19DA"/>
    <w:rsid w:val="00BC1BF4"/>
    <w:rsid w:val="00BC1D9A"/>
    <w:rsid w:val="00BC29C5"/>
    <w:rsid w:val="00BC2A11"/>
    <w:rsid w:val="00BC3D2E"/>
    <w:rsid w:val="00BC3DAB"/>
    <w:rsid w:val="00BC4175"/>
    <w:rsid w:val="00BC472B"/>
    <w:rsid w:val="00BC4DA9"/>
    <w:rsid w:val="00BC5047"/>
    <w:rsid w:val="00BC508C"/>
    <w:rsid w:val="00BC580C"/>
    <w:rsid w:val="00BC5916"/>
    <w:rsid w:val="00BC599F"/>
    <w:rsid w:val="00BC5AA5"/>
    <w:rsid w:val="00BC5DB4"/>
    <w:rsid w:val="00BC6078"/>
    <w:rsid w:val="00BC60F6"/>
    <w:rsid w:val="00BC6428"/>
    <w:rsid w:val="00BC65EF"/>
    <w:rsid w:val="00BC6CE8"/>
    <w:rsid w:val="00BC75E1"/>
    <w:rsid w:val="00BC7C5B"/>
    <w:rsid w:val="00BC7C8C"/>
    <w:rsid w:val="00BC7F04"/>
    <w:rsid w:val="00BD077F"/>
    <w:rsid w:val="00BD0B94"/>
    <w:rsid w:val="00BD1D0C"/>
    <w:rsid w:val="00BD26AA"/>
    <w:rsid w:val="00BD34B5"/>
    <w:rsid w:val="00BD3FA0"/>
    <w:rsid w:val="00BD3FC6"/>
    <w:rsid w:val="00BD454F"/>
    <w:rsid w:val="00BD5375"/>
    <w:rsid w:val="00BD566D"/>
    <w:rsid w:val="00BD5B4D"/>
    <w:rsid w:val="00BD5DA7"/>
    <w:rsid w:val="00BD5F3C"/>
    <w:rsid w:val="00BD5FCA"/>
    <w:rsid w:val="00BD6680"/>
    <w:rsid w:val="00BD6C97"/>
    <w:rsid w:val="00BD6E06"/>
    <w:rsid w:val="00BD6F24"/>
    <w:rsid w:val="00BD7302"/>
    <w:rsid w:val="00BD77F8"/>
    <w:rsid w:val="00BD7F5E"/>
    <w:rsid w:val="00BE0BA5"/>
    <w:rsid w:val="00BE1B81"/>
    <w:rsid w:val="00BE1CF9"/>
    <w:rsid w:val="00BE2045"/>
    <w:rsid w:val="00BE222A"/>
    <w:rsid w:val="00BE2775"/>
    <w:rsid w:val="00BE2973"/>
    <w:rsid w:val="00BE2995"/>
    <w:rsid w:val="00BE323A"/>
    <w:rsid w:val="00BE33CC"/>
    <w:rsid w:val="00BE3507"/>
    <w:rsid w:val="00BE3542"/>
    <w:rsid w:val="00BE3628"/>
    <w:rsid w:val="00BE38C4"/>
    <w:rsid w:val="00BE5589"/>
    <w:rsid w:val="00BE56BD"/>
    <w:rsid w:val="00BE56ED"/>
    <w:rsid w:val="00BE5A77"/>
    <w:rsid w:val="00BE5B30"/>
    <w:rsid w:val="00BE649A"/>
    <w:rsid w:val="00BE6F03"/>
    <w:rsid w:val="00BE7299"/>
    <w:rsid w:val="00BE766A"/>
    <w:rsid w:val="00BE7D17"/>
    <w:rsid w:val="00BF02B3"/>
    <w:rsid w:val="00BF073D"/>
    <w:rsid w:val="00BF0F3D"/>
    <w:rsid w:val="00BF2570"/>
    <w:rsid w:val="00BF2675"/>
    <w:rsid w:val="00BF2B3D"/>
    <w:rsid w:val="00BF2BA7"/>
    <w:rsid w:val="00BF2FE5"/>
    <w:rsid w:val="00BF3725"/>
    <w:rsid w:val="00BF38C4"/>
    <w:rsid w:val="00BF3E22"/>
    <w:rsid w:val="00BF44A3"/>
    <w:rsid w:val="00BF465A"/>
    <w:rsid w:val="00BF4725"/>
    <w:rsid w:val="00BF4E1C"/>
    <w:rsid w:val="00BF5169"/>
    <w:rsid w:val="00BF5273"/>
    <w:rsid w:val="00BF63D1"/>
    <w:rsid w:val="00BF6AE6"/>
    <w:rsid w:val="00BF6E17"/>
    <w:rsid w:val="00BF6FAB"/>
    <w:rsid w:val="00BF740B"/>
    <w:rsid w:val="00BF74C2"/>
    <w:rsid w:val="00BF7702"/>
    <w:rsid w:val="00BF77EE"/>
    <w:rsid w:val="00BF79FC"/>
    <w:rsid w:val="00BF7BA7"/>
    <w:rsid w:val="00BF7E27"/>
    <w:rsid w:val="00BF7F5D"/>
    <w:rsid w:val="00C01172"/>
    <w:rsid w:val="00C01225"/>
    <w:rsid w:val="00C016A9"/>
    <w:rsid w:val="00C01796"/>
    <w:rsid w:val="00C01DCC"/>
    <w:rsid w:val="00C0251C"/>
    <w:rsid w:val="00C02AB9"/>
    <w:rsid w:val="00C02BFC"/>
    <w:rsid w:val="00C02E17"/>
    <w:rsid w:val="00C03CF3"/>
    <w:rsid w:val="00C03EFF"/>
    <w:rsid w:val="00C04082"/>
    <w:rsid w:val="00C04243"/>
    <w:rsid w:val="00C0426C"/>
    <w:rsid w:val="00C042A4"/>
    <w:rsid w:val="00C043CA"/>
    <w:rsid w:val="00C0451C"/>
    <w:rsid w:val="00C047B4"/>
    <w:rsid w:val="00C04F09"/>
    <w:rsid w:val="00C05048"/>
    <w:rsid w:val="00C05395"/>
    <w:rsid w:val="00C055F1"/>
    <w:rsid w:val="00C062F7"/>
    <w:rsid w:val="00C0635F"/>
    <w:rsid w:val="00C06E23"/>
    <w:rsid w:val="00C06FDD"/>
    <w:rsid w:val="00C073E6"/>
    <w:rsid w:val="00C07E29"/>
    <w:rsid w:val="00C107AE"/>
    <w:rsid w:val="00C112DA"/>
    <w:rsid w:val="00C11E70"/>
    <w:rsid w:val="00C12084"/>
    <w:rsid w:val="00C1231C"/>
    <w:rsid w:val="00C12A76"/>
    <w:rsid w:val="00C12D8F"/>
    <w:rsid w:val="00C12F75"/>
    <w:rsid w:val="00C135E1"/>
    <w:rsid w:val="00C13994"/>
    <w:rsid w:val="00C13E22"/>
    <w:rsid w:val="00C14438"/>
    <w:rsid w:val="00C1546B"/>
    <w:rsid w:val="00C154B9"/>
    <w:rsid w:val="00C15767"/>
    <w:rsid w:val="00C15C8D"/>
    <w:rsid w:val="00C1601E"/>
    <w:rsid w:val="00C1617B"/>
    <w:rsid w:val="00C164D6"/>
    <w:rsid w:val="00C16A04"/>
    <w:rsid w:val="00C174F1"/>
    <w:rsid w:val="00C177D2"/>
    <w:rsid w:val="00C17F5F"/>
    <w:rsid w:val="00C2000C"/>
    <w:rsid w:val="00C20270"/>
    <w:rsid w:val="00C202B3"/>
    <w:rsid w:val="00C206A2"/>
    <w:rsid w:val="00C20F2B"/>
    <w:rsid w:val="00C21036"/>
    <w:rsid w:val="00C21274"/>
    <w:rsid w:val="00C213E8"/>
    <w:rsid w:val="00C21443"/>
    <w:rsid w:val="00C215B3"/>
    <w:rsid w:val="00C216D3"/>
    <w:rsid w:val="00C2179A"/>
    <w:rsid w:val="00C219D4"/>
    <w:rsid w:val="00C21C24"/>
    <w:rsid w:val="00C21E14"/>
    <w:rsid w:val="00C21EE0"/>
    <w:rsid w:val="00C21F88"/>
    <w:rsid w:val="00C22052"/>
    <w:rsid w:val="00C223C3"/>
    <w:rsid w:val="00C225B6"/>
    <w:rsid w:val="00C22F22"/>
    <w:rsid w:val="00C2364D"/>
    <w:rsid w:val="00C23917"/>
    <w:rsid w:val="00C23F0F"/>
    <w:rsid w:val="00C23FF2"/>
    <w:rsid w:val="00C253D9"/>
    <w:rsid w:val="00C25789"/>
    <w:rsid w:val="00C258AD"/>
    <w:rsid w:val="00C2594E"/>
    <w:rsid w:val="00C25F0A"/>
    <w:rsid w:val="00C25FE0"/>
    <w:rsid w:val="00C2628A"/>
    <w:rsid w:val="00C279E8"/>
    <w:rsid w:val="00C279EC"/>
    <w:rsid w:val="00C30297"/>
    <w:rsid w:val="00C30A15"/>
    <w:rsid w:val="00C30FA3"/>
    <w:rsid w:val="00C31239"/>
    <w:rsid w:val="00C31A6D"/>
    <w:rsid w:val="00C323C0"/>
    <w:rsid w:val="00C32DBB"/>
    <w:rsid w:val="00C3334D"/>
    <w:rsid w:val="00C33831"/>
    <w:rsid w:val="00C34325"/>
    <w:rsid w:val="00C343F2"/>
    <w:rsid w:val="00C344D8"/>
    <w:rsid w:val="00C35884"/>
    <w:rsid w:val="00C3610E"/>
    <w:rsid w:val="00C36251"/>
    <w:rsid w:val="00C365A6"/>
    <w:rsid w:val="00C36B8E"/>
    <w:rsid w:val="00C36C1F"/>
    <w:rsid w:val="00C370CA"/>
    <w:rsid w:val="00C37494"/>
    <w:rsid w:val="00C37658"/>
    <w:rsid w:val="00C4009F"/>
    <w:rsid w:val="00C40A0C"/>
    <w:rsid w:val="00C40D7B"/>
    <w:rsid w:val="00C41BA1"/>
    <w:rsid w:val="00C420FB"/>
    <w:rsid w:val="00C4287B"/>
    <w:rsid w:val="00C429E0"/>
    <w:rsid w:val="00C43195"/>
    <w:rsid w:val="00C432A3"/>
    <w:rsid w:val="00C43848"/>
    <w:rsid w:val="00C43BD4"/>
    <w:rsid w:val="00C43C69"/>
    <w:rsid w:val="00C43E84"/>
    <w:rsid w:val="00C441CE"/>
    <w:rsid w:val="00C449E3"/>
    <w:rsid w:val="00C45084"/>
    <w:rsid w:val="00C45614"/>
    <w:rsid w:val="00C45D06"/>
    <w:rsid w:val="00C463DA"/>
    <w:rsid w:val="00C466EE"/>
    <w:rsid w:val="00C50953"/>
    <w:rsid w:val="00C50F19"/>
    <w:rsid w:val="00C518C9"/>
    <w:rsid w:val="00C518F6"/>
    <w:rsid w:val="00C53824"/>
    <w:rsid w:val="00C54019"/>
    <w:rsid w:val="00C54509"/>
    <w:rsid w:val="00C55125"/>
    <w:rsid w:val="00C552FA"/>
    <w:rsid w:val="00C5541D"/>
    <w:rsid w:val="00C55523"/>
    <w:rsid w:val="00C558CB"/>
    <w:rsid w:val="00C5695F"/>
    <w:rsid w:val="00C5696B"/>
    <w:rsid w:val="00C570A4"/>
    <w:rsid w:val="00C5726C"/>
    <w:rsid w:val="00C57E4F"/>
    <w:rsid w:val="00C6046F"/>
    <w:rsid w:val="00C60756"/>
    <w:rsid w:val="00C60B70"/>
    <w:rsid w:val="00C60CEF"/>
    <w:rsid w:val="00C60D5C"/>
    <w:rsid w:val="00C61366"/>
    <w:rsid w:val="00C62353"/>
    <w:rsid w:val="00C62F8C"/>
    <w:rsid w:val="00C63191"/>
    <w:rsid w:val="00C63387"/>
    <w:rsid w:val="00C6443A"/>
    <w:rsid w:val="00C64F3E"/>
    <w:rsid w:val="00C6577A"/>
    <w:rsid w:val="00C65C55"/>
    <w:rsid w:val="00C65D26"/>
    <w:rsid w:val="00C665F0"/>
    <w:rsid w:val="00C66826"/>
    <w:rsid w:val="00C67265"/>
    <w:rsid w:val="00C67515"/>
    <w:rsid w:val="00C67842"/>
    <w:rsid w:val="00C679B6"/>
    <w:rsid w:val="00C67DFC"/>
    <w:rsid w:val="00C70372"/>
    <w:rsid w:val="00C7077C"/>
    <w:rsid w:val="00C7089C"/>
    <w:rsid w:val="00C70F73"/>
    <w:rsid w:val="00C7129C"/>
    <w:rsid w:val="00C71968"/>
    <w:rsid w:val="00C72318"/>
    <w:rsid w:val="00C724E6"/>
    <w:rsid w:val="00C72986"/>
    <w:rsid w:val="00C72BAF"/>
    <w:rsid w:val="00C73366"/>
    <w:rsid w:val="00C7361B"/>
    <w:rsid w:val="00C73C7C"/>
    <w:rsid w:val="00C740E7"/>
    <w:rsid w:val="00C747A5"/>
    <w:rsid w:val="00C75434"/>
    <w:rsid w:val="00C7547F"/>
    <w:rsid w:val="00C75526"/>
    <w:rsid w:val="00C75D50"/>
    <w:rsid w:val="00C76200"/>
    <w:rsid w:val="00C76FEF"/>
    <w:rsid w:val="00C77511"/>
    <w:rsid w:val="00C80083"/>
    <w:rsid w:val="00C80369"/>
    <w:rsid w:val="00C80606"/>
    <w:rsid w:val="00C80D23"/>
    <w:rsid w:val="00C80FA3"/>
    <w:rsid w:val="00C81704"/>
    <w:rsid w:val="00C821DC"/>
    <w:rsid w:val="00C82218"/>
    <w:rsid w:val="00C823BD"/>
    <w:rsid w:val="00C82ECE"/>
    <w:rsid w:val="00C832FB"/>
    <w:rsid w:val="00C83D94"/>
    <w:rsid w:val="00C83EC9"/>
    <w:rsid w:val="00C843E9"/>
    <w:rsid w:val="00C847AC"/>
    <w:rsid w:val="00C84A12"/>
    <w:rsid w:val="00C84E59"/>
    <w:rsid w:val="00C85314"/>
    <w:rsid w:val="00C8551B"/>
    <w:rsid w:val="00C86245"/>
    <w:rsid w:val="00C86B71"/>
    <w:rsid w:val="00C86E09"/>
    <w:rsid w:val="00C87591"/>
    <w:rsid w:val="00C879FE"/>
    <w:rsid w:val="00C87A10"/>
    <w:rsid w:val="00C87ADC"/>
    <w:rsid w:val="00C87E9B"/>
    <w:rsid w:val="00C9004F"/>
    <w:rsid w:val="00C90123"/>
    <w:rsid w:val="00C9031D"/>
    <w:rsid w:val="00C90781"/>
    <w:rsid w:val="00C90A64"/>
    <w:rsid w:val="00C90DBA"/>
    <w:rsid w:val="00C911D0"/>
    <w:rsid w:val="00C917C2"/>
    <w:rsid w:val="00C9201A"/>
    <w:rsid w:val="00C92CD0"/>
    <w:rsid w:val="00C92DA5"/>
    <w:rsid w:val="00C92DA6"/>
    <w:rsid w:val="00C930C6"/>
    <w:rsid w:val="00C93DF7"/>
    <w:rsid w:val="00C94137"/>
    <w:rsid w:val="00C941B4"/>
    <w:rsid w:val="00C942AF"/>
    <w:rsid w:val="00C945F2"/>
    <w:rsid w:val="00C946D9"/>
    <w:rsid w:val="00C94723"/>
    <w:rsid w:val="00C95026"/>
    <w:rsid w:val="00C95CDC"/>
    <w:rsid w:val="00C95FB4"/>
    <w:rsid w:val="00C96292"/>
    <w:rsid w:val="00C963A4"/>
    <w:rsid w:val="00C965C6"/>
    <w:rsid w:val="00C96BF2"/>
    <w:rsid w:val="00C96F24"/>
    <w:rsid w:val="00C97006"/>
    <w:rsid w:val="00C97124"/>
    <w:rsid w:val="00C9737B"/>
    <w:rsid w:val="00C97822"/>
    <w:rsid w:val="00C979BB"/>
    <w:rsid w:val="00C97BCE"/>
    <w:rsid w:val="00CA0116"/>
    <w:rsid w:val="00CA093B"/>
    <w:rsid w:val="00CA1C4D"/>
    <w:rsid w:val="00CA1C66"/>
    <w:rsid w:val="00CA2BC6"/>
    <w:rsid w:val="00CA2D97"/>
    <w:rsid w:val="00CA2F8B"/>
    <w:rsid w:val="00CA36EC"/>
    <w:rsid w:val="00CA373D"/>
    <w:rsid w:val="00CA39CC"/>
    <w:rsid w:val="00CA3BE4"/>
    <w:rsid w:val="00CA45B1"/>
    <w:rsid w:val="00CA4BC0"/>
    <w:rsid w:val="00CA4FE3"/>
    <w:rsid w:val="00CA55A4"/>
    <w:rsid w:val="00CA5A25"/>
    <w:rsid w:val="00CA5CA8"/>
    <w:rsid w:val="00CA607B"/>
    <w:rsid w:val="00CA68E4"/>
    <w:rsid w:val="00CA7007"/>
    <w:rsid w:val="00CA712D"/>
    <w:rsid w:val="00CA7B31"/>
    <w:rsid w:val="00CA7EF4"/>
    <w:rsid w:val="00CB0157"/>
    <w:rsid w:val="00CB0700"/>
    <w:rsid w:val="00CB0EE6"/>
    <w:rsid w:val="00CB1C98"/>
    <w:rsid w:val="00CB1C99"/>
    <w:rsid w:val="00CB1EAD"/>
    <w:rsid w:val="00CB258A"/>
    <w:rsid w:val="00CB2A6A"/>
    <w:rsid w:val="00CB2DC9"/>
    <w:rsid w:val="00CB34F9"/>
    <w:rsid w:val="00CB3514"/>
    <w:rsid w:val="00CB369A"/>
    <w:rsid w:val="00CB4249"/>
    <w:rsid w:val="00CB437E"/>
    <w:rsid w:val="00CB45EA"/>
    <w:rsid w:val="00CB47E4"/>
    <w:rsid w:val="00CB5205"/>
    <w:rsid w:val="00CB5D78"/>
    <w:rsid w:val="00CB61A3"/>
    <w:rsid w:val="00CB66EF"/>
    <w:rsid w:val="00CB6931"/>
    <w:rsid w:val="00CB6F41"/>
    <w:rsid w:val="00CB7782"/>
    <w:rsid w:val="00CB796B"/>
    <w:rsid w:val="00CB7A63"/>
    <w:rsid w:val="00CB7CF2"/>
    <w:rsid w:val="00CB7EBB"/>
    <w:rsid w:val="00CC0145"/>
    <w:rsid w:val="00CC030A"/>
    <w:rsid w:val="00CC0622"/>
    <w:rsid w:val="00CC08C7"/>
    <w:rsid w:val="00CC0C23"/>
    <w:rsid w:val="00CC0F55"/>
    <w:rsid w:val="00CC1104"/>
    <w:rsid w:val="00CC131A"/>
    <w:rsid w:val="00CC2C97"/>
    <w:rsid w:val="00CC3246"/>
    <w:rsid w:val="00CC34D8"/>
    <w:rsid w:val="00CC3A54"/>
    <w:rsid w:val="00CC40FD"/>
    <w:rsid w:val="00CC483F"/>
    <w:rsid w:val="00CC4BBE"/>
    <w:rsid w:val="00CC4ED9"/>
    <w:rsid w:val="00CC4F8E"/>
    <w:rsid w:val="00CC50E8"/>
    <w:rsid w:val="00CC5258"/>
    <w:rsid w:val="00CC5358"/>
    <w:rsid w:val="00CC559D"/>
    <w:rsid w:val="00CC5721"/>
    <w:rsid w:val="00CC5A1E"/>
    <w:rsid w:val="00CC5A34"/>
    <w:rsid w:val="00CC5ADC"/>
    <w:rsid w:val="00CC5D80"/>
    <w:rsid w:val="00CC64A7"/>
    <w:rsid w:val="00CC6ED2"/>
    <w:rsid w:val="00CC75A0"/>
    <w:rsid w:val="00CC7876"/>
    <w:rsid w:val="00CC7B95"/>
    <w:rsid w:val="00CC7C0D"/>
    <w:rsid w:val="00CC7CB2"/>
    <w:rsid w:val="00CC7E5F"/>
    <w:rsid w:val="00CC7E7A"/>
    <w:rsid w:val="00CD03B4"/>
    <w:rsid w:val="00CD0853"/>
    <w:rsid w:val="00CD0CC2"/>
    <w:rsid w:val="00CD1365"/>
    <w:rsid w:val="00CD155E"/>
    <w:rsid w:val="00CD158B"/>
    <w:rsid w:val="00CD1FF4"/>
    <w:rsid w:val="00CD278B"/>
    <w:rsid w:val="00CD29E1"/>
    <w:rsid w:val="00CD35F6"/>
    <w:rsid w:val="00CD37B3"/>
    <w:rsid w:val="00CD37D2"/>
    <w:rsid w:val="00CD3DC1"/>
    <w:rsid w:val="00CD449E"/>
    <w:rsid w:val="00CD4AD8"/>
    <w:rsid w:val="00CD54AA"/>
    <w:rsid w:val="00CD57DF"/>
    <w:rsid w:val="00CD5D48"/>
    <w:rsid w:val="00CD654B"/>
    <w:rsid w:val="00CD6C0D"/>
    <w:rsid w:val="00CD6FD0"/>
    <w:rsid w:val="00CD72C7"/>
    <w:rsid w:val="00CD7601"/>
    <w:rsid w:val="00CD784E"/>
    <w:rsid w:val="00CD7EF8"/>
    <w:rsid w:val="00CE01E1"/>
    <w:rsid w:val="00CE048B"/>
    <w:rsid w:val="00CE0748"/>
    <w:rsid w:val="00CE0768"/>
    <w:rsid w:val="00CE0789"/>
    <w:rsid w:val="00CE0901"/>
    <w:rsid w:val="00CE0F1A"/>
    <w:rsid w:val="00CE1658"/>
    <w:rsid w:val="00CE1C63"/>
    <w:rsid w:val="00CE223E"/>
    <w:rsid w:val="00CE24A5"/>
    <w:rsid w:val="00CE2869"/>
    <w:rsid w:val="00CE2AB0"/>
    <w:rsid w:val="00CE2FEE"/>
    <w:rsid w:val="00CE3118"/>
    <w:rsid w:val="00CE3D59"/>
    <w:rsid w:val="00CE3E0D"/>
    <w:rsid w:val="00CE4083"/>
    <w:rsid w:val="00CE409C"/>
    <w:rsid w:val="00CE40F3"/>
    <w:rsid w:val="00CE4114"/>
    <w:rsid w:val="00CE449C"/>
    <w:rsid w:val="00CE4B86"/>
    <w:rsid w:val="00CE4CA4"/>
    <w:rsid w:val="00CE4E3C"/>
    <w:rsid w:val="00CE4F00"/>
    <w:rsid w:val="00CE4FDF"/>
    <w:rsid w:val="00CE5037"/>
    <w:rsid w:val="00CE53E1"/>
    <w:rsid w:val="00CE558E"/>
    <w:rsid w:val="00CE5875"/>
    <w:rsid w:val="00CE5B5D"/>
    <w:rsid w:val="00CE5E81"/>
    <w:rsid w:val="00CE67C0"/>
    <w:rsid w:val="00CE6997"/>
    <w:rsid w:val="00CE6C08"/>
    <w:rsid w:val="00CE7098"/>
    <w:rsid w:val="00CE71AA"/>
    <w:rsid w:val="00CE71EF"/>
    <w:rsid w:val="00CE7652"/>
    <w:rsid w:val="00CE7874"/>
    <w:rsid w:val="00CF0088"/>
    <w:rsid w:val="00CF0185"/>
    <w:rsid w:val="00CF03DB"/>
    <w:rsid w:val="00CF05AF"/>
    <w:rsid w:val="00CF0868"/>
    <w:rsid w:val="00CF08D0"/>
    <w:rsid w:val="00CF0E6D"/>
    <w:rsid w:val="00CF13D8"/>
    <w:rsid w:val="00CF17C6"/>
    <w:rsid w:val="00CF1FEF"/>
    <w:rsid w:val="00CF26F1"/>
    <w:rsid w:val="00CF2F1E"/>
    <w:rsid w:val="00CF30E0"/>
    <w:rsid w:val="00CF32BA"/>
    <w:rsid w:val="00CF3346"/>
    <w:rsid w:val="00CF339E"/>
    <w:rsid w:val="00CF380D"/>
    <w:rsid w:val="00CF3947"/>
    <w:rsid w:val="00CF3F0D"/>
    <w:rsid w:val="00CF40E7"/>
    <w:rsid w:val="00CF433F"/>
    <w:rsid w:val="00CF43C3"/>
    <w:rsid w:val="00CF4404"/>
    <w:rsid w:val="00CF5011"/>
    <w:rsid w:val="00CF5A53"/>
    <w:rsid w:val="00CF6797"/>
    <w:rsid w:val="00CF6C1E"/>
    <w:rsid w:val="00CF74A3"/>
    <w:rsid w:val="00CF7662"/>
    <w:rsid w:val="00CF7757"/>
    <w:rsid w:val="00CF7D72"/>
    <w:rsid w:val="00CF7D76"/>
    <w:rsid w:val="00D0074B"/>
    <w:rsid w:val="00D00CD2"/>
    <w:rsid w:val="00D00F3B"/>
    <w:rsid w:val="00D011E2"/>
    <w:rsid w:val="00D01C00"/>
    <w:rsid w:val="00D02161"/>
    <w:rsid w:val="00D0257F"/>
    <w:rsid w:val="00D029BA"/>
    <w:rsid w:val="00D02B56"/>
    <w:rsid w:val="00D02DB0"/>
    <w:rsid w:val="00D03573"/>
    <w:rsid w:val="00D03879"/>
    <w:rsid w:val="00D03900"/>
    <w:rsid w:val="00D03B7C"/>
    <w:rsid w:val="00D03C24"/>
    <w:rsid w:val="00D044A4"/>
    <w:rsid w:val="00D04B4A"/>
    <w:rsid w:val="00D04E68"/>
    <w:rsid w:val="00D04F7C"/>
    <w:rsid w:val="00D056F0"/>
    <w:rsid w:val="00D057D5"/>
    <w:rsid w:val="00D057DA"/>
    <w:rsid w:val="00D0588D"/>
    <w:rsid w:val="00D05BBE"/>
    <w:rsid w:val="00D05CF3"/>
    <w:rsid w:val="00D05D0C"/>
    <w:rsid w:val="00D067F3"/>
    <w:rsid w:val="00D069E0"/>
    <w:rsid w:val="00D06AD9"/>
    <w:rsid w:val="00D06C32"/>
    <w:rsid w:val="00D070CB"/>
    <w:rsid w:val="00D07182"/>
    <w:rsid w:val="00D07313"/>
    <w:rsid w:val="00D07750"/>
    <w:rsid w:val="00D101F7"/>
    <w:rsid w:val="00D109E0"/>
    <w:rsid w:val="00D115A7"/>
    <w:rsid w:val="00D11B1D"/>
    <w:rsid w:val="00D11D72"/>
    <w:rsid w:val="00D11DE5"/>
    <w:rsid w:val="00D11ED1"/>
    <w:rsid w:val="00D12B08"/>
    <w:rsid w:val="00D12E7D"/>
    <w:rsid w:val="00D1309E"/>
    <w:rsid w:val="00D143A3"/>
    <w:rsid w:val="00D145F5"/>
    <w:rsid w:val="00D14856"/>
    <w:rsid w:val="00D15480"/>
    <w:rsid w:val="00D1557A"/>
    <w:rsid w:val="00D16110"/>
    <w:rsid w:val="00D1616C"/>
    <w:rsid w:val="00D16476"/>
    <w:rsid w:val="00D16539"/>
    <w:rsid w:val="00D1750F"/>
    <w:rsid w:val="00D17CD2"/>
    <w:rsid w:val="00D17DE9"/>
    <w:rsid w:val="00D20147"/>
    <w:rsid w:val="00D20565"/>
    <w:rsid w:val="00D207AA"/>
    <w:rsid w:val="00D20D9E"/>
    <w:rsid w:val="00D20F47"/>
    <w:rsid w:val="00D2189C"/>
    <w:rsid w:val="00D21A20"/>
    <w:rsid w:val="00D22387"/>
    <w:rsid w:val="00D224C2"/>
    <w:rsid w:val="00D228D1"/>
    <w:rsid w:val="00D22D3B"/>
    <w:rsid w:val="00D22F33"/>
    <w:rsid w:val="00D230D9"/>
    <w:rsid w:val="00D24053"/>
    <w:rsid w:val="00D24389"/>
    <w:rsid w:val="00D245C7"/>
    <w:rsid w:val="00D24A9E"/>
    <w:rsid w:val="00D24CAE"/>
    <w:rsid w:val="00D251D2"/>
    <w:rsid w:val="00D252D8"/>
    <w:rsid w:val="00D256F5"/>
    <w:rsid w:val="00D259BE"/>
    <w:rsid w:val="00D26160"/>
    <w:rsid w:val="00D263D0"/>
    <w:rsid w:val="00D26D19"/>
    <w:rsid w:val="00D26E9F"/>
    <w:rsid w:val="00D26ED1"/>
    <w:rsid w:val="00D2700C"/>
    <w:rsid w:val="00D279E4"/>
    <w:rsid w:val="00D27BD9"/>
    <w:rsid w:val="00D30280"/>
    <w:rsid w:val="00D3153D"/>
    <w:rsid w:val="00D31773"/>
    <w:rsid w:val="00D31909"/>
    <w:rsid w:val="00D31F88"/>
    <w:rsid w:val="00D323AD"/>
    <w:rsid w:val="00D32498"/>
    <w:rsid w:val="00D3265C"/>
    <w:rsid w:val="00D32A32"/>
    <w:rsid w:val="00D3322F"/>
    <w:rsid w:val="00D3361C"/>
    <w:rsid w:val="00D33A2E"/>
    <w:rsid w:val="00D33B60"/>
    <w:rsid w:val="00D340FB"/>
    <w:rsid w:val="00D34552"/>
    <w:rsid w:val="00D34605"/>
    <w:rsid w:val="00D34A4D"/>
    <w:rsid w:val="00D34E8D"/>
    <w:rsid w:val="00D355F0"/>
    <w:rsid w:val="00D35921"/>
    <w:rsid w:val="00D35A9E"/>
    <w:rsid w:val="00D35ABD"/>
    <w:rsid w:val="00D35C54"/>
    <w:rsid w:val="00D36567"/>
    <w:rsid w:val="00D36C13"/>
    <w:rsid w:val="00D371B6"/>
    <w:rsid w:val="00D37548"/>
    <w:rsid w:val="00D4040D"/>
    <w:rsid w:val="00D40C96"/>
    <w:rsid w:val="00D40FB2"/>
    <w:rsid w:val="00D41183"/>
    <w:rsid w:val="00D41204"/>
    <w:rsid w:val="00D414B0"/>
    <w:rsid w:val="00D419B2"/>
    <w:rsid w:val="00D41B79"/>
    <w:rsid w:val="00D420DC"/>
    <w:rsid w:val="00D425E5"/>
    <w:rsid w:val="00D42B0C"/>
    <w:rsid w:val="00D42C27"/>
    <w:rsid w:val="00D42CA7"/>
    <w:rsid w:val="00D43214"/>
    <w:rsid w:val="00D43AC8"/>
    <w:rsid w:val="00D43BA7"/>
    <w:rsid w:val="00D43DCE"/>
    <w:rsid w:val="00D43EF2"/>
    <w:rsid w:val="00D43FE8"/>
    <w:rsid w:val="00D447AC"/>
    <w:rsid w:val="00D4487F"/>
    <w:rsid w:val="00D44B3D"/>
    <w:rsid w:val="00D44C73"/>
    <w:rsid w:val="00D4543B"/>
    <w:rsid w:val="00D45B21"/>
    <w:rsid w:val="00D462AA"/>
    <w:rsid w:val="00D468D7"/>
    <w:rsid w:val="00D472F2"/>
    <w:rsid w:val="00D47335"/>
    <w:rsid w:val="00D4744F"/>
    <w:rsid w:val="00D50103"/>
    <w:rsid w:val="00D502BD"/>
    <w:rsid w:val="00D502D5"/>
    <w:rsid w:val="00D50A8E"/>
    <w:rsid w:val="00D50E93"/>
    <w:rsid w:val="00D51253"/>
    <w:rsid w:val="00D512E8"/>
    <w:rsid w:val="00D51B94"/>
    <w:rsid w:val="00D52C7B"/>
    <w:rsid w:val="00D52D01"/>
    <w:rsid w:val="00D53221"/>
    <w:rsid w:val="00D533E4"/>
    <w:rsid w:val="00D53608"/>
    <w:rsid w:val="00D5367E"/>
    <w:rsid w:val="00D539CB"/>
    <w:rsid w:val="00D54429"/>
    <w:rsid w:val="00D544A3"/>
    <w:rsid w:val="00D54A4D"/>
    <w:rsid w:val="00D5584F"/>
    <w:rsid w:val="00D55BAC"/>
    <w:rsid w:val="00D55D7F"/>
    <w:rsid w:val="00D56095"/>
    <w:rsid w:val="00D560A6"/>
    <w:rsid w:val="00D56113"/>
    <w:rsid w:val="00D56310"/>
    <w:rsid w:val="00D56594"/>
    <w:rsid w:val="00D5676D"/>
    <w:rsid w:val="00D5716B"/>
    <w:rsid w:val="00D5736C"/>
    <w:rsid w:val="00D57690"/>
    <w:rsid w:val="00D57743"/>
    <w:rsid w:val="00D57871"/>
    <w:rsid w:val="00D601ED"/>
    <w:rsid w:val="00D60277"/>
    <w:rsid w:val="00D60580"/>
    <w:rsid w:val="00D607C9"/>
    <w:rsid w:val="00D607D6"/>
    <w:rsid w:val="00D6099C"/>
    <w:rsid w:val="00D60AB4"/>
    <w:rsid w:val="00D60E97"/>
    <w:rsid w:val="00D612AC"/>
    <w:rsid w:val="00D623FE"/>
    <w:rsid w:val="00D628ED"/>
    <w:rsid w:val="00D62955"/>
    <w:rsid w:val="00D62A75"/>
    <w:rsid w:val="00D6324F"/>
    <w:rsid w:val="00D63712"/>
    <w:rsid w:val="00D63E58"/>
    <w:rsid w:val="00D647EB"/>
    <w:rsid w:val="00D64A5C"/>
    <w:rsid w:val="00D64AC0"/>
    <w:rsid w:val="00D64B83"/>
    <w:rsid w:val="00D64EF5"/>
    <w:rsid w:val="00D6501F"/>
    <w:rsid w:val="00D65262"/>
    <w:rsid w:val="00D6550C"/>
    <w:rsid w:val="00D657AE"/>
    <w:rsid w:val="00D658A1"/>
    <w:rsid w:val="00D658B8"/>
    <w:rsid w:val="00D65C7D"/>
    <w:rsid w:val="00D66CAE"/>
    <w:rsid w:val="00D66FF9"/>
    <w:rsid w:val="00D7082A"/>
    <w:rsid w:val="00D70A4D"/>
    <w:rsid w:val="00D70AA6"/>
    <w:rsid w:val="00D70E5D"/>
    <w:rsid w:val="00D7151A"/>
    <w:rsid w:val="00D71705"/>
    <w:rsid w:val="00D71B1B"/>
    <w:rsid w:val="00D71DF4"/>
    <w:rsid w:val="00D720D8"/>
    <w:rsid w:val="00D720F2"/>
    <w:rsid w:val="00D7249C"/>
    <w:rsid w:val="00D72923"/>
    <w:rsid w:val="00D72A4B"/>
    <w:rsid w:val="00D72E0C"/>
    <w:rsid w:val="00D72E1C"/>
    <w:rsid w:val="00D72FB1"/>
    <w:rsid w:val="00D7476F"/>
    <w:rsid w:val="00D747C4"/>
    <w:rsid w:val="00D74ABD"/>
    <w:rsid w:val="00D75148"/>
    <w:rsid w:val="00D75174"/>
    <w:rsid w:val="00D751A2"/>
    <w:rsid w:val="00D756EC"/>
    <w:rsid w:val="00D765CB"/>
    <w:rsid w:val="00D76D55"/>
    <w:rsid w:val="00D7781E"/>
    <w:rsid w:val="00D800AC"/>
    <w:rsid w:val="00D8066C"/>
    <w:rsid w:val="00D8082C"/>
    <w:rsid w:val="00D808B2"/>
    <w:rsid w:val="00D80E4F"/>
    <w:rsid w:val="00D812AE"/>
    <w:rsid w:val="00D81C11"/>
    <w:rsid w:val="00D821A3"/>
    <w:rsid w:val="00D828CB"/>
    <w:rsid w:val="00D82E7E"/>
    <w:rsid w:val="00D833D9"/>
    <w:rsid w:val="00D83BD9"/>
    <w:rsid w:val="00D83F8A"/>
    <w:rsid w:val="00D84AB2"/>
    <w:rsid w:val="00D85752"/>
    <w:rsid w:val="00D85A69"/>
    <w:rsid w:val="00D861B6"/>
    <w:rsid w:val="00D8704D"/>
    <w:rsid w:val="00D870FE"/>
    <w:rsid w:val="00D87670"/>
    <w:rsid w:val="00D90747"/>
    <w:rsid w:val="00D90964"/>
    <w:rsid w:val="00D90F90"/>
    <w:rsid w:val="00D91036"/>
    <w:rsid w:val="00D91059"/>
    <w:rsid w:val="00D9153D"/>
    <w:rsid w:val="00D91A2C"/>
    <w:rsid w:val="00D91DD9"/>
    <w:rsid w:val="00D92296"/>
    <w:rsid w:val="00D922AC"/>
    <w:rsid w:val="00D927D7"/>
    <w:rsid w:val="00D92EA2"/>
    <w:rsid w:val="00D92FBD"/>
    <w:rsid w:val="00D93672"/>
    <w:rsid w:val="00D939CA"/>
    <w:rsid w:val="00D93CDE"/>
    <w:rsid w:val="00D93DD7"/>
    <w:rsid w:val="00D93F17"/>
    <w:rsid w:val="00D93FF4"/>
    <w:rsid w:val="00D947E6"/>
    <w:rsid w:val="00D94DCF"/>
    <w:rsid w:val="00D94EAE"/>
    <w:rsid w:val="00D952F3"/>
    <w:rsid w:val="00D95507"/>
    <w:rsid w:val="00D96A77"/>
    <w:rsid w:val="00D96B7F"/>
    <w:rsid w:val="00D97183"/>
    <w:rsid w:val="00D972E8"/>
    <w:rsid w:val="00D97DB2"/>
    <w:rsid w:val="00DA000F"/>
    <w:rsid w:val="00DA04D8"/>
    <w:rsid w:val="00DA0506"/>
    <w:rsid w:val="00DA061D"/>
    <w:rsid w:val="00DA0668"/>
    <w:rsid w:val="00DA0F77"/>
    <w:rsid w:val="00DA1801"/>
    <w:rsid w:val="00DA1987"/>
    <w:rsid w:val="00DA19FF"/>
    <w:rsid w:val="00DA1E8D"/>
    <w:rsid w:val="00DA1F71"/>
    <w:rsid w:val="00DA239B"/>
    <w:rsid w:val="00DA2756"/>
    <w:rsid w:val="00DA3075"/>
    <w:rsid w:val="00DA36C8"/>
    <w:rsid w:val="00DA3809"/>
    <w:rsid w:val="00DA3884"/>
    <w:rsid w:val="00DA3888"/>
    <w:rsid w:val="00DA3D44"/>
    <w:rsid w:val="00DA3F2F"/>
    <w:rsid w:val="00DA444F"/>
    <w:rsid w:val="00DA45B8"/>
    <w:rsid w:val="00DA4AE3"/>
    <w:rsid w:val="00DA4FB1"/>
    <w:rsid w:val="00DA53A3"/>
    <w:rsid w:val="00DA54D2"/>
    <w:rsid w:val="00DA5586"/>
    <w:rsid w:val="00DA575E"/>
    <w:rsid w:val="00DA586F"/>
    <w:rsid w:val="00DA5886"/>
    <w:rsid w:val="00DA5ECD"/>
    <w:rsid w:val="00DA61AC"/>
    <w:rsid w:val="00DA6229"/>
    <w:rsid w:val="00DA64B0"/>
    <w:rsid w:val="00DA71CC"/>
    <w:rsid w:val="00DA72BD"/>
    <w:rsid w:val="00DA73AF"/>
    <w:rsid w:val="00DA78C3"/>
    <w:rsid w:val="00DB0480"/>
    <w:rsid w:val="00DB08DA"/>
    <w:rsid w:val="00DB12EC"/>
    <w:rsid w:val="00DB1649"/>
    <w:rsid w:val="00DB1984"/>
    <w:rsid w:val="00DB1C23"/>
    <w:rsid w:val="00DB1C7F"/>
    <w:rsid w:val="00DB1EB2"/>
    <w:rsid w:val="00DB29B5"/>
    <w:rsid w:val="00DB30FE"/>
    <w:rsid w:val="00DB3730"/>
    <w:rsid w:val="00DB392A"/>
    <w:rsid w:val="00DB3C8D"/>
    <w:rsid w:val="00DB3E79"/>
    <w:rsid w:val="00DB4046"/>
    <w:rsid w:val="00DB40A2"/>
    <w:rsid w:val="00DB40C7"/>
    <w:rsid w:val="00DB4125"/>
    <w:rsid w:val="00DB41D0"/>
    <w:rsid w:val="00DB4705"/>
    <w:rsid w:val="00DB4783"/>
    <w:rsid w:val="00DB4891"/>
    <w:rsid w:val="00DB4F95"/>
    <w:rsid w:val="00DB53CB"/>
    <w:rsid w:val="00DB58BC"/>
    <w:rsid w:val="00DB62BD"/>
    <w:rsid w:val="00DB6514"/>
    <w:rsid w:val="00DB7231"/>
    <w:rsid w:val="00DB7B14"/>
    <w:rsid w:val="00DB7BB1"/>
    <w:rsid w:val="00DB7F09"/>
    <w:rsid w:val="00DB7F60"/>
    <w:rsid w:val="00DC00E8"/>
    <w:rsid w:val="00DC01A6"/>
    <w:rsid w:val="00DC042D"/>
    <w:rsid w:val="00DC0575"/>
    <w:rsid w:val="00DC064C"/>
    <w:rsid w:val="00DC0716"/>
    <w:rsid w:val="00DC0801"/>
    <w:rsid w:val="00DC0877"/>
    <w:rsid w:val="00DC0B08"/>
    <w:rsid w:val="00DC0F26"/>
    <w:rsid w:val="00DC0F35"/>
    <w:rsid w:val="00DC0F36"/>
    <w:rsid w:val="00DC1798"/>
    <w:rsid w:val="00DC1C56"/>
    <w:rsid w:val="00DC2131"/>
    <w:rsid w:val="00DC2C9A"/>
    <w:rsid w:val="00DC3774"/>
    <w:rsid w:val="00DC3A28"/>
    <w:rsid w:val="00DC42EE"/>
    <w:rsid w:val="00DC4756"/>
    <w:rsid w:val="00DC5943"/>
    <w:rsid w:val="00DC5C29"/>
    <w:rsid w:val="00DC6379"/>
    <w:rsid w:val="00DC67AE"/>
    <w:rsid w:val="00DC6844"/>
    <w:rsid w:val="00DC68FC"/>
    <w:rsid w:val="00DC6F02"/>
    <w:rsid w:val="00DC776A"/>
    <w:rsid w:val="00DC7E47"/>
    <w:rsid w:val="00DC7FB5"/>
    <w:rsid w:val="00DD0048"/>
    <w:rsid w:val="00DD0242"/>
    <w:rsid w:val="00DD0AB6"/>
    <w:rsid w:val="00DD0F73"/>
    <w:rsid w:val="00DD11DA"/>
    <w:rsid w:val="00DD1970"/>
    <w:rsid w:val="00DD1EF0"/>
    <w:rsid w:val="00DD255D"/>
    <w:rsid w:val="00DD2F96"/>
    <w:rsid w:val="00DD3194"/>
    <w:rsid w:val="00DD38B3"/>
    <w:rsid w:val="00DD3984"/>
    <w:rsid w:val="00DD3F8C"/>
    <w:rsid w:val="00DD43CA"/>
    <w:rsid w:val="00DD442D"/>
    <w:rsid w:val="00DD47FA"/>
    <w:rsid w:val="00DD56BC"/>
    <w:rsid w:val="00DD5DF1"/>
    <w:rsid w:val="00DD72BE"/>
    <w:rsid w:val="00DD732C"/>
    <w:rsid w:val="00DD7370"/>
    <w:rsid w:val="00DD749F"/>
    <w:rsid w:val="00DD77BB"/>
    <w:rsid w:val="00DD79CE"/>
    <w:rsid w:val="00DD7C0B"/>
    <w:rsid w:val="00DD7C2F"/>
    <w:rsid w:val="00DD7EE3"/>
    <w:rsid w:val="00DD7F9F"/>
    <w:rsid w:val="00DE0152"/>
    <w:rsid w:val="00DE0216"/>
    <w:rsid w:val="00DE09A0"/>
    <w:rsid w:val="00DE0CD8"/>
    <w:rsid w:val="00DE1506"/>
    <w:rsid w:val="00DE1913"/>
    <w:rsid w:val="00DE1B35"/>
    <w:rsid w:val="00DE1B7E"/>
    <w:rsid w:val="00DE1BEC"/>
    <w:rsid w:val="00DE1C8C"/>
    <w:rsid w:val="00DE1FEE"/>
    <w:rsid w:val="00DE24A3"/>
    <w:rsid w:val="00DE29FE"/>
    <w:rsid w:val="00DE3171"/>
    <w:rsid w:val="00DE3A58"/>
    <w:rsid w:val="00DE3C0F"/>
    <w:rsid w:val="00DE3C77"/>
    <w:rsid w:val="00DE3CDA"/>
    <w:rsid w:val="00DE4482"/>
    <w:rsid w:val="00DE4808"/>
    <w:rsid w:val="00DE53F2"/>
    <w:rsid w:val="00DE5EBE"/>
    <w:rsid w:val="00DE5F3E"/>
    <w:rsid w:val="00DE61BC"/>
    <w:rsid w:val="00DE6B0A"/>
    <w:rsid w:val="00DE6CF6"/>
    <w:rsid w:val="00DE6D3F"/>
    <w:rsid w:val="00DE726B"/>
    <w:rsid w:val="00DE76B9"/>
    <w:rsid w:val="00DE784C"/>
    <w:rsid w:val="00DF0148"/>
    <w:rsid w:val="00DF0276"/>
    <w:rsid w:val="00DF0706"/>
    <w:rsid w:val="00DF0745"/>
    <w:rsid w:val="00DF0D03"/>
    <w:rsid w:val="00DF100F"/>
    <w:rsid w:val="00DF1616"/>
    <w:rsid w:val="00DF1E8C"/>
    <w:rsid w:val="00DF1F42"/>
    <w:rsid w:val="00DF28A6"/>
    <w:rsid w:val="00DF28CF"/>
    <w:rsid w:val="00DF2C5E"/>
    <w:rsid w:val="00DF2E79"/>
    <w:rsid w:val="00DF3059"/>
    <w:rsid w:val="00DF3665"/>
    <w:rsid w:val="00DF396A"/>
    <w:rsid w:val="00DF3E17"/>
    <w:rsid w:val="00DF4758"/>
    <w:rsid w:val="00DF4C07"/>
    <w:rsid w:val="00DF5149"/>
    <w:rsid w:val="00DF5365"/>
    <w:rsid w:val="00DF548E"/>
    <w:rsid w:val="00DF54FD"/>
    <w:rsid w:val="00DF682C"/>
    <w:rsid w:val="00DF6C66"/>
    <w:rsid w:val="00DF6F61"/>
    <w:rsid w:val="00DF72D5"/>
    <w:rsid w:val="00DF7470"/>
    <w:rsid w:val="00DF7E07"/>
    <w:rsid w:val="00DF7EF6"/>
    <w:rsid w:val="00E00394"/>
    <w:rsid w:val="00E00925"/>
    <w:rsid w:val="00E00C95"/>
    <w:rsid w:val="00E00D87"/>
    <w:rsid w:val="00E00F8F"/>
    <w:rsid w:val="00E011D8"/>
    <w:rsid w:val="00E01A4D"/>
    <w:rsid w:val="00E02227"/>
    <w:rsid w:val="00E026F1"/>
    <w:rsid w:val="00E02837"/>
    <w:rsid w:val="00E0293B"/>
    <w:rsid w:val="00E02D08"/>
    <w:rsid w:val="00E03061"/>
    <w:rsid w:val="00E03420"/>
    <w:rsid w:val="00E03DBB"/>
    <w:rsid w:val="00E03E8A"/>
    <w:rsid w:val="00E04C65"/>
    <w:rsid w:val="00E05220"/>
    <w:rsid w:val="00E05762"/>
    <w:rsid w:val="00E05DEF"/>
    <w:rsid w:val="00E05EB6"/>
    <w:rsid w:val="00E06397"/>
    <w:rsid w:val="00E06417"/>
    <w:rsid w:val="00E06A62"/>
    <w:rsid w:val="00E07598"/>
    <w:rsid w:val="00E0775F"/>
    <w:rsid w:val="00E101C6"/>
    <w:rsid w:val="00E10EED"/>
    <w:rsid w:val="00E11AC3"/>
    <w:rsid w:val="00E11FF0"/>
    <w:rsid w:val="00E12065"/>
    <w:rsid w:val="00E12073"/>
    <w:rsid w:val="00E124E2"/>
    <w:rsid w:val="00E12B08"/>
    <w:rsid w:val="00E12FEC"/>
    <w:rsid w:val="00E13743"/>
    <w:rsid w:val="00E137BB"/>
    <w:rsid w:val="00E13930"/>
    <w:rsid w:val="00E13BEC"/>
    <w:rsid w:val="00E13DAE"/>
    <w:rsid w:val="00E1441A"/>
    <w:rsid w:val="00E14B24"/>
    <w:rsid w:val="00E15065"/>
    <w:rsid w:val="00E15797"/>
    <w:rsid w:val="00E15DAE"/>
    <w:rsid w:val="00E1650A"/>
    <w:rsid w:val="00E16A21"/>
    <w:rsid w:val="00E16A3B"/>
    <w:rsid w:val="00E16E61"/>
    <w:rsid w:val="00E173C6"/>
    <w:rsid w:val="00E203D3"/>
    <w:rsid w:val="00E205E4"/>
    <w:rsid w:val="00E20618"/>
    <w:rsid w:val="00E206C3"/>
    <w:rsid w:val="00E206DE"/>
    <w:rsid w:val="00E20989"/>
    <w:rsid w:val="00E21945"/>
    <w:rsid w:val="00E22350"/>
    <w:rsid w:val="00E2279E"/>
    <w:rsid w:val="00E22D51"/>
    <w:rsid w:val="00E22E9C"/>
    <w:rsid w:val="00E244F0"/>
    <w:rsid w:val="00E24781"/>
    <w:rsid w:val="00E24A03"/>
    <w:rsid w:val="00E24B8B"/>
    <w:rsid w:val="00E260BD"/>
    <w:rsid w:val="00E264FC"/>
    <w:rsid w:val="00E26740"/>
    <w:rsid w:val="00E27492"/>
    <w:rsid w:val="00E276E8"/>
    <w:rsid w:val="00E27BB6"/>
    <w:rsid w:val="00E27D96"/>
    <w:rsid w:val="00E307F5"/>
    <w:rsid w:val="00E30C44"/>
    <w:rsid w:val="00E3184E"/>
    <w:rsid w:val="00E32163"/>
    <w:rsid w:val="00E321DC"/>
    <w:rsid w:val="00E3285A"/>
    <w:rsid w:val="00E32A88"/>
    <w:rsid w:val="00E3331C"/>
    <w:rsid w:val="00E3337D"/>
    <w:rsid w:val="00E33971"/>
    <w:rsid w:val="00E339AA"/>
    <w:rsid w:val="00E345C9"/>
    <w:rsid w:val="00E34915"/>
    <w:rsid w:val="00E34B34"/>
    <w:rsid w:val="00E35158"/>
    <w:rsid w:val="00E3523A"/>
    <w:rsid w:val="00E35503"/>
    <w:rsid w:val="00E35560"/>
    <w:rsid w:val="00E35CCB"/>
    <w:rsid w:val="00E368B0"/>
    <w:rsid w:val="00E36D7A"/>
    <w:rsid w:val="00E37565"/>
    <w:rsid w:val="00E37B24"/>
    <w:rsid w:val="00E37C54"/>
    <w:rsid w:val="00E37FE0"/>
    <w:rsid w:val="00E4018C"/>
    <w:rsid w:val="00E40E7E"/>
    <w:rsid w:val="00E40EA0"/>
    <w:rsid w:val="00E41894"/>
    <w:rsid w:val="00E41B30"/>
    <w:rsid w:val="00E41C4D"/>
    <w:rsid w:val="00E41E64"/>
    <w:rsid w:val="00E42281"/>
    <w:rsid w:val="00E42AD1"/>
    <w:rsid w:val="00E42AF0"/>
    <w:rsid w:val="00E42BB1"/>
    <w:rsid w:val="00E43024"/>
    <w:rsid w:val="00E4343A"/>
    <w:rsid w:val="00E43662"/>
    <w:rsid w:val="00E43984"/>
    <w:rsid w:val="00E43C00"/>
    <w:rsid w:val="00E43C10"/>
    <w:rsid w:val="00E43C32"/>
    <w:rsid w:val="00E43E65"/>
    <w:rsid w:val="00E4415E"/>
    <w:rsid w:val="00E4576D"/>
    <w:rsid w:val="00E458CE"/>
    <w:rsid w:val="00E45F68"/>
    <w:rsid w:val="00E469AD"/>
    <w:rsid w:val="00E46E52"/>
    <w:rsid w:val="00E46F2D"/>
    <w:rsid w:val="00E47626"/>
    <w:rsid w:val="00E47BB8"/>
    <w:rsid w:val="00E47D54"/>
    <w:rsid w:val="00E506CF"/>
    <w:rsid w:val="00E50DF7"/>
    <w:rsid w:val="00E50E7C"/>
    <w:rsid w:val="00E50FEA"/>
    <w:rsid w:val="00E51545"/>
    <w:rsid w:val="00E517CD"/>
    <w:rsid w:val="00E51D9E"/>
    <w:rsid w:val="00E51DD2"/>
    <w:rsid w:val="00E526C1"/>
    <w:rsid w:val="00E528C3"/>
    <w:rsid w:val="00E52C36"/>
    <w:rsid w:val="00E53497"/>
    <w:rsid w:val="00E537D1"/>
    <w:rsid w:val="00E53B5F"/>
    <w:rsid w:val="00E53F34"/>
    <w:rsid w:val="00E544EA"/>
    <w:rsid w:val="00E54595"/>
    <w:rsid w:val="00E546AB"/>
    <w:rsid w:val="00E54C5E"/>
    <w:rsid w:val="00E54D77"/>
    <w:rsid w:val="00E54F70"/>
    <w:rsid w:val="00E551B7"/>
    <w:rsid w:val="00E552D6"/>
    <w:rsid w:val="00E55E47"/>
    <w:rsid w:val="00E56191"/>
    <w:rsid w:val="00E563D9"/>
    <w:rsid w:val="00E567E6"/>
    <w:rsid w:val="00E568F5"/>
    <w:rsid w:val="00E56971"/>
    <w:rsid w:val="00E56BFD"/>
    <w:rsid w:val="00E56CD8"/>
    <w:rsid w:val="00E56D00"/>
    <w:rsid w:val="00E57278"/>
    <w:rsid w:val="00E57588"/>
    <w:rsid w:val="00E57BD1"/>
    <w:rsid w:val="00E57BFC"/>
    <w:rsid w:val="00E57C3E"/>
    <w:rsid w:val="00E6083B"/>
    <w:rsid w:val="00E60956"/>
    <w:rsid w:val="00E60AFA"/>
    <w:rsid w:val="00E60FFC"/>
    <w:rsid w:val="00E61082"/>
    <w:rsid w:val="00E61252"/>
    <w:rsid w:val="00E61484"/>
    <w:rsid w:val="00E61DB8"/>
    <w:rsid w:val="00E6254F"/>
    <w:rsid w:val="00E627C3"/>
    <w:rsid w:val="00E62A62"/>
    <w:rsid w:val="00E62AD0"/>
    <w:rsid w:val="00E62CEF"/>
    <w:rsid w:val="00E62DED"/>
    <w:rsid w:val="00E6317C"/>
    <w:rsid w:val="00E63D9B"/>
    <w:rsid w:val="00E640FA"/>
    <w:rsid w:val="00E64177"/>
    <w:rsid w:val="00E644E9"/>
    <w:rsid w:val="00E64591"/>
    <w:rsid w:val="00E6460A"/>
    <w:rsid w:val="00E649EC"/>
    <w:rsid w:val="00E64D5B"/>
    <w:rsid w:val="00E652AD"/>
    <w:rsid w:val="00E653F6"/>
    <w:rsid w:val="00E6546C"/>
    <w:rsid w:val="00E65505"/>
    <w:rsid w:val="00E657FA"/>
    <w:rsid w:val="00E65B4C"/>
    <w:rsid w:val="00E65CD9"/>
    <w:rsid w:val="00E65D46"/>
    <w:rsid w:val="00E65DE1"/>
    <w:rsid w:val="00E65FDF"/>
    <w:rsid w:val="00E662CA"/>
    <w:rsid w:val="00E6632F"/>
    <w:rsid w:val="00E66561"/>
    <w:rsid w:val="00E6682A"/>
    <w:rsid w:val="00E66B2F"/>
    <w:rsid w:val="00E673CE"/>
    <w:rsid w:val="00E678FA"/>
    <w:rsid w:val="00E679A0"/>
    <w:rsid w:val="00E67D72"/>
    <w:rsid w:val="00E700B5"/>
    <w:rsid w:val="00E7067E"/>
    <w:rsid w:val="00E71027"/>
    <w:rsid w:val="00E711D7"/>
    <w:rsid w:val="00E711FE"/>
    <w:rsid w:val="00E71354"/>
    <w:rsid w:val="00E718F1"/>
    <w:rsid w:val="00E71922"/>
    <w:rsid w:val="00E71C86"/>
    <w:rsid w:val="00E71EEF"/>
    <w:rsid w:val="00E722A3"/>
    <w:rsid w:val="00E72579"/>
    <w:rsid w:val="00E73374"/>
    <w:rsid w:val="00E73535"/>
    <w:rsid w:val="00E7354B"/>
    <w:rsid w:val="00E73F50"/>
    <w:rsid w:val="00E74059"/>
    <w:rsid w:val="00E74365"/>
    <w:rsid w:val="00E744D9"/>
    <w:rsid w:val="00E7454D"/>
    <w:rsid w:val="00E745E3"/>
    <w:rsid w:val="00E74AB5"/>
    <w:rsid w:val="00E75026"/>
    <w:rsid w:val="00E75124"/>
    <w:rsid w:val="00E751DA"/>
    <w:rsid w:val="00E75702"/>
    <w:rsid w:val="00E75C5D"/>
    <w:rsid w:val="00E75E1C"/>
    <w:rsid w:val="00E75E6E"/>
    <w:rsid w:val="00E75E94"/>
    <w:rsid w:val="00E76A79"/>
    <w:rsid w:val="00E76D33"/>
    <w:rsid w:val="00E76ECC"/>
    <w:rsid w:val="00E77C74"/>
    <w:rsid w:val="00E8018A"/>
    <w:rsid w:val="00E80236"/>
    <w:rsid w:val="00E802A5"/>
    <w:rsid w:val="00E80589"/>
    <w:rsid w:val="00E8096A"/>
    <w:rsid w:val="00E80A25"/>
    <w:rsid w:val="00E80BEE"/>
    <w:rsid w:val="00E80C80"/>
    <w:rsid w:val="00E80CC2"/>
    <w:rsid w:val="00E815E1"/>
    <w:rsid w:val="00E816D0"/>
    <w:rsid w:val="00E81705"/>
    <w:rsid w:val="00E81B33"/>
    <w:rsid w:val="00E81C3F"/>
    <w:rsid w:val="00E81C49"/>
    <w:rsid w:val="00E822F9"/>
    <w:rsid w:val="00E82380"/>
    <w:rsid w:val="00E824DE"/>
    <w:rsid w:val="00E829B0"/>
    <w:rsid w:val="00E82E7E"/>
    <w:rsid w:val="00E82EFE"/>
    <w:rsid w:val="00E832B8"/>
    <w:rsid w:val="00E832C6"/>
    <w:rsid w:val="00E83863"/>
    <w:rsid w:val="00E83C61"/>
    <w:rsid w:val="00E84194"/>
    <w:rsid w:val="00E84CA4"/>
    <w:rsid w:val="00E85518"/>
    <w:rsid w:val="00E85618"/>
    <w:rsid w:val="00E85721"/>
    <w:rsid w:val="00E85880"/>
    <w:rsid w:val="00E85A4C"/>
    <w:rsid w:val="00E85A56"/>
    <w:rsid w:val="00E85A92"/>
    <w:rsid w:val="00E85E06"/>
    <w:rsid w:val="00E8654A"/>
    <w:rsid w:val="00E86BE4"/>
    <w:rsid w:val="00E8755B"/>
    <w:rsid w:val="00E87665"/>
    <w:rsid w:val="00E87A22"/>
    <w:rsid w:val="00E9028C"/>
    <w:rsid w:val="00E902B0"/>
    <w:rsid w:val="00E902E8"/>
    <w:rsid w:val="00E906EC"/>
    <w:rsid w:val="00E9074E"/>
    <w:rsid w:val="00E9077D"/>
    <w:rsid w:val="00E90AEA"/>
    <w:rsid w:val="00E90F60"/>
    <w:rsid w:val="00E9184A"/>
    <w:rsid w:val="00E91DAF"/>
    <w:rsid w:val="00E91DDF"/>
    <w:rsid w:val="00E92441"/>
    <w:rsid w:val="00E92782"/>
    <w:rsid w:val="00E92B38"/>
    <w:rsid w:val="00E92BE3"/>
    <w:rsid w:val="00E92EA7"/>
    <w:rsid w:val="00E93465"/>
    <w:rsid w:val="00E939B0"/>
    <w:rsid w:val="00E93B59"/>
    <w:rsid w:val="00E93B64"/>
    <w:rsid w:val="00E93F2F"/>
    <w:rsid w:val="00E94F8D"/>
    <w:rsid w:val="00E95BC0"/>
    <w:rsid w:val="00E95DE6"/>
    <w:rsid w:val="00E96194"/>
    <w:rsid w:val="00E96322"/>
    <w:rsid w:val="00E96590"/>
    <w:rsid w:val="00E9675E"/>
    <w:rsid w:val="00E96B06"/>
    <w:rsid w:val="00E96BAB"/>
    <w:rsid w:val="00E96BF2"/>
    <w:rsid w:val="00E96C63"/>
    <w:rsid w:val="00E96E85"/>
    <w:rsid w:val="00E97EDE"/>
    <w:rsid w:val="00EA0006"/>
    <w:rsid w:val="00EA008E"/>
    <w:rsid w:val="00EA02FF"/>
    <w:rsid w:val="00EA0D7D"/>
    <w:rsid w:val="00EA14DB"/>
    <w:rsid w:val="00EA1678"/>
    <w:rsid w:val="00EA1E8B"/>
    <w:rsid w:val="00EA23AC"/>
    <w:rsid w:val="00EA25CC"/>
    <w:rsid w:val="00EA2A51"/>
    <w:rsid w:val="00EA2CC5"/>
    <w:rsid w:val="00EA2FCC"/>
    <w:rsid w:val="00EA361F"/>
    <w:rsid w:val="00EA3637"/>
    <w:rsid w:val="00EA3750"/>
    <w:rsid w:val="00EA37AD"/>
    <w:rsid w:val="00EA3B2C"/>
    <w:rsid w:val="00EA3E6A"/>
    <w:rsid w:val="00EA3F41"/>
    <w:rsid w:val="00EA4BCC"/>
    <w:rsid w:val="00EA4CEE"/>
    <w:rsid w:val="00EA54F0"/>
    <w:rsid w:val="00EA5D66"/>
    <w:rsid w:val="00EA5D78"/>
    <w:rsid w:val="00EA5EDF"/>
    <w:rsid w:val="00EA5F80"/>
    <w:rsid w:val="00EA6038"/>
    <w:rsid w:val="00EA6D6A"/>
    <w:rsid w:val="00EA6EF9"/>
    <w:rsid w:val="00EA73C3"/>
    <w:rsid w:val="00EA7AFD"/>
    <w:rsid w:val="00EA7C3D"/>
    <w:rsid w:val="00EA7FBB"/>
    <w:rsid w:val="00EB0787"/>
    <w:rsid w:val="00EB09FD"/>
    <w:rsid w:val="00EB0AA7"/>
    <w:rsid w:val="00EB0F6F"/>
    <w:rsid w:val="00EB10BA"/>
    <w:rsid w:val="00EB10E6"/>
    <w:rsid w:val="00EB17BD"/>
    <w:rsid w:val="00EB1B43"/>
    <w:rsid w:val="00EB21C7"/>
    <w:rsid w:val="00EB2439"/>
    <w:rsid w:val="00EB26D1"/>
    <w:rsid w:val="00EB272A"/>
    <w:rsid w:val="00EB27BA"/>
    <w:rsid w:val="00EB2D6D"/>
    <w:rsid w:val="00EB3C5D"/>
    <w:rsid w:val="00EB3D3E"/>
    <w:rsid w:val="00EB3E05"/>
    <w:rsid w:val="00EB3F28"/>
    <w:rsid w:val="00EB4124"/>
    <w:rsid w:val="00EB426A"/>
    <w:rsid w:val="00EB4548"/>
    <w:rsid w:val="00EB4566"/>
    <w:rsid w:val="00EB4674"/>
    <w:rsid w:val="00EB485F"/>
    <w:rsid w:val="00EB4C4A"/>
    <w:rsid w:val="00EB50DF"/>
    <w:rsid w:val="00EB55FC"/>
    <w:rsid w:val="00EB5E36"/>
    <w:rsid w:val="00EB6878"/>
    <w:rsid w:val="00EB6A74"/>
    <w:rsid w:val="00EB6A7A"/>
    <w:rsid w:val="00EB6DB1"/>
    <w:rsid w:val="00EB76F5"/>
    <w:rsid w:val="00EB7860"/>
    <w:rsid w:val="00EB78B3"/>
    <w:rsid w:val="00EB7B8E"/>
    <w:rsid w:val="00EC01F8"/>
    <w:rsid w:val="00EC0376"/>
    <w:rsid w:val="00EC0492"/>
    <w:rsid w:val="00EC08AF"/>
    <w:rsid w:val="00EC0F29"/>
    <w:rsid w:val="00EC19AB"/>
    <w:rsid w:val="00EC1BA7"/>
    <w:rsid w:val="00EC1E0E"/>
    <w:rsid w:val="00EC1E61"/>
    <w:rsid w:val="00EC236D"/>
    <w:rsid w:val="00EC2734"/>
    <w:rsid w:val="00EC28BE"/>
    <w:rsid w:val="00EC3398"/>
    <w:rsid w:val="00EC3B82"/>
    <w:rsid w:val="00EC3F0A"/>
    <w:rsid w:val="00EC3F74"/>
    <w:rsid w:val="00EC481E"/>
    <w:rsid w:val="00EC4938"/>
    <w:rsid w:val="00EC4A3E"/>
    <w:rsid w:val="00EC4EF6"/>
    <w:rsid w:val="00EC4F93"/>
    <w:rsid w:val="00EC510F"/>
    <w:rsid w:val="00EC524A"/>
    <w:rsid w:val="00EC58E9"/>
    <w:rsid w:val="00EC5D10"/>
    <w:rsid w:val="00EC6636"/>
    <w:rsid w:val="00EC670D"/>
    <w:rsid w:val="00EC67DA"/>
    <w:rsid w:val="00EC685D"/>
    <w:rsid w:val="00EC6B16"/>
    <w:rsid w:val="00EC6BD2"/>
    <w:rsid w:val="00EC7182"/>
    <w:rsid w:val="00EC7651"/>
    <w:rsid w:val="00EC76B9"/>
    <w:rsid w:val="00EC7813"/>
    <w:rsid w:val="00EC7B92"/>
    <w:rsid w:val="00EC7D9E"/>
    <w:rsid w:val="00ED03C3"/>
    <w:rsid w:val="00ED119F"/>
    <w:rsid w:val="00ED163F"/>
    <w:rsid w:val="00ED1A5B"/>
    <w:rsid w:val="00ED1F8B"/>
    <w:rsid w:val="00ED22CF"/>
    <w:rsid w:val="00ED2FA3"/>
    <w:rsid w:val="00ED31F0"/>
    <w:rsid w:val="00ED34DD"/>
    <w:rsid w:val="00ED3B92"/>
    <w:rsid w:val="00ED46FF"/>
    <w:rsid w:val="00ED4ACA"/>
    <w:rsid w:val="00ED4F9F"/>
    <w:rsid w:val="00ED5CE5"/>
    <w:rsid w:val="00ED68F8"/>
    <w:rsid w:val="00ED6BA6"/>
    <w:rsid w:val="00ED6E52"/>
    <w:rsid w:val="00EE04EB"/>
    <w:rsid w:val="00EE098B"/>
    <w:rsid w:val="00EE0AED"/>
    <w:rsid w:val="00EE0CBD"/>
    <w:rsid w:val="00EE1294"/>
    <w:rsid w:val="00EE1447"/>
    <w:rsid w:val="00EE16E9"/>
    <w:rsid w:val="00EE1BCA"/>
    <w:rsid w:val="00EE1C33"/>
    <w:rsid w:val="00EE1E01"/>
    <w:rsid w:val="00EE285A"/>
    <w:rsid w:val="00EE2CD9"/>
    <w:rsid w:val="00EE3123"/>
    <w:rsid w:val="00EE3545"/>
    <w:rsid w:val="00EE3698"/>
    <w:rsid w:val="00EE3737"/>
    <w:rsid w:val="00EE43CD"/>
    <w:rsid w:val="00EE4582"/>
    <w:rsid w:val="00EE4DE1"/>
    <w:rsid w:val="00EE4E6C"/>
    <w:rsid w:val="00EE51D8"/>
    <w:rsid w:val="00EE5BDB"/>
    <w:rsid w:val="00EE5BF5"/>
    <w:rsid w:val="00EE5CB6"/>
    <w:rsid w:val="00EE5CED"/>
    <w:rsid w:val="00EE62AF"/>
    <w:rsid w:val="00EE65E3"/>
    <w:rsid w:val="00EE6A69"/>
    <w:rsid w:val="00EE6A89"/>
    <w:rsid w:val="00EE6B7B"/>
    <w:rsid w:val="00EE6BD3"/>
    <w:rsid w:val="00EE7125"/>
    <w:rsid w:val="00EE72ED"/>
    <w:rsid w:val="00EE76F7"/>
    <w:rsid w:val="00EE7811"/>
    <w:rsid w:val="00EE7838"/>
    <w:rsid w:val="00EF001A"/>
    <w:rsid w:val="00EF04CF"/>
    <w:rsid w:val="00EF0874"/>
    <w:rsid w:val="00EF0A23"/>
    <w:rsid w:val="00EF106F"/>
    <w:rsid w:val="00EF145E"/>
    <w:rsid w:val="00EF20D1"/>
    <w:rsid w:val="00EF22C7"/>
    <w:rsid w:val="00EF237D"/>
    <w:rsid w:val="00EF27EB"/>
    <w:rsid w:val="00EF2BBB"/>
    <w:rsid w:val="00EF30A0"/>
    <w:rsid w:val="00EF3352"/>
    <w:rsid w:val="00EF3655"/>
    <w:rsid w:val="00EF37CE"/>
    <w:rsid w:val="00EF3A9B"/>
    <w:rsid w:val="00EF3D22"/>
    <w:rsid w:val="00EF41D1"/>
    <w:rsid w:val="00EF4309"/>
    <w:rsid w:val="00EF432B"/>
    <w:rsid w:val="00EF4A24"/>
    <w:rsid w:val="00EF4F3C"/>
    <w:rsid w:val="00EF57D0"/>
    <w:rsid w:val="00EF5A0D"/>
    <w:rsid w:val="00EF5A80"/>
    <w:rsid w:val="00EF5C58"/>
    <w:rsid w:val="00EF5F88"/>
    <w:rsid w:val="00EF64D2"/>
    <w:rsid w:val="00EF669F"/>
    <w:rsid w:val="00EF6A1F"/>
    <w:rsid w:val="00EF6AED"/>
    <w:rsid w:val="00EF6C41"/>
    <w:rsid w:val="00EF70E5"/>
    <w:rsid w:val="00EF7314"/>
    <w:rsid w:val="00EF7E47"/>
    <w:rsid w:val="00F00795"/>
    <w:rsid w:val="00F0082D"/>
    <w:rsid w:val="00F008B6"/>
    <w:rsid w:val="00F01245"/>
    <w:rsid w:val="00F01554"/>
    <w:rsid w:val="00F015AB"/>
    <w:rsid w:val="00F017E2"/>
    <w:rsid w:val="00F01DD3"/>
    <w:rsid w:val="00F0289A"/>
    <w:rsid w:val="00F02CED"/>
    <w:rsid w:val="00F02FDE"/>
    <w:rsid w:val="00F032F1"/>
    <w:rsid w:val="00F03433"/>
    <w:rsid w:val="00F038E0"/>
    <w:rsid w:val="00F03BC6"/>
    <w:rsid w:val="00F04148"/>
    <w:rsid w:val="00F04D83"/>
    <w:rsid w:val="00F0555E"/>
    <w:rsid w:val="00F06109"/>
    <w:rsid w:val="00F068EF"/>
    <w:rsid w:val="00F06A0F"/>
    <w:rsid w:val="00F0715D"/>
    <w:rsid w:val="00F0766C"/>
    <w:rsid w:val="00F07754"/>
    <w:rsid w:val="00F07B51"/>
    <w:rsid w:val="00F07C90"/>
    <w:rsid w:val="00F07F96"/>
    <w:rsid w:val="00F10429"/>
    <w:rsid w:val="00F104BE"/>
    <w:rsid w:val="00F110D4"/>
    <w:rsid w:val="00F11233"/>
    <w:rsid w:val="00F1144C"/>
    <w:rsid w:val="00F11567"/>
    <w:rsid w:val="00F116B1"/>
    <w:rsid w:val="00F117D3"/>
    <w:rsid w:val="00F117E6"/>
    <w:rsid w:val="00F11B67"/>
    <w:rsid w:val="00F12E6F"/>
    <w:rsid w:val="00F1348C"/>
    <w:rsid w:val="00F136A8"/>
    <w:rsid w:val="00F13721"/>
    <w:rsid w:val="00F137F3"/>
    <w:rsid w:val="00F13E18"/>
    <w:rsid w:val="00F14170"/>
    <w:rsid w:val="00F1422B"/>
    <w:rsid w:val="00F14346"/>
    <w:rsid w:val="00F14527"/>
    <w:rsid w:val="00F14538"/>
    <w:rsid w:val="00F1465C"/>
    <w:rsid w:val="00F14801"/>
    <w:rsid w:val="00F15122"/>
    <w:rsid w:val="00F1537B"/>
    <w:rsid w:val="00F15401"/>
    <w:rsid w:val="00F15C41"/>
    <w:rsid w:val="00F15D59"/>
    <w:rsid w:val="00F16247"/>
    <w:rsid w:val="00F164BD"/>
    <w:rsid w:val="00F1660F"/>
    <w:rsid w:val="00F167CB"/>
    <w:rsid w:val="00F1682A"/>
    <w:rsid w:val="00F16916"/>
    <w:rsid w:val="00F16979"/>
    <w:rsid w:val="00F16AFF"/>
    <w:rsid w:val="00F16BAD"/>
    <w:rsid w:val="00F16E01"/>
    <w:rsid w:val="00F2008C"/>
    <w:rsid w:val="00F20308"/>
    <w:rsid w:val="00F203BC"/>
    <w:rsid w:val="00F204AB"/>
    <w:rsid w:val="00F20909"/>
    <w:rsid w:val="00F20992"/>
    <w:rsid w:val="00F20C30"/>
    <w:rsid w:val="00F20C3E"/>
    <w:rsid w:val="00F20EF4"/>
    <w:rsid w:val="00F211BF"/>
    <w:rsid w:val="00F2195E"/>
    <w:rsid w:val="00F21F32"/>
    <w:rsid w:val="00F22302"/>
    <w:rsid w:val="00F22467"/>
    <w:rsid w:val="00F22E9A"/>
    <w:rsid w:val="00F23B4F"/>
    <w:rsid w:val="00F23F16"/>
    <w:rsid w:val="00F24484"/>
    <w:rsid w:val="00F24649"/>
    <w:rsid w:val="00F24E21"/>
    <w:rsid w:val="00F250BB"/>
    <w:rsid w:val="00F2535C"/>
    <w:rsid w:val="00F254AC"/>
    <w:rsid w:val="00F25507"/>
    <w:rsid w:val="00F25933"/>
    <w:rsid w:val="00F265AE"/>
    <w:rsid w:val="00F2671C"/>
    <w:rsid w:val="00F26EAE"/>
    <w:rsid w:val="00F278A8"/>
    <w:rsid w:val="00F27DF4"/>
    <w:rsid w:val="00F30659"/>
    <w:rsid w:val="00F30E93"/>
    <w:rsid w:val="00F31622"/>
    <w:rsid w:val="00F31A46"/>
    <w:rsid w:val="00F31B1C"/>
    <w:rsid w:val="00F31BEE"/>
    <w:rsid w:val="00F3221C"/>
    <w:rsid w:val="00F32B05"/>
    <w:rsid w:val="00F32B64"/>
    <w:rsid w:val="00F32D81"/>
    <w:rsid w:val="00F32E14"/>
    <w:rsid w:val="00F33163"/>
    <w:rsid w:val="00F33C4F"/>
    <w:rsid w:val="00F33DB8"/>
    <w:rsid w:val="00F33F5B"/>
    <w:rsid w:val="00F3412C"/>
    <w:rsid w:val="00F34965"/>
    <w:rsid w:val="00F349D1"/>
    <w:rsid w:val="00F34A17"/>
    <w:rsid w:val="00F34CB7"/>
    <w:rsid w:val="00F34CC9"/>
    <w:rsid w:val="00F35286"/>
    <w:rsid w:val="00F362A1"/>
    <w:rsid w:val="00F36678"/>
    <w:rsid w:val="00F3690D"/>
    <w:rsid w:val="00F36E20"/>
    <w:rsid w:val="00F3707A"/>
    <w:rsid w:val="00F37803"/>
    <w:rsid w:val="00F40959"/>
    <w:rsid w:val="00F40982"/>
    <w:rsid w:val="00F41251"/>
    <w:rsid w:val="00F4125C"/>
    <w:rsid w:val="00F41870"/>
    <w:rsid w:val="00F4195F"/>
    <w:rsid w:val="00F4262D"/>
    <w:rsid w:val="00F42A45"/>
    <w:rsid w:val="00F42B62"/>
    <w:rsid w:val="00F43147"/>
    <w:rsid w:val="00F434D0"/>
    <w:rsid w:val="00F434F1"/>
    <w:rsid w:val="00F43EDB"/>
    <w:rsid w:val="00F44306"/>
    <w:rsid w:val="00F4446F"/>
    <w:rsid w:val="00F44554"/>
    <w:rsid w:val="00F44616"/>
    <w:rsid w:val="00F44F8E"/>
    <w:rsid w:val="00F4500A"/>
    <w:rsid w:val="00F4506B"/>
    <w:rsid w:val="00F45085"/>
    <w:rsid w:val="00F45475"/>
    <w:rsid w:val="00F4569B"/>
    <w:rsid w:val="00F45ADC"/>
    <w:rsid w:val="00F462E8"/>
    <w:rsid w:val="00F467C9"/>
    <w:rsid w:val="00F47C1E"/>
    <w:rsid w:val="00F50656"/>
    <w:rsid w:val="00F51370"/>
    <w:rsid w:val="00F51A71"/>
    <w:rsid w:val="00F51AF5"/>
    <w:rsid w:val="00F51B6C"/>
    <w:rsid w:val="00F51C84"/>
    <w:rsid w:val="00F51FFF"/>
    <w:rsid w:val="00F530AC"/>
    <w:rsid w:val="00F536EF"/>
    <w:rsid w:val="00F5496D"/>
    <w:rsid w:val="00F54C01"/>
    <w:rsid w:val="00F55192"/>
    <w:rsid w:val="00F55722"/>
    <w:rsid w:val="00F55910"/>
    <w:rsid w:val="00F55C0C"/>
    <w:rsid w:val="00F55D80"/>
    <w:rsid w:val="00F55DD6"/>
    <w:rsid w:val="00F56947"/>
    <w:rsid w:val="00F56F46"/>
    <w:rsid w:val="00F57440"/>
    <w:rsid w:val="00F5784C"/>
    <w:rsid w:val="00F57BED"/>
    <w:rsid w:val="00F600E8"/>
    <w:rsid w:val="00F60198"/>
    <w:rsid w:val="00F60A60"/>
    <w:rsid w:val="00F60E47"/>
    <w:rsid w:val="00F61212"/>
    <w:rsid w:val="00F61927"/>
    <w:rsid w:val="00F620AE"/>
    <w:rsid w:val="00F623EF"/>
    <w:rsid w:val="00F62C7C"/>
    <w:rsid w:val="00F62CBD"/>
    <w:rsid w:val="00F62DDD"/>
    <w:rsid w:val="00F62E54"/>
    <w:rsid w:val="00F630DA"/>
    <w:rsid w:val="00F634A0"/>
    <w:rsid w:val="00F63996"/>
    <w:rsid w:val="00F63BF0"/>
    <w:rsid w:val="00F63E4F"/>
    <w:rsid w:val="00F64376"/>
    <w:rsid w:val="00F64512"/>
    <w:rsid w:val="00F64559"/>
    <w:rsid w:val="00F64A6A"/>
    <w:rsid w:val="00F64BD9"/>
    <w:rsid w:val="00F64CB9"/>
    <w:rsid w:val="00F65552"/>
    <w:rsid w:val="00F65E33"/>
    <w:rsid w:val="00F65E64"/>
    <w:rsid w:val="00F65E8C"/>
    <w:rsid w:val="00F66E01"/>
    <w:rsid w:val="00F66EFD"/>
    <w:rsid w:val="00F6727B"/>
    <w:rsid w:val="00F672C8"/>
    <w:rsid w:val="00F67315"/>
    <w:rsid w:val="00F67645"/>
    <w:rsid w:val="00F6778C"/>
    <w:rsid w:val="00F67A0C"/>
    <w:rsid w:val="00F67D34"/>
    <w:rsid w:val="00F67E08"/>
    <w:rsid w:val="00F70127"/>
    <w:rsid w:val="00F703E5"/>
    <w:rsid w:val="00F70937"/>
    <w:rsid w:val="00F709A0"/>
    <w:rsid w:val="00F70AFD"/>
    <w:rsid w:val="00F71166"/>
    <w:rsid w:val="00F71564"/>
    <w:rsid w:val="00F71E87"/>
    <w:rsid w:val="00F72165"/>
    <w:rsid w:val="00F72DA4"/>
    <w:rsid w:val="00F72FD6"/>
    <w:rsid w:val="00F732BC"/>
    <w:rsid w:val="00F732D7"/>
    <w:rsid w:val="00F733ED"/>
    <w:rsid w:val="00F734F0"/>
    <w:rsid w:val="00F73569"/>
    <w:rsid w:val="00F73704"/>
    <w:rsid w:val="00F73761"/>
    <w:rsid w:val="00F7395D"/>
    <w:rsid w:val="00F73CC0"/>
    <w:rsid w:val="00F741BE"/>
    <w:rsid w:val="00F745FE"/>
    <w:rsid w:val="00F7465B"/>
    <w:rsid w:val="00F74674"/>
    <w:rsid w:val="00F7473C"/>
    <w:rsid w:val="00F74B99"/>
    <w:rsid w:val="00F75938"/>
    <w:rsid w:val="00F759D8"/>
    <w:rsid w:val="00F7613A"/>
    <w:rsid w:val="00F76243"/>
    <w:rsid w:val="00F76440"/>
    <w:rsid w:val="00F7671B"/>
    <w:rsid w:val="00F771CF"/>
    <w:rsid w:val="00F776C1"/>
    <w:rsid w:val="00F77711"/>
    <w:rsid w:val="00F8000F"/>
    <w:rsid w:val="00F801FE"/>
    <w:rsid w:val="00F802D4"/>
    <w:rsid w:val="00F803E0"/>
    <w:rsid w:val="00F80681"/>
    <w:rsid w:val="00F806ED"/>
    <w:rsid w:val="00F80AA4"/>
    <w:rsid w:val="00F80B8B"/>
    <w:rsid w:val="00F80D49"/>
    <w:rsid w:val="00F8124D"/>
    <w:rsid w:val="00F812E8"/>
    <w:rsid w:val="00F818E3"/>
    <w:rsid w:val="00F826F3"/>
    <w:rsid w:val="00F82746"/>
    <w:rsid w:val="00F82DDD"/>
    <w:rsid w:val="00F83202"/>
    <w:rsid w:val="00F836F9"/>
    <w:rsid w:val="00F83C11"/>
    <w:rsid w:val="00F83F13"/>
    <w:rsid w:val="00F84361"/>
    <w:rsid w:val="00F845D7"/>
    <w:rsid w:val="00F84837"/>
    <w:rsid w:val="00F848AA"/>
    <w:rsid w:val="00F8492F"/>
    <w:rsid w:val="00F84A5E"/>
    <w:rsid w:val="00F850BE"/>
    <w:rsid w:val="00F8527E"/>
    <w:rsid w:val="00F853DD"/>
    <w:rsid w:val="00F8575F"/>
    <w:rsid w:val="00F861E0"/>
    <w:rsid w:val="00F86522"/>
    <w:rsid w:val="00F865A8"/>
    <w:rsid w:val="00F865D0"/>
    <w:rsid w:val="00F86BE4"/>
    <w:rsid w:val="00F86ED8"/>
    <w:rsid w:val="00F86EF6"/>
    <w:rsid w:val="00F87AAD"/>
    <w:rsid w:val="00F87AB1"/>
    <w:rsid w:val="00F901B9"/>
    <w:rsid w:val="00F90782"/>
    <w:rsid w:val="00F9095D"/>
    <w:rsid w:val="00F90CD2"/>
    <w:rsid w:val="00F91011"/>
    <w:rsid w:val="00F910C9"/>
    <w:rsid w:val="00F9196C"/>
    <w:rsid w:val="00F91B44"/>
    <w:rsid w:val="00F91D0C"/>
    <w:rsid w:val="00F92076"/>
    <w:rsid w:val="00F92279"/>
    <w:rsid w:val="00F92E3D"/>
    <w:rsid w:val="00F931F7"/>
    <w:rsid w:val="00F932F5"/>
    <w:rsid w:val="00F934BD"/>
    <w:rsid w:val="00F938C6"/>
    <w:rsid w:val="00F93986"/>
    <w:rsid w:val="00F93AD1"/>
    <w:rsid w:val="00F93D51"/>
    <w:rsid w:val="00F93F59"/>
    <w:rsid w:val="00F940C7"/>
    <w:rsid w:val="00F9476B"/>
    <w:rsid w:val="00F94886"/>
    <w:rsid w:val="00F94BBA"/>
    <w:rsid w:val="00F95031"/>
    <w:rsid w:val="00F95086"/>
    <w:rsid w:val="00F9517F"/>
    <w:rsid w:val="00F9585D"/>
    <w:rsid w:val="00F95F89"/>
    <w:rsid w:val="00F96368"/>
    <w:rsid w:val="00F96AC5"/>
    <w:rsid w:val="00F971A6"/>
    <w:rsid w:val="00F979B4"/>
    <w:rsid w:val="00FA00D7"/>
    <w:rsid w:val="00FA0766"/>
    <w:rsid w:val="00FA07D4"/>
    <w:rsid w:val="00FA0B35"/>
    <w:rsid w:val="00FA0DEB"/>
    <w:rsid w:val="00FA12C5"/>
    <w:rsid w:val="00FA13FA"/>
    <w:rsid w:val="00FA1AC8"/>
    <w:rsid w:val="00FA268C"/>
    <w:rsid w:val="00FA2A05"/>
    <w:rsid w:val="00FA2F78"/>
    <w:rsid w:val="00FA386F"/>
    <w:rsid w:val="00FA3BE1"/>
    <w:rsid w:val="00FA3D7F"/>
    <w:rsid w:val="00FA3E6E"/>
    <w:rsid w:val="00FA45E8"/>
    <w:rsid w:val="00FA49B1"/>
    <w:rsid w:val="00FA5537"/>
    <w:rsid w:val="00FA6738"/>
    <w:rsid w:val="00FA69CA"/>
    <w:rsid w:val="00FA69D8"/>
    <w:rsid w:val="00FA6B76"/>
    <w:rsid w:val="00FA6C34"/>
    <w:rsid w:val="00FA70A9"/>
    <w:rsid w:val="00FA73D7"/>
    <w:rsid w:val="00FA7CC0"/>
    <w:rsid w:val="00FA7E0D"/>
    <w:rsid w:val="00FB04A3"/>
    <w:rsid w:val="00FB0BC2"/>
    <w:rsid w:val="00FB1136"/>
    <w:rsid w:val="00FB11C1"/>
    <w:rsid w:val="00FB1BEB"/>
    <w:rsid w:val="00FB1D46"/>
    <w:rsid w:val="00FB2017"/>
    <w:rsid w:val="00FB249D"/>
    <w:rsid w:val="00FB3637"/>
    <w:rsid w:val="00FB3839"/>
    <w:rsid w:val="00FB3D51"/>
    <w:rsid w:val="00FB3D81"/>
    <w:rsid w:val="00FB4499"/>
    <w:rsid w:val="00FB4D21"/>
    <w:rsid w:val="00FB5402"/>
    <w:rsid w:val="00FB57F1"/>
    <w:rsid w:val="00FB5DC4"/>
    <w:rsid w:val="00FB5F14"/>
    <w:rsid w:val="00FB604C"/>
    <w:rsid w:val="00FB68A7"/>
    <w:rsid w:val="00FB6C76"/>
    <w:rsid w:val="00FB7404"/>
    <w:rsid w:val="00FB762B"/>
    <w:rsid w:val="00FB7982"/>
    <w:rsid w:val="00FC0158"/>
    <w:rsid w:val="00FC12DC"/>
    <w:rsid w:val="00FC15C4"/>
    <w:rsid w:val="00FC1927"/>
    <w:rsid w:val="00FC1D77"/>
    <w:rsid w:val="00FC1E24"/>
    <w:rsid w:val="00FC2A6D"/>
    <w:rsid w:val="00FC2BE1"/>
    <w:rsid w:val="00FC2CEB"/>
    <w:rsid w:val="00FC35AC"/>
    <w:rsid w:val="00FC3AE6"/>
    <w:rsid w:val="00FC3B54"/>
    <w:rsid w:val="00FC54DB"/>
    <w:rsid w:val="00FC559B"/>
    <w:rsid w:val="00FC5ABD"/>
    <w:rsid w:val="00FC5FDB"/>
    <w:rsid w:val="00FC6449"/>
    <w:rsid w:val="00FC6710"/>
    <w:rsid w:val="00FC6ADA"/>
    <w:rsid w:val="00FC6D14"/>
    <w:rsid w:val="00FC6D19"/>
    <w:rsid w:val="00FC6EDC"/>
    <w:rsid w:val="00FC6F3F"/>
    <w:rsid w:val="00FC74A3"/>
    <w:rsid w:val="00FC769A"/>
    <w:rsid w:val="00FC76F7"/>
    <w:rsid w:val="00FC7837"/>
    <w:rsid w:val="00FC794F"/>
    <w:rsid w:val="00FC7F1C"/>
    <w:rsid w:val="00FD0258"/>
    <w:rsid w:val="00FD0273"/>
    <w:rsid w:val="00FD08A9"/>
    <w:rsid w:val="00FD1173"/>
    <w:rsid w:val="00FD1267"/>
    <w:rsid w:val="00FD25E3"/>
    <w:rsid w:val="00FD2F0E"/>
    <w:rsid w:val="00FD378E"/>
    <w:rsid w:val="00FD3A0F"/>
    <w:rsid w:val="00FD3C41"/>
    <w:rsid w:val="00FD4155"/>
    <w:rsid w:val="00FD44CD"/>
    <w:rsid w:val="00FD45CC"/>
    <w:rsid w:val="00FD4734"/>
    <w:rsid w:val="00FD4FE6"/>
    <w:rsid w:val="00FD556F"/>
    <w:rsid w:val="00FD56A0"/>
    <w:rsid w:val="00FD5818"/>
    <w:rsid w:val="00FD5955"/>
    <w:rsid w:val="00FD5BC1"/>
    <w:rsid w:val="00FD5D0A"/>
    <w:rsid w:val="00FD5DF2"/>
    <w:rsid w:val="00FD5DF8"/>
    <w:rsid w:val="00FD601B"/>
    <w:rsid w:val="00FD60A5"/>
    <w:rsid w:val="00FD63D7"/>
    <w:rsid w:val="00FD68B9"/>
    <w:rsid w:val="00FD6A80"/>
    <w:rsid w:val="00FD6B33"/>
    <w:rsid w:val="00FD6B90"/>
    <w:rsid w:val="00FD6C8E"/>
    <w:rsid w:val="00FD6D58"/>
    <w:rsid w:val="00FD73AA"/>
    <w:rsid w:val="00FD77A2"/>
    <w:rsid w:val="00FE03D4"/>
    <w:rsid w:val="00FE090D"/>
    <w:rsid w:val="00FE09E7"/>
    <w:rsid w:val="00FE0A56"/>
    <w:rsid w:val="00FE0CA0"/>
    <w:rsid w:val="00FE0DB4"/>
    <w:rsid w:val="00FE0EED"/>
    <w:rsid w:val="00FE11B4"/>
    <w:rsid w:val="00FE1305"/>
    <w:rsid w:val="00FE153A"/>
    <w:rsid w:val="00FE15D4"/>
    <w:rsid w:val="00FE1A88"/>
    <w:rsid w:val="00FE1BA7"/>
    <w:rsid w:val="00FE1D67"/>
    <w:rsid w:val="00FE1F0B"/>
    <w:rsid w:val="00FE20A3"/>
    <w:rsid w:val="00FE272B"/>
    <w:rsid w:val="00FE2803"/>
    <w:rsid w:val="00FE2852"/>
    <w:rsid w:val="00FE4210"/>
    <w:rsid w:val="00FE4AC1"/>
    <w:rsid w:val="00FE4B4A"/>
    <w:rsid w:val="00FE4E71"/>
    <w:rsid w:val="00FE4EAA"/>
    <w:rsid w:val="00FE51D8"/>
    <w:rsid w:val="00FE5A12"/>
    <w:rsid w:val="00FE5BA8"/>
    <w:rsid w:val="00FE5BFF"/>
    <w:rsid w:val="00FE6918"/>
    <w:rsid w:val="00FE6D20"/>
    <w:rsid w:val="00FE6ED1"/>
    <w:rsid w:val="00FE7675"/>
    <w:rsid w:val="00FE769F"/>
    <w:rsid w:val="00FE7C11"/>
    <w:rsid w:val="00FE7E90"/>
    <w:rsid w:val="00FF01BD"/>
    <w:rsid w:val="00FF033E"/>
    <w:rsid w:val="00FF06EB"/>
    <w:rsid w:val="00FF0CE7"/>
    <w:rsid w:val="00FF0F3F"/>
    <w:rsid w:val="00FF1215"/>
    <w:rsid w:val="00FF132B"/>
    <w:rsid w:val="00FF13DD"/>
    <w:rsid w:val="00FF22A6"/>
    <w:rsid w:val="00FF2403"/>
    <w:rsid w:val="00FF243D"/>
    <w:rsid w:val="00FF33A4"/>
    <w:rsid w:val="00FF3814"/>
    <w:rsid w:val="00FF3E90"/>
    <w:rsid w:val="00FF52E4"/>
    <w:rsid w:val="00FF57DD"/>
    <w:rsid w:val="00FF5C07"/>
    <w:rsid w:val="00FF63E4"/>
    <w:rsid w:val="00FF642B"/>
    <w:rsid w:val="00FF64D3"/>
    <w:rsid w:val="00FF6676"/>
    <w:rsid w:val="00FF6A8B"/>
    <w:rsid w:val="00FF6AF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3A681"/>
  <w14:defaultImageDpi w14:val="32767"/>
  <w15:docId w15:val="{75D47C5D-6D60-4CF5-AC02-4A2662C6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B86"/>
    <w:pPr>
      <w:spacing w:before="100" w:after="200" w:line="276" w:lineRule="auto"/>
    </w:pPr>
    <w:rPr>
      <w:rFonts w:eastAsiaTheme="minorEastAsia"/>
      <w:sz w:val="20"/>
      <w:szCs w:val="20"/>
    </w:rPr>
  </w:style>
  <w:style w:type="paragraph" w:styleId="Heading1">
    <w:name w:val="heading 1"/>
    <w:basedOn w:val="Normal"/>
    <w:next w:val="Normal"/>
    <w:link w:val="Heading1Char"/>
    <w:qFormat/>
    <w:rsid w:val="007A1ED0"/>
    <w:pPr>
      <w:keepNext/>
      <w:pBdr>
        <w:top w:val="single" w:sz="24" w:space="0" w:color="002C47" w:themeColor="accent1"/>
        <w:left w:val="single" w:sz="24" w:space="0" w:color="002C47" w:themeColor="accent1"/>
        <w:bottom w:val="single" w:sz="24" w:space="0" w:color="002C47" w:themeColor="accent1"/>
        <w:right w:val="single" w:sz="24" w:space="0" w:color="002C47" w:themeColor="accent1"/>
      </w:pBdr>
      <w:shd w:val="clear" w:color="auto" w:fill="002C47" w:themeFill="accent1"/>
      <w:spacing w:after="0"/>
      <w:outlineLvl w:val="0"/>
    </w:pPr>
    <w:rPr>
      <w:b/>
      <w:smallCaps/>
      <w:color w:val="FFFFFF" w:themeColor="background1"/>
      <w:spacing w:val="15"/>
      <w:sz w:val="22"/>
      <w:szCs w:val="22"/>
    </w:rPr>
  </w:style>
  <w:style w:type="paragraph" w:styleId="Heading2">
    <w:name w:val="heading 2"/>
    <w:basedOn w:val="Normal"/>
    <w:next w:val="Normal"/>
    <w:link w:val="Heading2Char"/>
    <w:unhideWhenUsed/>
    <w:qFormat/>
    <w:rsid w:val="007A1ED0"/>
    <w:pPr>
      <w:keepNext/>
      <w:pBdr>
        <w:top w:val="single" w:sz="24" w:space="1" w:color="002C47" w:themeColor="accent1"/>
        <w:left w:val="single" w:sz="24" w:space="0" w:color="002C47" w:themeColor="accent1"/>
        <w:bottom w:val="single" w:sz="24" w:space="1" w:color="002C47" w:themeColor="accent1"/>
        <w:right w:val="single" w:sz="24" w:space="0" w:color="002C47" w:themeColor="accent1"/>
      </w:pBdr>
      <w:shd w:val="clear" w:color="auto" w:fill="002C47" w:themeFill="accent1"/>
      <w:spacing w:after="0"/>
      <w:outlineLvl w:val="1"/>
    </w:pPr>
    <w:rPr>
      <w:b/>
      <w:i/>
      <w:smallCaps/>
      <w:color w:val="FFFFFF" w:themeColor="background1"/>
      <w:spacing w:val="15"/>
    </w:rPr>
  </w:style>
  <w:style w:type="paragraph" w:styleId="Heading3">
    <w:name w:val="heading 3"/>
    <w:basedOn w:val="Normal"/>
    <w:next w:val="Normal"/>
    <w:link w:val="Heading3Char"/>
    <w:unhideWhenUsed/>
    <w:qFormat/>
    <w:rsid w:val="00984444"/>
    <w:pPr>
      <w:keepNext/>
      <w:pBdr>
        <w:top w:val="single" w:sz="6" w:space="1" w:color="002C47" w:themeColor="accent1"/>
      </w:pBdr>
      <w:spacing w:before="300" w:after="0"/>
      <w:outlineLvl w:val="2"/>
    </w:pPr>
    <w:rPr>
      <w:b/>
      <w:smallCaps/>
      <w:color w:val="002C47" w:themeColor="accent1"/>
      <w:spacing w:val="15"/>
    </w:rPr>
  </w:style>
  <w:style w:type="paragraph" w:styleId="Heading4">
    <w:name w:val="heading 4"/>
    <w:basedOn w:val="Normal"/>
    <w:next w:val="Normal"/>
    <w:link w:val="Heading4Char"/>
    <w:unhideWhenUsed/>
    <w:qFormat/>
    <w:rsid w:val="00984444"/>
    <w:pPr>
      <w:pBdr>
        <w:top w:val="dotted" w:sz="6" w:space="1" w:color="002C47" w:themeColor="accent1"/>
      </w:pBdr>
      <w:spacing w:before="200" w:after="0"/>
      <w:outlineLvl w:val="3"/>
    </w:pPr>
    <w:rPr>
      <w:b/>
      <w:smallCaps/>
      <w:color w:val="002C47" w:themeColor="accent1"/>
      <w:spacing w:val="10"/>
    </w:rPr>
  </w:style>
  <w:style w:type="paragraph" w:styleId="Heading5">
    <w:name w:val="heading 5"/>
    <w:basedOn w:val="Normal"/>
    <w:next w:val="Normal"/>
    <w:link w:val="Heading5Char"/>
    <w:unhideWhenUsed/>
    <w:qFormat/>
    <w:rsid w:val="00984444"/>
    <w:pPr>
      <w:keepNext/>
      <w:pBdr>
        <w:bottom w:val="single" w:sz="6" w:space="1" w:color="002C47" w:themeColor="accent1"/>
      </w:pBdr>
      <w:spacing w:before="200" w:after="0"/>
      <w:outlineLvl w:val="4"/>
    </w:pPr>
    <w:rPr>
      <w:i/>
      <w:smallCaps/>
      <w:color w:val="002C47" w:themeColor="accent1"/>
      <w:spacing w:val="10"/>
    </w:rPr>
  </w:style>
  <w:style w:type="paragraph" w:styleId="Heading6">
    <w:name w:val="heading 6"/>
    <w:basedOn w:val="Normal"/>
    <w:next w:val="Normal"/>
    <w:link w:val="Heading6Char"/>
    <w:unhideWhenUsed/>
    <w:qFormat/>
    <w:rsid w:val="00984444"/>
    <w:pPr>
      <w:pBdr>
        <w:bottom w:val="dotted" w:sz="6" w:space="1" w:color="002C47" w:themeColor="accent1"/>
      </w:pBdr>
      <w:spacing w:before="200" w:after="0"/>
      <w:outlineLvl w:val="5"/>
    </w:pPr>
    <w:rPr>
      <w:i/>
      <w:smallCaps/>
      <w:color w:val="002C47" w:themeColor="accent1"/>
      <w:spacing w:val="10"/>
    </w:rPr>
  </w:style>
  <w:style w:type="paragraph" w:styleId="Heading7">
    <w:name w:val="heading 7"/>
    <w:basedOn w:val="Normal"/>
    <w:next w:val="Normal"/>
    <w:link w:val="Heading7Char"/>
    <w:uiPriority w:val="9"/>
    <w:unhideWhenUsed/>
    <w:qFormat/>
    <w:rsid w:val="004F4893"/>
    <w:pPr>
      <w:spacing w:after="0"/>
      <w:outlineLvl w:val="6"/>
    </w:pPr>
    <w:rPr>
      <w:b/>
      <w:i/>
      <w:color w:val="002C47" w:themeColor="accent1"/>
    </w:rPr>
  </w:style>
  <w:style w:type="paragraph" w:styleId="Heading8">
    <w:name w:val="heading 8"/>
    <w:basedOn w:val="TableMainHeading"/>
    <w:next w:val="Normal"/>
    <w:link w:val="Heading8Char"/>
    <w:uiPriority w:val="9"/>
    <w:unhideWhenUsed/>
    <w:qFormat/>
    <w:rsid w:val="00DF100F"/>
    <w:pPr>
      <w:numPr>
        <w:numId w:val="17"/>
      </w:numPr>
      <w:ind w:left="567" w:hanging="567"/>
    </w:pPr>
    <w:rPr>
      <w:bCs/>
    </w:rPr>
  </w:style>
  <w:style w:type="paragraph" w:styleId="Heading9">
    <w:name w:val="heading 9"/>
    <w:basedOn w:val="ChartMainHeading"/>
    <w:next w:val="Normal"/>
    <w:link w:val="Heading9Char"/>
    <w:uiPriority w:val="9"/>
    <w:unhideWhenUsed/>
    <w:qFormat/>
    <w:rsid w:val="00452F22"/>
    <w:pPr>
      <w:numPr>
        <w:numId w:val="15"/>
      </w:numPr>
      <w:ind w:left="36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A1ED0"/>
    <w:rPr>
      <w:rFonts w:eastAsiaTheme="minorEastAsia"/>
      <w:b/>
      <w:smallCaps/>
      <w:color w:val="FFFFFF" w:themeColor="background1"/>
      <w:spacing w:val="15"/>
      <w:shd w:val="clear" w:color="auto" w:fill="002C47" w:themeFill="accent1"/>
    </w:rPr>
  </w:style>
  <w:style w:type="character" w:customStyle="1" w:styleId="Heading2Char">
    <w:name w:val="Heading 2 Char"/>
    <w:basedOn w:val="DefaultParagraphFont"/>
    <w:link w:val="Heading2"/>
    <w:rsid w:val="007A1ED0"/>
    <w:rPr>
      <w:rFonts w:eastAsiaTheme="minorEastAsia"/>
      <w:b/>
      <w:i/>
      <w:smallCaps/>
      <w:color w:val="FFFFFF" w:themeColor="background1"/>
      <w:spacing w:val="15"/>
      <w:sz w:val="20"/>
      <w:szCs w:val="20"/>
      <w:shd w:val="clear" w:color="auto" w:fill="002C47" w:themeFill="accent1"/>
    </w:rPr>
  </w:style>
  <w:style w:type="character" w:customStyle="1" w:styleId="Heading3Char">
    <w:name w:val="Heading 3 Char"/>
    <w:basedOn w:val="DefaultParagraphFont"/>
    <w:link w:val="Heading3"/>
    <w:rsid w:val="00984444"/>
    <w:rPr>
      <w:rFonts w:eastAsiaTheme="minorEastAsia"/>
      <w:b/>
      <w:smallCaps/>
      <w:color w:val="002C47" w:themeColor="accent1"/>
      <w:spacing w:val="15"/>
      <w:sz w:val="20"/>
      <w:szCs w:val="20"/>
    </w:rPr>
  </w:style>
  <w:style w:type="character" w:customStyle="1" w:styleId="Heading4Char">
    <w:name w:val="Heading 4 Char"/>
    <w:basedOn w:val="DefaultParagraphFont"/>
    <w:link w:val="Heading4"/>
    <w:rsid w:val="00984444"/>
    <w:rPr>
      <w:rFonts w:eastAsiaTheme="minorEastAsia"/>
      <w:b/>
      <w:smallCaps/>
      <w:color w:val="002C47" w:themeColor="accent1"/>
      <w:spacing w:val="10"/>
      <w:sz w:val="20"/>
      <w:szCs w:val="20"/>
    </w:rPr>
  </w:style>
  <w:style w:type="character" w:customStyle="1" w:styleId="Heading5Char">
    <w:name w:val="Heading 5 Char"/>
    <w:basedOn w:val="DefaultParagraphFont"/>
    <w:link w:val="Heading5"/>
    <w:rsid w:val="00984444"/>
    <w:rPr>
      <w:rFonts w:eastAsiaTheme="minorEastAsia"/>
      <w:i/>
      <w:smallCaps/>
      <w:color w:val="002C47" w:themeColor="accent1"/>
      <w:spacing w:val="10"/>
      <w:sz w:val="20"/>
      <w:szCs w:val="20"/>
    </w:rPr>
  </w:style>
  <w:style w:type="character" w:customStyle="1" w:styleId="Heading6Char">
    <w:name w:val="Heading 6 Char"/>
    <w:basedOn w:val="DefaultParagraphFont"/>
    <w:link w:val="Heading6"/>
    <w:rsid w:val="00984444"/>
    <w:rPr>
      <w:rFonts w:eastAsiaTheme="minorEastAsia"/>
      <w:i/>
      <w:smallCaps/>
      <w:color w:val="002C47" w:themeColor="accent1"/>
      <w:spacing w:val="10"/>
      <w:sz w:val="20"/>
      <w:szCs w:val="20"/>
    </w:rPr>
  </w:style>
  <w:style w:type="paragraph" w:customStyle="1" w:styleId="ChartGraphic">
    <w:name w:val="Chart Graphic"/>
    <w:basedOn w:val="Normal"/>
    <w:next w:val="Normal"/>
    <w:rsid w:val="00AB575C"/>
    <w:pPr>
      <w:keepNext/>
      <w:spacing w:before="0" w:after="0"/>
      <w:jc w:val="center"/>
    </w:pPr>
    <w:rPr>
      <w:color w:val="004A7F"/>
    </w:rPr>
  </w:style>
  <w:style w:type="paragraph" w:customStyle="1" w:styleId="AlphaParagraph">
    <w:name w:val="Alpha Paragraph"/>
    <w:basedOn w:val="Normal"/>
    <w:rsid w:val="00AB575C"/>
    <w:pPr>
      <w:numPr>
        <w:ilvl w:val="1"/>
        <w:numId w:val="11"/>
      </w:numPr>
      <w:spacing w:before="0"/>
    </w:pPr>
  </w:style>
  <w:style w:type="paragraph" w:customStyle="1" w:styleId="BoxBullet">
    <w:name w:val="Box Bullet"/>
    <w:basedOn w:val="Normal"/>
    <w:link w:val="BoxBulletChar"/>
    <w:rsid w:val="003702EE"/>
    <w:pPr>
      <w:numPr>
        <w:numId w:val="13"/>
      </w:numPr>
      <w:spacing w:before="40" w:after="40"/>
      <w:jc w:val="both"/>
    </w:pPr>
    <w:rPr>
      <w:rFonts w:cs="Times New Roman"/>
      <w:bdr w:val="none" w:sz="0" w:space="0" w:color="auto" w:frame="1"/>
      <w:lang w:eastAsia="en-AU"/>
    </w:rPr>
  </w:style>
  <w:style w:type="paragraph" w:customStyle="1" w:styleId="BoxDash">
    <w:name w:val="Box Dash"/>
    <w:basedOn w:val="Normal"/>
    <w:link w:val="BoxDashChar"/>
    <w:rsid w:val="003702EE"/>
    <w:pPr>
      <w:numPr>
        <w:ilvl w:val="1"/>
        <w:numId w:val="13"/>
      </w:numPr>
      <w:spacing w:before="40" w:after="40"/>
      <w:jc w:val="both"/>
    </w:pPr>
    <w:rPr>
      <w:rFonts w:cs="Times New Roman"/>
      <w:bdr w:val="none" w:sz="0" w:space="0" w:color="auto" w:frame="1"/>
      <w:lang w:eastAsia="en-AU"/>
    </w:rPr>
  </w:style>
  <w:style w:type="paragraph" w:customStyle="1" w:styleId="BoxDoubleDot">
    <w:name w:val="Box Double Dot"/>
    <w:basedOn w:val="Normal"/>
    <w:rsid w:val="00AB575C"/>
    <w:pPr>
      <w:numPr>
        <w:ilvl w:val="2"/>
        <w:numId w:val="13"/>
      </w:numPr>
      <w:spacing w:before="0"/>
    </w:pPr>
  </w:style>
  <w:style w:type="paragraph" w:customStyle="1" w:styleId="BoxHeading">
    <w:name w:val="Box Heading"/>
    <w:basedOn w:val="Heading3"/>
    <w:next w:val="BoxText"/>
    <w:qFormat/>
    <w:rsid w:val="00C86E09"/>
    <w:pPr>
      <w:numPr>
        <w:numId w:val="16"/>
      </w:numPr>
      <w:tabs>
        <w:tab w:val="left" w:pos="1134"/>
      </w:tabs>
      <w:spacing w:before="240"/>
      <w:jc w:val="both"/>
    </w:pPr>
    <w:rPr>
      <w:rFonts w:asciiTheme="majorHAnsi" w:hAnsiTheme="majorHAnsi" w:cstheme="majorHAnsi"/>
      <w:sz w:val="26"/>
      <w:szCs w:val="26"/>
      <w:lang w:eastAsia="en-AU"/>
    </w:rPr>
  </w:style>
  <w:style w:type="paragraph" w:customStyle="1" w:styleId="BoxText">
    <w:name w:val="Box Text"/>
    <w:basedOn w:val="Normal"/>
    <w:link w:val="BoxTextChar"/>
    <w:rsid w:val="007D55C1"/>
    <w:rPr>
      <w:rFonts w:cstheme="minorHAnsi"/>
      <w:lang w:eastAsia="en-AU"/>
    </w:rPr>
  </w:style>
  <w:style w:type="paragraph" w:customStyle="1" w:styleId="Normalbullet">
    <w:name w:val="Normal bullet"/>
    <w:basedOn w:val="Normal"/>
    <w:link w:val="NormalbulletChar"/>
    <w:qFormat/>
    <w:rsid w:val="00AB575C"/>
    <w:pPr>
      <w:numPr>
        <w:numId w:val="7"/>
      </w:numPr>
      <w:spacing w:before="0"/>
    </w:pPr>
  </w:style>
  <w:style w:type="paragraph" w:customStyle="1" w:styleId="ChartandTableFootnoteAlpha">
    <w:name w:val="Chart and Table Footnote Alpha"/>
    <w:rsid w:val="00AB575C"/>
    <w:pPr>
      <w:numPr>
        <w:numId w:val="6"/>
      </w:numPr>
      <w:spacing w:before="100" w:after="0" w:line="240" w:lineRule="auto"/>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Normal"/>
    <w:next w:val="ChartGraphic"/>
    <w:rsid w:val="004626A0"/>
    <w:pPr>
      <w:keepNext/>
      <w:pBdr>
        <w:top w:val="dashed" w:sz="4" w:space="1" w:color="002C47" w:themeColor="accent1"/>
      </w:pBdr>
      <w:tabs>
        <w:tab w:val="left" w:pos="993"/>
      </w:tabs>
      <w:spacing w:before="120" w:after="120" w:line="240" w:lineRule="auto"/>
      <w:ind w:left="720" w:hanging="360"/>
      <w:outlineLvl w:val="8"/>
    </w:pPr>
    <w:rPr>
      <w:b/>
      <w:smallCaps/>
      <w:color w:val="002C47" w:themeColor="accent1"/>
      <w:spacing w:val="15"/>
    </w:rPr>
  </w:style>
  <w:style w:type="paragraph" w:customStyle="1" w:styleId="ChartorTableNote">
    <w:name w:val="Chart or Table Note"/>
    <w:next w:val="Normal"/>
    <w:rsid w:val="00AB575C"/>
    <w:pPr>
      <w:spacing w:before="100"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AB575C"/>
    <w:rPr>
      <w:color w:val="277F98" w:themeColor="accent6"/>
    </w:rPr>
  </w:style>
  <w:style w:type="paragraph" w:customStyle="1" w:styleId="ReportDate">
    <w:name w:val="Report Date"/>
    <w:basedOn w:val="Normal"/>
    <w:link w:val="ReportDateChar"/>
    <w:rsid w:val="00AB575C"/>
    <w:pPr>
      <w:keepNext/>
      <w:spacing w:before="0" w:after="360"/>
    </w:pPr>
    <w:rPr>
      <w:color w:val="FFFFFF" w:themeColor="background1"/>
      <w:sz w:val="44"/>
    </w:rPr>
  </w:style>
  <w:style w:type="paragraph" w:customStyle="1" w:styleId="Normaldash">
    <w:name w:val="Normal dash"/>
    <w:basedOn w:val="Normal"/>
    <w:link w:val="NormaldashChar"/>
    <w:qFormat/>
    <w:rsid w:val="00AB575C"/>
    <w:pPr>
      <w:numPr>
        <w:ilvl w:val="1"/>
        <w:numId w:val="7"/>
      </w:numPr>
      <w:spacing w:before="0"/>
    </w:pPr>
  </w:style>
  <w:style w:type="paragraph" w:customStyle="1" w:styleId="Normaldoubledot">
    <w:name w:val="Normal double dot"/>
    <w:basedOn w:val="Normal"/>
    <w:qFormat/>
    <w:rsid w:val="0025563B"/>
    <w:pPr>
      <w:numPr>
        <w:ilvl w:val="2"/>
        <w:numId w:val="7"/>
      </w:numPr>
      <w:spacing w:before="0"/>
    </w:pPr>
  </w:style>
  <w:style w:type="paragraph" w:customStyle="1" w:styleId="TableMainHeading">
    <w:name w:val="Table Main Heading"/>
    <w:basedOn w:val="Normal"/>
    <w:next w:val="Normal"/>
    <w:rsid w:val="004626A0"/>
    <w:pPr>
      <w:keepNext/>
      <w:numPr>
        <w:numId w:val="14"/>
      </w:numPr>
      <w:pBdr>
        <w:top w:val="dashed" w:sz="4" w:space="1" w:color="002C47" w:themeColor="accent1"/>
      </w:pBdr>
      <w:tabs>
        <w:tab w:val="left" w:pos="993"/>
      </w:tabs>
      <w:spacing w:before="120" w:after="120" w:line="240" w:lineRule="auto"/>
      <w:ind w:left="992" w:hanging="992"/>
      <w:outlineLvl w:val="7"/>
    </w:pPr>
    <w:rPr>
      <w:b/>
      <w:smallCaps/>
      <w:color w:val="002C47" w:themeColor="accent1"/>
      <w:spacing w:val="15"/>
    </w:rPr>
  </w:style>
  <w:style w:type="paragraph" w:customStyle="1" w:styleId="FooterEven">
    <w:name w:val="Footer Even"/>
    <w:basedOn w:val="Footer"/>
    <w:rsid w:val="000B1E3F"/>
    <w:pPr>
      <w:keepNext/>
      <w:tabs>
        <w:tab w:val="clear" w:pos="4513"/>
        <w:tab w:val="clear" w:pos="9026"/>
      </w:tabs>
      <w:jc w:val="left"/>
    </w:pPr>
    <w:rPr>
      <w:noProof/>
      <w:color w:val="002C47" w:themeColor="accent1"/>
    </w:rPr>
  </w:style>
  <w:style w:type="paragraph" w:customStyle="1" w:styleId="FooterOdd">
    <w:name w:val="Footer Odd"/>
    <w:basedOn w:val="Footer"/>
    <w:rsid w:val="000B1E3F"/>
    <w:pPr>
      <w:keepNext/>
      <w:tabs>
        <w:tab w:val="clear" w:pos="4513"/>
        <w:tab w:val="clear" w:pos="9026"/>
      </w:tabs>
      <w:jc w:val="right"/>
    </w:pPr>
    <w:rPr>
      <w:color w:val="002C47" w:themeColor="accent1"/>
    </w:rPr>
  </w:style>
  <w:style w:type="character" w:styleId="Hyperlink">
    <w:name w:val="Hyperlink"/>
    <w:basedOn w:val="DefaultParagraphFont"/>
    <w:uiPriority w:val="99"/>
    <w:rsid w:val="00AB575C"/>
    <w:rPr>
      <w:color w:val="0563C1"/>
      <w:u w:val="none"/>
    </w:rPr>
  </w:style>
  <w:style w:type="paragraph" w:customStyle="1" w:styleId="OutlineNumbered1">
    <w:name w:val="Outline Numbered 1"/>
    <w:basedOn w:val="Normal"/>
    <w:link w:val="OutlineNumbered1Char"/>
    <w:rsid w:val="00AB575C"/>
    <w:pPr>
      <w:numPr>
        <w:numId w:val="10"/>
      </w:numPr>
      <w:spacing w:before="0"/>
    </w:pPr>
  </w:style>
  <w:style w:type="paragraph" w:customStyle="1" w:styleId="OneLevelNumberedParagraph">
    <w:name w:val="One Level Numbered Paragraph"/>
    <w:basedOn w:val="Normal"/>
    <w:rsid w:val="00AB575C"/>
    <w:pPr>
      <w:numPr>
        <w:numId w:val="9"/>
      </w:numPr>
      <w:spacing w:before="0"/>
    </w:pPr>
  </w:style>
  <w:style w:type="paragraph" w:customStyle="1" w:styleId="OutlineNumbered2">
    <w:name w:val="Outline Numbered 2"/>
    <w:basedOn w:val="Normal"/>
    <w:rsid w:val="00AB575C"/>
    <w:pPr>
      <w:numPr>
        <w:ilvl w:val="1"/>
        <w:numId w:val="10"/>
      </w:numPr>
      <w:spacing w:before="0"/>
    </w:pPr>
  </w:style>
  <w:style w:type="paragraph" w:customStyle="1" w:styleId="OutlineNumbered3">
    <w:name w:val="Outline Numbered 3"/>
    <w:basedOn w:val="Normal"/>
    <w:rsid w:val="00AB575C"/>
    <w:pPr>
      <w:numPr>
        <w:ilvl w:val="2"/>
        <w:numId w:val="10"/>
      </w:numPr>
      <w:spacing w:before="0"/>
    </w:pPr>
  </w:style>
  <w:style w:type="paragraph" w:customStyle="1" w:styleId="Romannumeral">
    <w:name w:val="Roman numeral"/>
    <w:basedOn w:val="Normal"/>
    <w:rsid w:val="00AB575C"/>
    <w:pPr>
      <w:numPr>
        <w:numId w:val="11"/>
      </w:numPr>
      <w:tabs>
        <w:tab w:val="clear" w:pos="720"/>
        <w:tab w:val="num" w:pos="851"/>
      </w:tabs>
      <w:spacing w:before="0"/>
    </w:pPr>
  </w:style>
  <w:style w:type="paragraph" w:customStyle="1" w:styleId="SingleParagraph">
    <w:name w:val="Single Paragraph"/>
    <w:basedOn w:val="Normal"/>
    <w:link w:val="SingleParagraphChar"/>
    <w:rsid w:val="00AB575C"/>
    <w:pPr>
      <w:spacing w:before="0" w:after="0"/>
    </w:pPr>
  </w:style>
  <w:style w:type="paragraph" w:customStyle="1" w:styleId="TableSecondHeading">
    <w:name w:val="Table Second Heading"/>
    <w:basedOn w:val="Normal"/>
    <w:next w:val="Normal"/>
    <w:qFormat/>
    <w:rsid w:val="00366630"/>
    <w:pPr>
      <w:keepNext/>
      <w:spacing w:before="40" w:after="40"/>
      <w:jc w:val="right"/>
    </w:pPr>
    <w:rPr>
      <w:rFonts w:cs="Times New Roman"/>
      <w:b/>
      <w:smallCaps/>
      <w:color w:val="002C47" w:themeColor="accent1"/>
      <w:bdr w:val="none" w:sz="0" w:space="0" w:color="auto" w:frame="1"/>
      <w:lang w:eastAsia="en-AU"/>
    </w:rPr>
  </w:style>
  <w:style w:type="paragraph" w:customStyle="1" w:styleId="TableColumnHeadingCentred">
    <w:name w:val="Table Column Heading Centred"/>
    <w:basedOn w:val="TableTextLeft"/>
    <w:rsid w:val="00AB575C"/>
    <w:pPr>
      <w:jc w:val="center"/>
    </w:pPr>
    <w:rPr>
      <w:b/>
      <w:color w:val="004A7F"/>
    </w:rPr>
  </w:style>
  <w:style w:type="paragraph" w:customStyle="1" w:styleId="TableColumnHeadingLeft">
    <w:name w:val="Table Column Heading Left"/>
    <w:basedOn w:val="TableTextLeft"/>
    <w:rsid w:val="00AB575C"/>
    <w:rPr>
      <w:b/>
      <w:color w:val="004A7F"/>
    </w:rPr>
  </w:style>
  <w:style w:type="paragraph" w:customStyle="1" w:styleId="TableColumnHeadingRight">
    <w:name w:val="Table Column Heading Right"/>
    <w:basedOn w:val="TableTextLeft"/>
    <w:rsid w:val="00AB575C"/>
    <w:pPr>
      <w:jc w:val="right"/>
    </w:pPr>
    <w:rPr>
      <w:b/>
      <w:color w:val="004A7F"/>
    </w:rPr>
  </w:style>
  <w:style w:type="table" w:styleId="TableGrid">
    <w:name w:val="Table Grid"/>
    <w:basedOn w:val="TableNormal"/>
    <w:uiPriority w:val="39"/>
    <w:rsid w:val="00AB575C"/>
    <w:pPr>
      <w:spacing w:before="100" w:after="240" w:line="260" w:lineRule="exact"/>
      <w:jc w:val="both"/>
    </w:pPr>
    <w:rPr>
      <w:rFonts w:eastAsia="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B1CA2"/>
    <w:pPr>
      <w:jc w:val="center"/>
    </w:pPr>
  </w:style>
  <w:style w:type="paragraph" w:customStyle="1" w:styleId="TableTextLeft">
    <w:name w:val="Table Text Left"/>
    <w:basedOn w:val="TableTextRight"/>
    <w:rsid w:val="00AB575C"/>
    <w:pPr>
      <w:jc w:val="left"/>
    </w:pPr>
    <w:rPr>
      <w:rFonts w:cs="Times New Roman"/>
      <w:bdr w:val="none" w:sz="0" w:space="0" w:color="auto" w:frame="1"/>
      <w:lang w:eastAsia="en-AU"/>
    </w:rPr>
  </w:style>
  <w:style w:type="paragraph" w:customStyle="1" w:styleId="TableTextRight">
    <w:name w:val="Table Text Right"/>
    <w:basedOn w:val="Normal"/>
    <w:rsid w:val="00AB575C"/>
    <w:pPr>
      <w:spacing w:before="40" w:after="40"/>
      <w:jc w:val="right"/>
    </w:pPr>
    <w:rPr>
      <w:color w:val="000000"/>
    </w:rPr>
  </w:style>
  <w:style w:type="paragraph" w:styleId="TOC1">
    <w:name w:val="toc 1"/>
    <w:basedOn w:val="Normal"/>
    <w:next w:val="Normal"/>
    <w:uiPriority w:val="39"/>
    <w:rsid w:val="00AB575C"/>
    <w:pPr>
      <w:keepNext/>
      <w:tabs>
        <w:tab w:val="right" w:leader="dot" w:pos="9072"/>
      </w:tabs>
      <w:spacing w:before="180" w:after="0"/>
      <w:ind w:right="-2"/>
    </w:pPr>
    <w:rPr>
      <w:b/>
      <w:noProof/>
      <w:color w:val="000000" w:themeColor="text1"/>
      <w:szCs w:val="22"/>
    </w:rPr>
  </w:style>
  <w:style w:type="paragraph" w:styleId="TOC2">
    <w:name w:val="toc 2"/>
    <w:basedOn w:val="Normal"/>
    <w:next w:val="Normal"/>
    <w:uiPriority w:val="39"/>
    <w:rsid w:val="00AB575C"/>
    <w:pPr>
      <w:keepNext/>
      <w:tabs>
        <w:tab w:val="right" w:leader="dot" w:pos="9072"/>
      </w:tabs>
      <w:spacing w:before="40" w:after="20"/>
      <w:ind w:left="142" w:right="-2"/>
    </w:pPr>
    <w:rPr>
      <w:noProof/>
      <w:color w:val="000000" w:themeColor="text1"/>
    </w:rPr>
  </w:style>
  <w:style w:type="paragraph" w:styleId="TOC3">
    <w:name w:val="toc 3"/>
    <w:basedOn w:val="Normal"/>
    <w:next w:val="Normal"/>
    <w:uiPriority w:val="39"/>
    <w:rsid w:val="00AB575C"/>
    <w:pPr>
      <w:tabs>
        <w:tab w:val="right" w:leader="dot" w:pos="9072"/>
      </w:tabs>
      <w:spacing w:before="20" w:after="0"/>
      <w:ind w:left="284" w:right="-2"/>
    </w:pPr>
    <w:rPr>
      <w:rFonts w:cs="Calibri"/>
      <w:noProof/>
      <w:color w:val="000000" w:themeColor="text1"/>
    </w:rPr>
  </w:style>
  <w:style w:type="numbering" w:customStyle="1" w:styleId="OutlineList">
    <w:name w:val="OutlineList"/>
    <w:uiPriority w:val="99"/>
    <w:rsid w:val="00AB575C"/>
    <w:pPr>
      <w:numPr>
        <w:numId w:val="5"/>
      </w:numPr>
    </w:pPr>
  </w:style>
  <w:style w:type="numbering" w:customStyle="1" w:styleId="BulletedList">
    <w:name w:val="Bulleted List"/>
    <w:uiPriority w:val="99"/>
    <w:rsid w:val="00AB575C"/>
    <w:pPr>
      <w:numPr>
        <w:numId w:val="2"/>
      </w:numPr>
    </w:pPr>
  </w:style>
  <w:style w:type="numbering" w:customStyle="1" w:styleId="BoxBulletedList">
    <w:name w:val="Box Bulleted List"/>
    <w:uiPriority w:val="99"/>
    <w:rsid w:val="00AB575C"/>
    <w:pPr>
      <w:numPr>
        <w:numId w:val="1"/>
      </w:numPr>
    </w:pPr>
  </w:style>
  <w:style w:type="numbering" w:customStyle="1" w:styleId="OneLevelList">
    <w:name w:val="OneLevelList"/>
    <w:uiPriority w:val="99"/>
    <w:rsid w:val="00AB575C"/>
    <w:pPr>
      <w:numPr>
        <w:numId w:val="4"/>
      </w:numPr>
    </w:pPr>
  </w:style>
  <w:style w:type="numbering" w:customStyle="1" w:styleId="ChartandTableFootnoteAlphaList">
    <w:name w:val="ChartandTableFootnoteAlphaList"/>
    <w:uiPriority w:val="99"/>
    <w:rsid w:val="00AB575C"/>
    <w:pPr>
      <w:numPr>
        <w:numId w:val="3"/>
      </w:numPr>
    </w:pPr>
  </w:style>
  <w:style w:type="paragraph" w:customStyle="1" w:styleId="Crest">
    <w:name w:val="Crest"/>
    <w:basedOn w:val="Header"/>
    <w:rsid w:val="00AB575C"/>
    <w:pPr>
      <w:spacing w:after="480"/>
      <w:jc w:val="center"/>
    </w:pPr>
    <w:rPr>
      <w:color w:val="000000" w:themeColor="text1"/>
    </w:rPr>
  </w:style>
  <w:style w:type="paragraph" w:customStyle="1" w:styleId="Heading1Numbered">
    <w:name w:val="Heading 1 Numbered"/>
    <w:basedOn w:val="Heading1"/>
    <w:next w:val="Normal"/>
    <w:rsid w:val="00DF100F"/>
    <w:pPr>
      <w:numPr>
        <w:numId w:val="8"/>
      </w:numPr>
      <w:ind w:left="567" w:hanging="567"/>
    </w:pPr>
  </w:style>
  <w:style w:type="character" w:customStyle="1" w:styleId="SingleParagraphChar">
    <w:name w:val="Single Paragraph Char"/>
    <w:basedOn w:val="DefaultParagraphFont"/>
    <w:link w:val="SingleParagraph"/>
    <w:rsid w:val="00AB575C"/>
    <w:rPr>
      <w:rFonts w:eastAsiaTheme="minorEastAsia"/>
      <w:sz w:val="20"/>
      <w:szCs w:val="20"/>
    </w:rPr>
  </w:style>
  <w:style w:type="paragraph" w:customStyle="1" w:styleId="Heading2Numbered">
    <w:name w:val="Heading 2 Numbered"/>
    <w:basedOn w:val="Heading2"/>
    <w:next w:val="Normal"/>
    <w:rsid w:val="00DF100F"/>
    <w:pPr>
      <w:numPr>
        <w:ilvl w:val="1"/>
        <w:numId w:val="8"/>
      </w:numPr>
      <w:ind w:left="567" w:hanging="567"/>
    </w:pPr>
  </w:style>
  <w:style w:type="paragraph" w:customStyle="1" w:styleId="Heading3Numbered">
    <w:name w:val="Heading 3 Numbered"/>
    <w:basedOn w:val="Heading3"/>
    <w:qFormat/>
    <w:rsid w:val="00553F5A"/>
    <w:pPr>
      <w:numPr>
        <w:ilvl w:val="2"/>
        <w:numId w:val="8"/>
      </w:numPr>
      <w:ind w:left="0" w:firstLine="0"/>
    </w:pPr>
  </w:style>
  <w:style w:type="paragraph" w:styleId="Title">
    <w:name w:val="Title"/>
    <w:basedOn w:val="Normal"/>
    <w:next w:val="Normal"/>
    <w:link w:val="TitleChar"/>
    <w:uiPriority w:val="10"/>
    <w:qFormat/>
    <w:rsid w:val="001A019C"/>
    <w:pPr>
      <w:spacing w:before="0" w:after="0"/>
    </w:pPr>
    <w:rPr>
      <w:rFonts w:asciiTheme="majorHAnsi" w:eastAsiaTheme="majorEastAsia" w:hAnsiTheme="majorHAnsi" w:cstheme="majorBidi"/>
      <w:b/>
      <w:caps/>
      <w:color w:val="FFFFFF" w:themeColor="background1"/>
      <w:spacing w:val="10"/>
      <w:sz w:val="44"/>
      <w:szCs w:val="52"/>
    </w:rPr>
  </w:style>
  <w:style w:type="character" w:customStyle="1" w:styleId="TitleChar">
    <w:name w:val="Title Char"/>
    <w:basedOn w:val="DefaultParagraphFont"/>
    <w:link w:val="Title"/>
    <w:uiPriority w:val="10"/>
    <w:rsid w:val="001A019C"/>
    <w:rPr>
      <w:rFonts w:asciiTheme="majorHAnsi" w:eastAsiaTheme="majorEastAsia" w:hAnsiTheme="majorHAnsi" w:cstheme="majorBidi"/>
      <w:b/>
      <w:caps/>
      <w:color w:val="FFFFFF" w:themeColor="background1"/>
      <w:spacing w:val="10"/>
      <w:sz w:val="44"/>
      <w:szCs w:val="52"/>
    </w:rPr>
  </w:style>
  <w:style w:type="paragraph" w:styleId="Subtitle">
    <w:name w:val="Subtitle"/>
    <w:basedOn w:val="Normal"/>
    <w:next w:val="Normal"/>
    <w:link w:val="SubtitleChar"/>
    <w:uiPriority w:val="11"/>
    <w:rsid w:val="00AB575C"/>
    <w:pPr>
      <w:spacing w:before="0" w:after="500" w:line="240" w:lineRule="auto"/>
    </w:pPr>
    <w:rPr>
      <w:caps/>
      <w:color w:val="FFFFFF" w:themeColor="background1"/>
      <w:spacing w:val="10"/>
      <w:sz w:val="21"/>
      <w:szCs w:val="21"/>
    </w:rPr>
  </w:style>
  <w:style w:type="character" w:customStyle="1" w:styleId="SubtitleChar">
    <w:name w:val="Subtitle Char"/>
    <w:basedOn w:val="DefaultParagraphFont"/>
    <w:link w:val="Subtitle"/>
    <w:uiPriority w:val="11"/>
    <w:rsid w:val="00AB575C"/>
    <w:rPr>
      <w:rFonts w:eastAsiaTheme="minorEastAsia"/>
      <w:caps/>
      <w:color w:val="FFFFFF" w:themeColor="background1"/>
      <w:spacing w:val="10"/>
      <w:sz w:val="21"/>
      <w:szCs w:val="21"/>
    </w:rPr>
  </w:style>
  <w:style w:type="character" w:styleId="SubtleEmphasis">
    <w:name w:val="Subtle Emphasis"/>
    <w:uiPriority w:val="19"/>
    <w:rsid w:val="00AB575C"/>
    <w:rPr>
      <w:i/>
      <w:iCs/>
      <w:color w:val="001523" w:themeColor="accent1" w:themeShade="7F"/>
    </w:rPr>
  </w:style>
  <w:style w:type="paragraph" w:styleId="Footer">
    <w:name w:val="footer"/>
    <w:basedOn w:val="Normal"/>
    <w:link w:val="FooterChar"/>
    <w:uiPriority w:val="99"/>
    <w:unhideWhenUsed/>
    <w:rsid w:val="00AB575C"/>
    <w:pPr>
      <w:tabs>
        <w:tab w:val="center" w:pos="4513"/>
        <w:tab w:val="right" w:pos="9026"/>
      </w:tabs>
      <w:spacing w:before="0" w:after="0"/>
      <w:jc w:val="center"/>
    </w:pPr>
    <w:rPr>
      <w:color w:val="002C47"/>
    </w:rPr>
  </w:style>
  <w:style w:type="character" w:customStyle="1" w:styleId="FooterChar">
    <w:name w:val="Footer Char"/>
    <w:basedOn w:val="DefaultParagraphFont"/>
    <w:link w:val="Footer"/>
    <w:uiPriority w:val="99"/>
    <w:rsid w:val="00AB575C"/>
    <w:rPr>
      <w:rFonts w:eastAsiaTheme="minorEastAsia"/>
      <w:color w:val="002C47"/>
      <w:sz w:val="20"/>
      <w:szCs w:val="20"/>
    </w:rPr>
  </w:style>
  <w:style w:type="paragraph" w:styleId="Header">
    <w:name w:val="header"/>
    <w:basedOn w:val="Normal"/>
    <w:link w:val="HeaderChar"/>
    <w:uiPriority w:val="99"/>
    <w:unhideWhenUsed/>
    <w:rsid w:val="00AB575C"/>
    <w:pPr>
      <w:keepNext/>
      <w:spacing w:before="0" w:after="0"/>
      <w:jc w:val="right"/>
    </w:pPr>
    <w:rPr>
      <w:color w:val="004A7F"/>
    </w:rPr>
  </w:style>
  <w:style w:type="character" w:customStyle="1" w:styleId="HeaderChar">
    <w:name w:val="Header Char"/>
    <w:basedOn w:val="DefaultParagraphFont"/>
    <w:link w:val="Header"/>
    <w:uiPriority w:val="99"/>
    <w:rsid w:val="00AB575C"/>
    <w:rPr>
      <w:rFonts w:eastAsiaTheme="minorEastAsia"/>
      <w:color w:val="004A7F"/>
      <w:sz w:val="20"/>
      <w:szCs w:val="20"/>
    </w:rPr>
  </w:style>
  <w:style w:type="character" w:styleId="PlaceholderText">
    <w:name w:val="Placeholder Text"/>
    <w:basedOn w:val="DefaultParagraphFont"/>
    <w:uiPriority w:val="99"/>
    <w:semiHidden/>
    <w:rsid w:val="00AB575C"/>
    <w:rPr>
      <w:color w:val="808080"/>
    </w:rPr>
  </w:style>
  <w:style w:type="paragraph" w:customStyle="1" w:styleId="AppendixHeading">
    <w:name w:val="Appendix Heading"/>
    <w:basedOn w:val="Normal"/>
    <w:next w:val="Normal"/>
    <w:rsid w:val="00AB575C"/>
    <w:pPr>
      <w:keepNext/>
      <w:spacing w:before="720" w:after="360"/>
    </w:pPr>
    <w:rPr>
      <w:rFonts w:ascii="Arial Bold" w:hAnsi="Arial Bold"/>
      <w:b/>
      <w:smallCaps/>
      <w:color w:val="004A7F"/>
      <w:sz w:val="36"/>
      <w:szCs w:val="36"/>
    </w:rPr>
  </w:style>
  <w:style w:type="paragraph" w:customStyle="1" w:styleId="HeadingBase">
    <w:name w:val="Heading Base"/>
    <w:rsid w:val="004F4893"/>
    <w:pPr>
      <w:keepNext/>
      <w:spacing w:before="100" w:after="120" w:line="240" w:lineRule="auto"/>
    </w:pPr>
    <w:rPr>
      <w:rFonts w:ascii="Calibri" w:eastAsia="Times New Roman" w:hAnsi="Calibri" w:cs="Arial"/>
      <w:bCs/>
      <w:color w:val="002C47" w:themeColor="accent1"/>
      <w:kern w:val="32"/>
      <w:sz w:val="48"/>
      <w:szCs w:val="36"/>
      <w:lang w:eastAsia="en-AU"/>
    </w:rPr>
  </w:style>
  <w:style w:type="character" w:customStyle="1" w:styleId="ReportDateChar">
    <w:name w:val="Report Date Char"/>
    <w:basedOn w:val="DefaultParagraphFont"/>
    <w:link w:val="ReportDate"/>
    <w:rsid w:val="00AB575C"/>
    <w:rPr>
      <w:rFonts w:eastAsiaTheme="minorEastAsia"/>
      <w:color w:val="FFFFFF" w:themeColor="background1"/>
      <w:sz w:val="44"/>
      <w:szCs w:val="20"/>
    </w:rPr>
  </w:style>
  <w:style w:type="paragraph" w:customStyle="1" w:styleId="Disclaimer">
    <w:name w:val="Disclaimer"/>
    <w:basedOn w:val="ReportDate"/>
    <w:rsid w:val="00AB575C"/>
    <w:pPr>
      <w:spacing w:after="1800"/>
      <w:ind w:right="142"/>
    </w:pPr>
    <w:rPr>
      <w:rFonts w:ascii="Century Gothic" w:hAnsi="Century Gothic"/>
      <w:b/>
      <w:bCs/>
      <w:color w:val="38AFCF" w:themeColor="text2"/>
      <w:sz w:val="22"/>
    </w:rPr>
  </w:style>
  <w:style w:type="paragraph" w:customStyle="1" w:styleId="NotesHeading">
    <w:name w:val="Notes Heading"/>
    <w:basedOn w:val="Normal"/>
    <w:rsid w:val="00AB575C"/>
    <w:pPr>
      <w:keepNext/>
      <w:spacing w:before="240" w:after="360"/>
      <w:jc w:val="center"/>
    </w:pPr>
    <w:rPr>
      <w:rFonts w:ascii="Century Gothic" w:hAnsi="Century Gothic"/>
      <w:smallCaps/>
      <w:color w:val="38AFCF" w:themeColor="text2"/>
      <w:sz w:val="36"/>
      <w:szCs w:val="36"/>
    </w:rPr>
  </w:style>
  <w:style w:type="paragraph" w:customStyle="1" w:styleId="Divider">
    <w:name w:val="Divider"/>
    <w:basedOn w:val="ReportDate"/>
    <w:rsid w:val="00AB575C"/>
    <w:pPr>
      <w:spacing w:after="1800"/>
    </w:pPr>
    <w:rPr>
      <w:rFonts w:ascii="Rockwell" w:hAnsi="Rockwell"/>
      <w:sz w:val="24"/>
    </w:rPr>
  </w:style>
  <w:style w:type="character" w:customStyle="1" w:styleId="FramedFooter">
    <w:name w:val="Framed Footer"/>
    <w:rsid w:val="00AB575C"/>
    <w:rPr>
      <w:rFonts w:ascii="Arial" w:hAnsi="Arial"/>
      <w:color w:val="002C47"/>
      <w:sz w:val="18"/>
    </w:rPr>
  </w:style>
  <w:style w:type="character" w:customStyle="1" w:styleId="FramedHeader">
    <w:name w:val="Framed Header"/>
    <w:basedOn w:val="DefaultParagraphFont"/>
    <w:rsid w:val="00AB575C"/>
    <w:rPr>
      <w:rFonts w:ascii="Arial" w:hAnsi="Arial"/>
      <w:dstrike w:val="0"/>
      <w:color w:val="auto"/>
      <w:sz w:val="18"/>
      <w:vertAlign w:val="baseline"/>
    </w:rPr>
  </w:style>
  <w:style w:type="paragraph" w:customStyle="1" w:styleId="TableTextIndented">
    <w:name w:val="Table Text Indented"/>
    <w:basedOn w:val="TableTextLeft"/>
    <w:rsid w:val="00AB575C"/>
    <w:pPr>
      <w:ind w:left="284"/>
    </w:pPr>
  </w:style>
  <w:style w:type="paragraph" w:customStyle="1" w:styleId="TableHeadingContinued">
    <w:name w:val="Table Heading Continued"/>
    <w:basedOn w:val="TableMainHeading"/>
    <w:next w:val="TableGraphic"/>
    <w:qFormat/>
    <w:rsid w:val="00AB575C"/>
    <w:pPr>
      <w:numPr>
        <w:numId w:val="12"/>
      </w:numPr>
    </w:pPr>
  </w:style>
  <w:style w:type="paragraph" w:customStyle="1" w:styleId="TableGraphic">
    <w:name w:val="Table Graphic"/>
    <w:basedOn w:val="HeadingBase"/>
    <w:next w:val="Normal"/>
    <w:rsid w:val="00AB575C"/>
    <w:pPr>
      <w:spacing w:after="0"/>
    </w:pPr>
    <w:rPr>
      <w:color w:val="auto"/>
      <w:sz w:val="22"/>
    </w:rPr>
  </w:style>
  <w:style w:type="paragraph" w:customStyle="1" w:styleId="HeaderEven">
    <w:name w:val="Header Even"/>
    <w:basedOn w:val="Header"/>
    <w:rsid w:val="004F4893"/>
    <w:pPr>
      <w:jc w:val="left"/>
    </w:pPr>
    <w:rPr>
      <w:color w:val="002C47" w:themeColor="accent1"/>
    </w:rPr>
  </w:style>
  <w:style w:type="paragraph" w:customStyle="1" w:styleId="HeaderOdd">
    <w:name w:val="Header Odd"/>
    <w:basedOn w:val="Header"/>
    <w:rsid w:val="004F4893"/>
    <w:rPr>
      <w:color w:val="002C47" w:themeColor="accent1"/>
    </w:rPr>
  </w:style>
  <w:style w:type="paragraph" w:styleId="FootnoteText">
    <w:name w:val="footnote text"/>
    <w:basedOn w:val="CommentText"/>
    <w:link w:val="FootnoteTextChar"/>
    <w:uiPriority w:val="99"/>
    <w:rsid w:val="00AB575C"/>
    <w:pPr>
      <w:tabs>
        <w:tab w:val="left" w:pos="284"/>
      </w:tabs>
      <w:ind w:left="284" w:hanging="284"/>
    </w:pPr>
  </w:style>
  <w:style w:type="character" w:customStyle="1" w:styleId="FootnoteTextChar">
    <w:name w:val="Footnote Text Char"/>
    <w:basedOn w:val="DefaultParagraphFont"/>
    <w:link w:val="FootnoteText"/>
    <w:uiPriority w:val="99"/>
    <w:rsid w:val="00AB575C"/>
    <w:rPr>
      <w:rFonts w:eastAsiaTheme="minorEastAsia"/>
      <w:sz w:val="20"/>
      <w:szCs w:val="20"/>
    </w:rPr>
  </w:style>
  <w:style w:type="character" w:styleId="FootnoteReference">
    <w:name w:val="footnote reference"/>
    <w:basedOn w:val="DefaultParagraphFont"/>
    <w:uiPriority w:val="99"/>
    <w:rsid w:val="00AB575C"/>
    <w:rPr>
      <w:rFonts w:ascii="Calibri" w:hAnsi="Calibri"/>
      <w:sz w:val="20"/>
      <w:vertAlign w:val="superscript"/>
    </w:rPr>
  </w:style>
  <w:style w:type="paragraph" w:styleId="BalloonText">
    <w:name w:val="Balloon Text"/>
    <w:basedOn w:val="Normal"/>
    <w:link w:val="BalloonTextChar"/>
    <w:uiPriority w:val="99"/>
    <w:semiHidden/>
    <w:unhideWhenUsed/>
    <w:rsid w:val="00AB575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75C"/>
    <w:rPr>
      <w:rFonts w:ascii="Tahoma" w:eastAsiaTheme="minorEastAsia" w:hAnsi="Tahoma" w:cs="Tahoma"/>
      <w:sz w:val="16"/>
      <w:szCs w:val="16"/>
    </w:rPr>
  </w:style>
  <w:style w:type="paragraph" w:styleId="NoSpacing">
    <w:name w:val="No Spacing"/>
    <w:link w:val="NoSpacingChar"/>
    <w:uiPriority w:val="1"/>
    <w:rsid w:val="00AB575C"/>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AB575C"/>
    <w:rPr>
      <w:rFonts w:eastAsiaTheme="minorEastAsia"/>
      <w:sz w:val="20"/>
      <w:szCs w:val="20"/>
    </w:rPr>
  </w:style>
  <w:style w:type="character" w:styleId="CommentReference">
    <w:name w:val="annotation reference"/>
    <w:basedOn w:val="DefaultParagraphFont"/>
    <w:uiPriority w:val="99"/>
    <w:semiHidden/>
    <w:unhideWhenUsed/>
    <w:rsid w:val="00AB575C"/>
    <w:rPr>
      <w:sz w:val="16"/>
      <w:szCs w:val="16"/>
    </w:rPr>
  </w:style>
  <w:style w:type="paragraph" w:styleId="CommentText">
    <w:name w:val="annotation text"/>
    <w:basedOn w:val="Normal"/>
    <w:link w:val="CommentTextChar"/>
    <w:uiPriority w:val="99"/>
    <w:unhideWhenUsed/>
    <w:rsid w:val="00AB575C"/>
  </w:style>
  <w:style w:type="character" w:customStyle="1" w:styleId="CommentTextChar">
    <w:name w:val="Comment Text Char"/>
    <w:basedOn w:val="DefaultParagraphFont"/>
    <w:link w:val="CommentText"/>
    <w:uiPriority w:val="99"/>
    <w:rsid w:val="00AB575C"/>
    <w:rPr>
      <w:rFonts w:eastAsiaTheme="minorEastAsia"/>
      <w:sz w:val="20"/>
      <w:szCs w:val="20"/>
    </w:rPr>
  </w:style>
  <w:style w:type="paragraph" w:customStyle="1" w:styleId="PreparedBy">
    <w:name w:val="PreparedBy"/>
    <w:basedOn w:val="Subtitle"/>
    <w:qFormat/>
    <w:rsid w:val="00AB575C"/>
  </w:style>
  <w:style w:type="character" w:styleId="BookTitle">
    <w:name w:val="Book Title"/>
    <w:uiPriority w:val="33"/>
    <w:rsid w:val="00AB575C"/>
    <w:rPr>
      <w:b/>
      <w:bCs/>
      <w:i/>
      <w:iCs/>
      <w:spacing w:val="0"/>
    </w:rPr>
  </w:style>
  <w:style w:type="character" w:customStyle="1" w:styleId="NormalbulletChar">
    <w:name w:val="Normal bullet Char"/>
    <w:basedOn w:val="DefaultParagraphFont"/>
    <w:link w:val="Normalbullet"/>
    <w:locked/>
    <w:rsid w:val="00AB575C"/>
    <w:rPr>
      <w:rFonts w:eastAsiaTheme="minorEastAsia"/>
      <w:sz w:val="20"/>
      <w:szCs w:val="20"/>
    </w:rPr>
  </w:style>
  <w:style w:type="paragraph" w:styleId="Caption">
    <w:name w:val="caption"/>
    <w:basedOn w:val="Normal"/>
    <w:next w:val="Normal"/>
    <w:uiPriority w:val="35"/>
    <w:unhideWhenUsed/>
    <w:qFormat/>
    <w:rsid w:val="00AB575C"/>
    <w:rPr>
      <w:b/>
      <w:bCs/>
      <w:color w:val="002035" w:themeColor="accent1" w:themeShade="BF"/>
      <w:sz w:val="16"/>
      <w:szCs w:val="16"/>
    </w:rPr>
  </w:style>
  <w:style w:type="paragraph" w:styleId="CommentSubject">
    <w:name w:val="annotation subject"/>
    <w:basedOn w:val="CommentText"/>
    <w:next w:val="CommentText"/>
    <w:link w:val="CommentSubjectChar"/>
    <w:uiPriority w:val="99"/>
    <w:semiHidden/>
    <w:unhideWhenUsed/>
    <w:rsid w:val="00AB575C"/>
    <w:rPr>
      <w:b/>
      <w:bCs/>
    </w:rPr>
  </w:style>
  <w:style w:type="character" w:customStyle="1" w:styleId="CommentSubjectChar">
    <w:name w:val="Comment Subject Char"/>
    <w:basedOn w:val="CommentTextChar"/>
    <w:link w:val="CommentSubject"/>
    <w:uiPriority w:val="99"/>
    <w:semiHidden/>
    <w:rsid w:val="00AB575C"/>
    <w:rPr>
      <w:rFonts w:eastAsiaTheme="minorEastAsia"/>
      <w:b/>
      <w:bCs/>
      <w:sz w:val="20"/>
      <w:szCs w:val="20"/>
    </w:rPr>
  </w:style>
  <w:style w:type="character" w:customStyle="1" w:styleId="NormaldashChar">
    <w:name w:val="Normal dash Char"/>
    <w:basedOn w:val="DefaultParagraphFont"/>
    <w:link w:val="Normaldash"/>
    <w:locked/>
    <w:rsid w:val="00AB575C"/>
    <w:rPr>
      <w:rFonts w:eastAsiaTheme="minorEastAsia"/>
      <w:sz w:val="20"/>
      <w:szCs w:val="20"/>
    </w:rPr>
  </w:style>
  <w:style w:type="paragraph" w:customStyle="1" w:styleId="Default">
    <w:name w:val="Default"/>
    <w:rsid w:val="00AB575C"/>
    <w:pPr>
      <w:autoSpaceDE w:val="0"/>
      <w:autoSpaceDN w:val="0"/>
      <w:adjustRightInd w:val="0"/>
      <w:spacing w:before="100" w:after="0" w:line="240" w:lineRule="auto"/>
    </w:pPr>
    <w:rPr>
      <w:rFonts w:ascii="Palatino" w:eastAsia="Times New Roman" w:hAnsi="Palatino" w:cs="Palatino"/>
      <w:color w:val="000000"/>
      <w:sz w:val="24"/>
      <w:szCs w:val="24"/>
      <w:lang w:val="en-US"/>
    </w:rPr>
  </w:style>
  <w:style w:type="character" w:styleId="Emphasis">
    <w:name w:val="Emphasis"/>
    <w:uiPriority w:val="20"/>
    <w:rsid w:val="00AB575C"/>
    <w:rPr>
      <w:caps/>
      <w:color w:val="001523" w:themeColor="accent1" w:themeShade="7F"/>
      <w:spacing w:val="5"/>
    </w:rPr>
  </w:style>
  <w:style w:type="character" w:customStyle="1" w:styleId="Heading7Char">
    <w:name w:val="Heading 7 Char"/>
    <w:basedOn w:val="DefaultParagraphFont"/>
    <w:link w:val="Heading7"/>
    <w:uiPriority w:val="9"/>
    <w:rsid w:val="004F4893"/>
    <w:rPr>
      <w:rFonts w:eastAsiaTheme="minorEastAsia"/>
      <w:b/>
      <w:i/>
      <w:color w:val="002C47" w:themeColor="accent1"/>
      <w:sz w:val="20"/>
      <w:szCs w:val="20"/>
    </w:rPr>
  </w:style>
  <w:style w:type="character" w:customStyle="1" w:styleId="Heading8Char">
    <w:name w:val="Heading 8 Char"/>
    <w:basedOn w:val="DefaultParagraphFont"/>
    <w:link w:val="Heading8"/>
    <w:uiPriority w:val="9"/>
    <w:rsid w:val="00DF100F"/>
    <w:rPr>
      <w:rFonts w:eastAsiaTheme="minorEastAsia"/>
      <w:b/>
      <w:bCs/>
      <w:smallCaps/>
      <w:color w:val="002C47" w:themeColor="accent1"/>
      <w:spacing w:val="15"/>
      <w:sz w:val="20"/>
      <w:szCs w:val="20"/>
    </w:rPr>
  </w:style>
  <w:style w:type="character" w:customStyle="1" w:styleId="Heading9Char">
    <w:name w:val="Heading 9 Char"/>
    <w:basedOn w:val="DefaultParagraphFont"/>
    <w:link w:val="Heading9"/>
    <w:uiPriority w:val="9"/>
    <w:rsid w:val="004626A0"/>
    <w:rPr>
      <w:rFonts w:eastAsiaTheme="minorEastAsia"/>
      <w:b/>
      <w:smallCaps/>
      <w:color w:val="002C47" w:themeColor="accent1"/>
      <w:spacing w:val="15"/>
      <w:sz w:val="20"/>
      <w:szCs w:val="20"/>
    </w:rPr>
  </w:style>
  <w:style w:type="character" w:styleId="IntenseEmphasis">
    <w:name w:val="Intense Emphasis"/>
    <w:uiPriority w:val="21"/>
    <w:rsid w:val="00AB575C"/>
    <w:rPr>
      <w:b/>
      <w:bCs/>
      <w:caps/>
      <w:color w:val="001523" w:themeColor="accent1" w:themeShade="7F"/>
      <w:spacing w:val="10"/>
    </w:rPr>
  </w:style>
  <w:style w:type="paragraph" w:styleId="IntenseQuote">
    <w:name w:val="Intense Quote"/>
    <w:basedOn w:val="Normal"/>
    <w:next w:val="Normal"/>
    <w:link w:val="IntenseQuoteChar"/>
    <w:uiPriority w:val="30"/>
    <w:rsid w:val="00AB575C"/>
    <w:pPr>
      <w:spacing w:before="240" w:after="240" w:line="240" w:lineRule="auto"/>
      <w:ind w:left="1080" w:right="1080"/>
      <w:jc w:val="center"/>
    </w:pPr>
    <w:rPr>
      <w:color w:val="002C47" w:themeColor="accent1"/>
      <w:sz w:val="24"/>
      <w:szCs w:val="24"/>
    </w:rPr>
  </w:style>
  <w:style w:type="character" w:customStyle="1" w:styleId="IntenseQuoteChar">
    <w:name w:val="Intense Quote Char"/>
    <w:basedOn w:val="DefaultParagraphFont"/>
    <w:link w:val="IntenseQuote"/>
    <w:uiPriority w:val="30"/>
    <w:rsid w:val="00AB575C"/>
    <w:rPr>
      <w:rFonts w:eastAsiaTheme="minorEastAsia"/>
      <w:color w:val="002C47" w:themeColor="accent1"/>
      <w:sz w:val="24"/>
      <w:szCs w:val="24"/>
    </w:rPr>
  </w:style>
  <w:style w:type="character" w:styleId="IntenseReference">
    <w:name w:val="Intense Reference"/>
    <w:uiPriority w:val="32"/>
    <w:rsid w:val="00AB575C"/>
    <w:rPr>
      <w:b/>
      <w:bCs/>
      <w:i/>
      <w:iCs/>
      <w:caps/>
      <w:color w:val="002C47" w:themeColor="accent1"/>
    </w:rPr>
  </w:style>
  <w:style w:type="paragraph" w:styleId="ListParagraph">
    <w:name w:val="List Paragraph"/>
    <w:basedOn w:val="Normal"/>
    <w:uiPriority w:val="34"/>
    <w:qFormat/>
    <w:rsid w:val="00AB575C"/>
    <w:pPr>
      <w:ind w:left="720"/>
      <w:contextualSpacing/>
    </w:pPr>
  </w:style>
  <w:style w:type="paragraph" w:styleId="NormalWeb">
    <w:name w:val="Normal (Web)"/>
    <w:basedOn w:val="Normal"/>
    <w:uiPriority w:val="99"/>
    <w:unhideWhenUsed/>
    <w:rsid w:val="00AB575C"/>
    <w:pPr>
      <w:spacing w:beforeAutospacing="1" w:after="100" w:afterAutospacing="1"/>
    </w:pPr>
    <w:rPr>
      <w:rFonts w:ascii="Times New Roman" w:hAnsi="Times New Roman"/>
      <w:sz w:val="24"/>
      <w:szCs w:val="24"/>
    </w:rPr>
  </w:style>
  <w:style w:type="paragraph" w:styleId="Quote">
    <w:name w:val="Quote"/>
    <w:basedOn w:val="Normal"/>
    <w:next w:val="Normal"/>
    <w:link w:val="QuoteChar"/>
    <w:uiPriority w:val="29"/>
    <w:rsid w:val="00AB575C"/>
    <w:rPr>
      <w:i/>
      <w:iCs/>
      <w:sz w:val="24"/>
      <w:szCs w:val="24"/>
    </w:rPr>
  </w:style>
  <w:style w:type="character" w:customStyle="1" w:styleId="QuoteChar">
    <w:name w:val="Quote Char"/>
    <w:basedOn w:val="DefaultParagraphFont"/>
    <w:link w:val="Quote"/>
    <w:uiPriority w:val="29"/>
    <w:rsid w:val="00AB575C"/>
    <w:rPr>
      <w:rFonts w:eastAsiaTheme="minorEastAsia"/>
      <w:i/>
      <w:iCs/>
      <w:sz w:val="24"/>
      <w:szCs w:val="24"/>
    </w:rPr>
  </w:style>
  <w:style w:type="character" w:styleId="Strong">
    <w:name w:val="Strong"/>
    <w:uiPriority w:val="22"/>
    <w:rsid w:val="00AB575C"/>
    <w:rPr>
      <w:b/>
      <w:bCs/>
    </w:rPr>
  </w:style>
  <w:style w:type="character" w:styleId="SubtleReference">
    <w:name w:val="Subtle Reference"/>
    <w:uiPriority w:val="31"/>
    <w:rsid w:val="00AB575C"/>
    <w:rPr>
      <w:b/>
      <w:bCs/>
      <w:color w:val="002C47" w:themeColor="accent1"/>
    </w:rPr>
  </w:style>
  <w:style w:type="paragraph" w:styleId="TOCHeading">
    <w:name w:val="TOC Heading"/>
    <w:basedOn w:val="Heading1"/>
    <w:next w:val="Normal"/>
    <w:uiPriority w:val="39"/>
    <w:semiHidden/>
    <w:unhideWhenUsed/>
    <w:qFormat/>
    <w:rsid w:val="00AB575C"/>
    <w:pPr>
      <w:outlineLvl w:val="9"/>
    </w:pPr>
  </w:style>
  <w:style w:type="character" w:customStyle="1" w:styleId="value">
    <w:name w:val="value"/>
    <w:basedOn w:val="DefaultParagraphFont"/>
    <w:rsid w:val="00AB575C"/>
  </w:style>
  <w:style w:type="paragraph" w:styleId="BodyText">
    <w:name w:val="Body Text"/>
    <w:basedOn w:val="Normal"/>
    <w:link w:val="BodyTextChar"/>
    <w:uiPriority w:val="99"/>
    <w:semiHidden/>
    <w:unhideWhenUsed/>
    <w:rsid w:val="00AB575C"/>
    <w:pPr>
      <w:spacing w:after="120"/>
    </w:pPr>
  </w:style>
  <w:style w:type="character" w:customStyle="1" w:styleId="BodyTextChar">
    <w:name w:val="Body Text Char"/>
    <w:basedOn w:val="DefaultParagraphFont"/>
    <w:link w:val="BodyText"/>
    <w:uiPriority w:val="99"/>
    <w:semiHidden/>
    <w:rsid w:val="00AB575C"/>
    <w:rPr>
      <w:rFonts w:eastAsiaTheme="minorEastAsia"/>
      <w:sz w:val="20"/>
      <w:szCs w:val="20"/>
    </w:rPr>
  </w:style>
  <w:style w:type="character" w:customStyle="1" w:styleId="BoxBulletChar">
    <w:name w:val="Box Bullet Char"/>
    <w:basedOn w:val="DefaultParagraphFont"/>
    <w:link w:val="BoxBullet"/>
    <w:rsid w:val="00AB575C"/>
    <w:rPr>
      <w:rFonts w:eastAsiaTheme="minorEastAsia" w:cs="Times New Roman"/>
      <w:sz w:val="20"/>
      <w:szCs w:val="20"/>
      <w:bdr w:val="none" w:sz="0" w:space="0" w:color="auto" w:frame="1"/>
      <w:lang w:eastAsia="en-AU"/>
    </w:rPr>
  </w:style>
  <w:style w:type="character" w:customStyle="1" w:styleId="BoxDashChar">
    <w:name w:val="Box Dash Char"/>
    <w:basedOn w:val="DefaultParagraphFont"/>
    <w:link w:val="BoxDash"/>
    <w:rsid w:val="00AB575C"/>
    <w:rPr>
      <w:rFonts w:eastAsiaTheme="minorEastAsia" w:cs="Times New Roman"/>
      <w:sz w:val="20"/>
      <w:szCs w:val="20"/>
      <w:bdr w:val="none" w:sz="0" w:space="0" w:color="auto" w:frame="1"/>
      <w:lang w:eastAsia="en-AU"/>
    </w:rPr>
  </w:style>
  <w:style w:type="paragraph" w:customStyle="1" w:styleId="Source">
    <w:name w:val="Source"/>
    <w:basedOn w:val="Normaldash"/>
    <w:link w:val="SourceChar"/>
    <w:qFormat/>
    <w:rsid w:val="00B8467F"/>
    <w:pPr>
      <w:numPr>
        <w:ilvl w:val="0"/>
        <w:numId w:val="0"/>
      </w:numPr>
      <w:pBdr>
        <w:bottom w:val="dashed" w:sz="4" w:space="1" w:color="002C47" w:themeColor="accent1"/>
      </w:pBdr>
      <w:tabs>
        <w:tab w:val="left" w:pos="0"/>
      </w:tabs>
      <w:spacing w:before="40"/>
    </w:pPr>
    <w:rPr>
      <w:sz w:val="18"/>
      <w:bdr w:val="none" w:sz="0" w:space="0" w:color="auto" w:frame="1"/>
    </w:rPr>
  </w:style>
  <w:style w:type="character" w:customStyle="1" w:styleId="SourceChar">
    <w:name w:val="Source Char"/>
    <w:basedOn w:val="NormaldashChar"/>
    <w:link w:val="Source"/>
    <w:rsid w:val="00B8467F"/>
    <w:rPr>
      <w:rFonts w:eastAsiaTheme="minorEastAsia"/>
      <w:sz w:val="18"/>
      <w:szCs w:val="20"/>
      <w:bdr w:val="none" w:sz="0" w:space="0" w:color="auto" w:frame="1"/>
    </w:rPr>
  </w:style>
  <w:style w:type="paragraph" w:customStyle="1" w:styleId="Tabledash">
    <w:name w:val="Table dash"/>
    <w:basedOn w:val="BoxDash"/>
    <w:link w:val="TabledashChar"/>
    <w:qFormat/>
    <w:rsid w:val="00AB575C"/>
    <w:pPr>
      <w:tabs>
        <w:tab w:val="clear" w:pos="567"/>
        <w:tab w:val="num" w:pos="283"/>
      </w:tabs>
      <w:ind w:left="568" w:hanging="283"/>
    </w:pPr>
  </w:style>
  <w:style w:type="character" w:customStyle="1" w:styleId="TabledashChar">
    <w:name w:val="Table dash Char"/>
    <w:basedOn w:val="BoxDashChar"/>
    <w:link w:val="Tabledash"/>
    <w:rsid w:val="00AB575C"/>
    <w:rPr>
      <w:rFonts w:eastAsiaTheme="minorEastAsia" w:cs="Times New Roman"/>
      <w:sz w:val="20"/>
      <w:szCs w:val="20"/>
      <w:bdr w:val="none" w:sz="0" w:space="0" w:color="auto" w:frame="1"/>
      <w:lang w:eastAsia="en-AU"/>
    </w:rPr>
  </w:style>
  <w:style w:type="paragraph" w:customStyle="1" w:styleId="Tabledot">
    <w:name w:val="Table dot"/>
    <w:basedOn w:val="BoxBullet"/>
    <w:link w:val="TabledotChar"/>
    <w:qFormat/>
    <w:rsid w:val="00AB575C"/>
    <w:pPr>
      <w:numPr>
        <w:numId w:val="0"/>
      </w:numPr>
    </w:pPr>
  </w:style>
  <w:style w:type="character" w:customStyle="1" w:styleId="TabledotChar">
    <w:name w:val="Table dot Char"/>
    <w:basedOn w:val="BoxBulletChar"/>
    <w:link w:val="Tabledot"/>
    <w:rsid w:val="00AB575C"/>
    <w:rPr>
      <w:rFonts w:eastAsiaTheme="minorEastAsia" w:cs="Times New Roman"/>
      <w:sz w:val="20"/>
      <w:szCs w:val="20"/>
      <w:bdr w:val="none" w:sz="0" w:space="0" w:color="auto" w:frame="1"/>
      <w:lang w:eastAsia="en-AU"/>
    </w:rPr>
  </w:style>
  <w:style w:type="table" w:customStyle="1" w:styleId="CPOPTable">
    <w:name w:val="CPOP Table"/>
    <w:basedOn w:val="TableNormal"/>
    <w:uiPriority w:val="99"/>
    <w:rsid w:val="005A7C81"/>
    <w:pPr>
      <w:spacing w:after="0" w:line="240" w:lineRule="auto"/>
    </w:pPr>
    <w:tblPr>
      <w:tblBorders>
        <w:bottom w:val="single" w:sz="8" w:space="0" w:color="000000" w:themeColor="text1"/>
      </w:tblBorders>
    </w:tblPr>
    <w:tcPr>
      <w:shd w:val="clear" w:color="auto" w:fill="auto"/>
    </w:tcPr>
    <w:tblStylePr w:type="firstRow">
      <w:tblPr/>
      <w:tcPr>
        <w:tcBorders>
          <w:top w:val="single" w:sz="4" w:space="0" w:color="000000" w:themeColor="text1"/>
          <w:left w:val="nil"/>
          <w:bottom w:val="single" w:sz="4" w:space="0" w:color="000000" w:themeColor="text1"/>
          <w:right w:val="nil"/>
          <w:insideH w:val="nil"/>
          <w:insideV w:val="nil"/>
          <w:tl2br w:val="nil"/>
          <w:tr2bl w:val="nil"/>
        </w:tcBorders>
      </w:tcPr>
    </w:tblStylePr>
    <w:tblStylePr w:type="lastRow">
      <w:tblPr/>
      <w:tcPr>
        <w:tcBorders>
          <w:bottom w:val="nil"/>
        </w:tcBorders>
      </w:tcPr>
    </w:tblStylePr>
  </w:style>
  <w:style w:type="character" w:styleId="UnresolvedMention">
    <w:name w:val="Unresolved Mention"/>
    <w:basedOn w:val="DefaultParagraphFont"/>
    <w:uiPriority w:val="99"/>
    <w:semiHidden/>
    <w:unhideWhenUsed/>
    <w:rsid w:val="00476121"/>
    <w:rPr>
      <w:color w:val="605E5C"/>
      <w:shd w:val="clear" w:color="auto" w:fill="E1DFDD"/>
    </w:rPr>
  </w:style>
  <w:style w:type="character" w:styleId="FollowedHyperlink">
    <w:name w:val="FollowedHyperlink"/>
    <w:basedOn w:val="DefaultParagraphFont"/>
    <w:uiPriority w:val="99"/>
    <w:semiHidden/>
    <w:unhideWhenUsed/>
    <w:rsid w:val="00476121"/>
    <w:rPr>
      <w:color w:val="954F72" w:themeColor="followedHyperlink"/>
      <w:u w:val="single"/>
    </w:rPr>
  </w:style>
  <w:style w:type="paragraph" w:customStyle="1" w:styleId="Bullet">
    <w:name w:val="Bullet"/>
    <w:aliases w:val="b,b + line,b1,Body,Bullet + line,level 1,BodyNum"/>
    <w:basedOn w:val="Normal"/>
    <w:link w:val="BulletChar"/>
    <w:qFormat/>
    <w:rsid w:val="00EF6AED"/>
    <w:pPr>
      <w:numPr>
        <w:numId w:val="18"/>
      </w:numPr>
    </w:pPr>
    <w:rPr>
      <w:rFonts w:cs="Times New Roman"/>
      <w:lang w:eastAsia="en-AU"/>
    </w:rPr>
  </w:style>
  <w:style w:type="character" w:customStyle="1" w:styleId="BulletChar">
    <w:name w:val="Bullet Char"/>
    <w:aliases w:val="b + line Char Char,b Char,b Char Char,Body Char,Bullet + line Char,b + line Char,b1 Char,level 1 Char,Number Char,Bullets Char,L Char,List Paragraph Char,List Paragraph1 Char,List Paragraph11 Char,Recommendation Char,List Paragraph2 Char"/>
    <w:basedOn w:val="DefaultParagraphFont"/>
    <w:link w:val="Bullet"/>
    <w:qFormat/>
    <w:rsid w:val="00EF6AED"/>
    <w:rPr>
      <w:rFonts w:eastAsiaTheme="minorEastAsia" w:cs="Times New Roman"/>
      <w:sz w:val="20"/>
      <w:szCs w:val="20"/>
      <w:lang w:eastAsia="en-AU"/>
    </w:rPr>
  </w:style>
  <w:style w:type="paragraph" w:customStyle="1" w:styleId="Dash">
    <w:name w:val="Dash"/>
    <w:basedOn w:val="Normal"/>
    <w:link w:val="DashChar"/>
    <w:qFormat/>
    <w:rsid w:val="00247581"/>
    <w:pPr>
      <w:numPr>
        <w:ilvl w:val="1"/>
        <w:numId w:val="18"/>
      </w:numPr>
    </w:pPr>
  </w:style>
  <w:style w:type="paragraph" w:customStyle="1" w:styleId="DoubleDot">
    <w:name w:val="Double Dot"/>
    <w:basedOn w:val="Normal"/>
    <w:link w:val="DoubleDotChar"/>
    <w:qFormat/>
    <w:rsid w:val="00247581"/>
    <w:pPr>
      <w:numPr>
        <w:ilvl w:val="2"/>
        <w:numId w:val="18"/>
      </w:numPr>
    </w:pPr>
  </w:style>
  <w:style w:type="character" w:customStyle="1" w:styleId="DashChar">
    <w:name w:val="Dash Char"/>
    <w:basedOn w:val="DefaultParagraphFont"/>
    <w:link w:val="Dash"/>
    <w:rsid w:val="00DF5365"/>
    <w:rPr>
      <w:rFonts w:eastAsiaTheme="minorEastAsia"/>
      <w:sz w:val="20"/>
      <w:szCs w:val="20"/>
    </w:rPr>
  </w:style>
  <w:style w:type="character" w:customStyle="1" w:styleId="BoxTextChar">
    <w:name w:val="Box Text Char"/>
    <w:basedOn w:val="DefaultParagraphFont"/>
    <w:link w:val="BoxText"/>
    <w:rsid w:val="007D55C1"/>
    <w:rPr>
      <w:rFonts w:eastAsiaTheme="minorEastAsia" w:cstheme="minorHAnsi"/>
      <w:sz w:val="20"/>
      <w:szCs w:val="20"/>
      <w:lang w:eastAsia="en-AU"/>
    </w:rPr>
  </w:style>
  <w:style w:type="character" w:customStyle="1" w:styleId="DoubleDotChar">
    <w:name w:val="Double Dot Char"/>
    <w:basedOn w:val="DefaultParagraphFont"/>
    <w:link w:val="DoubleDot"/>
    <w:rsid w:val="00CF3346"/>
    <w:rPr>
      <w:rFonts w:eastAsiaTheme="minorEastAsia"/>
      <w:sz w:val="20"/>
      <w:szCs w:val="20"/>
    </w:rPr>
  </w:style>
  <w:style w:type="paragraph" w:styleId="Revision">
    <w:name w:val="Revision"/>
    <w:hidden/>
    <w:uiPriority w:val="99"/>
    <w:semiHidden/>
    <w:rsid w:val="000914E7"/>
    <w:pPr>
      <w:spacing w:after="0" w:line="240" w:lineRule="auto"/>
    </w:pPr>
    <w:rPr>
      <w:rFonts w:eastAsiaTheme="minorEastAsia"/>
      <w:sz w:val="20"/>
      <w:szCs w:val="20"/>
    </w:rPr>
  </w:style>
  <w:style w:type="character" w:customStyle="1" w:styleId="OutlineNumbered1Char">
    <w:name w:val="Outline Numbered 1 Char"/>
    <w:basedOn w:val="DefaultParagraphFont"/>
    <w:link w:val="OutlineNumbered1"/>
    <w:rsid w:val="00025911"/>
    <w:rPr>
      <w:rFonts w:eastAsiaTheme="minorEastAsia"/>
      <w:sz w:val="20"/>
      <w:szCs w:val="20"/>
    </w:rPr>
  </w:style>
  <w:style w:type="paragraph" w:styleId="Bibliography">
    <w:name w:val="Bibliography"/>
    <w:basedOn w:val="Normal"/>
    <w:next w:val="Normal"/>
    <w:uiPriority w:val="37"/>
    <w:unhideWhenUsed/>
    <w:rsid w:val="005F054E"/>
    <w:pPr>
      <w:spacing w:before="240" w:after="120"/>
      <w:ind w:left="567" w:hanging="567"/>
    </w:pPr>
  </w:style>
  <w:style w:type="paragraph" w:customStyle="1" w:styleId="paragraph">
    <w:name w:val="paragraph"/>
    <w:basedOn w:val="Normal"/>
    <w:rsid w:val="009D7661"/>
    <w:pPr>
      <w:spacing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D7661"/>
  </w:style>
  <w:style w:type="character" w:customStyle="1" w:styleId="eop">
    <w:name w:val="eop"/>
    <w:basedOn w:val="DefaultParagraphFont"/>
    <w:rsid w:val="009D7661"/>
  </w:style>
  <w:style w:type="character" w:customStyle="1" w:styleId="cskcde">
    <w:name w:val="cskcde"/>
    <w:basedOn w:val="DefaultParagraphFont"/>
    <w:rsid w:val="002A51A6"/>
  </w:style>
  <w:style w:type="character" w:customStyle="1" w:styleId="hgkelc">
    <w:name w:val="hgkelc"/>
    <w:basedOn w:val="DefaultParagraphFont"/>
    <w:rsid w:val="002A51A6"/>
  </w:style>
  <w:style w:type="paragraph" w:customStyle="1" w:styleId="bulletv2">
    <w:name w:val="bullet_v2"/>
    <w:basedOn w:val="Bullet"/>
    <w:qFormat/>
    <w:rsid w:val="0007163C"/>
    <w:pPr>
      <w:ind w:left="284" w:hanging="284"/>
    </w:pPr>
  </w:style>
  <w:style w:type="paragraph" w:customStyle="1" w:styleId="tableindent">
    <w:name w:val="table indent"/>
    <w:basedOn w:val="Heading8"/>
    <w:qFormat/>
    <w:rsid w:val="00F801FE"/>
    <w:pPr>
      <w:ind w:left="992" w:hanging="992"/>
    </w:pPr>
  </w:style>
  <w:style w:type="paragraph" w:customStyle="1" w:styleId="Glossaryheading">
    <w:name w:val="Glossary heading"/>
    <w:basedOn w:val="Heading1"/>
    <w:qFormat/>
    <w:rsid w:val="00631AE1"/>
  </w:style>
  <w:style w:type="paragraph" w:customStyle="1" w:styleId="nospace">
    <w:name w:val="no space"/>
    <w:basedOn w:val="Normal"/>
    <w:qFormat/>
    <w:rsid w:val="00631AE1"/>
    <w:pPr>
      <w:spacing w:before="0" w:after="0"/>
    </w:pPr>
    <w:rPr>
      <w:sz w:val="16"/>
      <w:szCs w:val="16"/>
    </w:rPr>
  </w:style>
  <w:style w:type="paragraph" w:customStyle="1" w:styleId="Footnotev2">
    <w:name w:val="Footnote_v2"/>
    <w:basedOn w:val="FootnoteText"/>
    <w:qFormat/>
    <w:rsid w:val="00DC3774"/>
    <w:pPr>
      <w:spacing w:after="100" w:line="240" w:lineRule="auto"/>
    </w:pPr>
    <w:rPr>
      <w:sz w:val="18"/>
      <w:szCs w:val="18"/>
    </w:rPr>
  </w:style>
  <w:style w:type="paragraph" w:customStyle="1" w:styleId="Tabletextleftindent">
    <w:name w:val="Table text left indent"/>
    <w:basedOn w:val="TableTextLeft"/>
    <w:qFormat/>
    <w:rsid w:val="00D72A4B"/>
    <w:pPr>
      <w:ind w:left="283"/>
    </w:pPr>
    <w:rPr>
      <w:i/>
      <w:iCs/>
    </w:rPr>
  </w:style>
  <w:style w:type="paragraph" w:customStyle="1" w:styleId="Reference">
    <w:name w:val="Reference"/>
    <w:basedOn w:val="Bibliography"/>
    <w:qFormat/>
    <w:rsid w:val="00294D7C"/>
    <w:pPr>
      <w:spacing w:before="160" w:line="240" w:lineRule="auto"/>
      <w:ind w:left="284" w:hanging="284"/>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8">
      <w:bodyDiv w:val="1"/>
      <w:marLeft w:val="0"/>
      <w:marRight w:val="0"/>
      <w:marTop w:val="0"/>
      <w:marBottom w:val="0"/>
      <w:divBdr>
        <w:top w:val="none" w:sz="0" w:space="0" w:color="auto"/>
        <w:left w:val="none" w:sz="0" w:space="0" w:color="auto"/>
        <w:bottom w:val="none" w:sz="0" w:space="0" w:color="auto"/>
        <w:right w:val="none" w:sz="0" w:space="0" w:color="auto"/>
      </w:divBdr>
    </w:div>
    <w:div w:id="740858">
      <w:bodyDiv w:val="1"/>
      <w:marLeft w:val="0"/>
      <w:marRight w:val="0"/>
      <w:marTop w:val="0"/>
      <w:marBottom w:val="0"/>
      <w:divBdr>
        <w:top w:val="none" w:sz="0" w:space="0" w:color="auto"/>
        <w:left w:val="none" w:sz="0" w:space="0" w:color="auto"/>
        <w:bottom w:val="none" w:sz="0" w:space="0" w:color="auto"/>
        <w:right w:val="none" w:sz="0" w:space="0" w:color="auto"/>
      </w:divBdr>
    </w:div>
    <w:div w:id="857594">
      <w:bodyDiv w:val="1"/>
      <w:marLeft w:val="0"/>
      <w:marRight w:val="0"/>
      <w:marTop w:val="0"/>
      <w:marBottom w:val="0"/>
      <w:divBdr>
        <w:top w:val="none" w:sz="0" w:space="0" w:color="auto"/>
        <w:left w:val="none" w:sz="0" w:space="0" w:color="auto"/>
        <w:bottom w:val="none" w:sz="0" w:space="0" w:color="auto"/>
        <w:right w:val="none" w:sz="0" w:space="0" w:color="auto"/>
      </w:divBdr>
    </w:div>
    <w:div w:id="1393052">
      <w:bodyDiv w:val="1"/>
      <w:marLeft w:val="0"/>
      <w:marRight w:val="0"/>
      <w:marTop w:val="0"/>
      <w:marBottom w:val="0"/>
      <w:divBdr>
        <w:top w:val="none" w:sz="0" w:space="0" w:color="auto"/>
        <w:left w:val="none" w:sz="0" w:space="0" w:color="auto"/>
        <w:bottom w:val="none" w:sz="0" w:space="0" w:color="auto"/>
        <w:right w:val="none" w:sz="0" w:space="0" w:color="auto"/>
      </w:divBdr>
    </w:div>
    <w:div w:id="1515406">
      <w:bodyDiv w:val="1"/>
      <w:marLeft w:val="0"/>
      <w:marRight w:val="0"/>
      <w:marTop w:val="0"/>
      <w:marBottom w:val="0"/>
      <w:divBdr>
        <w:top w:val="none" w:sz="0" w:space="0" w:color="auto"/>
        <w:left w:val="none" w:sz="0" w:space="0" w:color="auto"/>
        <w:bottom w:val="none" w:sz="0" w:space="0" w:color="auto"/>
        <w:right w:val="none" w:sz="0" w:space="0" w:color="auto"/>
      </w:divBdr>
    </w:div>
    <w:div w:id="2128787">
      <w:bodyDiv w:val="1"/>
      <w:marLeft w:val="0"/>
      <w:marRight w:val="0"/>
      <w:marTop w:val="0"/>
      <w:marBottom w:val="0"/>
      <w:divBdr>
        <w:top w:val="none" w:sz="0" w:space="0" w:color="auto"/>
        <w:left w:val="none" w:sz="0" w:space="0" w:color="auto"/>
        <w:bottom w:val="none" w:sz="0" w:space="0" w:color="auto"/>
        <w:right w:val="none" w:sz="0" w:space="0" w:color="auto"/>
      </w:divBdr>
    </w:div>
    <w:div w:id="2319852">
      <w:bodyDiv w:val="1"/>
      <w:marLeft w:val="0"/>
      <w:marRight w:val="0"/>
      <w:marTop w:val="0"/>
      <w:marBottom w:val="0"/>
      <w:divBdr>
        <w:top w:val="none" w:sz="0" w:space="0" w:color="auto"/>
        <w:left w:val="none" w:sz="0" w:space="0" w:color="auto"/>
        <w:bottom w:val="none" w:sz="0" w:space="0" w:color="auto"/>
        <w:right w:val="none" w:sz="0" w:space="0" w:color="auto"/>
      </w:divBdr>
    </w:div>
    <w:div w:id="2829526">
      <w:bodyDiv w:val="1"/>
      <w:marLeft w:val="0"/>
      <w:marRight w:val="0"/>
      <w:marTop w:val="0"/>
      <w:marBottom w:val="0"/>
      <w:divBdr>
        <w:top w:val="none" w:sz="0" w:space="0" w:color="auto"/>
        <w:left w:val="none" w:sz="0" w:space="0" w:color="auto"/>
        <w:bottom w:val="none" w:sz="0" w:space="0" w:color="auto"/>
        <w:right w:val="none" w:sz="0" w:space="0" w:color="auto"/>
      </w:divBdr>
    </w:div>
    <w:div w:id="3289039">
      <w:bodyDiv w:val="1"/>
      <w:marLeft w:val="0"/>
      <w:marRight w:val="0"/>
      <w:marTop w:val="0"/>
      <w:marBottom w:val="0"/>
      <w:divBdr>
        <w:top w:val="none" w:sz="0" w:space="0" w:color="auto"/>
        <w:left w:val="none" w:sz="0" w:space="0" w:color="auto"/>
        <w:bottom w:val="none" w:sz="0" w:space="0" w:color="auto"/>
        <w:right w:val="none" w:sz="0" w:space="0" w:color="auto"/>
      </w:divBdr>
    </w:div>
    <w:div w:id="3361234">
      <w:bodyDiv w:val="1"/>
      <w:marLeft w:val="0"/>
      <w:marRight w:val="0"/>
      <w:marTop w:val="0"/>
      <w:marBottom w:val="0"/>
      <w:divBdr>
        <w:top w:val="none" w:sz="0" w:space="0" w:color="auto"/>
        <w:left w:val="none" w:sz="0" w:space="0" w:color="auto"/>
        <w:bottom w:val="none" w:sz="0" w:space="0" w:color="auto"/>
        <w:right w:val="none" w:sz="0" w:space="0" w:color="auto"/>
      </w:divBdr>
    </w:div>
    <w:div w:id="3362348">
      <w:bodyDiv w:val="1"/>
      <w:marLeft w:val="0"/>
      <w:marRight w:val="0"/>
      <w:marTop w:val="0"/>
      <w:marBottom w:val="0"/>
      <w:divBdr>
        <w:top w:val="none" w:sz="0" w:space="0" w:color="auto"/>
        <w:left w:val="none" w:sz="0" w:space="0" w:color="auto"/>
        <w:bottom w:val="none" w:sz="0" w:space="0" w:color="auto"/>
        <w:right w:val="none" w:sz="0" w:space="0" w:color="auto"/>
      </w:divBdr>
    </w:div>
    <w:div w:id="3368140">
      <w:bodyDiv w:val="1"/>
      <w:marLeft w:val="0"/>
      <w:marRight w:val="0"/>
      <w:marTop w:val="0"/>
      <w:marBottom w:val="0"/>
      <w:divBdr>
        <w:top w:val="none" w:sz="0" w:space="0" w:color="auto"/>
        <w:left w:val="none" w:sz="0" w:space="0" w:color="auto"/>
        <w:bottom w:val="none" w:sz="0" w:space="0" w:color="auto"/>
        <w:right w:val="none" w:sz="0" w:space="0" w:color="auto"/>
      </w:divBdr>
    </w:div>
    <w:div w:id="3438263">
      <w:bodyDiv w:val="1"/>
      <w:marLeft w:val="0"/>
      <w:marRight w:val="0"/>
      <w:marTop w:val="0"/>
      <w:marBottom w:val="0"/>
      <w:divBdr>
        <w:top w:val="none" w:sz="0" w:space="0" w:color="auto"/>
        <w:left w:val="none" w:sz="0" w:space="0" w:color="auto"/>
        <w:bottom w:val="none" w:sz="0" w:space="0" w:color="auto"/>
        <w:right w:val="none" w:sz="0" w:space="0" w:color="auto"/>
      </w:divBdr>
    </w:div>
    <w:div w:id="3482479">
      <w:bodyDiv w:val="1"/>
      <w:marLeft w:val="0"/>
      <w:marRight w:val="0"/>
      <w:marTop w:val="0"/>
      <w:marBottom w:val="0"/>
      <w:divBdr>
        <w:top w:val="none" w:sz="0" w:space="0" w:color="auto"/>
        <w:left w:val="none" w:sz="0" w:space="0" w:color="auto"/>
        <w:bottom w:val="none" w:sz="0" w:space="0" w:color="auto"/>
        <w:right w:val="none" w:sz="0" w:space="0" w:color="auto"/>
      </w:divBdr>
    </w:div>
    <w:div w:id="4551706">
      <w:bodyDiv w:val="1"/>
      <w:marLeft w:val="0"/>
      <w:marRight w:val="0"/>
      <w:marTop w:val="0"/>
      <w:marBottom w:val="0"/>
      <w:divBdr>
        <w:top w:val="none" w:sz="0" w:space="0" w:color="auto"/>
        <w:left w:val="none" w:sz="0" w:space="0" w:color="auto"/>
        <w:bottom w:val="none" w:sz="0" w:space="0" w:color="auto"/>
        <w:right w:val="none" w:sz="0" w:space="0" w:color="auto"/>
      </w:divBdr>
    </w:div>
    <w:div w:id="4749357">
      <w:bodyDiv w:val="1"/>
      <w:marLeft w:val="0"/>
      <w:marRight w:val="0"/>
      <w:marTop w:val="0"/>
      <w:marBottom w:val="0"/>
      <w:divBdr>
        <w:top w:val="none" w:sz="0" w:space="0" w:color="auto"/>
        <w:left w:val="none" w:sz="0" w:space="0" w:color="auto"/>
        <w:bottom w:val="none" w:sz="0" w:space="0" w:color="auto"/>
        <w:right w:val="none" w:sz="0" w:space="0" w:color="auto"/>
      </w:divBdr>
    </w:div>
    <w:div w:id="6639672">
      <w:bodyDiv w:val="1"/>
      <w:marLeft w:val="0"/>
      <w:marRight w:val="0"/>
      <w:marTop w:val="0"/>
      <w:marBottom w:val="0"/>
      <w:divBdr>
        <w:top w:val="none" w:sz="0" w:space="0" w:color="auto"/>
        <w:left w:val="none" w:sz="0" w:space="0" w:color="auto"/>
        <w:bottom w:val="none" w:sz="0" w:space="0" w:color="auto"/>
        <w:right w:val="none" w:sz="0" w:space="0" w:color="auto"/>
      </w:divBdr>
    </w:div>
    <w:div w:id="6830955">
      <w:bodyDiv w:val="1"/>
      <w:marLeft w:val="0"/>
      <w:marRight w:val="0"/>
      <w:marTop w:val="0"/>
      <w:marBottom w:val="0"/>
      <w:divBdr>
        <w:top w:val="none" w:sz="0" w:space="0" w:color="auto"/>
        <w:left w:val="none" w:sz="0" w:space="0" w:color="auto"/>
        <w:bottom w:val="none" w:sz="0" w:space="0" w:color="auto"/>
        <w:right w:val="none" w:sz="0" w:space="0" w:color="auto"/>
      </w:divBdr>
    </w:div>
    <w:div w:id="7754157">
      <w:bodyDiv w:val="1"/>
      <w:marLeft w:val="0"/>
      <w:marRight w:val="0"/>
      <w:marTop w:val="0"/>
      <w:marBottom w:val="0"/>
      <w:divBdr>
        <w:top w:val="none" w:sz="0" w:space="0" w:color="auto"/>
        <w:left w:val="none" w:sz="0" w:space="0" w:color="auto"/>
        <w:bottom w:val="none" w:sz="0" w:space="0" w:color="auto"/>
        <w:right w:val="none" w:sz="0" w:space="0" w:color="auto"/>
      </w:divBdr>
    </w:div>
    <w:div w:id="7803955">
      <w:bodyDiv w:val="1"/>
      <w:marLeft w:val="0"/>
      <w:marRight w:val="0"/>
      <w:marTop w:val="0"/>
      <w:marBottom w:val="0"/>
      <w:divBdr>
        <w:top w:val="none" w:sz="0" w:space="0" w:color="auto"/>
        <w:left w:val="none" w:sz="0" w:space="0" w:color="auto"/>
        <w:bottom w:val="none" w:sz="0" w:space="0" w:color="auto"/>
        <w:right w:val="none" w:sz="0" w:space="0" w:color="auto"/>
      </w:divBdr>
    </w:div>
    <w:div w:id="8022315">
      <w:bodyDiv w:val="1"/>
      <w:marLeft w:val="0"/>
      <w:marRight w:val="0"/>
      <w:marTop w:val="0"/>
      <w:marBottom w:val="0"/>
      <w:divBdr>
        <w:top w:val="none" w:sz="0" w:space="0" w:color="auto"/>
        <w:left w:val="none" w:sz="0" w:space="0" w:color="auto"/>
        <w:bottom w:val="none" w:sz="0" w:space="0" w:color="auto"/>
        <w:right w:val="none" w:sz="0" w:space="0" w:color="auto"/>
      </w:divBdr>
    </w:div>
    <w:div w:id="8796430">
      <w:bodyDiv w:val="1"/>
      <w:marLeft w:val="0"/>
      <w:marRight w:val="0"/>
      <w:marTop w:val="0"/>
      <w:marBottom w:val="0"/>
      <w:divBdr>
        <w:top w:val="none" w:sz="0" w:space="0" w:color="auto"/>
        <w:left w:val="none" w:sz="0" w:space="0" w:color="auto"/>
        <w:bottom w:val="none" w:sz="0" w:space="0" w:color="auto"/>
        <w:right w:val="none" w:sz="0" w:space="0" w:color="auto"/>
      </w:divBdr>
    </w:div>
    <w:div w:id="8874425">
      <w:bodyDiv w:val="1"/>
      <w:marLeft w:val="0"/>
      <w:marRight w:val="0"/>
      <w:marTop w:val="0"/>
      <w:marBottom w:val="0"/>
      <w:divBdr>
        <w:top w:val="none" w:sz="0" w:space="0" w:color="auto"/>
        <w:left w:val="none" w:sz="0" w:space="0" w:color="auto"/>
        <w:bottom w:val="none" w:sz="0" w:space="0" w:color="auto"/>
        <w:right w:val="none" w:sz="0" w:space="0" w:color="auto"/>
      </w:divBdr>
    </w:div>
    <w:div w:id="9306528">
      <w:bodyDiv w:val="1"/>
      <w:marLeft w:val="0"/>
      <w:marRight w:val="0"/>
      <w:marTop w:val="0"/>
      <w:marBottom w:val="0"/>
      <w:divBdr>
        <w:top w:val="none" w:sz="0" w:space="0" w:color="auto"/>
        <w:left w:val="none" w:sz="0" w:space="0" w:color="auto"/>
        <w:bottom w:val="none" w:sz="0" w:space="0" w:color="auto"/>
        <w:right w:val="none" w:sz="0" w:space="0" w:color="auto"/>
      </w:divBdr>
    </w:div>
    <w:div w:id="9795262">
      <w:bodyDiv w:val="1"/>
      <w:marLeft w:val="0"/>
      <w:marRight w:val="0"/>
      <w:marTop w:val="0"/>
      <w:marBottom w:val="0"/>
      <w:divBdr>
        <w:top w:val="none" w:sz="0" w:space="0" w:color="auto"/>
        <w:left w:val="none" w:sz="0" w:space="0" w:color="auto"/>
        <w:bottom w:val="none" w:sz="0" w:space="0" w:color="auto"/>
        <w:right w:val="none" w:sz="0" w:space="0" w:color="auto"/>
      </w:divBdr>
    </w:div>
    <w:div w:id="10187488">
      <w:bodyDiv w:val="1"/>
      <w:marLeft w:val="0"/>
      <w:marRight w:val="0"/>
      <w:marTop w:val="0"/>
      <w:marBottom w:val="0"/>
      <w:divBdr>
        <w:top w:val="none" w:sz="0" w:space="0" w:color="auto"/>
        <w:left w:val="none" w:sz="0" w:space="0" w:color="auto"/>
        <w:bottom w:val="none" w:sz="0" w:space="0" w:color="auto"/>
        <w:right w:val="none" w:sz="0" w:space="0" w:color="auto"/>
      </w:divBdr>
    </w:div>
    <w:div w:id="10760782">
      <w:bodyDiv w:val="1"/>
      <w:marLeft w:val="0"/>
      <w:marRight w:val="0"/>
      <w:marTop w:val="0"/>
      <w:marBottom w:val="0"/>
      <w:divBdr>
        <w:top w:val="none" w:sz="0" w:space="0" w:color="auto"/>
        <w:left w:val="none" w:sz="0" w:space="0" w:color="auto"/>
        <w:bottom w:val="none" w:sz="0" w:space="0" w:color="auto"/>
        <w:right w:val="none" w:sz="0" w:space="0" w:color="auto"/>
      </w:divBdr>
    </w:div>
    <w:div w:id="11225204">
      <w:bodyDiv w:val="1"/>
      <w:marLeft w:val="0"/>
      <w:marRight w:val="0"/>
      <w:marTop w:val="0"/>
      <w:marBottom w:val="0"/>
      <w:divBdr>
        <w:top w:val="none" w:sz="0" w:space="0" w:color="auto"/>
        <w:left w:val="none" w:sz="0" w:space="0" w:color="auto"/>
        <w:bottom w:val="none" w:sz="0" w:space="0" w:color="auto"/>
        <w:right w:val="none" w:sz="0" w:space="0" w:color="auto"/>
      </w:divBdr>
    </w:div>
    <w:div w:id="11491286">
      <w:bodyDiv w:val="1"/>
      <w:marLeft w:val="0"/>
      <w:marRight w:val="0"/>
      <w:marTop w:val="0"/>
      <w:marBottom w:val="0"/>
      <w:divBdr>
        <w:top w:val="none" w:sz="0" w:space="0" w:color="auto"/>
        <w:left w:val="none" w:sz="0" w:space="0" w:color="auto"/>
        <w:bottom w:val="none" w:sz="0" w:space="0" w:color="auto"/>
        <w:right w:val="none" w:sz="0" w:space="0" w:color="auto"/>
      </w:divBdr>
    </w:div>
    <w:div w:id="11541679">
      <w:bodyDiv w:val="1"/>
      <w:marLeft w:val="0"/>
      <w:marRight w:val="0"/>
      <w:marTop w:val="0"/>
      <w:marBottom w:val="0"/>
      <w:divBdr>
        <w:top w:val="none" w:sz="0" w:space="0" w:color="auto"/>
        <w:left w:val="none" w:sz="0" w:space="0" w:color="auto"/>
        <w:bottom w:val="none" w:sz="0" w:space="0" w:color="auto"/>
        <w:right w:val="none" w:sz="0" w:space="0" w:color="auto"/>
      </w:divBdr>
    </w:div>
    <w:div w:id="11885199">
      <w:bodyDiv w:val="1"/>
      <w:marLeft w:val="0"/>
      <w:marRight w:val="0"/>
      <w:marTop w:val="0"/>
      <w:marBottom w:val="0"/>
      <w:divBdr>
        <w:top w:val="none" w:sz="0" w:space="0" w:color="auto"/>
        <w:left w:val="none" w:sz="0" w:space="0" w:color="auto"/>
        <w:bottom w:val="none" w:sz="0" w:space="0" w:color="auto"/>
        <w:right w:val="none" w:sz="0" w:space="0" w:color="auto"/>
      </w:divBdr>
    </w:div>
    <w:div w:id="12074627">
      <w:bodyDiv w:val="1"/>
      <w:marLeft w:val="0"/>
      <w:marRight w:val="0"/>
      <w:marTop w:val="0"/>
      <w:marBottom w:val="0"/>
      <w:divBdr>
        <w:top w:val="none" w:sz="0" w:space="0" w:color="auto"/>
        <w:left w:val="none" w:sz="0" w:space="0" w:color="auto"/>
        <w:bottom w:val="none" w:sz="0" w:space="0" w:color="auto"/>
        <w:right w:val="none" w:sz="0" w:space="0" w:color="auto"/>
      </w:divBdr>
    </w:div>
    <w:div w:id="12536152">
      <w:bodyDiv w:val="1"/>
      <w:marLeft w:val="0"/>
      <w:marRight w:val="0"/>
      <w:marTop w:val="0"/>
      <w:marBottom w:val="0"/>
      <w:divBdr>
        <w:top w:val="none" w:sz="0" w:space="0" w:color="auto"/>
        <w:left w:val="none" w:sz="0" w:space="0" w:color="auto"/>
        <w:bottom w:val="none" w:sz="0" w:space="0" w:color="auto"/>
        <w:right w:val="none" w:sz="0" w:space="0" w:color="auto"/>
      </w:divBdr>
    </w:div>
    <w:div w:id="13307046">
      <w:bodyDiv w:val="1"/>
      <w:marLeft w:val="0"/>
      <w:marRight w:val="0"/>
      <w:marTop w:val="0"/>
      <w:marBottom w:val="0"/>
      <w:divBdr>
        <w:top w:val="none" w:sz="0" w:space="0" w:color="auto"/>
        <w:left w:val="none" w:sz="0" w:space="0" w:color="auto"/>
        <w:bottom w:val="none" w:sz="0" w:space="0" w:color="auto"/>
        <w:right w:val="none" w:sz="0" w:space="0" w:color="auto"/>
      </w:divBdr>
    </w:div>
    <w:div w:id="13850042">
      <w:bodyDiv w:val="1"/>
      <w:marLeft w:val="0"/>
      <w:marRight w:val="0"/>
      <w:marTop w:val="0"/>
      <w:marBottom w:val="0"/>
      <w:divBdr>
        <w:top w:val="none" w:sz="0" w:space="0" w:color="auto"/>
        <w:left w:val="none" w:sz="0" w:space="0" w:color="auto"/>
        <w:bottom w:val="none" w:sz="0" w:space="0" w:color="auto"/>
        <w:right w:val="none" w:sz="0" w:space="0" w:color="auto"/>
      </w:divBdr>
    </w:div>
    <w:div w:id="14116064">
      <w:bodyDiv w:val="1"/>
      <w:marLeft w:val="0"/>
      <w:marRight w:val="0"/>
      <w:marTop w:val="0"/>
      <w:marBottom w:val="0"/>
      <w:divBdr>
        <w:top w:val="none" w:sz="0" w:space="0" w:color="auto"/>
        <w:left w:val="none" w:sz="0" w:space="0" w:color="auto"/>
        <w:bottom w:val="none" w:sz="0" w:space="0" w:color="auto"/>
        <w:right w:val="none" w:sz="0" w:space="0" w:color="auto"/>
      </w:divBdr>
    </w:div>
    <w:div w:id="14772231">
      <w:bodyDiv w:val="1"/>
      <w:marLeft w:val="0"/>
      <w:marRight w:val="0"/>
      <w:marTop w:val="0"/>
      <w:marBottom w:val="0"/>
      <w:divBdr>
        <w:top w:val="none" w:sz="0" w:space="0" w:color="auto"/>
        <w:left w:val="none" w:sz="0" w:space="0" w:color="auto"/>
        <w:bottom w:val="none" w:sz="0" w:space="0" w:color="auto"/>
        <w:right w:val="none" w:sz="0" w:space="0" w:color="auto"/>
      </w:divBdr>
    </w:div>
    <w:div w:id="15352106">
      <w:bodyDiv w:val="1"/>
      <w:marLeft w:val="0"/>
      <w:marRight w:val="0"/>
      <w:marTop w:val="0"/>
      <w:marBottom w:val="0"/>
      <w:divBdr>
        <w:top w:val="none" w:sz="0" w:space="0" w:color="auto"/>
        <w:left w:val="none" w:sz="0" w:space="0" w:color="auto"/>
        <w:bottom w:val="none" w:sz="0" w:space="0" w:color="auto"/>
        <w:right w:val="none" w:sz="0" w:space="0" w:color="auto"/>
      </w:divBdr>
    </w:div>
    <w:div w:id="15430047">
      <w:bodyDiv w:val="1"/>
      <w:marLeft w:val="0"/>
      <w:marRight w:val="0"/>
      <w:marTop w:val="0"/>
      <w:marBottom w:val="0"/>
      <w:divBdr>
        <w:top w:val="none" w:sz="0" w:space="0" w:color="auto"/>
        <w:left w:val="none" w:sz="0" w:space="0" w:color="auto"/>
        <w:bottom w:val="none" w:sz="0" w:space="0" w:color="auto"/>
        <w:right w:val="none" w:sz="0" w:space="0" w:color="auto"/>
      </w:divBdr>
    </w:div>
    <w:div w:id="16466870">
      <w:bodyDiv w:val="1"/>
      <w:marLeft w:val="0"/>
      <w:marRight w:val="0"/>
      <w:marTop w:val="0"/>
      <w:marBottom w:val="0"/>
      <w:divBdr>
        <w:top w:val="none" w:sz="0" w:space="0" w:color="auto"/>
        <w:left w:val="none" w:sz="0" w:space="0" w:color="auto"/>
        <w:bottom w:val="none" w:sz="0" w:space="0" w:color="auto"/>
        <w:right w:val="none" w:sz="0" w:space="0" w:color="auto"/>
      </w:divBdr>
    </w:div>
    <w:div w:id="17506030">
      <w:bodyDiv w:val="1"/>
      <w:marLeft w:val="0"/>
      <w:marRight w:val="0"/>
      <w:marTop w:val="0"/>
      <w:marBottom w:val="0"/>
      <w:divBdr>
        <w:top w:val="none" w:sz="0" w:space="0" w:color="auto"/>
        <w:left w:val="none" w:sz="0" w:space="0" w:color="auto"/>
        <w:bottom w:val="none" w:sz="0" w:space="0" w:color="auto"/>
        <w:right w:val="none" w:sz="0" w:space="0" w:color="auto"/>
      </w:divBdr>
    </w:div>
    <w:div w:id="18707067">
      <w:bodyDiv w:val="1"/>
      <w:marLeft w:val="0"/>
      <w:marRight w:val="0"/>
      <w:marTop w:val="0"/>
      <w:marBottom w:val="0"/>
      <w:divBdr>
        <w:top w:val="none" w:sz="0" w:space="0" w:color="auto"/>
        <w:left w:val="none" w:sz="0" w:space="0" w:color="auto"/>
        <w:bottom w:val="none" w:sz="0" w:space="0" w:color="auto"/>
        <w:right w:val="none" w:sz="0" w:space="0" w:color="auto"/>
      </w:divBdr>
    </w:div>
    <w:div w:id="18893581">
      <w:bodyDiv w:val="1"/>
      <w:marLeft w:val="0"/>
      <w:marRight w:val="0"/>
      <w:marTop w:val="0"/>
      <w:marBottom w:val="0"/>
      <w:divBdr>
        <w:top w:val="none" w:sz="0" w:space="0" w:color="auto"/>
        <w:left w:val="none" w:sz="0" w:space="0" w:color="auto"/>
        <w:bottom w:val="none" w:sz="0" w:space="0" w:color="auto"/>
        <w:right w:val="none" w:sz="0" w:space="0" w:color="auto"/>
      </w:divBdr>
    </w:div>
    <w:div w:id="19549640">
      <w:bodyDiv w:val="1"/>
      <w:marLeft w:val="0"/>
      <w:marRight w:val="0"/>
      <w:marTop w:val="0"/>
      <w:marBottom w:val="0"/>
      <w:divBdr>
        <w:top w:val="none" w:sz="0" w:space="0" w:color="auto"/>
        <w:left w:val="none" w:sz="0" w:space="0" w:color="auto"/>
        <w:bottom w:val="none" w:sz="0" w:space="0" w:color="auto"/>
        <w:right w:val="none" w:sz="0" w:space="0" w:color="auto"/>
      </w:divBdr>
    </w:div>
    <w:div w:id="20715930">
      <w:bodyDiv w:val="1"/>
      <w:marLeft w:val="0"/>
      <w:marRight w:val="0"/>
      <w:marTop w:val="0"/>
      <w:marBottom w:val="0"/>
      <w:divBdr>
        <w:top w:val="none" w:sz="0" w:space="0" w:color="auto"/>
        <w:left w:val="none" w:sz="0" w:space="0" w:color="auto"/>
        <w:bottom w:val="none" w:sz="0" w:space="0" w:color="auto"/>
        <w:right w:val="none" w:sz="0" w:space="0" w:color="auto"/>
      </w:divBdr>
    </w:div>
    <w:div w:id="21128438">
      <w:bodyDiv w:val="1"/>
      <w:marLeft w:val="0"/>
      <w:marRight w:val="0"/>
      <w:marTop w:val="0"/>
      <w:marBottom w:val="0"/>
      <w:divBdr>
        <w:top w:val="none" w:sz="0" w:space="0" w:color="auto"/>
        <w:left w:val="none" w:sz="0" w:space="0" w:color="auto"/>
        <w:bottom w:val="none" w:sz="0" w:space="0" w:color="auto"/>
        <w:right w:val="none" w:sz="0" w:space="0" w:color="auto"/>
      </w:divBdr>
    </w:div>
    <w:div w:id="22245539">
      <w:bodyDiv w:val="1"/>
      <w:marLeft w:val="0"/>
      <w:marRight w:val="0"/>
      <w:marTop w:val="0"/>
      <w:marBottom w:val="0"/>
      <w:divBdr>
        <w:top w:val="none" w:sz="0" w:space="0" w:color="auto"/>
        <w:left w:val="none" w:sz="0" w:space="0" w:color="auto"/>
        <w:bottom w:val="none" w:sz="0" w:space="0" w:color="auto"/>
        <w:right w:val="none" w:sz="0" w:space="0" w:color="auto"/>
      </w:divBdr>
    </w:div>
    <w:div w:id="22362120">
      <w:bodyDiv w:val="1"/>
      <w:marLeft w:val="0"/>
      <w:marRight w:val="0"/>
      <w:marTop w:val="0"/>
      <w:marBottom w:val="0"/>
      <w:divBdr>
        <w:top w:val="none" w:sz="0" w:space="0" w:color="auto"/>
        <w:left w:val="none" w:sz="0" w:space="0" w:color="auto"/>
        <w:bottom w:val="none" w:sz="0" w:space="0" w:color="auto"/>
        <w:right w:val="none" w:sz="0" w:space="0" w:color="auto"/>
      </w:divBdr>
    </w:div>
    <w:div w:id="23211250">
      <w:bodyDiv w:val="1"/>
      <w:marLeft w:val="0"/>
      <w:marRight w:val="0"/>
      <w:marTop w:val="0"/>
      <w:marBottom w:val="0"/>
      <w:divBdr>
        <w:top w:val="none" w:sz="0" w:space="0" w:color="auto"/>
        <w:left w:val="none" w:sz="0" w:space="0" w:color="auto"/>
        <w:bottom w:val="none" w:sz="0" w:space="0" w:color="auto"/>
        <w:right w:val="none" w:sz="0" w:space="0" w:color="auto"/>
      </w:divBdr>
    </w:div>
    <w:div w:id="26150766">
      <w:bodyDiv w:val="1"/>
      <w:marLeft w:val="0"/>
      <w:marRight w:val="0"/>
      <w:marTop w:val="0"/>
      <w:marBottom w:val="0"/>
      <w:divBdr>
        <w:top w:val="none" w:sz="0" w:space="0" w:color="auto"/>
        <w:left w:val="none" w:sz="0" w:space="0" w:color="auto"/>
        <w:bottom w:val="none" w:sz="0" w:space="0" w:color="auto"/>
        <w:right w:val="none" w:sz="0" w:space="0" w:color="auto"/>
      </w:divBdr>
    </w:div>
    <w:div w:id="27730770">
      <w:bodyDiv w:val="1"/>
      <w:marLeft w:val="0"/>
      <w:marRight w:val="0"/>
      <w:marTop w:val="0"/>
      <w:marBottom w:val="0"/>
      <w:divBdr>
        <w:top w:val="none" w:sz="0" w:space="0" w:color="auto"/>
        <w:left w:val="none" w:sz="0" w:space="0" w:color="auto"/>
        <w:bottom w:val="none" w:sz="0" w:space="0" w:color="auto"/>
        <w:right w:val="none" w:sz="0" w:space="0" w:color="auto"/>
      </w:divBdr>
    </w:div>
    <w:div w:id="27872494">
      <w:bodyDiv w:val="1"/>
      <w:marLeft w:val="0"/>
      <w:marRight w:val="0"/>
      <w:marTop w:val="0"/>
      <w:marBottom w:val="0"/>
      <w:divBdr>
        <w:top w:val="none" w:sz="0" w:space="0" w:color="auto"/>
        <w:left w:val="none" w:sz="0" w:space="0" w:color="auto"/>
        <w:bottom w:val="none" w:sz="0" w:space="0" w:color="auto"/>
        <w:right w:val="none" w:sz="0" w:space="0" w:color="auto"/>
      </w:divBdr>
    </w:div>
    <w:div w:id="28646272">
      <w:bodyDiv w:val="1"/>
      <w:marLeft w:val="0"/>
      <w:marRight w:val="0"/>
      <w:marTop w:val="0"/>
      <w:marBottom w:val="0"/>
      <w:divBdr>
        <w:top w:val="none" w:sz="0" w:space="0" w:color="auto"/>
        <w:left w:val="none" w:sz="0" w:space="0" w:color="auto"/>
        <w:bottom w:val="none" w:sz="0" w:space="0" w:color="auto"/>
        <w:right w:val="none" w:sz="0" w:space="0" w:color="auto"/>
      </w:divBdr>
    </w:div>
    <w:div w:id="29189201">
      <w:bodyDiv w:val="1"/>
      <w:marLeft w:val="0"/>
      <w:marRight w:val="0"/>
      <w:marTop w:val="0"/>
      <w:marBottom w:val="0"/>
      <w:divBdr>
        <w:top w:val="none" w:sz="0" w:space="0" w:color="auto"/>
        <w:left w:val="none" w:sz="0" w:space="0" w:color="auto"/>
        <w:bottom w:val="none" w:sz="0" w:space="0" w:color="auto"/>
        <w:right w:val="none" w:sz="0" w:space="0" w:color="auto"/>
      </w:divBdr>
    </w:div>
    <w:div w:id="31196446">
      <w:bodyDiv w:val="1"/>
      <w:marLeft w:val="0"/>
      <w:marRight w:val="0"/>
      <w:marTop w:val="0"/>
      <w:marBottom w:val="0"/>
      <w:divBdr>
        <w:top w:val="none" w:sz="0" w:space="0" w:color="auto"/>
        <w:left w:val="none" w:sz="0" w:space="0" w:color="auto"/>
        <w:bottom w:val="none" w:sz="0" w:space="0" w:color="auto"/>
        <w:right w:val="none" w:sz="0" w:space="0" w:color="auto"/>
      </w:divBdr>
    </w:div>
    <w:div w:id="32004579">
      <w:bodyDiv w:val="1"/>
      <w:marLeft w:val="0"/>
      <w:marRight w:val="0"/>
      <w:marTop w:val="0"/>
      <w:marBottom w:val="0"/>
      <w:divBdr>
        <w:top w:val="none" w:sz="0" w:space="0" w:color="auto"/>
        <w:left w:val="none" w:sz="0" w:space="0" w:color="auto"/>
        <w:bottom w:val="none" w:sz="0" w:space="0" w:color="auto"/>
        <w:right w:val="none" w:sz="0" w:space="0" w:color="auto"/>
      </w:divBdr>
    </w:div>
    <w:div w:id="32385345">
      <w:bodyDiv w:val="1"/>
      <w:marLeft w:val="0"/>
      <w:marRight w:val="0"/>
      <w:marTop w:val="0"/>
      <w:marBottom w:val="0"/>
      <w:divBdr>
        <w:top w:val="none" w:sz="0" w:space="0" w:color="auto"/>
        <w:left w:val="none" w:sz="0" w:space="0" w:color="auto"/>
        <w:bottom w:val="none" w:sz="0" w:space="0" w:color="auto"/>
        <w:right w:val="none" w:sz="0" w:space="0" w:color="auto"/>
      </w:divBdr>
    </w:div>
    <w:div w:id="32966855">
      <w:bodyDiv w:val="1"/>
      <w:marLeft w:val="0"/>
      <w:marRight w:val="0"/>
      <w:marTop w:val="0"/>
      <w:marBottom w:val="0"/>
      <w:divBdr>
        <w:top w:val="none" w:sz="0" w:space="0" w:color="auto"/>
        <w:left w:val="none" w:sz="0" w:space="0" w:color="auto"/>
        <w:bottom w:val="none" w:sz="0" w:space="0" w:color="auto"/>
        <w:right w:val="none" w:sz="0" w:space="0" w:color="auto"/>
      </w:divBdr>
    </w:div>
    <w:div w:id="34433107">
      <w:bodyDiv w:val="1"/>
      <w:marLeft w:val="0"/>
      <w:marRight w:val="0"/>
      <w:marTop w:val="0"/>
      <w:marBottom w:val="0"/>
      <w:divBdr>
        <w:top w:val="none" w:sz="0" w:space="0" w:color="auto"/>
        <w:left w:val="none" w:sz="0" w:space="0" w:color="auto"/>
        <w:bottom w:val="none" w:sz="0" w:space="0" w:color="auto"/>
        <w:right w:val="none" w:sz="0" w:space="0" w:color="auto"/>
      </w:divBdr>
    </w:div>
    <w:div w:id="35158188">
      <w:bodyDiv w:val="1"/>
      <w:marLeft w:val="0"/>
      <w:marRight w:val="0"/>
      <w:marTop w:val="0"/>
      <w:marBottom w:val="0"/>
      <w:divBdr>
        <w:top w:val="none" w:sz="0" w:space="0" w:color="auto"/>
        <w:left w:val="none" w:sz="0" w:space="0" w:color="auto"/>
        <w:bottom w:val="none" w:sz="0" w:space="0" w:color="auto"/>
        <w:right w:val="none" w:sz="0" w:space="0" w:color="auto"/>
      </w:divBdr>
    </w:div>
    <w:div w:id="37246844">
      <w:bodyDiv w:val="1"/>
      <w:marLeft w:val="0"/>
      <w:marRight w:val="0"/>
      <w:marTop w:val="0"/>
      <w:marBottom w:val="0"/>
      <w:divBdr>
        <w:top w:val="none" w:sz="0" w:space="0" w:color="auto"/>
        <w:left w:val="none" w:sz="0" w:space="0" w:color="auto"/>
        <w:bottom w:val="none" w:sz="0" w:space="0" w:color="auto"/>
        <w:right w:val="none" w:sz="0" w:space="0" w:color="auto"/>
      </w:divBdr>
    </w:div>
    <w:div w:id="37702086">
      <w:bodyDiv w:val="1"/>
      <w:marLeft w:val="0"/>
      <w:marRight w:val="0"/>
      <w:marTop w:val="0"/>
      <w:marBottom w:val="0"/>
      <w:divBdr>
        <w:top w:val="none" w:sz="0" w:space="0" w:color="auto"/>
        <w:left w:val="none" w:sz="0" w:space="0" w:color="auto"/>
        <w:bottom w:val="none" w:sz="0" w:space="0" w:color="auto"/>
        <w:right w:val="none" w:sz="0" w:space="0" w:color="auto"/>
      </w:divBdr>
    </w:div>
    <w:div w:id="37780546">
      <w:bodyDiv w:val="1"/>
      <w:marLeft w:val="0"/>
      <w:marRight w:val="0"/>
      <w:marTop w:val="0"/>
      <w:marBottom w:val="0"/>
      <w:divBdr>
        <w:top w:val="none" w:sz="0" w:space="0" w:color="auto"/>
        <w:left w:val="none" w:sz="0" w:space="0" w:color="auto"/>
        <w:bottom w:val="none" w:sz="0" w:space="0" w:color="auto"/>
        <w:right w:val="none" w:sz="0" w:space="0" w:color="auto"/>
      </w:divBdr>
    </w:div>
    <w:div w:id="37819430">
      <w:bodyDiv w:val="1"/>
      <w:marLeft w:val="0"/>
      <w:marRight w:val="0"/>
      <w:marTop w:val="0"/>
      <w:marBottom w:val="0"/>
      <w:divBdr>
        <w:top w:val="none" w:sz="0" w:space="0" w:color="auto"/>
        <w:left w:val="none" w:sz="0" w:space="0" w:color="auto"/>
        <w:bottom w:val="none" w:sz="0" w:space="0" w:color="auto"/>
        <w:right w:val="none" w:sz="0" w:space="0" w:color="auto"/>
      </w:divBdr>
    </w:div>
    <w:div w:id="38629906">
      <w:bodyDiv w:val="1"/>
      <w:marLeft w:val="0"/>
      <w:marRight w:val="0"/>
      <w:marTop w:val="0"/>
      <w:marBottom w:val="0"/>
      <w:divBdr>
        <w:top w:val="none" w:sz="0" w:space="0" w:color="auto"/>
        <w:left w:val="none" w:sz="0" w:space="0" w:color="auto"/>
        <w:bottom w:val="none" w:sz="0" w:space="0" w:color="auto"/>
        <w:right w:val="none" w:sz="0" w:space="0" w:color="auto"/>
      </w:divBdr>
    </w:div>
    <w:div w:id="39135231">
      <w:bodyDiv w:val="1"/>
      <w:marLeft w:val="0"/>
      <w:marRight w:val="0"/>
      <w:marTop w:val="0"/>
      <w:marBottom w:val="0"/>
      <w:divBdr>
        <w:top w:val="none" w:sz="0" w:space="0" w:color="auto"/>
        <w:left w:val="none" w:sz="0" w:space="0" w:color="auto"/>
        <w:bottom w:val="none" w:sz="0" w:space="0" w:color="auto"/>
        <w:right w:val="none" w:sz="0" w:space="0" w:color="auto"/>
      </w:divBdr>
    </w:div>
    <w:div w:id="39326847">
      <w:bodyDiv w:val="1"/>
      <w:marLeft w:val="0"/>
      <w:marRight w:val="0"/>
      <w:marTop w:val="0"/>
      <w:marBottom w:val="0"/>
      <w:divBdr>
        <w:top w:val="none" w:sz="0" w:space="0" w:color="auto"/>
        <w:left w:val="none" w:sz="0" w:space="0" w:color="auto"/>
        <w:bottom w:val="none" w:sz="0" w:space="0" w:color="auto"/>
        <w:right w:val="none" w:sz="0" w:space="0" w:color="auto"/>
      </w:divBdr>
    </w:div>
    <w:div w:id="39401221">
      <w:bodyDiv w:val="1"/>
      <w:marLeft w:val="0"/>
      <w:marRight w:val="0"/>
      <w:marTop w:val="0"/>
      <w:marBottom w:val="0"/>
      <w:divBdr>
        <w:top w:val="none" w:sz="0" w:space="0" w:color="auto"/>
        <w:left w:val="none" w:sz="0" w:space="0" w:color="auto"/>
        <w:bottom w:val="none" w:sz="0" w:space="0" w:color="auto"/>
        <w:right w:val="none" w:sz="0" w:space="0" w:color="auto"/>
      </w:divBdr>
    </w:div>
    <w:div w:id="40179426">
      <w:bodyDiv w:val="1"/>
      <w:marLeft w:val="0"/>
      <w:marRight w:val="0"/>
      <w:marTop w:val="0"/>
      <w:marBottom w:val="0"/>
      <w:divBdr>
        <w:top w:val="none" w:sz="0" w:space="0" w:color="auto"/>
        <w:left w:val="none" w:sz="0" w:space="0" w:color="auto"/>
        <w:bottom w:val="none" w:sz="0" w:space="0" w:color="auto"/>
        <w:right w:val="none" w:sz="0" w:space="0" w:color="auto"/>
      </w:divBdr>
    </w:div>
    <w:div w:id="40517909">
      <w:bodyDiv w:val="1"/>
      <w:marLeft w:val="0"/>
      <w:marRight w:val="0"/>
      <w:marTop w:val="0"/>
      <w:marBottom w:val="0"/>
      <w:divBdr>
        <w:top w:val="none" w:sz="0" w:space="0" w:color="auto"/>
        <w:left w:val="none" w:sz="0" w:space="0" w:color="auto"/>
        <w:bottom w:val="none" w:sz="0" w:space="0" w:color="auto"/>
        <w:right w:val="none" w:sz="0" w:space="0" w:color="auto"/>
      </w:divBdr>
    </w:div>
    <w:div w:id="41446094">
      <w:bodyDiv w:val="1"/>
      <w:marLeft w:val="0"/>
      <w:marRight w:val="0"/>
      <w:marTop w:val="0"/>
      <w:marBottom w:val="0"/>
      <w:divBdr>
        <w:top w:val="none" w:sz="0" w:space="0" w:color="auto"/>
        <w:left w:val="none" w:sz="0" w:space="0" w:color="auto"/>
        <w:bottom w:val="none" w:sz="0" w:space="0" w:color="auto"/>
        <w:right w:val="none" w:sz="0" w:space="0" w:color="auto"/>
      </w:divBdr>
    </w:div>
    <w:div w:id="41908567">
      <w:bodyDiv w:val="1"/>
      <w:marLeft w:val="0"/>
      <w:marRight w:val="0"/>
      <w:marTop w:val="0"/>
      <w:marBottom w:val="0"/>
      <w:divBdr>
        <w:top w:val="none" w:sz="0" w:space="0" w:color="auto"/>
        <w:left w:val="none" w:sz="0" w:space="0" w:color="auto"/>
        <w:bottom w:val="none" w:sz="0" w:space="0" w:color="auto"/>
        <w:right w:val="none" w:sz="0" w:space="0" w:color="auto"/>
      </w:divBdr>
    </w:div>
    <w:div w:id="42487159">
      <w:bodyDiv w:val="1"/>
      <w:marLeft w:val="0"/>
      <w:marRight w:val="0"/>
      <w:marTop w:val="0"/>
      <w:marBottom w:val="0"/>
      <w:divBdr>
        <w:top w:val="none" w:sz="0" w:space="0" w:color="auto"/>
        <w:left w:val="none" w:sz="0" w:space="0" w:color="auto"/>
        <w:bottom w:val="none" w:sz="0" w:space="0" w:color="auto"/>
        <w:right w:val="none" w:sz="0" w:space="0" w:color="auto"/>
      </w:divBdr>
    </w:div>
    <w:div w:id="43916432">
      <w:bodyDiv w:val="1"/>
      <w:marLeft w:val="0"/>
      <w:marRight w:val="0"/>
      <w:marTop w:val="0"/>
      <w:marBottom w:val="0"/>
      <w:divBdr>
        <w:top w:val="none" w:sz="0" w:space="0" w:color="auto"/>
        <w:left w:val="none" w:sz="0" w:space="0" w:color="auto"/>
        <w:bottom w:val="none" w:sz="0" w:space="0" w:color="auto"/>
        <w:right w:val="none" w:sz="0" w:space="0" w:color="auto"/>
      </w:divBdr>
    </w:div>
    <w:div w:id="45490642">
      <w:bodyDiv w:val="1"/>
      <w:marLeft w:val="0"/>
      <w:marRight w:val="0"/>
      <w:marTop w:val="0"/>
      <w:marBottom w:val="0"/>
      <w:divBdr>
        <w:top w:val="none" w:sz="0" w:space="0" w:color="auto"/>
        <w:left w:val="none" w:sz="0" w:space="0" w:color="auto"/>
        <w:bottom w:val="none" w:sz="0" w:space="0" w:color="auto"/>
        <w:right w:val="none" w:sz="0" w:space="0" w:color="auto"/>
      </w:divBdr>
    </w:div>
    <w:div w:id="47843298">
      <w:bodyDiv w:val="1"/>
      <w:marLeft w:val="0"/>
      <w:marRight w:val="0"/>
      <w:marTop w:val="0"/>
      <w:marBottom w:val="0"/>
      <w:divBdr>
        <w:top w:val="none" w:sz="0" w:space="0" w:color="auto"/>
        <w:left w:val="none" w:sz="0" w:space="0" w:color="auto"/>
        <w:bottom w:val="none" w:sz="0" w:space="0" w:color="auto"/>
        <w:right w:val="none" w:sz="0" w:space="0" w:color="auto"/>
      </w:divBdr>
    </w:div>
    <w:div w:id="47997982">
      <w:bodyDiv w:val="1"/>
      <w:marLeft w:val="0"/>
      <w:marRight w:val="0"/>
      <w:marTop w:val="0"/>
      <w:marBottom w:val="0"/>
      <w:divBdr>
        <w:top w:val="none" w:sz="0" w:space="0" w:color="auto"/>
        <w:left w:val="none" w:sz="0" w:space="0" w:color="auto"/>
        <w:bottom w:val="none" w:sz="0" w:space="0" w:color="auto"/>
        <w:right w:val="none" w:sz="0" w:space="0" w:color="auto"/>
      </w:divBdr>
    </w:div>
    <w:div w:id="48841405">
      <w:bodyDiv w:val="1"/>
      <w:marLeft w:val="0"/>
      <w:marRight w:val="0"/>
      <w:marTop w:val="0"/>
      <w:marBottom w:val="0"/>
      <w:divBdr>
        <w:top w:val="none" w:sz="0" w:space="0" w:color="auto"/>
        <w:left w:val="none" w:sz="0" w:space="0" w:color="auto"/>
        <w:bottom w:val="none" w:sz="0" w:space="0" w:color="auto"/>
        <w:right w:val="none" w:sz="0" w:space="0" w:color="auto"/>
      </w:divBdr>
    </w:div>
    <w:div w:id="48848248">
      <w:bodyDiv w:val="1"/>
      <w:marLeft w:val="0"/>
      <w:marRight w:val="0"/>
      <w:marTop w:val="0"/>
      <w:marBottom w:val="0"/>
      <w:divBdr>
        <w:top w:val="none" w:sz="0" w:space="0" w:color="auto"/>
        <w:left w:val="none" w:sz="0" w:space="0" w:color="auto"/>
        <w:bottom w:val="none" w:sz="0" w:space="0" w:color="auto"/>
        <w:right w:val="none" w:sz="0" w:space="0" w:color="auto"/>
      </w:divBdr>
    </w:div>
    <w:div w:id="48959381">
      <w:bodyDiv w:val="1"/>
      <w:marLeft w:val="0"/>
      <w:marRight w:val="0"/>
      <w:marTop w:val="0"/>
      <w:marBottom w:val="0"/>
      <w:divBdr>
        <w:top w:val="none" w:sz="0" w:space="0" w:color="auto"/>
        <w:left w:val="none" w:sz="0" w:space="0" w:color="auto"/>
        <w:bottom w:val="none" w:sz="0" w:space="0" w:color="auto"/>
        <w:right w:val="none" w:sz="0" w:space="0" w:color="auto"/>
      </w:divBdr>
    </w:div>
    <w:div w:id="49695170">
      <w:bodyDiv w:val="1"/>
      <w:marLeft w:val="0"/>
      <w:marRight w:val="0"/>
      <w:marTop w:val="0"/>
      <w:marBottom w:val="0"/>
      <w:divBdr>
        <w:top w:val="none" w:sz="0" w:space="0" w:color="auto"/>
        <w:left w:val="none" w:sz="0" w:space="0" w:color="auto"/>
        <w:bottom w:val="none" w:sz="0" w:space="0" w:color="auto"/>
        <w:right w:val="none" w:sz="0" w:space="0" w:color="auto"/>
      </w:divBdr>
    </w:div>
    <w:div w:id="50159422">
      <w:bodyDiv w:val="1"/>
      <w:marLeft w:val="0"/>
      <w:marRight w:val="0"/>
      <w:marTop w:val="0"/>
      <w:marBottom w:val="0"/>
      <w:divBdr>
        <w:top w:val="none" w:sz="0" w:space="0" w:color="auto"/>
        <w:left w:val="none" w:sz="0" w:space="0" w:color="auto"/>
        <w:bottom w:val="none" w:sz="0" w:space="0" w:color="auto"/>
        <w:right w:val="none" w:sz="0" w:space="0" w:color="auto"/>
      </w:divBdr>
    </w:div>
    <w:div w:id="51585758">
      <w:bodyDiv w:val="1"/>
      <w:marLeft w:val="0"/>
      <w:marRight w:val="0"/>
      <w:marTop w:val="0"/>
      <w:marBottom w:val="0"/>
      <w:divBdr>
        <w:top w:val="none" w:sz="0" w:space="0" w:color="auto"/>
        <w:left w:val="none" w:sz="0" w:space="0" w:color="auto"/>
        <w:bottom w:val="none" w:sz="0" w:space="0" w:color="auto"/>
        <w:right w:val="none" w:sz="0" w:space="0" w:color="auto"/>
      </w:divBdr>
    </w:div>
    <w:div w:id="51853358">
      <w:bodyDiv w:val="1"/>
      <w:marLeft w:val="0"/>
      <w:marRight w:val="0"/>
      <w:marTop w:val="0"/>
      <w:marBottom w:val="0"/>
      <w:divBdr>
        <w:top w:val="none" w:sz="0" w:space="0" w:color="auto"/>
        <w:left w:val="none" w:sz="0" w:space="0" w:color="auto"/>
        <w:bottom w:val="none" w:sz="0" w:space="0" w:color="auto"/>
        <w:right w:val="none" w:sz="0" w:space="0" w:color="auto"/>
      </w:divBdr>
    </w:div>
    <w:div w:id="53312276">
      <w:bodyDiv w:val="1"/>
      <w:marLeft w:val="0"/>
      <w:marRight w:val="0"/>
      <w:marTop w:val="0"/>
      <w:marBottom w:val="0"/>
      <w:divBdr>
        <w:top w:val="none" w:sz="0" w:space="0" w:color="auto"/>
        <w:left w:val="none" w:sz="0" w:space="0" w:color="auto"/>
        <w:bottom w:val="none" w:sz="0" w:space="0" w:color="auto"/>
        <w:right w:val="none" w:sz="0" w:space="0" w:color="auto"/>
      </w:divBdr>
    </w:div>
    <w:div w:id="54163968">
      <w:bodyDiv w:val="1"/>
      <w:marLeft w:val="0"/>
      <w:marRight w:val="0"/>
      <w:marTop w:val="0"/>
      <w:marBottom w:val="0"/>
      <w:divBdr>
        <w:top w:val="none" w:sz="0" w:space="0" w:color="auto"/>
        <w:left w:val="none" w:sz="0" w:space="0" w:color="auto"/>
        <w:bottom w:val="none" w:sz="0" w:space="0" w:color="auto"/>
        <w:right w:val="none" w:sz="0" w:space="0" w:color="auto"/>
      </w:divBdr>
    </w:div>
    <w:div w:id="54553603">
      <w:bodyDiv w:val="1"/>
      <w:marLeft w:val="0"/>
      <w:marRight w:val="0"/>
      <w:marTop w:val="0"/>
      <w:marBottom w:val="0"/>
      <w:divBdr>
        <w:top w:val="none" w:sz="0" w:space="0" w:color="auto"/>
        <w:left w:val="none" w:sz="0" w:space="0" w:color="auto"/>
        <w:bottom w:val="none" w:sz="0" w:space="0" w:color="auto"/>
        <w:right w:val="none" w:sz="0" w:space="0" w:color="auto"/>
      </w:divBdr>
    </w:div>
    <w:div w:id="55320508">
      <w:bodyDiv w:val="1"/>
      <w:marLeft w:val="0"/>
      <w:marRight w:val="0"/>
      <w:marTop w:val="0"/>
      <w:marBottom w:val="0"/>
      <w:divBdr>
        <w:top w:val="none" w:sz="0" w:space="0" w:color="auto"/>
        <w:left w:val="none" w:sz="0" w:space="0" w:color="auto"/>
        <w:bottom w:val="none" w:sz="0" w:space="0" w:color="auto"/>
        <w:right w:val="none" w:sz="0" w:space="0" w:color="auto"/>
      </w:divBdr>
    </w:div>
    <w:div w:id="55663626">
      <w:bodyDiv w:val="1"/>
      <w:marLeft w:val="0"/>
      <w:marRight w:val="0"/>
      <w:marTop w:val="0"/>
      <w:marBottom w:val="0"/>
      <w:divBdr>
        <w:top w:val="none" w:sz="0" w:space="0" w:color="auto"/>
        <w:left w:val="none" w:sz="0" w:space="0" w:color="auto"/>
        <w:bottom w:val="none" w:sz="0" w:space="0" w:color="auto"/>
        <w:right w:val="none" w:sz="0" w:space="0" w:color="auto"/>
      </w:divBdr>
    </w:div>
    <w:div w:id="56168028">
      <w:bodyDiv w:val="1"/>
      <w:marLeft w:val="0"/>
      <w:marRight w:val="0"/>
      <w:marTop w:val="0"/>
      <w:marBottom w:val="0"/>
      <w:divBdr>
        <w:top w:val="none" w:sz="0" w:space="0" w:color="auto"/>
        <w:left w:val="none" w:sz="0" w:space="0" w:color="auto"/>
        <w:bottom w:val="none" w:sz="0" w:space="0" w:color="auto"/>
        <w:right w:val="none" w:sz="0" w:space="0" w:color="auto"/>
      </w:divBdr>
    </w:div>
    <w:div w:id="57018148">
      <w:bodyDiv w:val="1"/>
      <w:marLeft w:val="0"/>
      <w:marRight w:val="0"/>
      <w:marTop w:val="0"/>
      <w:marBottom w:val="0"/>
      <w:divBdr>
        <w:top w:val="none" w:sz="0" w:space="0" w:color="auto"/>
        <w:left w:val="none" w:sz="0" w:space="0" w:color="auto"/>
        <w:bottom w:val="none" w:sz="0" w:space="0" w:color="auto"/>
        <w:right w:val="none" w:sz="0" w:space="0" w:color="auto"/>
      </w:divBdr>
    </w:div>
    <w:div w:id="57291106">
      <w:bodyDiv w:val="1"/>
      <w:marLeft w:val="0"/>
      <w:marRight w:val="0"/>
      <w:marTop w:val="0"/>
      <w:marBottom w:val="0"/>
      <w:divBdr>
        <w:top w:val="none" w:sz="0" w:space="0" w:color="auto"/>
        <w:left w:val="none" w:sz="0" w:space="0" w:color="auto"/>
        <w:bottom w:val="none" w:sz="0" w:space="0" w:color="auto"/>
        <w:right w:val="none" w:sz="0" w:space="0" w:color="auto"/>
      </w:divBdr>
    </w:div>
    <w:div w:id="58015284">
      <w:bodyDiv w:val="1"/>
      <w:marLeft w:val="0"/>
      <w:marRight w:val="0"/>
      <w:marTop w:val="0"/>
      <w:marBottom w:val="0"/>
      <w:divBdr>
        <w:top w:val="none" w:sz="0" w:space="0" w:color="auto"/>
        <w:left w:val="none" w:sz="0" w:space="0" w:color="auto"/>
        <w:bottom w:val="none" w:sz="0" w:space="0" w:color="auto"/>
        <w:right w:val="none" w:sz="0" w:space="0" w:color="auto"/>
      </w:divBdr>
    </w:div>
    <w:div w:id="58065147">
      <w:bodyDiv w:val="1"/>
      <w:marLeft w:val="0"/>
      <w:marRight w:val="0"/>
      <w:marTop w:val="0"/>
      <w:marBottom w:val="0"/>
      <w:divBdr>
        <w:top w:val="none" w:sz="0" w:space="0" w:color="auto"/>
        <w:left w:val="none" w:sz="0" w:space="0" w:color="auto"/>
        <w:bottom w:val="none" w:sz="0" w:space="0" w:color="auto"/>
        <w:right w:val="none" w:sz="0" w:space="0" w:color="auto"/>
      </w:divBdr>
    </w:div>
    <w:div w:id="58598211">
      <w:bodyDiv w:val="1"/>
      <w:marLeft w:val="0"/>
      <w:marRight w:val="0"/>
      <w:marTop w:val="0"/>
      <w:marBottom w:val="0"/>
      <w:divBdr>
        <w:top w:val="none" w:sz="0" w:space="0" w:color="auto"/>
        <w:left w:val="none" w:sz="0" w:space="0" w:color="auto"/>
        <w:bottom w:val="none" w:sz="0" w:space="0" w:color="auto"/>
        <w:right w:val="none" w:sz="0" w:space="0" w:color="auto"/>
      </w:divBdr>
    </w:div>
    <w:div w:id="59258197">
      <w:bodyDiv w:val="1"/>
      <w:marLeft w:val="0"/>
      <w:marRight w:val="0"/>
      <w:marTop w:val="0"/>
      <w:marBottom w:val="0"/>
      <w:divBdr>
        <w:top w:val="none" w:sz="0" w:space="0" w:color="auto"/>
        <w:left w:val="none" w:sz="0" w:space="0" w:color="auto"/>
        <w:bottom w:val="none" w:sz="0" w:space="0" w:color="auto"/>
        <w:right w:val="none" w:sz="0" w:space="0" w:color="auto"/>
      </w:divBdr>
    </w:div>
    <w:div w:id="59331548">
      <w:bodyDiv w:val="1"/>
      <w:marLeft w:val="0"/>
      <w:marRight w:val="0"/>
      <w:marTop w:val="0"/>
      <w:marBottom w:val="0"/>
      <w:divBdr>
        <w:top w:val="none" w:sz="0" w:space="0" w:color="auto"/>
        <w:left w:val="none" w:sz="0" w:space="0" w:color="auto"/>
        <w:bottom w:val="none" w:sz="0" w:space="0" w:color="auto"/>
        <w:right w:val="none" w:sz="0" w:space="0" w:color="auto"/>
      </w:divBdr>
    </w:div>
    <w:div w:id="64497107">
      <w:bodyDiv w:val="1"/>
      <w:marLeft w:val="0"/>
      <w:marRight w:val="0"/>
      <w:marTop w:val="0"/>
      <w:marBottom w:val="0"/>
      <w:divBdr>
        <w:top w:val="none" w:sz="0" w:space="0" w:color="auto"/>
        <w:left w:val="none" w:sz="0" w:space="0" w:color="auto"/>
        <w:bottom w:val="none" w:sz="0" w:space="0" w:color="auto"/>
        <w:right w:val="none" w:sz="0" w:space="0" w:color="auto"/>
      </w:divBdr>
    </w:div>
    <w:div w:id="64843997">
      <w:bodyDiv w:val="1"/>
      <w:marLeft w:val="0"/>
      <w:marRight w:val="0"/>
      <w:marTop w:val="0"/>
      <w:marBottom w:val="0"/>
      <w:divBdr>
        <w:top w:val="none" w:sz="0" w:space="0" w:color="auto"/>
        <w:left w:val="none" w:sz="0" w:space="0" w:color="auto"/>
        <w:bottom w:val="none" w:sz="0" w:space="0" w:color="auto"/>
        <w:right w:val="none" w:sz="0" w:space="0" w:color="auto"/>
      </w:divBdr>
    </w:div>
    <w:div w:id="65105111">
      <w:bodyDiv w:val="1"/>
      <w:marLeft w:val="0"/>
      <w:marRight w:val="0"/>
      <w:marTop w:val="0"/>
      <w:marBottom w:val="0"/>
      <w:divBdr>
        <w:top w:val="none" w:sz="0" w:space="0" w:color="auto"/>
        <w:left w:val="none" w:sz="0" w:space="0" w:color="auto"/>
        <w:bottom w:val="none" w:sz="0" w:space="0" w:color="auto"/>
        <w:right w:val="none" w:sz="0" w:space="0" w:color="auto"/>
      </w:divBdr>
    </w:div>
    <w:div w:id="66852889">
      <w:bodyDiv w:val="1"/>
      <w:marLeft w:val="0"/>
      <w:marRight w:val="0"/>
      <w:marTop w:val="0"/>
      <w:marBottom w:val="0"/>
      <w:divBdr>
        <w:top w:val="none" w:sz="0" w:space="0" w:color="auto"/>
        <w:left w:val="none" w:sz="0" w:space="0" w:color="auto"/>
        <w:bottom w:val="none" w:sz="0" w:space="0" w:color="auto"/>
        <w:right w:val="none" w:sz="0" w:space="0" w:color="auto"/>
      </w:divBdr>
    </w:div>
    <w:div w:id="67045766">
      <w:bodyDiv w:val="1"/>
      <w:marLeft w:val="0"/>
      <w:marRight w:val="0"/>
      <w:marTop w:val="0"/>
      <w:marBottom w:val="0"/>
      <w:divBdr>
        <w:top w:val="none" w:sz="0" w:space="0" w:color="auto"/>
        <w:left w:val="none" w:sz="0" w:space="0" w:color="auto"/>
        <w:bottom w:val="none" w:sz="0" w:space="0" w:color="auto"/>
        <w:right w:val="none" w:sz="0" w:space="0" w:color="auto"/>
      </w:divBdr>
    </w:div>
    <w:div w:id="67461153">
      <w:bodyDiv w:val="1"/>
      <w:marLeft w:val="0"/>
      <w:marRight w:val="0"/>
      <w:marTop w:val="0"/>
      <w:marBottom w:val="0"/>
      <w:divBdr>
        <w:top w:val="none" w:sz="0" w:space="0" w:color="auto"/>
        <w:left w:val="none" w:sz="0" w:space="0" w:color="auto"/>
        <w:bottom w:val="none" w:sz="0" w:space="0" w:color="auto"/>
        <w:right w:val="none" w:sz="0" w:space="0" w:color="auto"/>
      </w:divBdr>
    </w:div>
    <w:div w:id="67582370">
      <w:bodyDiv w:val="1"/>
      <w:marLeft w:val="0"/>
      <w:marRight w:val="0"/>
      <w:marTop w:val="0"/>
      <w:marBottom w:val="0"/>
      <w:divBdr>
        <w:top w:val="none" w:sz="0" w:space="0" w:color="auto"/>
        <w:left w:val="none" w:sz="0" w:space="0" w:color="auto"/>
        <w:bottom w:val="none" w:sz="0" w:space="0" w:color="auto"/>
        <w:right w:val="none" w:sz="0" w:space="0" w:color="auto"/>
      </w:divBdr>
    </w:div>
    <w:div w:id="67651799">
      <w:bodyDiv w:val="1"/>
      <w:marLeft w:val="0"/>
      <w:marRight w:val="0"/>
      <w:marTop w:val="0"/>
      <w:marBottom w:val="0"/>
      <w:divBdr>
        <w:top w:val="none" w:sz="0" w:space="0" w:color="auto"/>
        <w:left w:val="none" w:sz="0" w:space="0" w:color="auto"/>
        <w:bottom w:val="none" w:sz="0" w:space="0" w:color="auto"/>
        <w:right w:val="none" w:sz="0" w:space="0" w:color="auto"/>
      </w:divBdr>
    </w:div>
    <w:div w:id="68240039">
      <w:bodyDiv w:val="1"/>
      <w:marLeft w:val="0"/>
      <w:marRight w:val="0"/>
      <w:marTop w:val="0"/>
      <w:marBottom w:val="0"/>
      <w:divBdr>
        <w:top w:val="none" w:sz="0" w:space="0" w:color="auto"/>
        <w:left w:val="none" w:sz="0" w:space="0" w:color="auto"/>
        <w:bottom w:val="none" w:sz="0" w:space="0" w:color="auto"/>
        <w:right w:val="none" w:sz="0" w:space="0" w:color="auto"/>
      </w:divBdr>
    </w:div>
    <w:div w:id="68354877">
      <w:bodyDiv w:val="1"/>
      <w:marLeft w:val="0"/>
      <w:marRight w:val="0"/>
      <w:marTop w:val="0"/>
      <w:marBottom w:val="0"/>
      <w:divBdr>
        <w:top w:val="none" w:sz="0" w:space="0" w:color="auto"/>
        <w:left w:val="none" w:sz="0" w:space="0" w:color="auto"/>
        <w:bottom w:val="none" w:sz="0" w:space="0" w:color="auto"/>
        <w:right w:val="none" w:sz="0" w:space="0" w:color="auto"/>
      </w:divBdr>
    </w:div>
    <w:div w:id="68424285">
      <w:bodyDiv w:val="1"/>
      <w:marLeft w:val="0"/>
      <w:marRight w:val="0"/>
      <w:marTop w:val="0"/>
      <w:marBottom w:val="0"/>
      <w:divBdr>
        <w:top w:val="none" w:sz="0" w:space="0" w:color="auto"/>
        <w:left w:val="none" w:sz="0" w:space="0" w:color="auto"/>
        <w:bottom w:val="none" w:sz="0" w:space="0" w:color="auto"/>
        <w:right w:val="none" w:sz="0" w:space="0" w:color="auto"/>
      </w:divBdr>
    </w:div>
    <w:div w:id="68695614">
      <w:bodyDiv w:val="1"/>
      <w:marLeft w:val="0"/>
      <w:marRight w:val="0"/>
      <w:marTop w:val="0"/>
      <w:marBottom w:val="0"/>
      <w:divBdr>
        <w:top w:val="none" w:sz="0" w:space="0" w:color="auto"/>
        <w:left w:val="none" w:sz="0" w:space="0" w:color="auto"/>
        <w:bottom w:val="none" w:sz="0" w:space="0" w:color="auto"/>
        <w:right w:val="none" w:sz="0" w:space="0" w:color="auto"/>
      </w:divBdr>
    </w:div>
    <w:div w:id="69160531">
      <w:bodyDiv w:val="1"/>
      <w:marLeft w:val="0"/>
      <w:marRight w:val="0"/>
      <w:marTop w:val="0"/>
      <w:marBottom w:val="0"/>
      <w:divBdr>
        <w:top w:val="none" w:sz="0" w:space="0" w:color="auto"/>
        <w:left w:val="none" w:sz="0" w:space="0" w:color="auto"/>
        <w:bottom w:val="none" w:sz="0" w:space="0" w:color="auto"/>
        <w:right w:val="none" w:sz="0" w:space="0" w:color="auto"/>
      </w:divBdr>
    </w:div>
    <w:div w:id="69162823">
      <w:bodyDiv w:val="1"/>
      <w:marLeft w:val="0"/>
      <w:marRight w:val="0"/>
      <w:marTop w:val="0"/>
      <w:marBottom w:val="0"/>
      <w:divBdr>
        <w:top w:val="none" w:sz="0" w:space="0" w:color="auto"/>
        <w:left w:val="none" w:sz="0" w:space="0" w:color="auto"/>
        <w:bottom w:val="none" w:sz="0" w:space="0" w:color="auto"/>
        <w:right w:val="none" w:sz="0" w:space="0" w:color="auto"/>
      </w:divBdr>
    </w:div>
    <w:div w:id="69471852">
      <w:bodyDiv w:val="1"/>
      <w:marLeft w:val="0"/>
      <w:marRight w:val="0"/>
      <w:marTop w:val="0"/>
      <w:marBottom w:val="0"/>
      <w:divBdr>
        <w:top w:val="none" w:sz="0" w:space="0" w:color="auto"/>
        <w:left w:val="none" w:sz="0" w:space="0" w:color="auto"/>
        <w:bottom w:val="none" w:sz="0" w:space="0" w:color="auto"/>
        <w:right w:val="none" w:sz="0" w:space="0" w:color="auto"/>
      </w:divBdr>
    </w:div>
    <w:div w:id="69542390">
      <w:bodyDiv w:val="1"/>
      <w:marLeft w:val="0"/>
      <w:marRight w:val="0"/>
      <w:marTop w:val="0"/>
      <w:marBottom w:val="0"/>
      <w:divBdr>
        <w:top w:val="none" w:sz="0" w:space="0" w:color="auto"/>
        <w:left w:val="none" w:sz="0" w:space="0" w:color="auto"/>
        <w:bottom w:val="none" w:sz="0" w:space="0" w:color="auto"/>
        <w:right w:val="none" w:sz="0" w:space="0" w:color="auto"/>
      </w:divBdr>
    </w:div>
    <w:div w:id="70542300">
      <w:bodyDiv w:val="1"/>
      <w:marLeft w:val="0"/>
      <w:marRight w:val="0"/>
      <w:marTop w:val="0"/>
      <w:marBottom w:val="0"/>
      <w:divBdr>
        <w:top w:val="none" w:sz="0" w:space="0" w:color="auto"/>
        <w:left w:val="none" w:sz="0" w:space="0" w:color="auto"/>
        <w:bottom w:val="none" w:sz="0" w:space="0" w:color="auto"/>
        <w:right w:val="none" w:sz="0" w:space="0" w:color="auto"/>
      </w:divBdr>
    </w:div>
    <w:div w:id="71633759">
      <w:bodyDiv w:val="1"/>
      <w:marLeft w:val="0"/>
      <w:marRight w:val="0"/>
      <w:marTop w:val="0"/>
      <w:marBottom w:val="0"/>
      <w:divBdr>
        <w:top w:val="none" w:sz="0" w:space="0" w:color="auto"/>
        <w:left w:val="none" w:sz="0" w:space="0" w:color="auto"/>
        <w:bottom w:val="none" w:sz="0" w:space="0" w:color="auto"/>
        <w:right w:val="none" w:sz="0" w:space="0" w:color="auto"/>
      </w:divBdr>
    </w:div>
    <w:div w:id="71895349">
      <w:bodyDiv w:val="1"/>
      <w:marLeft w:val="0"/>
      <w:marRight w:val="0"/>
      <w:marTop w:val="0"/>
      <w:marBottom w:val="0"/>
      <w:divBdr>
        <w:top w:val="none" w:sz="0" w:space="0" w:color="auto"/>
        <w:left w:val="none" w:sz="0" w:space="0" w:color="auto"/>
        <w:bottom w:val="none" w:sz="0" w:space="0" w:color="auto"/>
        <w:right w:val="none" w:sz="0" w:space="0" w:color="auto"/>
      </w:divBdr>
    </w:div>
    <w:div w:id="71969529">
      <w:bodyDiv w:val="1"/>
      <w:marLeft w:val="0"/>
      <w:marRight w:val="0"/>
      <w:marTop w:val="0"/>
      <w:marBottom w:val="0"/>
      <w:divBdr>
        <w:top w:val="none" w:sz="0" w:space="0" w:color="auto"/>
        <w:left w:val="none" w:sz="0" w:space="0" w:color="auto"/>
        <w:bottom w:val="none" w:sz="0" w:space="0" w:color="auto"/>
        <w:right w:val="none" w:sz="0" w:space="0" w:color="auto"/>
      </w:divBdr>
    </w:div>
    <w:div w:id="72169630">
      <w:bodyDiv w:val="1"/>
      <w:marLeft w:val="0"/>
      <w:marRight w:val="0"/>
      <w:marTop w:val="0"/>
      <w:marBottom w:val="0"/>
      <w:divBdr>
        <w:top w:val="none" w:sz="0" w:space="0" w:color="auto"/>
        <w:left w:val="none" w:sz="0" w:space="0" w:color="auto"/>
        <w:bottom w:val="none" w:sz="0" w:space="0" w:color="auto"/>
        <w:right w:val="none" w:sz="0" w:space="0" w:color="auto"/>
      </w:divBdr>
    </w:div>
    <w:div w:id="72550612">
      <w:bodyDiv w:val="1"/>
      <w:marLeft w:val="0"/>
      <w:marRight w:val="0"/>
      <w:marTop w:val="0"/>
      <w:marBottom w:val="0"/>
      <w:divBdr>
        <w:top w:val="none" w:sz="0" w:space="0" w:color="auto"/>
        <w:left w:val="none" w:sz="0" w:space="0" w:color="auto"/>
        <w:bottom w:val="none" w:sz="0" w:space="0" w:color="auto"/>
        <w:right w:val="none" w:sz="0" w:space="0" w:color="auto"/>
      </w:divBdr>
    </w:div>
    <w:div w:id="73162121">
      <w:bodyDiv w:val="1"/>
      <w:marLeft w:val="0"/>
      <w:marRight w:val="0"/>
      <w:marTop w:val="0"/>
      <w:marBottom w:val="0"/>
      <w:divBdr>
        <w:top w:val="none" w:sz="0" w:space="0" w:color="auto"/>
        <w:left w:val="none" w:sz="0" w:space="0" w:color="auto"/>
        <w:bottom w:val="none" w:sz="0" w:space="0" w:color="auto"/>
        <w:right w:val="none" w:sz="0" w:space="0" w:color="auto"/>
      </w:divBdr>
    </w:div>
    <w:div w:id="73554382">
      <w:bodyDiv w:val="1"/>
      <w:marLeft w:val="0"/>
      <w:marRight w:val="0"/>
      <w:marTop w:val="0"/>
      <w:marBottom w:val="0"/>
      <w:divBdr>
        <w:top w:val="none" w:sz="0" w:space="0" w:color="auto"/>
        <w:left w:val="none" w:sz="0" w:space="0" w:color="auto"/>
        <w:bottom w:val="none" w:sz="0" w:space="0" w:color="auto"/>
        <w:right w:val="none" w:sz="0" w:space="0" w:color="auto"/>
      </w:divBdr>
    </w:div>
    <w:div w:id="74135414">
      <w:bodyDiv w:val="1"/>
      <w:marLeft w:val="0"/>
      <w:marRight w:val="0"/>
      <w:marTop w:val="0"/>
      <w:marBottom w:val="0"/>
      <w:divBdr>
        <w:top w:val="none" w:sz="0" w:space="0" w:color="auto"/>
        <w:left w:val="none" w:sz="0" w:space="0" w:color="auto"/>
        <w:bottom w:val="none" w:sz="0" w:space="0" w:color="auto"/>
        <w:right w:val="none" w:sz="0" w:space="0" w:color="auto"/>
      </w:divBdr>
    </w:div>
    <w:div w:id="74861415">
      <w:bodyDiv w:val="1"/>
      <w:marLeft w:val="0"/>
      <w:marRight w:val="0"/>
      <w:marTop w:val="0"/>
      <w:marBottom w:val="0"/>
      <w:divBdr>
        <w:top w:val="none" w:sz="0" w:space="0" w:color="auto"/>
        <w:left w:val="none" w:sz="0" w:space="0" w:color="auto"/>
        <w:bottom w:val="none" w:sz="0" w:space="0" w:color="auto"/>
        <w:right w:val="none" w:sz="0" w:space="0" w:color="auto"/>
      </w:divBdr>
    </w:div>
    <w:div w:id="75790719">
      <w:bodyDiv w:val="1"/>
      <w:marLeft w:val="0"/>
      <w:marRight w:val="0"/>
      <w:marTop w:val="0"/>
      <w:marBottom w:val="0"/>
      <w:divBdr>
        <w:top w:val="none" w:sz="0" w:space="0" w:color="auto"/>
        <w:left w:val="none" w:sz="0" w:space="0" w:color="auto"/>
        <w:bottom w:val="none" w:sz="0" w:space="0" w:color="auto"/>
        <w:right w:val="none" w:sz="0" w:space="0" w:color="auto"/>
      </w:divBdr>
    </w:div>
    <w:div w:id="76558299">
      <w:bodyDiv w:val="1"/>
      <w:marLeft w:val="0"/>
      <w:marRight w:val="0"/>
      <w:marTop w:val="0"/>
      <w:marBottom w:val="0"/>
      <w:divBdr>
        <w:top w:val="none" w:sz="0" w:space="0" w:color="auto"/>
        <w:left w:val="none" w:sz="0" w:space="0" w:color="auto"/>
        <w:bottom w:val="none" w:sz="0" w:space="0" w:color="auto"/>
        <w:right w:val="none" w:sz="0" w:space="0" w:color="auto"/>
      </w:divBdr>
    </w:div>
    <w:div w:id="76631701">
      <w:bodyDiv w:val="1"/>
      <w:marLeft w:val="0"/>
      <w:marRight w:val="0"/>
      <w:marTop w:val="0"/>
      <w:marBottom w:val="0"/>
      <w:divBdr>
        <w:top w:val="none" w:sz="0" w:space="0" w:color="auto"/>
        <w:left w:val="none" w:sz="0" w:space="0" w:color="auto"/>
        <w:bottom w:val="none" w:sz="0" w:space="0" w:color="auto"/>
        <w:right w:val="none" w:sz="0" w:space="0" w:color="auto"/>
      </w:divBdr>
    </w:div>
    <w:div w:id="76900146">
      <w:bodyDiv w:val="1"/>
      <w:marLeft w:val="0"/>
      <w:marRight w:val="0"/>
      <w:marTop w:val="0"/>
      <w:marBottom w:val="0"/>
      <w:divBdr>
        <w:top w:val="none" w:sz="0" w:space="0" w:color="auto"/>
        <w:left w:val="none" w:sz="0" w:space="0" w:color="auto"/>
        <w:bottom w:val="none" w:sz="0" w:space="0" w:color="auto"/>
        <w:right w:val="none" w:sz="0" w:space="0" w:color="auto"/>
      </w:divBdr>
    </w:div>
    <w:div w:id="78597105">
      <w:bodyDiv w:val="1"/>
      <w:marLeft w:val="0"/>
      <w:marRight w:val="0"/>
      <w:marTop w:val="0"/>
      <w:marBottom w:val="0"/>
      <w:divBdr>
        <w:top w:val="none" w:sz="0" w:space="0" w:color="auto"/>
        <w:left w:val="none" w:sz="0" w:space="0" w:color="auto"/>
        <w:bottom w:val="none" w:sz="0" w:space="0" w:color="auto"/>
        <w:right w:val="none" w:sz="0" w:space="0" w:color="auto"/>
      </w:divBdr>
    </w:div>
    <w:div w:id="78794093">
      <w:bodyDiv w:val="1"/>
      <w:marLeft w:val="0"/>
      <w:marRight w:val="0"/>
      <w:marTop w:val="0"/>
      <w:marBottom w:val="0"/>
      <w:divBdr>
        <w:top w:val="none" w:sz="0" w:space="0" w:color="auto"/>
        <w:left w:val="none" w:sz="0" w:space="0" w:color="auto"/>
        <w:bottom w:val="none" w:sz="0" w:space="0" w:color="auto"/>
        <w:right w:val="none" w:sz="0" w:space="0" w:color="auto"/>
      </w:divBdr>
    </w:div>
    <w:div w:id="78868667">
      <w:bodyDiv w:val="1"/>
      <w:marLeft w:val="0"/>
      <w:marRight w:val="0"/>
      <w:marTop w:val="0"/>
      <w:marBottom w:val="0"/>
      <w:divBdr>
        <w:top w:val="none" w:sz="0" w:space="0" w:color="auto"/>
        <w:left w:val="none" w:sz="0" w:space="0" w:color="auto"/>
        <w:bottom w:val="none" w:sz="0" w:space="0" w:color="auto"/>
        <w:right w:val="none" w:sz="0" w:space="0" w:color="auto"/>
      </w:divBdr>
    </w:div>
    <w:div w:id="79064326">
      <w:bodyDiv w:val="1"/>
      <w:marLeft w:val="0"/>
      <w:marRight w:val="0"/>
      <w:marTop w:val="0"/>
      <w:marBottom w:val="0"/>
      <w:divBdr>
        <w:top w:val="none" w:sz="0" w:space="0" w:color="auto"/>
        <w:left w:val="none" w:sz="0" w:space="0" w:color="auto"/>
        <w:bottom w:val="none" w:sz="0" w:space="0" w:color="auto"/>
        <w:right w:val="none" w:sz="0" w:space="0" w:color="auto"/>
      </w:divBdr>
    </w:div>
    <w:div w:id="80418409">
      <w:bodyDiv w:val="1"/>
      <w:marLeft w:val="0"/>
      <w:marRight w:val="0"/>
      <w:marTop w:val="0"/>
      <w:marBottom w:val="0"/>
      <w:divBdr>
        <w:top w:val="none" w:sz="0" w:space="0" w:color="auto"/>
        <w:left w:val="none" w:sz="0" w:space="0" w:color="auto"/>
        <w:bottom w:val="none" w:sz="0" w:space="0" w:color="auto"/>
        <w:right w:val="none" w:sz="0" w:space="0" w:color="auto"/>
      </w:divBdr>
    </w:div>
    <w:div w:id="80568402">
      <w:bodyDiv w:val="1"/>
      <w:marLeft w:val="0"/>
      <w:marRight w:val="0"/>
      <w:marTop w:val="0"/>
      <w:marBottom w:val="0"/>
      <w:divBdr>
        <w:top w:val="none" w:sz="0" w:space="0" w:color="auto"/>
        <w:left w:val="none" w:sz="0" w:space="0" w:color="auto"/>
        <w:bottom w:val="none" w:sz="0" w:space="0" w:color="auto"/>
        <w:right w:val="none" w:sz="0" w:space="0" w:color="auto"/>
      </w:divBdr>
    </w:div>
    <w:div w:id="82379647">
      <w:bodyDiv w:val="1"/>
      <w:marLeft w:val="0"/>
      <w:marRight w:val="0"/>
      <w:marTop w:val="0"/>
      <w:marBottom w:val="0"/>
      <w:divBdr>
        <w:top w:val="none" w:sz="0" w:space="0" w:color="auto"/>
        <w:left w:val="none" w:sz="0" w:space="0" w:color="auto"/>
        <w:bottom w:val="none" w:sz="0" w:space="0" w:color="auto"/>
        <w:right w:val="none" w:sz="0" w:space="0" w:color="auto"/>
      </w:divBdr>
    </w:div>
    <w:div w:id="83191441">
      <w:bodyDiv w:val="1"/>
      <w:marLeft w:val="0"/>
      <w:marRight w:val="0"/>
      <w:marTop w:val="0"/>
      <w:marBottom w:val="0"/>
      <w:divBdr>
        <w:top w:val="none" w:sz="0" w:space="0" w:color="auto"/>
        <w:left w:val="none" w:sz="0" w:space="0" w:color="auto"/>
        <w:bottom w:val="none" w:sz="0" w:space="0" w:color="auto"/>
        <w:right w:val="none" w:sz="0" w:space="0" w:color="auto"/>
      </w:divBdr>
    </w:div>
    <w:div w:id="84040648">
      <w:bodyDiv w:val="1"/>
      <w:marLeft w:val="0"/>
      <w:marRight w:val="0"/>
      <w:marTop w:val="0"/>
      <w:marBottom w:val="0"/>
      <w:divBdr>
        <w:top w:val="none" w:sz="0" w:space="0" w:color="auto"/>
        <w:left w:val="none" w:sz="0" w:space="0" w:color="auto"/>
        <w:bottom w:val="none" w:sz="0" w:space="0" w:color="auto"/>
        <w:right w:val="none" w:sz="0" w:space="0" w:color="auto"/>
      </w:divBdr>
    </w:div>
    <w:div w:id="84426755">
      <w:bodyDiv w:val="1"/>
      <w:marLeft w:val="0"/>
      <w:marRight w:val="0"/>
      <w:marTop w:val="0"/>
      <w:marBottom w:val="0"/>
      <w:divBdr>
        <w:top w:val="none" w:sz="0" w:space="0" w:color="auto"/>
        <w:left w:val="none" w:sz="0" w:space="0" w:color="auto"/>
        <w:bottom w:val="none" w:sz="0" w:space="0" w:color="auto"/>
        <w:right w:val="none" w:sz="0" w:space="0" w:color="auto"/>
      </w:divBdr>
    </w:div>
    <w:div w:id="84573842">
      <w:bodyDiv w:val="1"/>
      <w:marLeft w:val="0"/>
      <w:marRight w:val="0"/>
      <w:marTop w:val="0"/>
      <w:marBottom w:val="0"/>
      <w:divBdr>
        <w:top w:val="none" w:sz="0" w:space="0" w:color="auto"/>
        <w:left w:val="none" w:sz="0" w:space="0" w:color="auto"/>
        <w:bottom w:val="none" w:sz="0" w:space="0" w:color="auto"/>
        <w:right w:val="none" w:sz="0" w:space="0" w:color="auto"/>
      </w:divBdr>
    </w:div>
    <w:div w:id="84687801">
      <w:bodyDiv w:val="1"/>
      <w:marLeft w:val="0"/>
      <w:marRight w:val="0"/>
      <w:marTop w:val="0"/>
      <w:marBottom w:val="0"/>
      <w:divBdr>
        <w:top w:val="none" w:sz="0" w:space="0" w:color="auto"/>
        <w:left w:val="none" w:sz="0" w:space="0" w:color="auto"/>
        <w:bottom w:val="none" w:sz="0" w:space="0" w:color="auto"/>
        <w:right w:val="none" w:sz="0" w:space="0" w:color="auto"/>
      </w:divBdr>
    </w:div>
    <w:div w:id="85152990">
      <w:bodyDiv w:val="1"/>
      <w:marLeft w:val="0"/>
      <w:marRight w:val="0"/>
      <w:marTop w:val="0"/>
      <w:marBottom w:val="0"/>
      <w:divBdr>
        <w:top w:val="none" w:sz="0" w:space="0" w:color="auto"/>
        <w:left w:val="none" w:sz="0" w:space="0" w:color="auto"/>
        <w:bottom w:val="none" w:sz="0" w:space="0" w:color="auto"/>
        <w:right w:val="none" w:sz="0" w:space="0" w:color="auto"/>
      </w:divBdr>
    </w:div>
    <w:div w:id="85659976">
      <w:bodyDiv w:val="1"/>
      <w:marLeft w:val="0"/>
      <w:marRight w:val="0"/>
      <w:marTop w:val="0"/>
      <w:marBottom w:val="0"/>
      <w:divBdr>
        <w:top w:val="none" w:sz="0" w:space="0" w:color="auto"/>
        <w:left w:val="none" w:sz="0" w:space="0" w:color="auto"/>
        <w:bottom w:val="none" w:sz="0" w:space="0" w:color="auto"/>
        <w:right w:val="none" w:sz="0" w:space="0" w:color="auto"/>
      </w:divBdr>
    </w:div>
    <w:div w:id="85737942">
      <w:bodyDiv w:val="1"/>
      <w:marLeft w:val="0"/>
      <w:marRight w:val="0"/>
      <w:marTop w:val="0"/>
      <w:marBottom w:val="0"/>
      <w:divBdr>
        <w:top w:val="none" w:sz="0" w:space="0" w:color="auto"/>
        <w:left w:val="none" w:sz="0" w:space="0" w:color="auto"/>
        <w:bottom w:val="none" w:sz="0" w:space="0" w:color="auto"/>
        <w:right w:val="none" w:sz="0" w:space="0" w:color="auto"/>
      </w:divBdr>
    </w:div>
    <w:div w:id="87315412">
      <w:bodyDiv w:val="1"/>
      <w:marLeft w:val="0"/>
      <w:marRight w:val="0"/>
      <w:marTop w:val="0"/>
      <w:marBottom w:val="0"/>
      <w:divBdr>
        <w:top w:val="none" w:sz="0" w:space="0" w:color="auto"/>
        <w:left w:val="none" w:sz="0" w:space="0" w:color="auto"/>
        <w:bottom w:val="none" w:sz="0" w:space="0" w:color="auto"/>
        <w:right w:val="none" w:sz="0" w:space="0" w:color="auto"/>
      </w:divBdr>
    </w:div>
    <w:div w:id="87509777">
      <w:bodyDiv w:val="1"/>
      <w:marLeft w:val="0"/>
      <w:marRight w:val="0"/>
      <w:marTop w:val="0"/>
      <w:marBottom w:val="0"/>
      <w:divBdr>
        <w:top w:val="none" w:sz="0" w:space="0" w:color="auto"/>
        <w:left w:val="none" w:sz="0" w:space="0" w:color="auto"/>
        <w:bottom w:val="none" w:sz="0" w:space="0" w:color="auto"/>
        <w:right w:val="none" w:sz="0" w:space="0" w:color="auto"/>
      </w:divBdr>
    </w:div>
    <w:div w:id="87895903">
      <w:bodyDiv w:val="1"/>
      <w:marLeft w:val="0"/>
      <w:marRight w:val="0"/>
      <w:marTop w:val="0"/>
      <w:marBottom w:val="0"/>
      <w:divBdr>
        <w:top w:val="none" w:sz="0" w:space="0" w:color="auto"/>
        <w:left w:val="none" w:sz="0" w:space="0" w:color="auto"/>
        <w:bottom w:val="none" w:sz="0" w:space="0" w:color="auto"/>
        <w:right w:val="none" w:sz="0" w:space="0" w:color="auto"/>
      </w:divBdr>
    </w:div>
    <w:div w:id="89006597">
      <w:bodyDiv w:val="1"/>
      <w:marLeft w:val="0"/>
      <w:marRight w:val="0"/>
      <w:marTop w:val="0"/>
      <w:marBottom w:val="0"/>
      <w:divBdr>
        <w:top w:val="none" w:sz="0" w:space="0" w:color="auto"/>
        <w:left w:val="none" w:sz="0" w:space="0" w:color="auto"/>
        <w:bottom w:val="none" w:sz="0" w:space="0" w:color="auto"/>
        <w:right w:val="none" w:sz="0" w:space="0" w:color="auto"/>
      </w:divBdr>
    </w:div>
    <w:div w:id="89351734">
      <w:bodyDiv w:val="1"/>
      <w:marLeft w:val="0"/>
      <w:marRight w:val="0"/>
      <w:marTop w:val="0"/>
      <w:marBottom w:val="0"/>
      <w:divBdr>
        <w:top w:val="none" w:sz="0" w:space="0" w:color="auto"/>
        <w:left w:val="none" w:sz="0" w:space="0" w:color="auto"/>
        <w:bottom w:val="none" w:sz="0" w:space="0" w:color="auto"/>
        <w:right w:val="none" w:sz="0" w:space="0" w:color="auto"/>
      </w:divBdr>
    </w:div>
    <w:div w:id="90443795">
      <w:bodyDiv w:val="1"/>
      <w:marLeft w:val="0"/>
      <w:marRight w:val="0"/>
      <w:marTop w:val="0"/>
      <w:marBottom w:val="0"/>
      <w:divBdr>
        <w:top w:val="none" w:sz="0" w:space="0" w:color="auto"/>
        <w:left w:val="none" w:sz="0" w:space="0" w:color="auto"/>
        <w:bottom w:val="none" w:sz="0" w:space="0" w:color="auto"/>
        <w:right w:val="none" w:sz="0" w:space="0" w:color="auto"/>
      </w:divBdr>
    </w:div>
    <w:div w:id="92435763">
      <w:bodyDiv w:val="1"/>
      <w:marLeft w:val="0"/>
      <w:marRight w:val="0"/>
      <w:marTop w:val="0"/>
      <w:marBottom w:val="0"/>
      <w:divBdr>
        <w:top w:val="none" w:sz="0" w:space="0" w:color="auto"/>
        <w:left w:val="none" w:sz="0" w:space="0" w:color="auto"/>
        <w:bottom w:val="none" w:sz="0" w:space="0" w:color="auto"/>
        <w:right w:val="none" w:sz="0" w:space="0" w:color="auto"/>
      </w:divBdr>
    </w:div>
    <w:div w:id="93789789">
      <w:bodyDiv w:val="1"/>
      <w:marLeft w:val="0"/>
      <w:marRight w:val="0"/>
      <w:marTop w:val="0"/>
      <w:marBottom w:val="0"/>
      <w:divBdr>
        <w:top w:val="none" w:sz="0" w:space="0" w:color="auto"/>
        <w:left w:val="none" w:sz="0" w:space="0" w:color="auto"/>
        <w:bottom w:val="none" w:sz="0" w:space="0" w:color="auto"/>
        <w:right w:val="none" w:sz="0" w:space="0" w:color="auto"/>
      </w:divBdr>
    </w:div>
    <w:div w:id="93937458">
      <w:bodyDiv w:val="1"/>
      <w:marLeft w:val="0"/>
      <w:marRight w:val="0"/>
      <w:marTop w:val="0"/>
      <w:marBottom w:val="0"/>
      <w:divBdr>
        <w:top w:val="none" w:sz="0" w:space="0" w:color="auto"/>
        <w:left w:val="none" w:sz="0" w:space="0" w:color="auto"/>
        <w:bottom w:val="none" w:sz="0" w:space="0" w:color="auto"/>
        <w:right w:val="none" w:sz="0" w:space="0" w:color="auto"/>
      </w:divBdr>
    </w:div>
    <w:div w:id="95486877">
      <w:bodyDiv w:val="1"/>
      <w:marLeft w:val="0"/>
      <w:marRight w:val="0"/>
      <w:marTop w:val="0"/>
      <w:marBottom w:val="0"/>
      <w:divBdr>
        <w:top w:val="none" w:sz="0" w:space="0" w:color="auto"/>
        <w:left w:val="none" w:sz="0" w:space="0" w:color="auto"/>
        <w:bottom w:val="none" w:sz="0" w:space="0" w:color="auto"/>
        <w:right w:val="none" w:sz="0" w:space="0" w:color="auto"/>
      </w:divBdr>
    </w:div>
    <w:div w:id="96099785">
      <w:bodyDiv w:val="1"/>
      <w:marLeft w:val="0"/>
      <w:marRight w:val="0"/>
      <w:marTop w:val="0"/>
      <w:marBottom w:val="0"/>
      <w:divBdr>
        <w:top w:val="none" w:sz="0" w:space="0" w:color="auto"/>
        <w:left w:val="none" w:sz="0" w:space="0" w:color="auto"/>
        <w:bottom w:val="none" w:sz="0" w:space="0" w:color="auto"/>
        <w:right w:val="none" w:sz="0" w:space="0" w:color="auto"/>
      </w:divBdr>
    </w:div>
    <w:div w:id="96294632">
      <w:bodyDiv w:val="1"/>
      <w:marLeft w:val="0"/>
      <w:marRight w:val="0"/>
      <w:marTop w:val="0"/>
      <w:marBottom w:val="0"/>
      <w:divBdr>
        <w:top w:val="none" w:sz="0" w:space="0" w:color="auto"/>
        <w:left w:val="none" w:sz="0" w:space="0" w:color="auto"/>
        <w:bottom w:val="none" w:sz="0" w:space="0" w:color="auto"/>
        <w:right w:val="none" w:sz="0" w:space="0" w:color="auto"/>
      </w:divBdr>
    </w:div>
    <w:div w:id="96608259">
      <w:bodyDiv w:val="1"/>
      <w:marLeft w:val="0"/>
      <w:marRight w:val="0"/>
      <w:marTop w:val="0"/>
      <w:marBottom w:val="0"/>
      <w:divBdr>
        <w:top w:val="none" w:sz="0" w:space="0" w:color="auto"/>
        <w:left w:val="none" w:sz="0" w:space="0" w:color="auto"/>
        <w:bottom w:val="none" w:sz="0" w:space="0" w:color="auto"/>
        <w:right w:val="none" w:sz="0" w:space="0" w:color="auto"/>
      </w:divBdr>
    </w:div>
    <w:div w:id="97071691">
      <w:bodyDiv w:val="1"/>
      <w:marLeft w:val="0"/>
      <w:marRight w:val="0"/>
      <w:marTop w:val="0"/>
      <w:marBottom w:val="0"/>
      <w:divBdr>
        <w:top w:val="none" w:sz="0" w:space="0" w:color="auto"/>
        <w:left w:val="none" w:sz="0" w:space="0" w:color="auto"/>
        <w:bottom w:val="none" w:sz="0" w:space="0" w:color="auto"/>
        <w:right w:val="none" w:sz="0" w:space="0" w:color="auto"/>
      </w:divBdr>
    </w:div>
    <w:div w:id="98109654">
      <w:bodyDiv w:val="1"/>
      <w:marLeft w:val="0"/>
      <w:marRight w:val="0"/>
      <w:marTop w:val="0"/>
      <w:marBottom w:val="0"/>
      <w:divBdr>
        <w:top w:val="none" w:sz="0" w:space="0" w:color="auto"/>
        <w:left w:val="none" w:sz="0" w:space="0" w:color="auto"/>
        <w:bottom w:val="none" w:sz="0" w:space="0" w:color="auto"/>
        <w:right w:val="none" w:sz="0" w:space="0" w:color="auto"/>
      </w:divBdr>
    </w:div>
    <w:div w:id="98763215">
      <w:bodyDiv w:val="1"/>
      <w:marLeft w:val="0"/>
      <w:marRight w:val="0"/>
      <w:marTop w:val="0"/>
      <w:marBottom w:val="0"/>
      <w:divBdr>
        <w:top w:val="none" w:sz="0" w:space="0" w:color="auto"/>
        <w:left w:val="none" w:sz="0" w:space="0" w:color="auto"/>
        <w:bottom w:val="none" w:sz="0" w:space="0" w:color="auto"/>
        <w:right w:val="none" w:sz="0" w:space="0" w:color="auto"/>
      </w:divBdr>
    </w:div>
    <w:div w:id="99109350">
      <w:bodyDiv w:val="1"/>
      <w:marLeft w:val="0"/>
      <w:marRight w:val="0"/>
      <w:marTop w:val="0"/>
      <w:marBottom w:val="0"/>
      <w:divBdr>
        <w:top w:val="none" w:sz="0" w:space="0" w:color="auto"/>
        <w:left w:val="none" w:sz="0" w:space="0" w:color="auto"/>
        <w:bottom w:val="none" w:sz="0" w:space="0" w:color="auto"/>
        <w:right w:val="none" w:sz="0" w:space="0" w:color="auto"/>
      </w:divBdr>
    </w:div>
    <w:div w:id="99687411">
      <w:bodyDiv w:val="1"/>
      <w:marLeft w:val="0"/>
      <w:marRight w:val="0"/>
      <w:marTop w:val="0"/>
      <w:marBottom w:val="0"/>
      <w:divBdr>
        <w:top w:val="none" w:sz="0" w:space="0" w:color="auto"/>
        <w:left w:val="none" w:sz="0" w:space="0" w:color="auto"/>
        <w:bottom w:val="none" w:sz="0" w:space="0" w:color="auto"/>
        <w:right w:val="none" w:sz="0" w:space="0" w:color="auto"/>
      </w:divBdr>
    </w:div>
    <w:div w:id="101265892">
      <w:bodyDiv w:val="1"/>
      <w:marLeft w:val="0"/>
      <w:marRight w:val="0"/>
      <w:marTop w:val="0"/>
      <w:marBottom w:val="0"/>
      <w:divBdr>
        <w:top w:val="none" w:sz="0" w:space="0" w:color="auto"/>
        <w:left w:val="none" w:sz="0" w:space="0" w:color="auto"/>
        <w:bottom w:val="none" w:sz="0" w:space="0" w:color="auto"/>
        <w:right w:val="none" w:sz="0" w:space="0" w:color="auto"/>
      </w:divBdr>
    </w:div>
    <w:div w:id="102500368">
      <w:bodyDiv w:val="1"/>
      <w:marLeft w:val="0"/>
      <w:marRight w:val="0"/>
      <w:marTop w:val="0"/>
      <w:marBottom w:val="0"/>
      <w:divBdr>
        <w:top w:val="none" w:sz="0" w:space="0" w:color="auto"/>
        <w:left w:val="none" w:sz="0" w:space="0" w:color="auto"/>
        <w:bottom w:val="none" w:sz="0" w:space="0" w:color="auto"/>
        <w:right w:val="none" w:sz="0" w:space="0" w:color="auto"/>
      </w:divBdr>
    </w:div>
    <w:div w:id="102844084">
      <w:bodyDiv w:val="1"/>
      <w:marLeft w:val="0"/>
      <w:marRight w:val="0"/>
      <w:marTop w:val="0"/>
      <w:marBottom w:val="0"/>
      <w:divBdr>
        <w:top w:val="none" w:sz="0" w:space="0" w:color="auto"/>
        <w:left w:val="none" w:sz="0" w:space="0" w:color="auto"/>
        <w:bottom w:val="none" w:sz="0" w:space="0" w:color="auto"/>
        <w:right w:val="none" w:sz="0" w:space="0" w:color="auto"/>
      </w:divBdr>
    </w:div>
    <w:div w:id="104619688">
      <w:bodyDiv w:val="1"/>
      <w:marLeft w:val="0"/>
      <w:marRight w:val="0"/>
      <w:marTop w:val="0"/>
      <w:marBottom w:val="0"/>
      <w:divBdr>
        <w:top w:val="none" w:sz="0" w:space="0" w:color="auto"/>
        <w:left w:val="none" w:sz="0" w:space="0" w:color="auto"/>
        <w:bottom w:val="none" w:sz="0" w:space="0" w:color="auto"/>
        <w:right w:val="none" w:sz="0" w:space="0" w:color="auto"/>
      </w:divBdr>
    </w:div>
    <w:div w:id="105580612">
      <w:bodyDiv w:val="1"/>
      <w:marLeft w:val="0"/>
      <w:marRight w:val="0"/>
      <w:marTop w:val="0"/>
      <w:marBottom w:val="0"/>
      <w:divBdr>
        <w:top w:val="none" w:sz="0" w:space="0" w:color="auto"/>
        <w:left w:val="none" w:sz="0" w:space="0" w:color="auto"/>
        <w:bottom w:val="none" w:sz="0" w:space="0" w:color="auto"/>
        <w:right w:val="none" w:sz="0" w:space="0" w:color="auto"/>
      </w:divBdr>
    </w:div>
    <w:div w:id="105858639">
      <w:bodyDiv w:val="1"/>
      <w:marLeft w:val="0"/>
      <w:marRight w:val="0"/>
      <w:marTop w:val="0"/>
      <w:marBottom w:val="0"/>
      <w:divBdr>
        <w:top w:val="none" w:sz="0" w:space="0" w:color="auto"/>
        <w:left w:val="none" w:sz="0" w:space="0" w:color="auto"/>
        <w:bottom w:val="none" w:sz="0" w:space="0" w:color="auto"/>
        <w:right w:val="none" w:sz="0" w:space="0" w:color="auto"/>
      </w:divBdr>
    </w:div>
    <w:div w:id="106198538">
      <w:bodyDiv w:val="1"/>
      <w:marLeft w:val="0"/>
      <w:marRight w:val="0"/>
      <w:marTop w:val="0"/>
      <w:marBottom w:val="0"/>
      <w:divBdr>
        <w:top w:val="none" w:sz="0" w:space="0" w:color="auto"/>
        <w:left w:val="none" w:sz="0" w:space="0" w:color="auto"/>
        <w:bottom w:val="none" w:sz="0" w:space="0" w:color="auto"/>
        <w:right w:val="none" w:sz="0" w:space="0" w:color="auto"/>
      </w:divBdr>
    </w:div>
    <w:div w:id="107706763">
      <w:bodyDiv w:val="1"/>
      <w:marLeft w:val="0"/>
      <w:marRight w:val="0"/>
      <w:marTop w:val="0"/>
      <w:marBottom w:val="0"/>
      <w:divBdr>
        <w:top w:val="none" w:sz="0" w:space="0" w:color="auto"/>
        <w:left w:val="none" w:sz="0" w:space="0" w:color="auto"/>
        <w:bottom w:val="none" w:sz="0" w:space="0" w:color="auto"/>
        <w:right w:val="none" w:sz="0" w:space="0" w:color="auto"/>
      </w:divBdr>
    </w:div>
    <w:div w:id="110445550">
      <w:bodyDiv w:val="1"/>
      <w:marLeft w:val="0"/>
      <w:marRight w:val="0"/>
      <w:marTop w:val="0"/>
      <w:marBottom w:val="0"/>
      <w:divBdr>
        <w:top w:val="none" w:sz="0" w:space="0" w:color="auto"/>
        <w:left w:val="none" w:sz="0" w:space="0" w:color="auto"/>
        <w:bottom w:val="none" w:sz="0" w:space="0" w:color="auto"/>
        <w:right w:val="none" w:sz="0" w:space="0" w:color="auto"/>
      </w:divBdr>
    </w:div>
    <w:div w:id="110520767">
      <w:bodyDiv w:val="1"/>
      <w:marLeft w:val="0"/>
      <w:marRight w:val="0"/>
      <w:marTop w:val="0"/>
      <w:marBottom w:val="0"/>
      <w:divBdr>
        <w:top w:val="none" w:sz="0" w:space="0" w:color="auto"/>
        <w:left w:val="none" w:sz="0" w:space="0" w:color="auto"/>
        <w:bottom w:val="none" w:sz="0" w:space="0" w:color="auto"/>
        <w:right w:val="none" w:sz="0" w:space="0" w:color="auto"/>
      </w:divBdr>
    </w:div>
    <w:div w:id="114368572">
      <w:bodyDiv w:val="1"/>
      <w:marLeft w:val="0"/>
      <w:marRight w:val="0"/>
      <w:marTop w:val="0"/>
      <w:marBottom w:val="0"/>
      <w:divBdr>
        <w:top w:val="none" w:sz="0" w:space="0" w:color="auto"/>
        <w:left w:val="none" w:sz="0" w:space="0" w:color="auto"/>
        <w:bottom w:val="none" w:sz="0" w:space="0" w:color="auto"/>
        <w:right w:val="none" w:sz="0" w:space="0" w:color="auto"/>
      </w:divBdr>
    </w:div>
    <w:div w:id="115829781">
      <w:bodyDiv w:val="1"/>
      <w:marLeft w:val="0"/>
      <w:marRight w:val="0"/>
      <w:marTop w:val="0"/>
      <w:marBottom w:val="0"/>
      <w:divBdr>
        <w:top w:val="none" w:sz="0" w:space="0" w:color="auto"/>
        <w:left w:val="none" w:sz="0" w:space="0" w:color="auto"/>
        <w:bottom w:val="none" w:sz="0" w:space="0" w:color="auto"/>
        <w:right w:val="none" w:sz="0" w:space="0" w:color="auto"/>
      </w:divBdr>
    </w:div>
    <w:div w:id="116677581">
      <w:bodyDiv w:val="1"/>
      <w:marLeft w:val="0"/>
      <w:marRight w:val="0"/>
      <w:marTop w:val="0"/>
      <w:marBottom w:val="0"/>
      <w:divBdr>
        <w:top w:val="none" w:sz="0" w:space="0" w:color="auto"/>
        <w:left w:val="none" w:sz="0" w:space="0" w:color="auto"/>
        <w:bottom w:val="none" w:sz="0" w:space="0" w:color="auto"/>
        <w:right w:val="none" w:sz="0" w:space="0" w:color="auto"/>
      </w:divBdr>
    </w:div>
    <w:div w:id="116800311">
      <w:bodyDiv w:val="1"/>
      <w:marLeft w:val="0"/>
      <w:marRight w:val="0"/>
      <w:marTop w:val="0"/>
      <w:marBottom w:val="0"/>
      <w:divBdr>
        <w:top w:val="none" w:sz="0" w:space="0" w:color="auto"/>
        <w:left w:val="none" w:sz="0" w:space="0" w:color="auto"/>
        <w:bottom w:val="none" w:sz="0" w:space="0" w:color="auto"/>
        <w:right w:val="none" w:sz="0" w:space="0" w:color="auto"/>
      </w:divBdr>
    </w:div>
    <w:div w:id="118113575">
      <w:bodyDiv w:val="1"/>
      <w:marLeft w:val="0"/>
      <w:marRight w:val="0"/>
      <w:marTop w:val="0"/>
      <w:marBottom w:val="0"/>
      <w:divBdr>
        <w:top w:val="none" w:sz="0" w:space="0" w:color="auto"/>
        <w:left w:val="none" w:sz="0" w:space="0" w:color="auto"/>
        <w:bottom w:val="none" w:sz="0" w:space="0" w:color="auto"/>
        <w:right w:val="none" w:sz="0" w:space="0" w:color="auto"/>
      </w:divBdr>
    </w:div>
    <w:div w:id="118228819">
      <w:bodyDiv w:val="1"/>
      <w:marLeft w:val="0"/>
      <w:marRight w:val="0"/>
      <w:marTop w:val="0"/>
      <w:marBottom w:val="0"/>
      <w:divBdr>
        <w:top w:val="none" w:sz="0" w:space="0" w:color="auto"/>
        <w:left w:val="none" w:sz="0" w:space="0" w:color="auto"/>
        <w:bottom w:val="none" w:sz="0" w:space="0" w:color="auto"/>
        <w:right w:val="none" w:sz="0" w:space="0" w:color="auto"/>
      </w:divBdr>
    </w:div>
    <w:div w:id="118380504">
      <w:bodyDiv w:val="1"/>
      <w:marLeft w:val="0"/>
      <w:marRight w:val="0"/>
      <w:marTop w:val="0"/>
      <w:marBottom w:val="0"/>
      <w:divBdr>
        <w:top w:val="none" w:sz="0" w:space="0" w:color="auto"/>
        <w:left w:val="none" w:sz="0" w:space="0" w:color="auto"/>
        <w:bottom w:val="none" w:sz="0" w:space="0" w:color="auto"/>
        <w:right w:val="none" w:sz="0" w:space="0" w:color="auto"/>
      </w:divBdr>
    </w:div>
    <w:div w:id="121506062">
      <w:bodyDiv w:val="1"/>
      <w:marLeft w:val="0"/>
      <w:marRight w:val="0"/>
      <w:marTop w:val="0"/>
      <w:marBottom w:val="0"/>
      <w:divBdr>
        <w:top w:val="none" w:sz="0" w:space="0" w:color="auto"/>
        <w:left w:val="none" w:sz="0" w:space="0" w:color="auto"/>
        <w:bottom w:val="none" w:sz="0" w:space="0" w:color="auto"/>
        <w:right w:val="none" w:sz="0" w:space="0" w:color="auto"/>
      </w:divBdr>
    </w:div>
    <w:div w:id="121580582">
      <w:bodyDiv w:val="1"/>
      <w:marLeft w:val="0"/>
      <w:marRight w:val="0"/>
      <w:marTop w:val="0"/>
      <w:marBottom w:val="0"/>
      <w:divBdr>
        <w:top w:val="none" w:sz="0" w:space="0" w:color="auto"/>
        <w:left w:val="none" w:sz="0" w:space="0" w:color="auto"/>
        <w:bottom w:val="none" w:sz="0" w:space="0" w:color="auto"/>
        <w:right w:val="none" w:sz="0" w:space="0" w:color="auto"/>
      </w:divBdr>
    </w:div>
    <w:div w:id="121584346">
      <w:bodyDiv w:val="1"/>
      <w:marLeft w:val="0"/>
      <w:marRight w:val="0"/>
      <w:marTop w:val="0"/>
      <w:marBottom w:val="0"/>
      <w:divBdr>
        <w:top w:val="none" w:sz="0" w:space="0" w:color="auto"/>
        <w:left w:val="none" w:sz="0" w:space="0" w:color="auto"/>
        <w:bottom w:val="none" w:sz="0" w:space="0" w:color="auto"/>
        <w:right w:val="none" w:sz="0" w:space="0" w:color="auto"/>
      </w:divBdr>
    </w:div>
    <w:div w:id="124743542">
      <w:bodyDiv w:val="1"/>
      <w:marLeft w:val="0"/>
      <w:marRight w:val="0"/>
      <w:marTop w:val="0"/>
      <w:marBottom w:val="0"/>
      <w:divBdr>
        <w:top w:val="none" w:sz="0" w:space="0" w:color="auto"/>
        <w:left w:val="none" w:sz="0" w:space="0" w:color="auto"/>
        <w:bottom w:val="none" w:sz="0" w:space="0" w:color="auto"/>
        <w:right w:val="none" w:sz="0" w:space="0" w:color="auto"/>
      </w:divBdr>
    </w:div>
    <w:div w:id="124853073">
      <w:bodyDiv w:val="1"/>
      <w:marLeft w:val="0"/>
      <w:marRight w:val="0"/>
      <w:marTop w:val="0"/>
      <w:marBottom w:val="0"/>
      <w:divBdr>
        <w:top w:val="none" w:sz="0" w:space="0" w:color="auto"/>
        <w:left w:val="none" w:sz="0" w:space="0" w:color="auto"/>
        <w:bottom w:val="none" w:sz="0" w:space="0" w:color="auto"/>
        <w:right w:val="none" w:sz="0" w:space="0" w:color="auto"/>
      </w:divBdr>
    </w:div>
    <w:div w:id="126779385">
      <w:bodyDiv w:val="1"/>
      <w:marLeft w:val="0"/>
      <w:marRight w:val="0"/>
      <w:marTop w:val="0"/>
      <w:marBottom w:val="0"/>
      <w:divBdr>
        <w:top w:val="none" w:sz="0" w:space="0" w:color="auto"/>
        <w:left w:val="none" w:sz="0" w:space="0" w:color="auto"/>
        <w:bottom w:val="none" w:sz="0" w:space="0" w:color="auto"/>
        <w:right w:val="none" w:sz="0" w:space="0" w:color="auto"/>
      </w:divBdr>
    </w:div>
    <w:div w:id="127285522">
      <w:bodyDiv w:val="1"/>
      <w:marLeft w:val="0"/>
      <w:marRight w:val="0"/>
      <w:marTop w:val="0"/>
      <w:marBottom w:val="0"/>
      <w:divBdr>
        <w:top w:val="none" w:sz="0" w:space="0" w:color="auto"/>
        <w:left w:val="none" w:sz="0" w:space="0" w:color="auto"/>
        <w:bottom w:val="none" w:sz="0" w:space="0" w:color="auto"/>
        <w:right w:val="none" w:sz="0" w:space="0" w:color="auto"/>
      </w:divBdr>
    </w:div>
    <w:div w:id="127864252">
      <w:bodyDiv w:val="1"/>
      <w:marLeft w:val="0"/>
      <w:marRight w:val="0"/>
      <w:marTop w:val="0"/>
      <w:marBottom w:val="0"/>
      <w:divBdr>
        <w:top w:val="none" w:sz="0" w:space="0" w:color="auto"/>
        <w:left w:val="none" w:sz="0" w:space="0" w:color="auto"/>
        <w:bottom w:val="none" w:sz="0" w:space="0" w:color="auto"/>
        <w:right w:val="none" w:sz="0" w:space="0" w:color="auto"/>
      </w:divBdr>
    </w:div>
    <w:div w:id="127865577">
      <w:bodyDiv w:val="1"/>
      <w:marLeft w:val="0"/>
      <w:marRight w:val="0"/>
      <w:marTop w:val="0"/>
      <w:marBottom w:val="0"/>
      <w:divBdr>
        <w:top w:val="none" w:sz="0" w:space="0" w:color="auto"/>
        <w:left w:val="none" w:sz="0" w:space="0" w:color="auto"/>
        <w:bottom w:val="none" w:sz="0" w:space="0" w:color="auto"/>
        <w:right w:val="none" w:sz="0" w:space="0" w:color="auto"/>
      </w:divBdr>
    </w:div>
    <w:div w:id="128211732">
      <w:bodyDiv w:val="1"/>
      <w:marLeft w:val="0"/>
      <w:marRight w:val="0"/>
      <w:marTop w:val="0"/>
      <w:marBottom w:val="0"/>
      <w:divBdr>
        <w:top w:val="none" w:sz="0" w:space="0" w:color="auto"/>
        <w:left w:val="none" w:sz="0" w:space="0" w:color="auto"/>
        <w:bottom w:val="none" w:sz="0" w:space="0" w:color="auto"/>
        <w:right w:val="none" w:sz="0" w:space="0" w:color="auto"/>
      </w:divBdr>
    </w:div>
    <w:div w:id="128790840">
      <w:bodyDiv w:val="1"/>
      <w:marLeft w:val="0"/>
      <w:marRight w:val="0"/>
      <w:marTop w:val="0"/>
      <w:marBottom w:val="0"/>
      <w:divBdr>
        <w:top w:val="none" w:sz="0" w:space="0" w:color="auto"/>
        <w:left w:val="none" w:sz="0" w:space="0" w:color="auto"/>
        <w:bottom w:val="none" w:sz="0" w:space="0" w:color="auto"/>
        <w:right w:val="none" w:sz="0" w:space="0" w:color="auto"/>
      </w:divBdr>
    </w:div>
    <w:div w:id="128862492">
      <w:bodyDiv w:val="1"/>
      <w:marLeft w:val="0"/>
      <w:marRight w:val="0"/>
      <w:marTop w:val="0"/>
      <w:marBottom w:val="0"/>
      <w:divBdr>
        <w:top w:val="none" w:sz="0" w:space="0" w:color="auto"/>
        <w:left w:val="none" w:sz="0" w:space="0" w:color="auto"/>
        <w:bottom w:val="none" w:sz="0" w:space="0" w:color="auto"/>
        <w:right w:val="none" w:sz="0" w:space="0" w:color="auto"/>
      </w:divBdr>
    </w:div>
    <w:div w:id="128980410">
      <w:bodyDiv w:val="1"/>
      <w:marLeft w:val="0"/>
      <w:marRight w:val="0"/>
      <w:marTop w:val="0"/>
      <w:marBottom w:val="0"/>
      <w:divBdr>
        <w:top w:val="none" w:sz="0" w:space="0" w:color="auto"/>
        <w:left w:val="none" w:sz="0" w:space="0" w:color="auto"/>
        <w:bottom w:val="none" w:sz="0" w:space="0" w:color="auto"/>
        <w:right w:val="none" w:sz="0" w:space="0" w:color="auto"/>
      </w:divBdr>
    </w:div>
    <w:div w:id="130025730">
      <w:bodyDiv w:val="1"/>
      <w:marLeft w:val="0"/>
      <w:marRight w:val="0"/>
      <w:marTop w:val="0"/>
      <w:marBottom w:val="0"/>
      <w:divBdr>
        <w:top w:val="none" w:sz="0" w:space="0" w:color="auto"/>
        <w:left w:val="none" w:sz="0" w:space="0" w:color="auto"/>
        <w:bottom w:val="none" w:sz="0" w:space="0" w:color="auto"/>
        <w:right w:val="none" w:sz="0" w:space="0" w:color="auto"/>
      </w:divBdr>
    </w:div>
    <w:div w:id="130026304">
      <w:bodyDiv w:val="1"/>
      <w:marLeft w:val="0"/>
      <w:marRight w:val="0"/>
      <w:marTop w:val="0"/>
      <w:marBottom w:val="0"/>
      <w:divBdr>
        <w:top w:val="none" w:sz="0" w:space="0" w:color="auto"/>
        <w:left w:val="none" w:sz="0" w:space="0" w:color="auto"/>
        <w:bottom w:val="none" w:sz="0" w:space="0" w:color="auto"/>
        <w:right w:val="none" w:sz="0" w:space="0" w:color="auto"/>
      </w:divBdr>
    </w:div>
    <w:div w:id="130246394">
      <w:bodyDiv w:val="1"/>
      <w:marLeft w:val="0"/>
      <w:marRight w:val="0"/>
      <w:marTop w:val="0"/>
      <w:marBottom w:val="0"/>
      <w:divBdr>
        <w:top w:val="none" w:sz="0" w:space="0" w:color="auto"/>
        <w:left w:val="none" w:sz="0" w:space="0" w:color="auto"/>
        <w:bottom w:val="none" w:sz="0" w:space="0" w:color="auto"/>
        <w:right w:val="none" w:sz="0" w:space="0" w:color="auto"/>
      </w:divBdr>
    </w:div>
    <w:div w:id="130639825">
      <w:bodyDiv w:val="1"/>
      <w:marLeft w:val="0"/>
      <w:marRight w:val="0"/>
      <w:marTop w:val="0"/>
      <w:marBottom w:val="0"/>
      <w:divBdr>
        <w:top w:val="none" w:sz="0" w:space="0" w:color="auto"/>
        <w:left w:val="none" w:sz="0" w:space="0" w:color="auto"/>
        <w:bottom w:val="none" w:sz="0" w:space="0" w:color="auto"/>
        <w:right w:val="none" w:sz="0" w:space="0" w:color="auto"/>
      </w:divBdr>
    </w:div>
    <w:div w:id="131027925">
      <w:bodyDiv w:val="1"/>
      <w:marLeft w:val="0"/>
      <w:marRight w:val="0"/>
      <w:marTop w:val="0"/>
      <w:marBottom w:val="0"/>
      <w:divBdr>
        <w:top w:val="none" w:sz="0" w:space="0" w:color="auto"/>
        <w:left w:val="none" w:sz="0" w:space="0" w:color="auto"/>
        <w:bottom w:val="none" w:sz="0" w:space="0" w:color="auto"/>
        <w:right w:val="none" w:sz="0" w:space="0" w:color="auto"/>
      </w:divBdr>
    </w:div>
    <w:div w:id="131170235">
      <w:bodyDiv w:val="1"/>
      <w:marLeft w:val="0"/>
      <w:marRight w:val="0"/>
      <w:marTop w:val="0"/>
      <w:marBottom w:val="0"/>
      <w:divBdr>
        <w:top w:val="none" w:sz="0" w:space="0" w:color="auto"/>
        <w:left w:val="none" w:sz="0" w:space="0" w:color="auto"/>
        <w:bottom w:val="none" w:sz="0" w:space="0" w:color="auto"/>
        <w:right w:val="none" w:sz="0" w:space="0" w:color="auto"/>
      </w:divBdr>
    </w:div>
    <w:div w:id="131824630">
      <w:bodyDiv w:val="1"/>
      <w:marLeft w:val="0"/>
      <w:marRight w:val="0"/>
      <w:marTop w:val="0"/>
      <w:marBottom w:val="0"/>
      <w:divBdr>
        <w:top w:val="none" w:sz="0" w:space="0" w:color="auto"/>
        <w:left w:val="none" w:sz="0" w:space="0" w:color="auto"/>
        <w:bottom w:val="none" w:sz="0" w:space="0" w:color="auto"/>
        <w:right w:val="none" w:sz="0" w:space="0" w:color="auto"/>
      </w:divBdr>
    </w:div>
    <w:div w:id="132141231">
      <w:bodyDiv w:val="1"/>
      <w:marLeft w:val="0"/>
      <w:marRight w:val="0"/>
      <w:marTop w:val="0"/>
      <w:marBottom w:val="0"/>
      <w:divBdr>
        <w:top w:val="none" w:sz="0" w:space="0" w:color="auto"/>
        <w:left w:val="none" w:sz="0" w:space="0" w:color="auto"/>
        <w:bottom w:val="none" w:sz="0" w:space="0" w:color="auto"/>
        <w:right w:val="none" w:sz="0" w:space="0" w:color="auto"/>
      </w:divBdr>
    </w:div>
    <w:div w:id="132871803">
      <w:bodyDiv w:val="1"/>
      <w:marLeft w:val="0"/>
      <w:marRight w:val="0"/>
      <w:marTop w:val="0"/>
      <w:marBottom w:val="0"/>
      <w:divBdr>
        <w:top w:val="none" w:sz="0" w:space="0" w:color="auto"/>
        <w:left w:val="none" w:sz="0" w:space="0" w:color="auto"/>
        <w:bottom w:val="none" w:sz="0" w:space="0" w:color="auto"/>
        <w:right w:val="none" w:sz="0" w:space="0" w:color="auto"/>
      </w:divBdr>
    </w:div>
    <w:div w:id="132985774">
      <w:bodyDiv w:val="1"/>
      <w:marLeft w:val="0"/>
      <w:marRight w:val="0"/>
      <w:marTop w:val="0"/>
      <w:marBottom w:val="0"/>
      <w:divBdr>
        <w:top w:val="none" w:sz="0" w:space="0" w:color="auto"/>
        <w:left w:val="none" w:sz="0" w:space="0" w:color="auto"/>
        <w:bottom w:val="none" w:sz="0" w:space="0" w:color="auto"/>
        <w:right w:val="none" w:sz="0" w:space="0" w:color="auto"/>
      </w:divBdr>
    </w:div>
    <w:div w:id="133060383">
      <w:bodyDiv w:val="1"/>
      <w:marLeft w:val="0"/>
      <w:marRight w:val="0"/>
      <w:marTop w:val="0"/>
      <w:marBottom w:val="0"/>
      <w:divBdr>
        <w:top w:val="none" w:sz="0" w:space="0" w:color="auto"/>
        <w:left w:val="none" w:sz="0" w:space="0" w:color="auto"/>
        <w:bottom w:val="none" w:sz="0" w:space="0" w:color="auto"/>
        <w:right w:val="none" w:sz="0" w:space="0" w:color="auto"/>
      </w:divBdr>
    </w:div>
    <w:div w:id="133759731">
      <w:bodyDiv w:val="1"/>
      <w:marLeft w:val="0"/>
      <w:marRight w:val="0"/>
      <w:marTop w:val="0"/>
      <w:marBottom w:val="0"/>
      <w:divBdr>
        <w:top w:val="none" w:sz="0" w:space="0" w:color="auto"/>
        <w:left w:val="none" w:sz="0" w:space="0" w:color="auto"/>
        <w:bottom w:val="none" w:sz="0" w:space="0" w:color="auto"/>
        <w:right w:val="none" w:sz="0" w:space="0" w:color="auto"/>
      </w:divBdr>
    </w:div>
    <w:div w:id="134417097">
      <w:bodyDiv w:val="1"/>
      <w:marLeft w:val="0"/>
      <w:marRight w:val="0"/>
      <w:marTop w:val="0"/>
      <w:marBottom w:val="0"/>
      <w:divBdr>
        <w:top w:val="none" w:sz="0" w:space="0" w:color="auto"/>
        <w:left w:val="none" w:sz="0" w:space="0" w:color="auto"/>
        <w:bottom w:val="none" w:sz="0" w:space="0" w:color="auto"/>
        <w:right w:val="none" w:sz="0" w:space="0" w:color="auto"/>
      </w:divBdr>
    </w:div>
    <w:div w:id="134808244">
      <w:bodyDiv w:val="1"/>
      <w:marLeft w:val="0"/>
      <w:marRight w:val="0"/>
      <w:marTop w:val="0"/>
      <w:marBottom w:val="0"/>
      <w:divBdr>
        <w:top w:val="none" w:sz="0" w:space="0" w:color="auto"/>
        <w:left w:val="none" w:sz="0" w:space="0" w:color="auto"/>
        <w:bottom w:val="none" w:sz="0" w:space="0" w:color="auto"/>
        <w:right w:val="none" w:sz="0" w:space="0" w:color="auto"/>
      </w:divBdr>
    </w:div>
    <w:div w:id="135756194">
      <w:bodyDiv w:val="1"/>
      <w:marLeft w:val="0"/>
      <w:marRight w:val="0"/>
      <w:marTop w:val="0"/>
      <w:marBottom w:val="0"/>
      <w:divBdr>
        <w:top w:val="none" w:sz="0" w:space="0" w:color="auto"/>
        <w:left w:val="none" w:sz="0" w:space="0" w:color="auto"/>
        <w:bottom w:val="none" w:sz="0" w:space="0" w:color="auto"/>
        <w:right w:val="none" w:sz="0" w:space="0" w:color="auto"/>
      </w:divBdr>
    </w:div>
    <w:div w:id="137112167">
      <w:bodyDiv w:val="1"/>
      <w:marLeft w:val="0"/>
      <w:marRight w:val="0"/>
      <w:marTop w:val="0"/>
      <w:marBottom w:val="0"/>
      <w:divBdr>
        <w:top w:val="none" w:sz="0" w:space="0" w:color="auto"/>
        <w:left w:val="none" w:sz="0" w:space="0" w:color="auto"/>
        <w:bottom w:val="none" w:sz="0" w:space="0" w:color="auto"/>
        <w:right w:val="none" w:sz="0" w:space="0" w:color="auto"/>
      </w:divBdr>
    </w:div>
    <w:div w:id="137500562">
      <w:bodyDiv w:val="1"/>
      <w:marLeft w:val="0"/>
      <w:marRight w:val="0"/>
      <w:marTop w:val="0"/>
      <w:marBottom w:val="0"/>
      <w:divBdr>
        <w:top w:val="none" w:sz="0" w:space="0" w:color="auto"/>
        <w:left w:val="none" w:sz="0" w:space="0" w:color="auto"/>
        <w:bottom w:val="none" w:sz="0" w:space="0" w:color="auto"/>
        <w:right w:val="none" w:sz="0" w:space="0" w:color="auto"/>
      </w:divBdr>
    </w:div>
    <w:div w:id="137577244">
      <w:bodyDiv w:val="1"/>
      <w:marLeft w:val="0"/>
      <w:marRight w:val="0"/>
      <w:marTop w:val="0"/>
      <w:marBottom w:val="0"/>
      <w:divBdr>
        <w:top w:val="none" w:sz="0" w:space="0" w:color="auto"/>
        <w:left w:val="none" w:sz="0" w:space="0" w:color="auto"/>
        <w:bottom w:val="none" w:sz="0" w:space="0" w:color="auto"/>
        <w:right w:val="none" w:sz="0" w:space="0" w:color="auto"/>
      </w:divBdr>
    </w:div>
    <w:div w:id="139271232">
      <w:bodyDiv w:val="1"/>
      <w:marLeft w:val="0"/>
      <w:marRight w:val="0"/>
      <w:marTop w:val="0"/>
      <w:marBottom w:val="0"/>
      <w:divBdr>
        <w:top w:val="none" w:sz="0" w:space="0" w:color="auto"/>
        <w:left w:val="none" w:sz="0" w:space="0" w:color="auto"/>
        <w:bottom w:val="none" w:sz="0" w:space="0" w:color="auto"/>
        <w:right w:val="none" w:sz="0" w:space="0" w:color="auto"/>
      </w:divBdr>
    </w:div>
    <w:div w:id="139277659">
      <w:bodyDiv w:val="1"/>
      <w:marLeft w:val="0"/>
      <w:marRight w:val="0"/>
      <w:marTop w:val="0"/>
      <w:marBottom w:val="0"/>
      <w:divBdr>
        <w:top w:val="none" w:sz="0" w:space="0" w:color="auto"/>
        <w:left w:val="none" w:sz="0" w:space="0" w:color="auto"/>
        <w:bottom w:val="none" w:sz="0" w:space="0" w:color="auto"/>
        <w:right w:val="none" w:sz="0" w:space="0" w:color="auto"/>
      </w:divBdr>
    </w:div>
    <w:div w:id="140120140">
      <w:bodyDiv w:val="1"/>
      <w:marLeft w:val="0"/>
      <w:marRight w:val="0"/>
      <w:marTop w:val="0"/>
      <w:marBottom w:val="0"/>
      <w:divBdr>
        <w:top w:val="none" w:sz="0" w:space="0" w:color="auto"/>
        <w:left w:val="none" w:sz="0" w:space="0" w:color="auto"/>
        <w:bottom w:val="none" w:sz="0" w:space="0" w:color="auto"/>
        <w:right w:val="none" w:sz="0" w:space="0" w:color="auto"/>
      </w:divBdr>
    </w:div>
    <w:div w:id="140120371">
      <w:bodyDiv w:val="1"/>
      <w:marLeft w:val="0"/>
      <w:marRight w:val="0"/>
      <w:marTop w:val="0"/>
      <w:marBottom w:val="0"/>
      <w:divBdr>
        <w:top w:val="none" w:sz="0" w:space="0" w:color="auto"/>
        <w:left w:val="none" w:sz="0" w:space="0" w:color="auto"/>
        <w:bottom w:val="none" w:sz="0" w:space="0" w:color="auto"/>
        <w:right w:val="none" w:sz="0" w:space="0" w:color="auto"/>
      </w:divBdr>
    </w:div>
    <w:div w:id="141123442">
      <w:bodyDiv w:val="1"/>
      <w:marLeft w:val="0"/>
      <w:marRight w:val="0"/>
      <w:marTop w:val="0"/>
      <w:marBottom w:val="0"/>
      <w:divBdr>
        <w:top w:val="none" w:sz="0" w:space="0" w:color="auto"/>
        <w:left w:val="none" w:sz="0" w:space="0" w:color="auto"/>
        <w:bottom w:val="none" w:sz="0" w:space="0" w:color="auto"/>
        <w:right w:val="none" w:sz="0" w:space="0" w:color="auto"/>
      </w:divBdr>
    </w:div>
    <w:div w:id="141430280">
      <w:bodyDiv w:val="1"/>
      <w:marLeft w:val="0"/>
      <w:marRight w:val="0"/>
      <w:marTop w:val="0"/>
      <w:marBottom w:val="0"/>
      <w:divBdr>
        <w:top w:val="none" w:sz="0" w:space="0" w:color="auto"/>
        <w:left w:val="none" w:sz="0" w:space="0" w:color="auto"/>
        <w:bottom w:val="none" w:sz="0" w:space="0" w:color="auto"/>
        <w:right w:val="none" w:sz="0" w:space="0" w:color="auto"/>
      </w:divBdr>
    </w:div>
    <w:div w:id="141510220">
      <w:bodyDiv w:val="1"/>
      <w:marLeft w:val="0"/>
      <w:marRight w:val="0"/>
      <w:marTop w:val="0"/>
      <w:marBottom w:val="0"/>
      <w:divBdr>
        <w:top w:val="none" w:sz="0" w:space="0" w:color="auto"/>
        <w:left w:val="none" w:sz="0" w:space="0" w:color="auto"/>
        <w:bottom w:val="none" w:sz="0" w:space="0" w:color="auto"/>
        <w:right w:val="none" w:sz="0" w:space="0" w:color="auto"/>
      </w:divBdr>
    </w:div>
    <w:div w:id="144594865">
      <w:bodyDiv w:val="1"/>
      <w:marLeft w:val="0"/>
      <w:marRight w:val="0"/>
      <w:marTop w:val="0"/>
      <w:marBottom w:val="0"/>
      <w:divBdr>
        <w:top w:val="none" w:sz="0" w:space="0" w:color="auto"/>
        <w:left w:val="none" w:sz="0" w:space="0" w:color="auto"/>
        <w:bottom w:val="none" w:sz="0" w:space="0" w:color="auto"/>
        <w:right w:val="none" w:sz="0" w:space="0" w:color="auto"/>
      </w:divBdr>
    </w:div>
    <w:div w:id="144980162">
      <w:bodyDiv w:val="1"/>
      <w:marLeft w:val="0"/>
      <w:marRight w:val="0"/>
      <w:marTop w:val="0"/>
      <w:marBottom w:val="0"/>
      <w:divBdr>
        <w:top w:val="none" w:sz="0" w:space="0" w:color="auto"/>
        <w:left w:val="none" w:sz="0" w:space="0" w:color="auto"/>
        <w:bottom w:val="none" w:sz="0" w:space="0" w:color="auto"/>
        <w:right w:val="none" w:sz="0" w:space="0" w:color="auto"/>
      </w:divBdr>
    </w:div>
    <w:div w:id="145436181">
      <w:bodyDiv w:val="1"/>
      <w:marLeft w:val="0"/>
      <w:marRight w:val="0"/>
      <w:marTop w:val="0"/>
      <w:marBottom w:val="0"/>
      <w:divBdr>
        <w:top w:val="none" w:sz="0" w:space="0" w:color="auto"/>
        <w:left w:val="none" w:sz="0" w:space="0" w:color="auto"/>
        <w:bottom w:val="none" w:sz="0" w:space="0" w:color="auto"/>
        <w:right w:val="none" w:sz="0" w:space="0" w:color="auto"/>
      </w:divBdr>
    </w:div>
    <w:div w:id="145587446">
      <w:bodyDiv w:val="1"/>
      <w:marLeft w:val="0"/>
      <w:marRight w:val="0"/>
      <w:marTop w:val="0"/>
      <w:marBottom w:val="0"/>
      <w:divBdr>
        <w:top w:val="none" w:sz="0" w:space="0" w:color="auto"/>
        <w:left w:val="none" w:sz="0" w:space="0" w:color="auto"/>
        <w:bottom w:val="none" w:sz="0" w:space="0" w:color="auto"/>
        <w:right w:val="none" w:sz="0" w:space="0" w:color="auto"/>
      </w:divBdr>
    </w:div>
    <w:div w:id="146243514">
      <w:bodyDiv w:val="1"/>
      <w:marLeft w:val="0"/>
      <w:marRight w:val="0"/>
      <w:marTop w:val="0"/>
      <w:marBottom w:val="0"/>
      <w:divBdr>
        <w:top w:val="none" w:sz="0" w:space="0" w:color="auto"/>
        <w:left w:val="none" w:sz="0" w:space="0" w:color="auto"/>
        <w:bottom w:val="none" w:sz="0" w:space="0" w:color="auto"/>
        <w:right w:val="none" w:sz="0" w:space="0" w:color="auto"/>
      </w:divBdr>
    </w:div>
    <w:div w:id="146283249">
      <w:bodyDiv w:val="1"/>
      <w:marLeft w:val="0"/>
      <w:marRight w:val="0"/>
      <w:marTop w:val="0"/>
      <w:marBottom w:val="0"/>
      <w:divBdr>
        <w:top w:val="none" w:sz="0" w:space="0" w:color="auto"/>
        <w:left w:val="none" w:sz="0" w:space="0" w:color="auto"/>
        <w:bottom w:val="none" w:sz="0" w:space="0" w:color="auto"/>
        <w:right w:val="none" w:sz="0" w:space="0" w:color="auto"/>
      </w:divBdr>
    </w:div>
    <w:div w:id="147675059">
      <w:bodyDiv w:val="1"/>
      <w:marLeft w:val="0"/>
      <w:marRight w:val="0"/>
      <w:marTop w:val="0"/>
      <w:marBottom w:val="0"/>
      <w:divBdr>
        <w:top w:val="none" w:sz="0" w:space="0" w:color="auto"/>
        <w:left w:val="none" w:sz="0" w:space="0" w:color="auto"/>
        <w:bottom w:val="none" w:sz="0" w:space="0" w:color="auto"/>
        <w:right w:val="none" w:sz="0" w:space="0" w:color="auto"/>
      </w:divBdr>
    </w:div>
    <w:div w:id="148137382">
      <w:bodyDiv w:val="1"/>
      <w:marLeft w:val="0"/>
      <w:marRight w:val="0"/>
      <w:marTop w:val="0"/>
      <w:marBottom w:val="0"/>
      <w:divBdr>
        <w:top w:val="none" w:sz="0" w:space="0" w:color="auto"/>
        <w:left w:val="none" w:sz="0" w:space="0" w:color="auto"/>
        <w:bottom w:val="none" w:sz="0" w:space="0" w:color="auto"/>
        <w:right w:val="none" w:sz="0" w:space="0" w:color="auto"/>
      </w:divBdr>
    </w:div>
    <w:div w:id="149029113">
      <w:bodyDiv w:val="1"/>
      <w:marLeft w:val="0"/>
      <w:marRight w:val="0"/>
      <w:marTop w:val="0"/>
      <w:marBottom w:val="0"/>
      <w:divBdr>
        <w:top w:val="none" w:sz="0" w:space="0" w:color="auto"/>
        <w:left w:val="none" w:sz="0" w:space="0" w:color="auto"/>
        <w:bottom w:val="none" w:sz="0" w:space="0" w:color="auto"/>
        <w:right w:val="none" w:sz="0" w:space="0" w:color="auto"/>
      </w:divBdr>
    </w:div>
    <w:div w:id="149297139">
      <w:bodyDiv w:val="1"/>
      <w:marLeft w:val="0"/>
      <w:marRight w:val="0"/>
      <w:marTop w:val="0"/>
      <w:marBottom w:val="0"/>
      <w:divBdr>
        <w:top w:val="none" w:sz="0" w:space="0" w:color="auto"/>
        <w:left w:val="none" w:sz="0" w:space="0" w:color="auto"/>
        <w:bottom w:val="none" w:sz="0" w:space="0" w:color="auto"/>
        <w:right w:val="none" w:sz="0" w:space="0" w:color="auto"/>
      </w:divBdr>
    </w:div>
    <w:div w:id="149446648">
      <w:bodyDiv w:val="1"/>
      <w:marLeft w:val="0"/>
      <w:marRight w:val="0"/>
      <w:marTop w:val="0"/>
      <w:marBottom w:val="0"/>
      <w:divBdr>
        <w:top w:val="none" w:sz="0" w:space="0" w:color="auto"/>
        <w:left w:val="none" w:sz="0" w:space="0" w:color="auto"/>
        <w:bottom w:val="none" w:sz="0" w:space="0" w:color="auto"/>
        <w:right w:val="none" w:sz="0" w:space="0" w:color="auto"/>
      </w:divBdr>
    </w:div>
    <w:div w:id="150102164">
      <w:bodyDiv w:val="1"/>
      <w:marLeft w:val="0"/>
      <w:marRight w:val="0"/>
      <w:marTop w:val="0"/>
      <w:marBottom w:val="0"/>
      <w:divBdr>
        <w:top w:val="none" w:sz="0" w:space="0" w:color="auto"/>
        <w:left w:val="none" w:sz="0" w:space="0" w:color="auto"/>
        <w:bottom w:val="none" w:sz="0" w:space="0" w:color="auto"/>
        <w:right w:val="none" w:sz="0" w:space="0" w:color="auto"/>
      </w:divBdr>
    </w:div>
    <w:div w:id="151877904">
      <w:bodyDiv w:val="1"/>
      <w:marLeft w:val="0"/>
      <w:marRight w:val="0"/>
      <w:marTop w:val="0"/>
      <w:marBottom w:val="0"/>
      <w:divBdr>
        <w:top w:val="none" w:sz="0" w:space="0" w:color="auto"/>
        <w:left w:val="none" w:sz="0" w:space="0" w:color="auto"/>
        <w:bottom w:val="none" w:sz="0" w:space="0" w:color="auto"/>
        <w:right w:val="none" w:sz="0" w:space="0" w:color="auto"/>
      </w:divBdr>
    </w:div>
    <w:div w:id="152568782">
      <w:bodyDiv w:val="1"/>
      <w:marLeft w:val="0"/>
      <w:marRight w:val="0"/>
      <w:marTop w:val="0"/>
      <w:marBottom w:val="0"/>
      <w:divBdr>
        <w:top w:val="none" w:sz="0" w:space="0" w:color="auto"/>
        <w:left w:val="none" w:sz="0" w:space="0" w:color="auto"/>
        <w:bottom w:val="none" w:sz="0" w:space="0" w:color="auto"/>
        <w:right w:val="none" w:sz="0" w:space="0" w:color="auto"/>
      </w:divBdr>
    </w:div>
    <w:div w:id="153254736">
      <w:bodyDiv w:val="1"/>
      <w:marLeft w:val="0"/>
      <w:marRight w:val="0"/>
      <w:marTop w:val="0"/>
      <w:marBottom w:val="0"/>
      <w:divBdr>
        <w:top w:val="none" w:sz="0" w:space="0" w:color="auto"/>
        <w:left w:val="none" w:sz="0" w:space="0" w:color="auto"/>
        <w:bottom w:val="none" w:sz="0" w:space="0" w:color="auto"/>
        <w:right w:val="none" w:sz="0" w:space="0" w:color="auto"/>
      </w:divBdr>
    </w:div>
    <w:div w:id="153643105">
      <w:bodyDiv w:val="1"/>
      <w:marLeft w:val="0"/>
      <w:marRight w:val="0"/>
      <w:marTop w:val="0"/>
      <w:marBottom w:val="0"/>
      <w:divBdr>
        <w:top w:val="none" w:sz="0" w:space="0" w:color="auto"/>
        <w:left w:val="none" w:sz="0" w:space="0" w:color="auto"/>
        <w:bottom w:val="none" w:sz="0" w:space="0" w:color="auto"/>
        <w:right w:val="none" w:sz="0" w:space="0" w:color="auto"/>
      </w:divBdr>
    </w:div>
    <w:div w:id="153648500">
      <w:bodyDiv w:val="1"/>
      <w:marLeft w:val="0"/>
      <w:marRight w:val="0"/>
      <w:marTop w:val="0"/>
      <w:marBottom w:val="0"/>
      <w:divBdr>
        <w:top w:val="none" w:sz="0" w:space="0" w:color="auto"/>
        <w:left w:val="none" w:sz="0" w:space="0" w:color="auto"/>
        <w:bottom w:val="none" w:sz="0" w:space="0" w:color="auto"/>
        <w:right w:val="none" w:sz="0" w:space="0" w:color="auto"/>
      </w:divBdr>
    </w:div>
    <w:div w:id="153687561">
      <w:bodyDiv w:val="1"/>
      <w:marLeft w:val="0"/>
      <w:marRight w:val="0"/>
      <w:marTop w:val="0"/>
      <w:marBottom w:val="0"/>
      <w:divBdr>
        <w:top w:val="none" w:sz="0" w:space="0" w:color="auto"/>
        <w:left w:val="none" w:sz="0" w:space="0" w:color="auto"/>
        <w:bottom w:val="none" w:sz="0" w:space="0" w:color="auto"/>
        <w:right w:val="none" w:sz="0" w:space="0" w:color="auto"/>
      </w:divBdr>
    </w:div>
    <w:div w:id="154423731">
      <w:bodyDiv w:val="1"/>
      <w:marLeft w:val="0"/>
      <w:marRight w:val="0"/>
      <w:marTop w:val="0"/>
      <w:marBottom w:val="0"/>
      <w:divBdr>
        <w:top w:val="none" w:sz="0" w:space="0" w:color="auto"/>
        <w:left w:val="none" w:sz="0" w:space="0" w:color="auto"/>
        <w:bottom w:val="none" w:sz="0" w:space="0" w:color="auto"/>
        <w:right w:val="none" w:sz="0" w:space="0" w:color="auto"/>
      </w:divBdr>
    </w:div>
    <w:div w:id="154928683">
      <w:bodyDiv w:val="1"/>
      <w:marLeft w:val="0"/>
      <w:marRight w:val="0"/>
      <w:marTop w:val="0"/>
      <w:marBottom w:val="0"/>
      <w:divBdr>
        <w:top w:val="none" w:sz="0" w:space="0" w:color="auto"/>
        <w:left w:val="none" w:sz="0" w:space="0" w:color="auto"/>
        <w:bottom w:val="none" w:sz="0" w:space="0" w:color="auto"/>
        <w:right w:val="none" w:sz="0" w:space="0" w:color="auto"/>
      </w:divBdr>
    </w:div>
    <w:div w:id="155076838">
      <w:bodyDiv w:val="1"/>
      <w:marLeft w:val="0"/>
      <w:marRight w:val="0"/>
      <w:marTop w:val="0"/>
      <w:marBottom w:val="0"/>
      <w:divBdr>
        <w:top w:val="none" w:sz="0" w:space="0" w:color="auto"/>
        <w:left w:val="none" w:sz="0" w:space="0" w:color="auto"/>
        <w:bottom w:val="none" w:sz="0" w:space="0" w:color="auto"/>
        <w:right w:val="none" w:sz="0" w:space="0" w:color="auto"/>
      </w:divBdr>
    </w:div>
    <w:div w:id="158271758">
      <w:bodyDiv w:val="1"/>
      <w:marLeft w:val="0"/>
      <w:marRight w:val="0"/>
      <w:marTop w:val="0"/>
      <w:marBottom w:val="0"/>
      <w:divBdr>
        <w:top w:val="none" w:sz="0" w:space="0" w:color="auto"/>
        <w:left w:val="none" w:sz="0" w:space="0" w:color="auto"/>
        <w:bottom w:val="none" w:sz="0" w:space="0" w:color="auto"/>
        <w:right w:val="none" w:sz="0" w:space="0" w:color="auto"/>
      </w:divBdr>
    </w:div>
    <w:div w:id="158471236">
      <w:bodyDiv w:val="1"/>
      <w:marLeft w:val="0"/>
      <w:marRight w:val="0"/>
      <w:marTop w:val="0"/>
      <w:marBottom w:val="0"/>
      <w:divBdr>
        <w:top w:val="none" w:sz="0" w:space="0" w:color="auto"/>
        <w:left w:val="none" w:sz="0" w:space="0" w:color="auto"/>
        <w:bottom w:val="none" w:sz="0" w:space="0" w:color="auto"/>
        <w:right w:val="none" w:sz="0" w:space="0" w:color="auto"/>
      </w:divBdr>
    </w:div>
    <w:div w:id="159153763">
      <w:bodyDiv w:val="1"/>
      <w:marLeft w:val="0"/>
      <w:marRight w:val="0"/>
      <w:marTop w:val="0"/>
      <w:marBottom w:val="0"/>
      <w:divBdr>
        <w:top w:val="none" w:sz="0" w:space="0" w:color="auto"/>
        <w:left w:val="none" w:sz="0" w:space="0" w:color="auto"/>
        <w:bottom w:val="none" w:sz="0" w:space="0" w:color="auto"/>
        <w:right w:val="none" w:sz="0" w:space="0" w:color="auto"/>
      </w:divBdr>
    </w:div>
    <w:div w:id="160463749">
      <w:bodyDiv w:val="1"/>
      <w:marLeft w:val="0"/>
      <w:marRight w:val="0"/>
      <w:marTop w:val="0"/>
      <w:marBottom w:val="0"/>
      <w:divBdr>
        <w:top w:val="none" w:sz="0" w:space="0" w:color="auto"/>
        <w:left w:val="none" w:sz="0" w:space="0" w:color="auto"/>
        <w:bottom w:val="none" w:sz="0" w:space="0" w:color="auto"/>
        <w:right w:val="none" w:sz="0" w:space="0" w:color="auto"/>
      </w:divBdr>
    </w:div>
    <w:div w:id="160850224">
      <w:bodyDiv w:val="1"/>
      <w:marLeft w:val="0"/>
      <w:marRight w:val="0"/>
      <w:marTop w:val="0"/>
      <w:marBottom w:val="0"/>
      <w:divBdr>
        <w:top w:val="none" w:sz="0" w:space="0" w:color="auto"/>
        <w:left w:val="none" w:sz="0" w:space="0" w:color="auto"/>
        <w:bottom w:val="none" w:sz="0" w:space="0" w:color="auto"/>
        <w:right w:val="none" w:sz="0" w:space="0" w:color="auto"/>
      </w:divBdr>
    </w:div>
    <w:div w:id="162357657">
      <w:bodyDiv w:val="1"/>
      <w:marLeft w:val="0"/>
      <w:marRight w:val="0"/>
      <w:marTop w:val="0"/>
      <w:marBottom w:val="0"/>
      <w:divBdr>
        <w:top w:val="none" w:sz="0" w:space="0" w:color="auto"/>
        <w:left w:val="none" w:sz="0" w:space="0" w:color="auto"/>
        <w:bottom w:val="none" w:sz="0" w:space="0" w:color="auto"/>
        <w:right w:val="none" w:sz="0" w:space="0" w:color="auto"/>
      </w:divBdr>
    </w:div>
    <w:div w:id="162816782">
      <w:bodyDiv w:val="1"/>
      <w:marLeft w:val="0"/>
      <w:marRight w:val="0"/>
      <w:marTop w:val="0"/>
      <w:marBottom w:val="0"/>
      <w:divBdr>
        <w:top w:val="none" w:sz="0" w:space="0" w:color="auto"/>
        <w:left w:val="none" w:sz="0" w:space="0" w:color="auto"/>
        <w:bottom w:val="none" w:sz="0" w:space="0" w:color="auto"/>
        <w:right w:val="none" w:sz="0" w:space="0" w:color="auto"/>
      </w:divBdr>
    </w:div>
    <w:div w:id="163054493">
      <w:bodyDiv w:val="1"/>
      <w:marLeft w:val="0"/>
      <w:marRight w:val="0"/>
      <w:marTop w:val="0"/>
      <w:marBottom w:val="0"/>
      <w:divBdr>
        <w:top w:val="none" w:sz="0" w:space="0" w:color="auto"/>
        <w:left w:val="none" w:sz="0" w:space="0" w:color="auto"/>
        <w:bottom w:val="none" w:sz="0" w:space="0" w:color="auto"/>
        <w:right w:val="none" w:sz="0" w:space="0" w:color="auto"/>
      </w:divBdr>
    </w:div>
    <w:div w:id="163397628">
      <w:bodyDiv w:val="1"/>
      <w:marLeft w:val="0"/>
      <w:marRight w:val="0"/>
      <w:marTop w:val="0"/>
      <w:marBottom w:val="0"/>
      <w:divBdr>
        <w:top w:val="none" w:sz="0" w:space="0" w:color="auto"/>
        <w:left w:val="none" w:sz="0" w:space="0" w:color="auto"/>
        <w:bottom w:val="none" w:sz="0" w:space="0" w:color="auto"/>
        <w:right w:val="none" w:sz="0" w:space="0" w:color="auto"/>
      </w:divBdr>
    </w:div>
    <w:div w:id="163789582">
      <w:bodyDiv w:val="1"/>
      <w:marLeft w:val="0"/>
      <w:marRight w:val="0"/>
      <w:marTop w:val="0"/>
      <w:marBottom w:val="0"/>
      <w:divBdr>
        <w:top w:val="none" w:sz="0" w:space="0" w:color="auto"/>
        <w:left w:val="none" w:sz="0" w:space="0" w:color="auto"/>
        <w:bottom w:val="none" w:sz="0" w:space="0" w:color="auto"/>
        <w:right w:val="none" w:sz="0" w:space="0" w:color="auto"/>
      </w:divBdr>
    </w:div>
    <w:div w:id="163863829">
      <w:bodyDiv w:val="1"/>
      <w:marLeft w:val="0"/>
      <w:marRight w:val="0"/>
      <w:marTop w:val="0"/>
      <w:marBottom w:val="0"/>
      <w:divBdr>
        <w:top w:val="none" w:sz="0" w:space="0" w:color="auto"/>
        <w:left w:val="none" w:sz="0" w:space="0" w:color="auto"/>
        <w:bottom w:val="none" w:sz="0" w:space="0" w:color="auto"/>
        <w:right w:val="none" w:sz="0" w:space="0" w:color="auto"/>
      </w:divBdr>
    </w:div>
    <w:div w:id="164174424">
      <w:bodyDiv w:val="1"/>
      <w:marLeft w:val="0"/>
      <w:marRight w:val="0"/>
      <w:marTop w:val="0"/>
      <w:marBottom w:val="0"/>
      <w:divBdr>
        <w:top w:val="none" w:sz="0" w:space="0" w:color="auto"/>
        <w:left w:val="none" w:sz="0" w:space="0" w:color="auto"/>
        <w:bottom w:val="none" w:sz="0" w:space="0" w:color="auto"/>
        <w:right w:val="none" w:sz="0" w:space="0" w:color="auto"/>
      </w:divBdr>
    </w:div>
    <w:div w:id="164520759">
      <w:bodyDiv w:val="1"/>
      <w:marLeft w:val="0"/>
      <w:marRight w:val="0"/>
      <w:marTop w:val="0"/>
      <w:marBottom w:val="0"/>
      <w:divBdr>
        <w:top w:val="none" w:sz="0" w:space="0" w:color="auto"/>
        <w:left w:val="none" w:sz="0" w:space="0" w:color="auto"/>
        <w:bottom w:val="none" w:sz="0" w:space="0" w:color="auto"/>
        <w:right w:val="none" w:sz="0" w:space="0" w:color="auto"/>
      </w:divBdr>
    </w:div>
    <w:div w:id="166361504">
      <w:bodyDiv w:val="1"/>
      <w:marLeft w:val="0"/>
      <w:marRight w:val="0"/>
      <w:marTop w:val="0"/>
      <w:marBottom w:val="0"/>
      <w:divBdr>
        <w:top w:val="none" w:sz="0" w:space="0" w:color="auto"/>
        <w:left w:val="none" w:sz="0" w:space="0" w:color="auto"/>
        <w:bottom w:val="none" w:sz="0" w:space="0" w:color="auto"/>
        <w:right w:val="none" w:sz="0" w:space="0" w:color="auto"/>
      </w:divBdr>
    </w:div>
    <w:div w:id="166992254">
      <w:bodyDiv w:val="1"/>
      <w:marLeft w:val="0"/>
      <w:marRight w:val="0"/>
      <w:marTop w:val="0"/>
      <w:marBottom w:val="0"/>
      <w:divBdr>
        <w:top w:val="none" w:sz="0" w:space="0" w:color="auto"/>
        <w:left w:val="none" w:sz="0" w:space="0" w:color="auto"/>
        <w:bottom w:val="none" w:sz="0" w:space="0" w:color="auto"/>
        <w:right w:val="none" w:sz="0" w:space="0" w:color="auto"/>
      </w:divBdr>
      <w:divsChild>
        <w:div w:id="82067431">
          <w:marLeft w:val="446"/>
          <w:marRight w:val="0"/>
          <w:marTop w:val="0"/>
          <w:marBottom w:val="0"/>
          <w:divBdr>
            <w:top w:val="none" w:sz="0" w:space="0" w:color="auto"/>
            <w:left w:val="none" w:sz="0" w:space="0" w:color="auto"/>
            <w:bottom w:val="none" w:sz="0" w:space="0" w:color="auto"/>
            <w:right w:val="none" w:sz="0" w:space="0" w:color="auto"/>
          </w:divBdr>
        </w:div>
      </w:divsChild>
    </w:div>
    <w:div w:id="167062061">
      <w:bodyDiv w:val="1"/>
      <w:marLeft w:val="0"/>
      <w:marRight w:val="0"/>
      <w:marTop w:val="0"/>
      <w:marBottom w:val="0"/>
      <w:divBdr>
        <w:top w:val="none" w:sz="0" w:space="0" w:color="auto"/>
        <w:left w:val="none" w:sz="0" w:space="0" w:color="auto"/>
        <w:bottom w:val="none" w:sz="0" w:space="0" w:color="auto"/>
        <w:right w:val="none" w:sz="0" w:space="0" w:color="auto"/>
      </w:divBdr>
    </w:div>
    <w:div w:id="167253681">
      <w:bodyDiv w:val="1"/>
      <w:marLeft w:val="0"/>
      <w:marRight w:val="0"/>
      <w:marTop w:val="0"/>
      <w:marBottom w:val="0"/>
      <w:divBdr>
        <w:top w:val="none" w:sz="0" w:space="0" w:color="auto"/>
        <w:left w:val="none" w:sz="0" w:space="0" w:color="auto"/>
        <w:bottom w:val="none" w:sz="0" w:space="0" w:color="auto"/>
        <w:right w:val="none" w:sz="0" w:space="0" w:color="auto"/>
      </w:divBdr>
    </w:div>
    <w:div w:id="168258536">
      <w:bodyDiv w:val="1"/>
      <w:marLeft w:val="0"/>
      <w:marRight w:val="0"/>
      <w:marTop w:val="0"/>
      <w:marBottom w:val="0"/>
      <w:divBdr>
        <w:top w:val="none" w:sz="0" w:space="0" w:color="auto"/>
        <w:left w:val="none" w:sz="0" w:space="0" w:color="auto"/>
        <w:bottom w:val="none" w:sz="0" w:space="0" w:color="auto"/>
        <w:right w:val="none" w:sz="0" w:space="0" w:color="auto"/>
      </w:divBdr>
    </w:div>
    <w:div w:id="170263436">
      <w:bodyDiv w:val="1"/>
      <w:marLeft w:val="0"/>
      <w:marRight w:val="0"/>
      <w:marTop w:val="0"/>
      <w:marBottom w:val="0"/>
      <w:divBdr>
        <w:top w:val="none" w:sz="0" w:space="0" w:color="auto"/>
        <w:left w:val="none" w:sz="0" w:space="0" w:color="auto"/>
        <w:bottom w:val="none" w:sz="0" w:space="0" w:color="auto"/>
        <w:right w:val="none" w:sz="0" w:space="0" w:color="auto"/>
      </w:divBdr>
    </w:div>
    <w:div w:id="171146003">
      <w:bodyDiv w:val="1"/>
      <w:marLeft w:val="0"/>
      <w:marRight w:val="0"/>
      <w:marTop w:val="0"/>
      <w:marBottom w:val="0"/>
      <w:divBdr>
        <w:top w:val="none" w:sz="0" w:space="0" w:color="auto"/>
        <w:left w:val="none" w:sz="0" w:space="0" w:color="auto"/>
        <w:bottom w:val="none" w:sz="0" w:space="0" w:color="auto"/>
        <w:right w:val="none" w:sz="0" w:space="0" w:color="auto"/>
      </w:divBdr>
    </w:div>
    <w:div w:id="171993207">
      <w:bodyDiv w:val="1"/>
      <w:marLeft w:val="0"/>
      <w:marRight w:val="0"/>
      <w:marTop w:val="0"/>
      <w:marBottom w:val="0"/>
      <w:divBdr>
        <w:top w:val="none" w:sz="0" w:space="0" w:color="auto"/>
        <w:left w:val="none" w:sz="0" w:space="0" w:color="auto"/>
        <w:bottom w:val="none" w:sz="0" w:space="0" w:color="auto"/>
        <w:right w:val="none" w:sz="0" w:space="0" w:color="auto"/>
      </w:divBdr>
    </w:div>
    <w:div w:id="172457219">
      <w:bodyDiv w:val="1"/>
      <w:marLeft w:val="0"/>
      <w:marRight w:val="0"/>
      <w:marTop w:val="0"/>
      <w:marBottom w:val="0"/>
      <w:divBdr>
        <w:top w:val="none" w:sz="0" w:space="0" w:color="auto"/>
        <w:left w:val="none" w:sz="0" w:space="0" w:color="auto"/>
        <w:bottom w:val="none" w:sz="0" w:space="0" w:color="auto"/>
        <w:right w:val="none" w:sz="0" w:space="0" w:color="auto"/>
      </w:divBdr>
    </w:div>
    <w:div w:id="172652343">
      <w:bodyDiv w:val="1"/>
      <w:marLeft w:val="0"/>
      <w:marRight w:val="0"/>
      <w:marTop w:val="0"/>
      <w:marBottom w:val="0"/>
      <w:divBdr>
        <w:top w:val="none" w:sz="0" w:space="0" w:color="auto"/>
        <w:left w:val="none" w:sz="0" w:space="0" w:color="auto"/>
        <w:bottom w:val="none" w:sz="0" w:space="0" w:color="auto"/>
        <w:right w:val="none" w:sz="0" w:space="0" w:color="auto"/>
      </w:divBdr>
    </w:div>
    <w:div w:id="173351235">
      <w:bodyDiv w:val="1"/>
      <w:marLeft w:val="0"/>
      <w:marRight w:val="0"/>
      <w:marTop w:val="0"/>
      <w:marBottom w:val="0"/>
      <w:divBdr>
        <w:top w:val="none" w:sz="0" w:space="0" w:color="auto"/>
        <w:left w:val="none" w:sz="0" w:space="0" w:color="auto"/>
        <w:bottom w:val="none" w:sz="0" w:space="0" w:color="auto"/>
        <w:right w:val="none" w:sz="0" w:space="0" w:color="auto"/>
      </w:divBdr>
    </w:div>
    <w:div w:id="175652825">
      <w:bodyDiv w:val="1"/>
      <w:marLeft w:val="0"/>
      <w:marRight w:val="0"/>
      <w:marTop w:val="0"/>
      <w:marBottom w:val="0"/>
      <w:divBdr>
        <w:top w:val="none" w:sz="0" w:space="0" w:color="auto"/>
        <w:left w:val="none" w:sz="0" w:space="0" w:color="auto"/>
        <w:bottom w:val="none" w:sz="0" w:space="0" w:color="auto"/>
        <w:right w:val="none" w:sz="0" w:space="0" w:color="auto"/>
      </w:divBdr>
    </w:div>
    <w:div w:id="176502247">
      <w:bodyDiv w:val="1"/>
      <w:marLeft w:val="0"/>
      <w:marRight w:val="0"/>
      <w:marTop w:val="0"/>
      <w:marBottom w:val="0"/>
      <w:divBdr>
        <w:top w:val="none" w:sz="0" w:space="0" w:color="auto"/>
        <w:left w:val="none" w:sz="0" w:space="0" w:color="auto"/>
        <w:bottom w:val="none" w:sz="0" w:space="0" w:color="auto"/>
        <w:right w:val="none" w:sz="0" w:space="0" w:color="auto"/>
      </w:divBdr>
    </w:div>
    <w:div w:id="176818025">
      <w:bodyDiv w:val="1"/>
      <w:marLeft w:val="0"/>
      <w:marRight w:val="0"/>
      <w:marTop w:val="0"/>
      <w:marBottom w:val="0"/>
      <w:divBdr>
        <w:top w:val="none" w:sz="0" w:space="0" w:color="auto"/>
        <w:left w:val="none" w:sz="0" w:space="0" w:color="auto"/>
        <w:bottom w:val="none" w:sz="0" w:space="0" w:color="auto"/>
        <w:right w:val="none" w:sz="0" w:space="0" w:color="auto"/>
      </w:divBdr>
    </w:div>
    <w:div w:id="177232140">
      <w:bodyDiv w:val="1"/>
      <w:marLeft w:val="0"/>
      <w:marRight w:val="0"/>
      <w:marTop w:val="0"/>
      <w:marBottom w:val="0"/>
      <w:divBdr>
        <w:top w:val="none" w:sz="0" w:space="0" w:color="auto"/>
        <w:left w:val="none" w:sz="0" w:space="0" w:color="auto"/>
        <w:bottom w:val="none" w:sz="0" w:space="0" w:color="auto"/>
        <w:right w:val="none" w:sz="0" w:space="0" w:color="auto"/>
      </w:divBdr>
    </w:div>
    <w:div w:id="177276347">
      <w:bodyDiv w:val="1"/>
      <w:marLeft w:val="0"/>
      <w:marRight w:val="0"/>
      <w:marTop w:val="0"/>
      <w:marBottom w:val="0"/>
      <w:divBdr>
        <w:top w:val="none" w:sz="0" w:space="0" w:color="auto"/>
        <w:left w:val="none" w:sz="0" w:space="0" w:color="auto"/>
        <w:bottom w:val="none" w:sz="0" w:space="0" w:color="auto"/>
        <w:right w:val="none" w:sz="0" w:space="0" w:color="auto"/>
      </w:divBdr>
    </w:div>
    <w:div w:id="178004441">
      <w:bodyDiv w:val="1"/>
      <w:marLeft w:val="0"/>
      <w:marRight w:val="0"/>
      <w:marTop w:val="0"/>
      <w:marBottom w:val="0"/>
      <w:divBdr>
        <w:top w:val="none" w:sz="0" w:space="0" w:color="auto"/>
        <w:left w:val="none" w:sz="0" w:space="0" w:color="auto"/>
        <w:bottom w:val="none" w:sz="0" w:space="0" w:color="auto"/>
        <w:right w:val="none" w:sz="0" w:space="0" w:color="auto"/>
      </w:divBdr>
    </w:div>
    <w:div w:id="179123097">
      <w:bodyDiv w:val="1"/>
      <w:marLeft w:val="0"/>
      <w:marRight w:val="0"/>
      <w:marTop w:val="0"/>
      <w:marBottom w:val="0"/>
      <w:divBdr>
        <w:top w:val="none" w:sz="0" w:space="0" w:color="auto"/>
        <w:left w:val="none" w:sz="0" w:space="0" w:color="auto"/>
        <w:bottom w:val="none" w:sz="0" w:space="0" w:color="auto"/>
        <w:right w:val="none" w:sz="0" w:space="0" w:color="auto"/>
      </w:divBdr>
    </w:div>
    <w:div w:id="179703249">
      <w:bodyDiv w:val="1"/>
      <w:marLeft w:val="0"/>
      <w:marRight w:val="0"/>
      <w:marTop w:val="0"/>
      <w:marBottom w:val="0"/>
      <w:divBdr>
        <w:top w:val="none" w:sz="0" w:space="0" w:color="auto"/>
        <w:left w:val="none" w:sz="0" w:space="0" w:color="auto"/>
        <w:bottom w:val="none" w:sz="0" w:space="0" w:color="auto"/>
        <w:right w:val="none" w:sz="0" w:space="0" w:color="auto"/>
      </w:divBdr>
    </w:div>
    <w:div w:id="181015145">
      <w:bodyDiv w:val="1"/>
      <w:marLeft w:val="0"/>
      <w:marRight w:val="0"/>
      <w:marTop w:val="0"/>
      <w:marBottom w:val="0"/>
      <w:divBdr>
        <w:top w:val="none" w:sz="0" w:space="0" w:color="auto"/>
        <w:left w:val="none" w:sz="0" w:space="0" w:color="auto"/>
        <w:bottom w:val="none" w:sz="0" w:space="0" w:color="auto"/>
        <w:right w:val="none" w:sz="0" w:space="0" w:color="auto"/>
      </w:divBdr>
    </w:div>
    <w:div w:id="181477486">
      <w:bodyDiv w:val="1"/>
      <w:marLeft w:val="0"/>
      <w:marRight w:val="0"/>
      <w:marTop w:val="0"/>
      <w:marBottom w:val="0"/>
      <w:divBdr>
        <w:top w:val="none" w:sz="0" w:space="0" w:color="auto"/>
        <w:left w:val="none" w:sz="0" w:space="0" w:color="auto"/>
        <w:bottom w:val="none" w:sz="0" w:space="0" w:color="auto"/>
        <w:right w:val="none" w:sz="0" w:space="0" w:color="auto"/>
      </w:divBdr>
    </w:div>
    <w:div w:id="182591834">
      <w:bodyDiv w:val="1"/>
      <w:marLeft w:val="0"/>
      <w:marRight w:val="0"/>
      <w:marTop w:val="0"/>
      <w:marBottom w:val="0"/>
      <w:divBdr>
        <w:top w:val="none" w:sz="0" w:space="0" w:color="auto"/>
        <w:left w:val="none" w:sz="0" w:space="0" w:color="auto"/>
        <w:bottom w:val="none" w:sz="0" w:space="0" w:color="auto"/>
        <w:right w:val="none" w:sz="0" w:space="0" w:color="auto"/>
      </w:divBdr>
    </w:div>
    <w:div w:id="184296155">
      <w:bodyDiv w:val="1"/>
      <w:marLeft w:val="0"/>
      <w:marRight w:val="0"/>
      <w:marTop w:val="0"/>
      <w:marBottom w:val="0"/>
      <w:divBdr>
        <w:top w:val="none" w:sz="0" w:space="0" w:color="auto"/>
        <w:left w:val="none" w:sz="0" w:space="0" w:color="auto"/>
        <w:bottom w:val="none" w:sz="0" w:space="0" w:color="auto"/>
        <w:right w:val="none" w:sz="0" w:space="0" w:color="auto"/>
      </w:divBdr>
    </w:div>
    <w:div w:id="184637601">
      <w:bodyDiv w:val="1"/>
      <w:marLeft w:val="0"/>
      <w:marRight w:val="0"/>
      <w:marTop w:val="0"/>
      <w:marBottom w:val="0"/>
      <w:divBdr>
        <w:top w:val="none" w:sz="0" w:space="0" w:color="auto"/>
        <w:left w:val="none" w:sz="0" w:space="0" w:color="auto"/>
        <w:bottom w:val="none" w:sz="0" w:space="0" w:color="auto"/>
        <w:right w:val="none" w:sz="0" w:space="0" w:color="auto"/>
      </w:divBdr>
    </w:div>
    <w:div w:id="184637878">
      <w:bodyDiv w:val="1"/>
      <w:marLeft w:val="0"/>
      <w:marRight w:val="0"/>
      <w:marTop w:val="0"/>
      <w:marBottom w:val="0"/>
      <w:divBdr>
        <w:top w:val="none" w:sz="0" w:space="0" w:color="auto"/>
        <w:left w:val="none" w:sz="0" w:space="0" w:color="auto"/>
        <w:bottom w:val="none" w:sz="0" w:space="0" w:color="auto"/>
        <w:right w:val="none" w:sz="0" w:space="0" w:color="auto"/>
      </w:divBdr>
    </w:div>
    <w:div w:id="185143081">
      <w:bodyDiv w:val="1"/>
      <w:marLeft w:val="0"/>
      <w:marRight w:val="0"/>
      <w:marTop w:val="0"/>
      <w:marBottom w:val="0"/>
      <w:divBdr>
        <w:top w:val="none" w:sz="0" w:space="0" w:color="auto"/>
        <w:left w:val="none" w:sz="0" w:space="0" w:color="auto"/>
        <w:bottom w:val="none" w:sz="0" w:space="0" w:color="auto"/>
        <w:right w:val="none" w:sz="0" w:space="0" w:color="auto"/>
      </w:divBdr>
    </w:div>
    <w:div w:id="186648413">
      <w:bodyDiv w:val="1"/>
      <w:marLeft w:val="0"/>
      <w:marRight w:val="0"/>
      <w:marTop w:val="0"/>
      <w:marBottom w:val="0"/>
      <w:divBdr>
        <w:top w:val="none" w:sz="0" w:space="0" w:color="auto"/>
        <w:left w:val="none" w:sz="0" w:space="0" w:color="auto"/>
        <w:bottom w:val="none" w:sz="0" w:space="0" w:color="auto"/>
        <w:right w:val="none" w:sz="0" w:space="0" w:color="auto"/>
      </w:divBdr>
    </w:div>
    <w:div w:id="186676102">
      <w:bodyDiv w:val="1"/>
      <w:marLeft w:val="0"/>
      <w:marRight w:val="0"/>
      <w:marTop w:val="0"/>
      <w:marBottom w:val="0"/>
      <w:divBdr>
        <w:top w:val="none" w:sz="0" w:space="0" w:color="auto"/>
        <w:left w:val="none" w:sz="0" w:space="0" w:color="auto"/>
        <w:bottom w:val="none" w:sz="0" w:space="0" w:color="auto"/>
        <w:right w:val="none" w:sz="0" w:space="0" w:color="auto"/>
      </w:divBdr>
    </w:div>
    <w:div w:id="187375666">
      <w:bodyDiv w:val="1"/>
      <w:marLeft w:val="0"/>
      <w:marRight w:val="0"/>
      <w:marTop w:val="0"/>
      <w:marBottom w:val="0"/>
      <w:divBdr>
        <w:top w:val="none" w:sz="0" w:space="0" w:color="auto"/>
        <w:left w:val="none" w:sz="0" w:space="0" w:color="auto"/>
        <w:bottom w:val="none" w:sz="0" w:space="0" w:color="auto"/>
        <w:right w:val="none" w:sz="0" w:space="0" w:color="auto"/>
      </w:divBdr>
    </w:div>
    <w:div w:id="188297781">
      <w:bodyDiv w:val="1"/>
      <w:marLeft w:val="0"/>
      <w:marRight w:val="0"/>
      <w:marTop w:val="0"/>
      <w:marBottom w:val="0"/>
      <w:divBdr>
        <w:top w:val="none" w:sz="0" w:space="0" w:color="auto"/>
        <w:left w:val="none" w:sz="0" w:space="0" w:color="auto"/>
        <w:bottom w:val="none" w:sz="0" w:space="0" w:color="auto"/>
        <w:right w:val="none" w:sz="0" w:space="0" w:color="auto"/>
      </w:divBdr>
    </w:div>
    <w:div w:id="188955810">
      <w:bodyDiv w:val="1"/>
      <w:marLeft w:val="0"/>
      <w:marRight w:val="0"/>
      <w:marTop w:val="0"/>
      <w:marBottom w:val="0"/>
      <w:divBdr>
        <w:top w:val="none" w:sz="0" w:space="0" w:color="auto"/>
        <w:left w:val="none" w:sz="0" w:space="0" w:color="auto"/>
        <w:bottom w:val="none" w:sz="0" w:space="0" w:color="auto"/>
        <w:right w:val="none" w:sz="0" w:space="0" w:color="auto"/>
      </w:divBdr>
    </w:div>
    <w:div w:id="190002043">
      <w:bodyDiv w:val="1"/>
      <w:marLeft w:val="0"/>
      <w:marRight w:val="0"/>
      <w:marTop w:val="0"/>
      <w:marBottom w:val="0"/>
      <w:divBdr>
        <w:top w:val="none" w:sz="0" w:space="0" w:color="auto"/>
        <w:left w:val="none" w:sz="0" w:space="0" w:color="auto"/>
        <w:bottom w:val="none" w:sz="0" w:space="0" w:color="auto"/>
        <w:right w:val="none" w:sz="0" w:space="0" w:color="auto"/>
      </w:divBdr>
    </w:div>
    <w:div w:id="190725768">
      <w:bodyDiv w:val="1"/>
      <w:marLeft w:val="0"/>
      <w:marRight w:val="0"/>
      <w:marTop w:val="0"/>
      <w:marBottom w:val="0"/>
      <w:divBdr>
        <w:top w:val="none" w:sz="0" w:space="0" w:color="auto"/>
        <w:left w:val="none" w:sz="0" w:space="0" w:color="auto"/>
        <w:bottom w:val="none" w:sz="0" w:space="0" w:color="auto"/>
        <w:right w:val="none" w:sz="0" w:space="0" w:color="auto"/>
      </w:divBdr>
    </w:div>
    <w:div w:id="192429562">
      <w:bodyDiv w:val="1"/>
      <w:marLeft w:val="0"/>
      <w:marRight w:val="0"/>
      <w:marTop w:val="0"/>
      <w:marBottom w:val="0"/>
      <w:divBdr>
        <w:top w:val="none" w:sz="0" w:space="0" w:color="auto"/>
        <w:left w:val="none" w:sz="0" w:space="0" w:color="auto"/>
        <w:bottom w:val="none" w:sz="0" w:space="0" w:color="auto"/>
        <w:right w:val="none" w:sz="0" w:space="0" w:color="auto"/>
      </w:divBdr>
    </w:div>
    <w:div w:id="194074922">
      <w:bodyDiv w:val="1"/>
      <w:marLeft w:val="0"/>
      <w:marRight w:val="0"/>
      <w:marTop w:val="0"/>
      <w:marBottom w:val="0"/>
      <w:divBdr>
        <w:top w:val="none" w:sz="0" w:space="0" w:color="auto"/>
        <w:left w:val="none" w:sz="0" w:space="0" w:color="auto"/>
        <w:bottom w:val="none" w:sz="0" w:space="0" w:color="auto"/>
        <w:right w:val="none" w:sz="0" w:space="0" w:color="auto"/>
      </w:divBdr>
    </w:div>
    <w:div w:id="194196096">
      <w:bodyDiv w:val="1"/>
      <w:marLeft w:val="0"/>
      <w:marRight w:val="0"/>
      <w:marTop w:val="0"/>
      <w:marBottom w:val="0"/>
      <w:divBdr>
        <w:top w:val="none" w:sz="0" w:space="0" w:color="auto"/>
        <w:left w:val="none" w:sz="0" w:space="0" w:color="auto"/>
        <w:bottom w:val="none" w:sz="0" w:space="0" w:color="auto"/>
        <w:right w:val="none" w:sz="0" w:space="0" w:color="auto"/>
      </w:divBdr>
    </w:div>
    <w:div w:id="194971626">
      <w:bodyDiv w:val="1"/>
      <w:marLeft w:val="0"/>
      <w:marRight w:val="0"/>
      <w:marTop w:val="0"/>
      <w:marBottom w:val="0"/>
      <w:divBdr>
        <w:top w:val="none" w:sz="0" w:space="0" w:color="auto"/>
        <w:left w:val="none" w:sz="0" w:space="0" w:color="auto"/>
        <w:bottom w:val="none" w:sz="0" w:space="0" w:color="auto"/>
        <w:right w:val="none" w:sz="0" w:space="0" w:color="auto"/>
      </w:divBdr>
    </w:div>
    <w:div w:id="195192577">
      <w:bodyDiv w:val="1"/>
      <w:marLeft w:val="0"/>
      <w:marRight w:val="0"/>
      <w:marTop w:val="0"/>
      <w:marBottom w:val="0"/>
      <w:divBdr>
        <w:top w:val="none" w:sz="0" w:space="0" w:color="auto"/>
        <w:left w:val="none" w:sz="0" w:space="0" w:color="auto"/>
        <w:bottom w:val="none" w:sz="0" w:space="0" w:color="auto"/>
        <w:right w:val="none" w:sz="0" w:space="0" w:color="auto"/>
      </w:divBdr>
    </w:div>
    <w:div w:id="197208751">
      <w:bodyDiv w:val="1"/>
      <w:marLeft w:val="0"/>
      <w:marRight w:val="0"/>
      <w:marTop w:val="0"/>
      <w:marBottom w:val="0"/>
      <w:divBdr>
        <w:top w:val="none" w:sz="0" w:space="0" w:color="auto"/>
        <w:left w:val="none" w:sz="0" w:space="0" w:color="auto"/>
        <w:bottom w:val="none" w:sz="0" w:space="0" w:color="auto"/>
        <w:right w:val="none" w:sz="0" w:space="0" w:color="auto"/>
      </w:divBdr>
    </w:div>
    <w:div w:id="197281009">
      <w:bodyDiv w:val="1"/>
      <w:marLeft w:val="0"/>
      <w:marRight w:val="0"/>
      <w:marTop w:val="0"/>
      <w:marBottom w:val="0"/>
      <w:divBdr>
        <w:top w:val="none" w:sz="0" w:space="0" w:color="auto"/>
        <w:left w:val="none" w:sz="0" w:space="0" w:color="auto"/>
        <w:bottom w:val="none" w:sz="0" w:space="0" w:color="auto"/>
        <w:right w:val="none" w:sz="0" w:space="0" w:color="auto"/>
      </w:divBdr>
    </w:div>
    <w:div w:id="198327063">
      <w:bodyDiv w:val="1"/>
      <w:marLeft w:val="0"/>
      <w:marRight w:val="0"/>
      <w:marTop w:val="0"/>
      <w:marBottom w:val="0"/>
      <w:divBdr>
        <w:top w:val="none" w:sz="0" w:space="0" w:color="auto"/>
        <w:left w:val="none" w:sz="0" w:space="0" w:color="auto"/>
        <w:bottom w:val="none" w:sz="0" w:space="0" w:color="auto"/>
        <w:right w:val="none" w:sz="0" w:space="0" w:color="auto"/>
      </w:divBdr>
    </w:div>
    <w:div w:id="198587975">
      <w:bodyDiv w:val="1"/>
      <w:marLeft w:val="0"/>
      <w:marRight w:val="0"/>
      <w:marTop w:val="0"/>
      <w:marBottom w:val="0"/>
      <w:divBdr>
        <w:top w:val="none" w:sz="0" w:space="0" w:color="auto"/>
        <w:left w:val="none" w:sz="0" w:space="0" w:color="auto"/>
        <w:bottom w:val="none" w:sz="0" w:space="0" w:color="auto"/>
        <w:right w:val="none" w:sz="0" w:space="0" w:color="auto"/>
      </w:divBdr>
    </w:div>
    <w:div w:id="199130570">
      <w:bodyDiv w:val="1"/>
      <w:marLeft w:val="0"/>
      <w:marRight w:val="0"/>
      <w:marTop w:val="0"/>
      <w:marBottom w:val="0"/>
      <w:divBdr>
        <w:top w:val="none" w:sz="0" w:space="0" w:color="auto"/>
        <w:left w:val="none" w:sz="0" w:space="0" w:color="auto"/>
        <w:bottom w:val="none" w:sz="0" w:space="0" w:color="auto"/>
        <w:right w:val="none" w:sz="0" w:space="0" w:color="auto"/>
      </w:divBdr>
    </w:div>
    <w:div w:id="200099818">
      <w:bodyDiv w:val="1"/>
      <w:marLeft w:val="0"/>
      <w:marRight w:val="0"/>
      <w:marTop w:val="0"/>
      <w:marBottom w:val="0"/>
      <w:divBdr>
        <w:top w:val="none" w:sz="0" w:space="0" w:color="auto"/>
        <w:left w:val="none" w:sz="0" w:space="0" w:color="auto"/>
        <w:bottom w:val="none" w:sz="0" w:space="0" w:color="auto"/>
        <w:right w:val="none" w:sz="0" w:space="0" w:color="auto"/>
      </w:divBdr>
    </w:div>
    <w:div w:id="200217488">
      <w:bodyDiv w:val="1"/>
      <w:marLeft w:val="0"/>
      <w:marRight w:val="0"/>
      <w:marTop w:val="0"/>
      <w:marBottom w:val="0"/>
      <w:divBdr>
        <w:top w:val="none" w:sz="0" w:space="0" w:color="auto"/>
        <w:left w:val="none" w:sz="0" w:space="0" w:color="auto"/>
        <w:bottom w:val="none" w:sz="0" w:space="0" w:color="auto"/>
        <w:right w:val="none" w:sz="0" w:space="0" w:color="auto"/>
      </w:divBdr>
    </w:div>
    <w:div w:id="202063214">
      <w:bodyDiv w:val="1"/>
      <w:marLeft w:val="0"/>
      <w:marRight w:val="0"/>
      <w:marTop w:val="0"/>
      <w:marBottom w:val="0"/>
      <w:divBdr>
        <w:top w:val="none" w:sz="0" w:space="0" w:color="auto"/>
        <w:left w:val="none" w:sz="0" w:space="0" w:color="auto"/>
        <w:bottom w:val="none" w:sz="0" w:space="0" w:color="auto"/>
        <w:right w:val="none" w:sz="0" w:space="0" w:color="auto"/>
      </w:divBdr>
    </w:div>
    <w:div w:id="202064401">
      <w:bodyDiv w:val="1"/>
      <w:marLeft w:val="0"/>
      <w:marRight w:val="0"/>
      <w:marTop w:val="0"/>
      <w:marBottom w:val="0"/>
      <w:divBdr>
        <w:top w:val="none" w:sz="0" w:space="0" w:color="auto"/>
        <w:left w:val="none" w:sz="0" w:space="0" w:color="auto"/>
        <w:bottom w:val="none" w:sz="0" w:space="0" w:color="auto"/>
        <w:right w:val="none" w:sz="0" w:space="0" w:color="auto"/>
      </w:divBdr>
    </w:div>
    <w:div w:id="203445552">
      <w:bodyDiv w:val="1"/>
      <w:marLeft w:val="0"/>
      <w:marRight w:val="0"/>
      <w:marTop w:val="0"/>
      <w:marBottom w:val="0"/>
      <w:divBdr>
        <w:top w:val="none" w:sz="0" w:space="0" w:color="auto"/>
        <w:left w:val="none" w:sz="0" w:space="0" w:color="auto"/>
        <w:bottom w:val="none" w:sz="0" w:space="0" w:color="auto"/>
        <w:right w:val="none" w:sz="0" w:space="0" w:color="auto"/>
      </w:divBdr>
    </w:div>
    <w:div w:id="203490322">
      <w:bodyDiv w:val="1"/>
      <w:marLeft w:val="0"/>
      <w:marRight w:val="0"/>
      <w:marTop w:val="0"/>
      <w:marBottom w:val="0"/>
      <w:divBdr>
        <w:top w:val="none" w:sz="0" w:space="0" w:color="auto"/>
        <w:left w:val="none" w:sz="0" w:space="0" w:color="auto"/>
        <w:bottom w:val="none" w:sz="0" w:space="0" w:color="auto"/>
        <w:right w:val="none" w:sz="0" w:space="0" w:color="auto"/>
      </w:divBdr>
    </w:div>
    <w:div w:id="203567836">
      <w:bodyDiv w:val="1"/>
      <w:marLeft w:val="0"/>
      <w:marRight w:val="0"/>
      <w:marTop w:val="0"/>
      <w:marBottom w:val="0"/>
      <w:divBdr>
        <w:top w:val="none" w:sz="0" w:space="0" w:color="auto"/>
        <w:left w:val="none" w:sz="0" w:space="0" w:color="auto"/>
        <w:bottom w:val="none" w:sz="0" w:space="0" w:color="auto"/>
        <w:right w:val="none" w:sz="0" w:space="0" w:color="auto"/>
      </w:divBdr>
    </w:div>
    <w:div w:id="203828726">
      <w:bodyDiv w:val="1"/>
      <w:marLeft w:val="0"/>
      <w:marRight w:val="0"/>
      <w:marTop w:val="0"/>
      <w:marBottom w:val="0"/>
      <w:divBdr>
        <w:top w:val="none" w:sz="0" w:space="0" w:color="auto"/>
        <w:left w:val="none" w:sz="0" w:space="0" w:color="auto"/>
        <w:bottom w:val="none" w:sz="0" w:space="0" w:color="auto"/>
        <w:right w:val="none" w:sz="0" w:space="0" w:color="auto"/>
      </w:divBdr>
    </w:div>
    <w:div w:id="204029078">
      <w:bodyDiv w:val="1"/>
      <w:marLeft w:val="0"/>
      <w:marRight w:val="0"/>
      <w:marTop w:val="0"/>
      <w:marBottom w:val="0"/>
      <w:divBdr>
        <w:top w:val="none" w:sz="0" w:space="0" w:color="auto"/>
        <w:left w:val="none" w:sz="0" w:space="0" w:color="auto"/>
        <w:bottom w:val="none" w:sz="0" w:space="0" w:color="auto"/>
        <w:right w:val="none" w:sz="0" w:space="0" w:color="auto"/>
      </w:divBdr>
    </w:div>
    <w:div w:id="204099068">
      <w:bodyDiv w:val="1"/>
      <w:marLeft w:val="0"/>
      <w:marRight w:val="0"/>
      <w:marTop w:val="0"/>
      <w:marBottom w:val="0"/>
      <w:divBdr>
        <w:top w:val="none" w:sz="0" w:space="0" w:color="auto"/>
        <w:left w:val="none" w:sz="0" w:space="0" w:color="auto"/>
        <w:bottom w:val="none" w:sz="0" w:space="0" w:color="auto"/>
        <w:right w:val="none" w:sz="0" w:space="0" w:color="auto"/>
      </w:divBdr>
    </w:div>
    <w:div w:id="204753704">
      <w:bodyDiv w:val="1"/>
      <w:marLeft w:val="0"/>
      <w:marRight w:val="0"/>
      <w:marTop w:val="0"/>
      <w:marBottom w:val="0"/>
      <w:divBdr>
        <w:top w:val="none" w:sz="0" w:space="0" w:color="auto"/>
        <w:left w:val="none" w:sz="0" w:space="0" w:color="auto"/>
        <w:bottom w:val="none" w:sz="0" w:space="0" w:color="auto"/>
        <w:right w:val="none" w:sz="0" w:space="0" w:color="auto"/>
      </w:divBdr>
    </w:div>
    <w:div w:id="206454129">
      <w:bodyDiv w:val="1"/>
      <w:marLeft w:val="0"/>
      <w:marRight w:val="0"/>
      <w:marTop w:val="0"/>
      <w:marBottom w:val="0"/>
      <w:divBdr>
        <w:top w:val="none" w:sz="0" w:space="0" w:color="auto"/>
        <w:left w:val="none" w:sz="0" w:space="0" w:color="auto"/>
        <w:bottom w:val="none" w:sz="0" w:space="0" w:color="auto"/>
        <w:right w:val="none" w:sz="0" w:space="0" w:color="auto"/>
      </w:divBdr>
    </w:div>
    <w:div w:id="207231160">
      <w:bodyDiv w:val="1"/>
      <w:marLeft w:val="0"/>
      <w:marRight w:val="0"/>
      <w:marTop w:val="0"/>
      <w:marBottom w:val="0"/>
      <w:divBdr>
        <w:top w:val="none" w:sz="0" w:space="0" w:color="auto"/>
        <w:left w:val="none" w:sz="0" w:space="0" w:color="auto"/>
        <w:bottom w:val="none" w:sz="0" w:space="0" w:color="auto"/>
        <w:right w:val="none" w:sz="0" w:space="0" w:color="auto"/>
      </w:divBdr>
    </w:div>
    <w:div w:id="207300385">
      <w:bodyDiv w:val="1"/>
      <w:marLeft w:val="0"/>
      <w:marRight w:val="0"/>
      <w:marTop w:val="0"/>
      <w:marBottom w:val="0"/>
      <w:divBdr>
        <w:top w:val="none" w:sz="0" w:space="0" w:color="auto"/>
        <w:left w:val="none" w:sz="0" w:space="0" w:color="auto"/>
        <w:bottom w:val="none" w:sz="0" w:space="0" w:color="auto"/>
        <w:right w:val="none" w:sz="0" w:space="0" w:color="auto"/>
      </w:divBdr>
    </w:div>
    <w:div w:id="207449621">
      <w:bodyDiv w:val="1"/>
      <w:marLeft w:val="0"/>
      <w:marRight w:val="0"/>
      <w:marTop w:val="0"/>
      <w:marBottom w:val="0"/>
      <w:divBdr>
        <w:top w:val="none" w:sz="0" w:space="0" w:color="auto"/>
        <w:left w:val="none" w:sz="0" w:space="0" w:color="auto"/>
        <w:bottom w:val="none" w:sz="0" w:space="0" w:color="auto"/>
        <w:right w:val="none" w:sz="0" w:space="0" w:color="auto"/>
      </w:divBdr>
    </w:div>
    <w:div w:id="208421231">
      <w:bodyDiv w:val="1"/>
      <w:marLeft w:val="0"/>
      <w:marRight w:val="0"/>
      <w:marTop w:val="0"/>
      <w:marBottom w:val="0"/>
      <w:divBdr>
        <w:top w:val="none" w:sz="0" w:space="0" w:color="auto"/>
        <w:left w:val="none" w:sz="0" w:space="0" w:color="auto"/>
        <w:bottom w:val="none" w:sz="0" w:space="0" w:color="auto"/>
        <w:right w:val="none" w:sz="0" w:space="0" w:color="auto"/>
      </w:divBdr>
    </w:div>
    <w:div w:id="209078718">
      <w:bodyDiv w:val="1"/>
      <w:marLeft w:val="0"/>
      <w:marRight w:val="0"/>
      <w:marTop w:val="0"/>
      <w:marBottom w:val="0"/>
      <w:divBdr>
        <w:top w:val="none" w:sz="0" w:space="0" w:color="auto"/>
        <w:left w:val="none" w:sz="0" w:space="0" w:color="auto"/>
        <w:bottom w:val="none" w:sz="0" w:space="0" w:color="auto"/>
        <w:right w:val="none" w:sz="0" w:space="0" w:color="auto"/>
      </w:divBdr>
    </w:div>
    <w:div w:id="209196382">
      <w:bodyDiv w:val="1"/>
      <w:marLeft w:val="0"/>
      <w:marRight w:val="0"/>
      <w:marTop w:val="0"/>
      <w:marBottom w:val="0"/>
      <w:divBdr>
        <w:top w:val="none" w:sz="0" w:space="0" w:color="auto"/>
        <w:left w:val="none" w:sz="0" w:space="0" w:color="auto"/>
        <w:bottom w:val="none" w:sz="0" w:space="0" w:color="auto"/>
        <w:right w:val="none" w:sz="0" w:space="0" w:color="auto"/>
      </w:divBdr>
    </w:div>
    <w:div w:id="209348238">
      <w:bodyDiv w:val="1"/>
      <w:marLeft w:val="0"/>
      <w:marRight w:val="0"/>
      <w:marTop w:val="0"/>
      <w:marBottom w:val="0"/>
      <w:divBdr>
        <w:top w:val="none" w:sz="0" w:space="0" w:color="auto"/>
        <w:left w:val="none" w:sz="0" w:space="0" w:color="auto"/>
        <w:bottom w:val="none" w:sz="0" w:space="0" w:color="auto"/>
        <w:right w:val="none" w:sz="0" w:space="0" w:color="auto"/>
      </w:divBdr>
    </w:div>
    <w:div w:id="209615651">
      <w:bodyDiv w:val="1"/>
      <w:marLeft w:val="0"/>
      <w:marRight w:val="0"/>
      <w:marTop w:val="0"/>
      <w:marBottom w:val="0"/>
      <w:divBdr>
        <w:top w:val="none" w:sz="0" w:space="0" w:color="auto"/>
        <w:left w:val="none" w:sz="0" w:space="0" w:color="auto"/>
        <w:bottom w:val="none" w:sz="0" w:space="0" w:color="auto"/>
        <w:right w:val="none" w:sz="0" w:space="0" w:color="auto"/>
      </w:divBdr>
    </w:div>
    <w:div w:id="210532041">
      <w:bodyDiv w:val="1"/>
      <w:marLeft w:val="0"/>
      <w:marRight w:val="0"/>
      <w:marTop w:val="0"/>
      <w:marBottom w:val="0"/>
      <w:divBdr>
        <w:top w:val="none" w:sz="0" w:space="0" w:color="auto"/>
        <w:left w:val="none" w:sz="0" w:space="0" w:color="auto"/>
        <w:bottom w:val="none" w:sz="0" w:space="0" w:color="auto"/>
        <w:right w:val="none" w:sz="0" w:space="0" w:color="auto"/>
      </w:divBdr>
    </w:div>
    <w:div w:id="210726140">
      <w:bodyDiv w:val="1"/>
      <w:marLeft w:val="0"/>
      <w:marRight w:val="0"/>
      <w:marTop w:val="0"/>
      <w:marBottom w:val="0"/>
      <w:divBdr>
        <w:top w:val="none" w:sz="0" w:space="0" w:color="auto"/>
        <w:left w:val="none" w:sz="0" w:space="0" w:color="auto"/>
        <w:bottom w:val="none" w:sz="0" w:space="0" w:color="auto"/>
        <w:right w:val="none" w:sz="0" w:space="0" w:color="auto"/>
      </w:divBdr>
    </w:div>
    <w:div w:id="210775905">
      <w:bodyDiv w:val="1"/>
      <w:marLeft w:val="0"/>
      <w:marRight w:val="0"/>
      <w:marTop w:val="0"/>
      <w:marBottom w:val="0"/>
      <w:divBdr>
        <w:top w:val="none" w:sz="0" w:space="0" w:color="auto"/>
        <w:left w:val="none" w:sz="0" w:space="0" w:color="auto"/>
        <w:bottom w:val="none" w:sz="0" w:space="0" w:color="auto"/>
        <w:right w:val="none" w:sz="0" w:space="0" w:color="auto"/>
      </w:divBdr>
    </w:div>
    <w:div w:id="210847503">
      <w:bodyDiv w:val="1"/>
      <w:marLeft w:val="0"/>
      <w:marRight w:val="0"/>
      <w:marTop w:val="0"/>
      <w:marBottom w:val="0"/>
      <w:divBdr>
        <w:top w:val="none" w:sz="0" w:space="0" w:color="auto"/>
        <w:left w:val="none" w:sz="0" w:space="0" w:color="auto"/>
        <w:bottom w:val="none" w:sz="0" w:space="0" w:color="auto"/>
        <w:right w:val="none" w:sz="0" w:space="0" w:color="auto"/>
      </w:divBdr>
    </w:div>
    <w:div w:id="212423207">
      <w:bodyDiv w:val="1"/>
      <w:marLeft w:val="0"/>
      <w:marRight w:val="0"/>
      <w:marTop w:val="0"/>
      <w:marBottom w:val="0"/>
      <w:divBdr>
        <w:top w:val="none" w:sz="0" w:space="0" w:color="auto"/>
        <w:left w:val="none" w:sz="0" w:space="0" w:color="auto"/>
        <w:bottom w:val="none" w:sz="0" w:space="0" w:color="auto"/>
        <w:right w:val="none" w:sz="0" w:space="0" w:color="auto"/>
      </w:divBdr>
    </w:div>
    <w:div w:id="212427560">
      <w:bodyDiv w:val="1"/>
      <w:marLeft w:val="0"/>
      <w:marRight w:val="0"/>
      <w:marTop w:val="0"/>
      <w:marBottom w:val="0"/>
      <w:divBdr>
        <w:top w:val="none" w:sz="0" w:space="0" w:color="auto"/>
        <w:left w:val="none" w:sz="0" w:space="0" w:color="auto"/>
        <w:bottom w:val="none" w:sz="0" w:space="0" w:color="auto"/>
        <w:right w:val="none" w:sz="0" w:space="0" w:color="auto"/>
      </w:divBdr>
    </w:div>
    <w:div w:id="212811896">
      <w:bodyDiv w:val="1"/>
      <w:marLeft w:val="0"/>
      <w:marRight w:val="0"/>
      <w:marTop w:val="0"/>
      <w:marBottom w:val="0"/>
      <w:divBdr>
        <w:top w:val="none" w:sz="0" w:space="0" w:color="auto"/>
        <w:left w:val="none" w:sz="0" w:space="0" w:color="auto"/>
        <w:bottom w:val="none" w:sz="0" w:space="0" w:color="auto"/>
        <w:right w:val="none" w:sz="0" w:space="0" w:color="auto"/>
      </w:divBdr>
    </w:div>
    <w:div w:id="213128428">
      <w:bodyDiv w:val="1"/>
      <w:marLeft w:val="0"/>
      <w:marRight w:val="0"/>
      <w:marTop w:val="0"/>
      <w:marBottom w:val="0"/>
      <w:divBdr>
        <w:top w:val="none" w:sz="0" w:space="0" w:color="auto"/>
        <w:left w:val="none" w:sz="0" w:space="0" w:color="auto"/>
        <w:bottom w:val="none" w:sz="0" w:space="0" w:color="auto"/>
        <w:right w:val="none" w:sz="0" w:space="0" w:color="auto"/>
      </w:divBdr>
    </w:div>
    <w:div w:id="214201822">
      <w:bodyDiv w:val="1"/>
      <w:marLeft w:val="0"/>
      <w:marRight w:val="0"/>
      <w:marTop w:val="0"/>
      <w:marBottom w:val="0"/>
      <w:divBdr>
        <w:top w:val="none" w:sz="0" w:space="0" w:color="auto"/>
        <w:left w:val="none" w:sz="0" w:space="0" w:color="auto"/>
        <w:bottom w:val="none" w:sz="0" w:space="0" w:color="auto"/>
        <w:right w:val="none" w:sz="0" w:space="0" w:color="auto"/>
      </w:divBdr>
    </w:div>
    <w:div w:id="214703779">
      <w:bodyDiv w:val="1"/>
      <w:marLeft w:val="0"/>
      <w:marRight w:val="0"/>
      <w:marTop w:val="0"/>
      <w:marBottom w:val="0"/>
      <w:divBdr>
        <w:top w:val="none" w:sz="0" w:space="0" w:color="auto"/>
        <w:left w:val="none" w:sz="0" w:space="0" w:color="auto"/>
        <w:bottom w:val="none" w:sz="0" w:space="0" w:color="auto"/>
        <w:right w:val="none" w:sz="0" w:space="0" w:color="auto"/>
      </w:divBdr>
    </w:div>
    <w:div w:id="217666496">
      <w:bodyDiv w:val="1"/>
      <w:marLeft w:val="0"/>
      <w:marRight w:val="0"/>
      <w:marTop w:val="0"/>
      <w:marBottom w:val="0"/>
      <w:divBdr>
        <w:top w:val="none" w:sz="0" w:space="0" w:color="auto"/>
        <w:left w:val="none" w:sz="0" w:space="0" w:color="auto"/>
        <w:bottom w:val="none" w:sz="0" w:space="0" w:color="auto"/>
        <w:right w:val="none" w:sz="0" w:space="0" w:color="auto"/>
      </w:divBdr>
    </w:div>
    <w:div w:id="217791560">
      <w:bodyDiv w:val="1"/>
      <w:marLeft w:val="0"/>
      <w:marRight w:val="0"/>
      <w:marTop w:val="0"/>
      <w:marBottom w:val="0"/>
      <w:divBdr>
        <w:top w:val="none" w:sz="0" w:space="0" w:color="auto"/>
        <w:left w:val="none" w:sz="0" w:space="0" w:color="auto"/>
        <w:bottom w:val="none" w:sz="0" w:space="0" w:color="auto"/>
        <w:right w:val="none" w:sz="0" w:space="0" w:color="auto"/>
      </w:divBdr>
    </w:div>
    <w:div w:id="218129299">
      <w:bodyDiv w:val="1"/>
      <w:marLeft w:val="0"/>
      <w:marRight w:val="0"/>
      <w:marTop w:val="0"/>
      <w:marBottom w:val="0"/>
      <w:divBdr>
        <w:top w:val="none" w:sz="0" w:space="0" w:color="auto"/>
        <w:left w:val="none" w:sz="0" w:space="0" w:color="auto"/>
        <w:bottom w:val="none" w:sz="0" w:space="0" w:color="auto"/>
        <w:right w:val="none" w:sz="0" w:space="0" w:color="auto"/>
      </w:divBdr>
    </w:div>
    <w:div w:id="218638210">
      <w:bodyDiv w:val="1"/>
      <w:marLeft w:val="0"/>
      <w:marRight w:val="0"/>
      <w:marTop w:val="0"/>
      <w:marBottom w:val="0"/>
      <w:divBdr>
        <w:top w:val="none" w:sz="0" w:space="0" w:color="auto"/>
        <w:left w:val="none" w:sz="0" w:space="0" w:color="auto"/>
        <w:bottom w:val="none" w:sz="0" w:space="0" w:color="auto"/>
        <w:right w:val="none" w:sz="0" w:space="0" w:color="auto"/>
      </w:divBdr>
    </w:div>
    <w:div w:id="219440210">
      <w:bodyDiv w:val="1"/>
      <w:marLeft w:val="0"/>
      <w:marRight w:val="0"/>
      <w:marTop w:val="0"/>
      <w:marBottom w:val="0"/>
      <w:divBdr>
        <w:top w:val="none" w:sz="0" w:space="0" w:color="auto"/>
        <w:left w:val="none" w:sz="0" w:space="0" w:color="auto"/>
        <w:bottom w:val="none" w:sz="0" w:space="0" w:color="auto"/>
        <w:right w:val="none" w:sz="0" w:space="0" w:color="auto"/>
      </w:divBdr>
    </w:div>
    <w:div w:id="219826440">
      <w:bodyDiv w:val="1"/>
      <w:marLeft w:val="0"/>
      <w:marRight w:val="0"/>
      <w:marTop w:val="0"/>
      <w:marBottom w:val="0"/>
      <w:divBdr>
        <w:top w:val="none" w:sz="0" w:space="0" w:color="auto"/>
        <w:left w:val="none" w:sz="0" w:space="0" w:color="auto"/>
        <w:bottom w:val="none" w:sz="0" w:space="0" w:color="auto"/>
        <w:right w:val="none" w:sz="0" w:space="0" w:color="auto"/>
      </w:divBdr>
    </w:div>
    <w:div w:id="220023928">
      <w:bodyDiv w:val="1"/>
      <w:marLeft w:val="0"/>
      <w:marRight w:val="0"/>
      <w:marTop w:val="0"/>
      <w:marBottom w:val="0"/>
      <w:divBdr>
        <w:top w:val="none" w:sz="0" w:space="0" w:color="auto"/>
        <w:left w:val="none" w:sz="0" w:space="0" w:color="auto"/>
        <w:bottom w:val="none" w:sz="0" w:space="0" w:color="auto"/>
        <w:right w:val="none" w:sz="0" w:space="0" w:color="auto"/>
      </w:divBdr>
    </w:div>
    <w:div w:id="220606119">
      <w:bodyDiv w:val="1"/>
      <w:marLeft w:val="0"/>
      <w:marRight w:val="0"/>
      <w:marTop w:val="0"/>
      <w:marBottom w:val="0"/>
      <w:divBdr>
        <w:top w:val="none" w:sz="0" w:space="0" w:color="auto"/>
        <w:left w:val="none" w:sz="0" w:space="0" w:color="auto"/>
        <w:bottom w:val="none" w:sz="0" w:space="0" w:color="auto"/>
        <w:right w:val="none" w:sz="0" w:space="0" w:color="auto"/>
      </w:divBdr>
    </w:div>
    <w:div w:id="221407838">
      <w:bodyDiv w:val="1"/>
      <w:marLeft w:val="0"/>
      <w:marRight w:val="0"/>
      <w:marTop w:val="0"/>
      <w:marBottom w:val="0"/>
      <w:divBdr>
        <w:top w:val="none" w:sz="0" w:space="0" w:color="auto"/>
        <w:left w:val="none" w:sz="0" w:space="0" w:color="auto"/>
        <w:bottom w:val="none" w:sz="0" w:space="0" w:color="auto"/>
        <w:right w:val="none" w:sz="0" w:space="0" w:color="auto"/>
      </w:divBdr>
    </w:div>
    <w:div w:id="221524867">
      <w:bodyDiv w:val="1"/>
      <w:marLeft w:val="0"/>
      <w:marRight w:val="0"/>
      <w:marTop w:val="0"/>
      <w:marBottom w:val="0"/>
      <w:divBdr>
        <w:top w:val="none" w:sz="0" w:space="0" w:color="auto"/>
        <w:left w:val="none" w:sz="0" w:space="0" w:color="auto"/>
        <w:bottom w:val="none" w:sz="0" w:space="0" w:color="auto"/>
        <w:right w:val="none" w:sz="0" w:space="0" w:color="auto"/>
      </w:divBdr>
    </w:div>
    <w:div w:id="221870537">
      <w:bodyDiv w:val="1"/>
      <w:marLeft w:val="0"/>
      <w:marRight w:val="0"/>
      <w:marTop w:val="0"/>
      <w:marBottom w:val="0"/>
      <w:divBdr>
        <w:top w:val="none" w:sz="0" w:space="0" w:color="auto"/>
        <w:left w:val="none" w:sz="0" w:space="0" w:color="auto"/>
        <w:bottom w:val="none" w:sz="0" w:space="0" w:color="auto"/>
        <w:right w:val="none" w:sz="0" w:space="0" w:color="auto"/>
      </w:divBdr>
    </w:div>
    <w:div w:id="222064184">
      <w:bodyDiv w:val="1"/>
      <w:marLeft w:val="0"/>
      <w:marRight w:val="0"/>
      <w:marTop w:val="0"/>
      <w:marBottom w:val="0"/>
      <w:divBdr>
        <w:top w:val="none" w:sz="0" w:space="0" w:color="auto"/>
        <w:left w:val="none" w:sz="0" w:space="0" w:color="auto"/>
        <w:bottom w:val="none" w:sz="0" w:space="0" w:color="auto"/>
        <w:right w:val="none" w:sz="0" w:space="0" w:color="auto"/>
      </w:divBdr>
    </w:div>
    <w:div w:id="222566536">
      <w:bodyDiv w:val="1"/>
      <w:marLeft w:val="0"/>
      <w:marRight w:val="0"/>
      <w:marTop w:val="0"/>
      <w:marBottom w:val="0"/>
      <w:divBdr>
        <w:top w:val="none" w:sz="0" w:space="0" w:color="auto"/>
        <w:left w:val="none" w:sz="0" w:space="0" w:color="auto"/>
        <w:bottom w:val="none" w:sz="0" w:space="0" w:color="auto"/>
        <w:right w:val="none" w:sz="0" w:space="0" w:color="auto"/>
      </w:divBdr>
    </w:div>
    <w:div w:id="222643087">
      <w:bodyDiv w:val="1"/>
      <w:marLeft w:val="0"/>
      <w:marRight w:val="0"/>
      <w:marTop w:val="0"/>
      <w:marBottom w:val="0"/>
      <w:divBdr>
        <w:top w:val="none" w:sz="0" w:space="0" w:color="auto"/>
        <w:left w:val="none" w:sz="0" w:space="0" w:color="auto"/>
        <w:bottom w:val="none" w:sz="0" w:space="0" w:color="auto"/>
        <w:right w:val="none" w:sz="0" w:space="0" w:color="auto"/>
      </w:divBdr>
    </w:div>
    <w:div w:id="222763647">
      <w:bodyDiv w:val="1"/>
      <w:marLeft w:val="0"/>
      <w:marRight w:val="0"/>
      <w:marTop w:val="0"/>
      <w:marBottom w:val="0"/>
      <w:divBdr>
        <w:top w:val="none" w:sz="0" w:space="0" w:color="auto"/>
        <w:left w:val="none" w:sz="0" w:space="0" w:color="auto"/>
        <w:bottom w:val="none" w:sz="0" w:space="0" w:color="auto"/>
        <w:right w:val="none" w:sz="0" w:space="0" w:color="auto"/>
      </w:divBdr>
    </w:div>
    <w:div w:id="223104439">
      <w:bodyDiv w:val="1"/>
      <w:marLeft w:val="0"/>
      <w:marRight w:val="0"/>
      <w:marTop w:val="0"/>
      <w:marBottom w:val="0"/>
      <w:divBdr>
        <w:top w:val="none" w:sz="0" w:space="0" w:color="auto"/>
        <w:left w:val="none" w:sz="0" w:space="0" w:color="auto"/>
        <w:bottom w:val="none" w:sz="0" w:space="0" w:color="auto"/>
        <w:right w:val="none" w:sz="0" w:space="0" w:color="auto"/>
      </w:divBdr>
    </w:div>
    <w:div w:id="223682044">
      <w:bodyDiv w:val="1"/>
      <w:marLeft w:val="0"/>
      <w:marRight w:val="0"/>
      <w:marTop w:val="0"/>
      <w:marBottom w:val="0"/>
      <w:divBdr>
        <w:top w:val="none" w:sz="0" w:space="0" w:color="auto"/>
        <w:left w:val="none" w:sz="0" w:space="0" w:color="auto"/>
        <w:bottom w:val="none" w:sz="0" w:space="0" w:color="auto"/>
        <w:right w:val="none" w:sz="0" w:space="0" w:color="auto"/>
      </w:divBdr>
    </w:div>
    <w:div w:id="224461476">
      <w:bodyDiv w:val="1"/>
      <w:marLeft w:val="0"/>
      <w:marRight w:val="0"/>
      <w:marTop w:val="0"/>
      <w:marBottom w:val="0"/>
      <w:divBdr>
        <w:top w:val="none" w:sz="0" w:space="0" w:color="auto"/>
        <w:left w:val="none" w:sz="0" w:space="0" w:color="auto"/>
        <w:bottom w:val="none" w:sz="0" w:space="0" w:color="auto"/>
        <w:right w:val="none" w:sz="0" w:space="0" w:color="auto"/>
      </w:divBdr>
    </w:div>
    <w:div w:id="225803036">
      <w:bodyDiv w:val="1"/>
      <w:marLeft w:val="0"/>
      <w:marRight w:val="0"/>
      <w:marTop w:val="0"/>
      <w:marBottom w:val="0"/>
      <w:divBdr>
        <w:top w:val="none" w:sz="0" w:space="0" w:color="auto"/>
        <w:left w:val="none" w:sz="0" w:space="0" w:color="auto"/>
        <w:bottom w:val="none" w:sz="0" w:space="0" w:color="auto"/>
        <w:right w:val="none" w:sz="0" w:space="0" w:color="auto"/>
      </w:divBdr>
    </w:div>
    <w:div w:id="226034100">
      <w:bodyDiv w:val="1"/>
      <w:marLeft w:val="0"/>
      <w:marRight w:val="0"/>
      <w:marTop w:val="0"/>
      <w:marBottom w:val="0"/>
      <w:divBdr>
        <w:top w:val="none" w:sz="0" w:space="0" w:color="auto"/>
        <w:left w:val="none" w:sz="0" w:space="0" w:color="auto"/>
        <w:bottom w:val="none" w:sz="0" w:space="0" w:color="auto"/>
        <w:right w:val="none" w:sz="0" w:space="0" w:color="auto"/>
      </w:divBdr>
    </w:div>
    <w:div w:id="226693576">
      <w:bodyDiv w:val="1"/>
      <w:marLeft w:val="0"/>
      <w:marRight w:val="0"/>
      <w:marTop w:val="0"/>
      <w:marBottom w:val="0"/>
      <w:divBdr>
        <w:top w:val="none" w:sz="0" w:space="0" w:color="auto"/>
        <w:left w:val="none" w:sz="0" w:space="0" w:color="auto"/>
        <w:bottom w:val="none" w:sz="0" w:space="0" w:color="auto"/>
        <w:right w:val="none" w:sz="0" w:space="0" w:color="auto"/>
      </w:divBdr>
    </w:div>
    <w:div w:id="227880054">
      <w:bodyDiv w:val="1"/>
      <w:marLeft w:val="0"/>
      <w:marRight w:val="0"/>
      <w:marTop w:val="0"/>
      <w:marBottom w:val="0"/>
      <w:divBdr>
        <w:top w:val="none" w:sz="0" w:space="0" w:color="auto"/>
        <w:left w:val="none" w:sz="0" w:space="0" w:color="auto"/>
        <w:bottom w:val="none" w:sz="0" w:space="0" w:color="auto"/>
        <w:right w:val="none" w:sz="0" w:space="0" w:color="auto"/>
      </w:divBdr>
    </w:div>
    <w:div w:id="228002029">
      <w:bodyDiv w:val="1"/>
      <w:marLeft w:val="0"/>
      <w:marRight w:val="0"/>
      <w:marTop w:val="0"/>
      <w:marBottom w:val="0"/>
      <w:divBdr>
        <w:top w:val="none" w:sz="0" w:space="0" w:color="auto"/>
        <w:left w:val="none" w:sz="0" w:space="0" w:color="auto"/>
        <w:bottom w:val="none" w:sz="0" w:space="0" w:color="auto"/>
        <w:right w:val="none" w:sz="0" w:space="0" w:color="auto"/>
      </w:divBdr>
    </w:div>
    <w:div w:id="228228928">
      <w:bodyDiv w:val="1"/>
      <w:marLeft w:val="0"/>
      <w:marRight w:val="0"/>
      <w:marTop w:val="0"/>
      <w:marBottom w:val="0"/>
      <w:divBdr>
        <w:top w:val="none" w:sz="0" w:space="0" w:color="auto"/>
        <w:left w:val="none" w:sz="0" w:space="0" w:color="auto"/>
        <w:bottom w:val="none" w:sz="0" w:space="0" w:color="auto"/>
        <w:right w:val="none" w:sz="0" w:space="0" w:color="auto"/>
      </w:divBdr>
    </w:div>
    <w:div w:id="228418992">
      <w:bodyDiv w:val="1"/>
      <w:marLeft w:val="0"/>
      <w:marRight w:val="0"/>
      <w:marTop w:val="0"/>
      <w:marBottom w:val="0"/>
      <w:divBdr>
        <w:top w:val="none" w:sz="0" w:space="0" w:color="auto"/>
        <w:left w:val="none" w:sz="0" w:space="0" w:color="auto"/>
        <w:bottom w:val="none" w:sz="0" w:space="0" w:color="auto"/>
        <w:right w:val="none" w:sz="0" w:space="0" w:color="auto"/>
      </w:divBdr>
    </w:div>
    <w:div w:id="228808697">
      <w:bodyDiv w:val="1"/>
      <w:marLeft w:val="0"/>
      <w:marRight w:val="0"/>
      <w:marTop w:val="0"/>
      <w:marBottom w:val="0"/>
      <w:divBdr>
        <w:top w:val="none" w:sz="0" w:space="0" w:color="auto"/>
        <w:left w:val="none" w:sz="0" w:space="0" w:color="auto"/>
        <w:bottom w:val="none" w:sz="0" w:space="0" w:color="auto"/>
        <w:right w:val="none" w:sz="0" w:space="0" w:color="auto"/>
      </w:divBdr>
    </w:div>
    <w:div w:id="230236108">
      <w:bodyDiv w:val="1"/>
      <w:marLeft w:val="0"/>
      <w:marRight w:val="0"/>
      <w:marTop w:val="0"/>
      <w:marBottom w:val="0"/>
      <w:divBdr>
        <w:top w:val="none" w:sz="0" w:space="0" w:color="auto"/>
        <w:left w:val="none" w:sz="0" w:space="0" w:color="auto"/>
        <w:bottom w:val="none" w:sz="0" w:space="0" w:color="auto"/>
        <w:right w:val="none" w:sz="0" w:space="0" w:color="auto"/>
      </w:divBdr>
    </w:div>
    <w:div w:id="230385077">
      <w:bodyDiv w:val="1"/>
      <w:marLeft w:val="0"/>
      <w:marRight w:val="0"/>
      <w:marTop w:val="0"/>
      <w:marBottom w:val="0"/>
      <w:divBdr>
        <w:top w:val="none" w:sz="0" w:space="0" w:color="auto"/>
        <w:left w:val="none" w:sz="0" w:space="0" w:color="auto"/>
        <w:bottom w:val="none" w:sz="0" w:space="0" w:color="auto"/>
        <w:right w:val="none" w:sz="0" w:space="0" w:color="auto"/>
      </w:divBdr>
    </w:div>
    <w:div w:id="230820888">
      <w:bodyDiv w:val="1"/>
      <w:marLeft w:val="0"/>
      <w:marRight w:val="0"/>
      <w:marTop w:val="0"/>
      <w:marBottom w:val="0"/>
      <w:divBdr>
        <w:top w:val="none" w:sz="0" w:space="0" w:color="auto"/>
        <w:left w:val="none" w:sz="0" w:space="0" w:color="auto"/>
        <w:bottom w:val="none" w:sz="0" w:space="0" w:color="auto"/>
        <w:right w:val="none" w:sz="0" w:space="0" w:color="auto"/>
      </w:divBdr>
    </w:div>
    <w:div w:id="231158511">
      <w:bodyDiv w:val="1"/>
      <w:marLeft w:val="0"/>
      <w:marRight w:val="0"/>
      <w:marTop w:val="0"/>
      <w:marBottom w:val="0"/>
      <w:divBdr>
        <w:top w:val="none" w:sz="0" w:space="0" w:color="auto"/>
        <w:left w:val="none" w:sz="0" w:space="0" w:color="auto"/>
        <w:bottom w:val="none" w:sz="0" w:space="0" w:color="auto"/>
        <w:right w:val="none" w:sz="0" w:space="0" w:color="auto"/>
      </w:divBdr>
    </w:div>
    <w:div w:id="231165951">
      <w:bodyDiv w:val="1"/>
      <w:marLeft w:val="0"/>
      <w:marRight w:val="0"/>
      <w:marTop w:val="0"/>
      <w:marBottom w:val="0"/>
      <w:divBdr>
        <w:top w:val="none" w:sz="0" w:space="0" w:color="auto"/>
        <w:left w:val="none" w:sz="0" w:space="0" w:color="auto"/>
        <w:bottom w:val="none" w:sz="0" w:space="0" w:color="auto"/>
        <w:right w:val="none" w:sz="0" w:space="0" w:color="auto"/>
      </w:divBdr>
    </w:div>
    <w:div w:id="231283647">
      <w:bodyDiv w:val="1"/>
      <w:marLeft w:val="0"/>
      <w:marRight w:val="0"/>
      <w:marTop w:val="0"/>
      <w:marBottom w:val="0"/>
      <w:divBdr>
        <w:top w:val="none" w:sz="0" w:space="0" w:color="auto"/>
        <w:left w:val="none" w:sz="0" w:space="0" w:color="auto"/>
        <w:bottom w:val="none" w:sz="0" w:space="0" w:color="auto"/>
        <w:right w:val="none" w:sz="0" w:space="0" w:color="auto"/>
      </w:divBdr>
    </w:div>
    <w:div w:id="231621159">
      <w:bodyDiv w:val="1"/>
      <w:marLeft w:val="0"/>
      <w:marRight w:val="0"/>
      <w:marTop w:val="0"/>
      <w:marBottom w:val="0"/>
      <w:divBdr>
        <w:top w:val="none" w:sz="0" w:space="0" w:color="auto"/>
        <w:left w:val="none" w:sz="0" w:space="0" w:color="auto"/>
        <w:bottom w:val="none" w:sz="0" w:space="0" w:color="auto"/>
        <w:right w:val="none" w:sz="0" w:space="0" w:color="auto"/>
      </w:divBdr>
    </w:div>
    <w:div w:id="231698996">
      <w:bodyDiv w:val="1"/>
      <w:marLeft w:val="0"/>
      <w:marRight w:val="0"/>
      <w:marTop w:val="0"/>
      <w:marBottom w:val="0"/>
      <w:divBdr>
        <w:top w:val="none" w:sz="0" w:space="0" w:color="auto"/>
        <w:left w:val="none" w:sz="0" w:space="0" w:color="auto"/>
        <w:bottom w:val="none" w:sz="0" w:space="0" w:color="auto"/>
        <w:right w:val="none" w:sz="0" w:space="0" w:color="auto"/>
      </w:divBdr>
    </w:div>
    <w:div w:id="231816701">
      <w:bodyDiv w:val="1"/>
      <w:marLeft w:val="0"/>
      <w:marRight w:val="0"/>
      <w:marTop w:val="0"/>
      <w:marBottom w:val="0"/>
      <w:divBdr>
        <w:top w:val="none" w:sz="0" w:space="0" w:color="auto"/>
        <w:left w:val="none" w:sz="0" w:space="0" w:color="auto"/>
        <w:bottom w:val="none" w:sz="0" w:space="0" w:color="auto"/>
        <w:right w:val="none" w:sz="0" w:space="0" w:color="auto"/>
      </w:divBdr>
    </w:div>
    <w:div w:id="232203435">
      <w:bodyDiv w:val="1"/>
      <w:marLeft w:val="0"/>
      <w:marRight w:val="0"/>
      <w:marTop w:val="0"/>
      <w:marBottom w:val="0"/>
      <w:divBdr>
        <w:top w:val="none" w:sz="0" w:space="0" w:color="auto"/>
        <w:left w:val="none" w:sz="0" w:space="0" w:color="auto"/>
        <w:bottom w:val="none" w:sz="0" w:space="0" w:color="auto"/>
        <w:right w:val="none" w:sz="0" w:space="0" w:color="auto"/>
      </w:divBdr>
    </w:div>
    <w:div w:id="232814534">
      <w:bodyDiv w:val="1"/>
      <w:marLeft w:val="0"/>
      <w:marRight w:val="0"/>
      <w:marTop w:val="0"/>
      <w:marBottom w:val="0"/>
      <w:divBdr>
        <w:top w:val="none" w:sz="0" w:space="0" w:color="auto"/>
        <w:left w:val="none" w:sz="0" w:space="0" w:color="auto"/>
        <w:bottom w:val="none" w:sz="0" w:space="0" w:color="auto"/>
        <w:right w:val="none" w:sz="0" w:space="0" w:color="auto"/>
      </w:divBdr>
    </w:div>
    <w:div w:id="233509477">
      <w:bodyDiv w:val="1"/>
      <w:marLeft w:val="0"/>
      <w:marRight w:val="0"/>
      <w:marTop w:val="0"/>
      <w:marBottom w:val="0"/>
      <w:divBdr>
        <w:top w:val="none" w:sz="0" w:space="0" w:color="auto"/>
        <w:left w:val="none" w:sz="0" w:space="0" w:color="auto"/>
        <w:bottom w:val="none" w:sz="0" w:space="0" w:color="auto"/>
        <w:right w:val="none" w:sz="0" w:space="0" w:color="auto"/>
      </w:divBdr>
    </w:div>
    <w:div w:id="233857850">
      <w:bodyDiv w:val="1"/>
      <w:marLeft w:val="0"/>
      <w:marRight w:val="0"/>
      <w:marTop w:val="0"/>
      <w:marBottom w:val="0"/>
      <w:divBdr>
        <w:top w:val="none" w:sz="0" w:space="0" w:color="auto"/>
        <w:left w:val="none" w:sz="0" w:space="0" w:color="auto"/>
        <w:bottom w:val="none" w:sz="0" w:space="0" w:color="auto"/>
        <w:right w:val="none" w:sz="0" w:space="0" w:color="auto"/>
      </w:divBdr>
    </w:div>
    <w:div w:id="234823690">
      <w:bodyDiv w:val="1"/>
      <w:marLeft w:val="0"/>
      <w:marRight w:val="0"/>
      <w:marTop w:val="0"/>
      <w:marBottom w:val="0"/>
      <w:divBdr>
        <w:top w:val="none" w:sz="0" w:space="0" w:color="auto"/>
        <w:left w:val="none" w:sz="0" w:space="0" w:color="auto"/>
        <w:bottom w:val="none" w:sz="0" w:space="0" w:color="auto"/>
        <w:right w:val="none" w:sz="0" w:space="0" w:color="auto"/>
      </w:divBdr>
    </w:div>
    <w:div w:id="235021414">
      <w:bodyDiv w:val="1"/>
      <w:marLeft w:val="0"/>
      <w:marRight w:val="0"/>
      <w:marTop w:val="0"/>
      <w:marBottom w:val="0"/>
      <w:divBdr>
        <w:top w:val="none" w:sz="0" w:space="0" w:color="auto"/>
        <w:left w:val="none" w:sz="0" w:space="0" w:color="auto"/>
        <w:bottom w:val="none" w:sz="0" w:space="0" w:color="auto"/>
        <w:right w:val="none" w:sz="0" w:space="0" w:color="auto"/>
      </w:divBdr>
    </w:div>
    <w:div w:id="235092576">
      <w:bodyDiv w:val="1"/>
      <w:marLeft w:val="0"/>
      <w:marRight w:val="0"/>
      <w:marTop w:val="0"/>
      <w:marBottom w:val="0"/>
      <w:divBdr>
        <w:top w:val="none" w:sz="0" w:space="0" w:color="auto"/>
        <w:left w:val="none" w:sz="0" w:space="0" w:color="auto"/>
        <w:bottom w:val="none" w:sz="0" w:space="0" w:color="auto"/>
        <w:right w:val="none" w:sz="0" w:space="0" w:color="auto"/>
      </w:divBdr>
    </w:div>
    <w:div w:id="235434746">
      <w:bodyDiv w:val="1"/>
      <w:marLeft w:val="0"/>
      <w:marRight w:val="0"/>
      <w:marTop w:val="0"/>
      <w:marBottom w:val="0"/>
      <w:divBdr>
        <w:top w:val="none" w:sz="0" w:space="0" w:color="auto"/>
        <w:left w:val="none" w:sz="0" w:space="0" w:color="auto"/>
        <w:bottom w:val="none" w:sz="0" w:space="0" w:color="auto"/>
        <w:right w:val="none" w:sz="0" w:space="0" w:color="auto"/>
      </w:divBdr>
    </w:div>
    <w:div w:id="235628643">
      <w:bodyDiv w:val="1"/>
      <w:marLeft w:val="0"/>
      <w:marRight w:val="0"/>
      <w:marTop w:val="0"/>
      <w:marBottom w:val="0"/>
      <w:divBdr>
        <w:top w:val="none" w:sz="0" w:space="0" w:color="auto"/>
        <w:left w:val="none" w:sz="0" w:space="0" w:color="auto"/>
        <w:bottom w:val="none" w:sz="0" w:space="0" w:color="auto"/>
        <w:right w:val="none" w:sz="0" w:space="0" w:color="auto"/>
      </w:divBdr>
    </w:div>
    <w:div w:id="236912719">
      <w:bodyDiv w:val="1"/>
      <w:marLeft w:val="0"/>
      <w:marRight w:val="0"/>
      <w:marTop w:val="0"/>
      <w:marBottom w:val="0"/>
      <w:divBdr>
        <w:top w:val="none" w:sz="0" w:space="0" w:color="auto"/>
        <w:left w:val="none" w:sz="0" w:space="0" w:color="auto"/>
        <w:bottom w:val="none" w:sz="0" w:space="0" w:color="auto"/>
        <w:right w:val="none" w:sz="0" w:space="0" w:color="auto"/>
      </w:divBdr>
    </w:div>
    <w:div w:id="236982605">
      <w:bodyDiv w:val="1"/>
      <w:marLeft w:val="0"/>
      <w:marRight w:val="0"/>
      <w:marTop w:val="0"/>
      <w:marBottom w:val="0"/>
      <w:divBdr>
        <w:top w:val="none" w:sz="0" w:space="0" w:color="auto"/>
        <w:left w:val="none" w:sz="0" w:space="0" w:color="auto"/>
        <w:bottom w:val="none" w:sz="0" w:space="0" w:color="auto"/>
        <w:right w:val="none" w:sz="0" w:space="0" w:color="auto"/>
      </w:divBdr>
    </w:div>
    <w:div w:id="237784676">
      <w:bodyDiv w:val="1"/>
      <w:marLeft w:val="0"/>
      <w:marRight w:val="0"/>
      <w:marTop w:val="0"/>
      <w:marBottom w:val="0"/>
      <w:divBdr>
        <w:top w:val="none" w:sz="0" w:space="0" w:color="auto"/>
        <w:left w:val="none" w:sz="0" w:space="0" w:color="auto"/>
        <w:bottom w:val="none" w:sz="0" w:space="0" w:color="auto"/>
        <w:right w:val="none" w:sz="0" w:space="0" w:color="auto"/>
      </w:divBdr>
    </w:div>
    <w:div w:id="237833143">
      <w:bodyDiv w:val="1"/>
      <w:marLeft w:val="0"/>
      <w:marRight w:val="0"/>
      <w:marTop w:val="0"/>
      <w:marBottom w:val="0"/>
      <w:divBdr>
        <w:top w:val="none" w:sz="0" w:space="0" w:color="auto"/>
        <w:left w:val="none" w:sz="0" w:space="0" w:color="auto"/>
        <w:bottom w:val="none" w:sz="0" w:space="0" w:color="auto"/>
        <w:right w:val="none" w:sz="0" w:space="0" w:color="auto"/>
      </w:divBdr>
    </w:div>
    <w:div w:id="238297851">
      <w:bodyDiv w:val="1"/>
      <w:marLeft w:val="0"/>
      <w:marRight w:val="0"/>
      <w:marTop w:val="0"/>
      <w:marBottom w:val="0"/>
      <w:divBdr>
        <w:top w:val="none" w:sz="0" w:space="0" w:color="auto"/>
        <w:left w:val="none" w:sz="0" w:space="0" w:color="auto"/>
        <w:bottom w:val="none" w:sz="0" w:space="0" w:color="auto"/>
        <w:right w:val="none" w:sz="0" w:space="0" w:color="auto"/>
      </w:divBdr>
    </w:div>
    <w:div w:id="238906026">
      <w:bodyDiv w:val="1"/>
      <w:marLeft w:val="0"/>
      <w:marRight w:val="0"/>
      <w:marTop w:val="0"/>
      <w:marBottom w:val="0"/>
      <w:divBdr>
        <w:top w:val="none" w:sz="0" w:space="0" w:color="auto"/>
        <w:left w:val="none" w:sz="0" w:space="0" w:color="auto"/>
        <w:bottom w:val="none" w:sz="0" w:space="0" w:color="auto"/>
        <w:right w:val="none" w:sz="0" w:space="0" w:color="auto"/>
      </w:divBdr>
    </w:div>
    <w:div w:id="239095596">
      <w:bodyDiv w:val="1"/>
      <w:marLeft w:val="0"/>
      <w:marRight w:val="0"/>
      <w:marTop w:val="0"/>
      <w:marBottom w:val="0"/>
      <w:divBdr>
        <w:top w:val="none" w:sz="0" w:space="0" w:color="auto"/>
        <w:left w:val="none" w:sz="0" w:space="0" w:color="auto"/>
        <w:bottom w:val="none" w:sz="0" w:space="0" w:color="auto"/>
        <w:right w:val="none" w:sz="0" w:space="0" w:color="auto"/>
      </w:divBdr>
    </w:div>
    <w:div w:id="239825956">
      <w:bodyDiv w:val="1"/>
      <w:marLeft w:val="0"/>
      <w:marRight w:val="0"/>
      <w:marTop w:val="0"/>
      <w:marBottom w:val="0"/>
      <w:divBdr>
        <w:top w:val="none" w:sz="0" w:space="0" w:color="auto"/>
        <w:left w:val="none" w:sz="0" w:space="0" w:color="auto"/>
        <w:bottom w:val="none" w:sz="0" w:space="0" w:color="auto"/>
        <w:right w:val="none" w:sz="0" w:space="0" w:color="auto"/>
      </w:divBdr>
    </w:div>
    <w:div w:id="240065235">
      <w:bodyDiv w:val="1"/>
      <w:marLeft w:val="0"/>
      <w:marRight w:val="0"/>
      <w:marTop w:val="0"/>
      <w:marBottom w:val="0"/>
      <w:divBdr>
        <w:top w:val="none" w:sz="0" w:space="0" w:color="auto"/>
        <w:left w:val="none" w:sz="0" w:space="0" w:color="auto"/>
        <w:bottom w:val="none" w:sz="0" w:space="0" w:color="auto"/>
        <w:right w:val="none" w:sz="0" w:space="0" w:color="auto"/>
      </w:divBdr>
    </w:div>
    <w:div w:id="240264105">
      <w:bodyDiv w:val="1"/>
      <w:marLeft w:val="0"/>
      <w:marRight w:val="0"/>
      <w:marTop w:val="0"/>
      <w:marBottom w:val="0"/>
      <w:divBdr>
        <w:top w:val="none" w:sz="0" w:space="0" w:color="auto"/>
        <w:left w:val="none" w:sz="0" w:space="0" w:color="auto"/>
        <w:bottom w:val="none" w:sz="0" w:space="0" w:color="auto"/>
        <w:right w:val="none" w:sz="0" w:space="0" w:color="auto"/>
      </w:divBdr>
    </w:div>
    <w:div w:id="241332559">
      <w:bodyDiv w:val="1"/>
      <w:marLeft w:val="0"/>
      <w:marRight w:val="0"/>
      <w:marTop w:val="0"/>
      <w:marBottom w:val="0"/>
      <w:divBdr>
        <w:top w:val="none" w:sz="0" w:space="0" w:color="auto"/>
        <w:left w:val="none" w:sz="0" w:space="0" w:color="auto"/>
        <w:bottom w:val="none" w:sz="0" w:space="0" w:color="auto"/>
        <w:right w:val="none" w:sz="0" w:space="0" w:color="auto"/>
      </w:divBdr>
    </w:div>
    <w:div w:id="242842535">
      <w:bodyDiv w:val="1"/>
      <w:marLeft w:val="0"/>
      <w:marRight w:val="0"/>
      <w:marTop w:val="0"/>
      <w:marBottom w:val="0"/>
      <w:divBdr>
        <w:top w:val="none" w:sz="0" w:space="0" w:color="auto"/>
        <w:left w:val="none" w:sz="0" w:space="0" w:color="auto"/>
        <w:bottom w:val="none" w:sz="0" w:space="0" w:color="auto"/>
        <w:right w:val="none" w:sz="0" w:space="0" w:color="auto"/>
      </w:divBdr>
    </w:div>
    <w:div w:id="244266256">
      <w:bodyDiv w:val="1"/>
      <w:marLeft w:val="0"/>
      <w:marRight w:val="0"/>
      <w:marTop w:val="0"/>
      <w:marBottom w:val="0"/>
      <w:divBdr>
        <w:top w:val="none" w:sz="0" w:space="0" w:color="auto"/>
        <w:left w:val="none" w:sz="0" w:space="0" w:color="auto"/>
        <w:bottom w:val="none" w:sz="0" w:space="0" w:color="auto"/>
        <w:right w:val="none" w:sz="0" w:space="0" w:color="auto"/>
      </w:divBdr>
    </w:div>
    <w:div w:id="244995241">
      <w:bodyDiv w:val="1"/>
      <w:marLeft w:val="0"/>
      <w:marRight w:val="0"/>
      <w:marTop w:val="0"/>
      <w:marBottom w:val="0"/>
      <w:divBdr>
        <w:top w:val="none" w:sz="0" w:space="0" w:color="auto"/>
        <w:left w:val="none" w:sz="0" w:space="0" w:color="auto"/>
        <w:bottom w:val="none" w:sz="0" w:space="0" w:color="auto"/>
        <w:right w:val="none" w:sz="0" w:space="0" w:color="auto"/>
      </w:divBdr>
    </w:div>
    <w:div w:id="244998801">
      <w:bodyDiv w:val="1"/>
      <w:marLeft w:val="0"/>
      <w:marRight w:val="0"/>
      <w:marTop w:val="0"/>
      <w:marBottom w:val="0"/>
      <w:divBdr>
        <w:top w:val="none" w:sz="0" w:space="0" w:color="auto"/>
        <w:left w:val="none" w:sz="0" w:space="0" w:color="auto"/>
        <w:bottom w:val="none" w:sz="0" w:space="0" w:color="auto"/>
        <w:right w:val="none" w:sz="0" w:space="0" w:color="auto"/>
      </w:divBdr>
    </w:div>
    <w:div w:id="245111413">
      <w:bodyDiv w:val="1"/>
      <w:marLeft w:val="0"/>
      <w:marRight w:val="0"/>
      <w:marTop w:val="0"/>
      <w:marBottom w:val="0"/>
      <w:divBdr>
        <w:top w:val="none" w:sz="0" w:space="0" w:color="auto"/>
        <w:left w:val="none" w:sz="0" w:space="0" w:color="auto"/>
        <w:bottom w:val="none" w:sz="0" w:space="0" w:color="auto"/>
        <w:right w:val="none" w:sz="0" w:space="0" w:color="auto"/>
      </w:divBdr>
    </w:div>
    <w:div w:id="246958806">
      <w:bodyDiv w:val="1"/>
      <w:marLeft w:val="0"/>
      <w:marRight w:val="0"/>
      <w:marTop w:val="0"/>
      <w:marBottom w:val="0"/>
      <w:divBdr>
        <w:top w:val="none" w:sz="0" w:space="0" w:color="auto"/>
        <w:left w:val="none" w:sz="0" w:space="0" w:color="auto"/>
        <w:bottom w:val="none" w:sz="0" w:space="0" w:color="auto"/>
        <w:right w:val="none" w:sz="0" w:space="0" w:color="auto"/>
      </w:divBdr>
    </w:div>
    <w:div w:id="247423379">
      <w:bodyDiv w:val="1"/>
      <w:marLeft w:val="0"/>
      <w:marRight w:val="0"/>
      <w:marTop w:val="0"/>
      <w:marBottom w:val="0"/>
      <w:divBdr>
        <w:top w:val="none" w:sz="0" w:space="0" w:color="auto"/>
        <w:left w:val="none" w:sz="0" w:space="0" w:color="auto"/>
        <w:bottom w:val="none" w:sz="0" w:space="0" w:color="auto"/>
        <w:right w:val="none" w:sz="0" w:space="0" w:color="auto"/>
      </w:divBdr>
    </w:div>
    <w:div w:id="247428033">
      <w:bodyDiv w:val="1"/>
      <w:marLeft w:val="0"/>
      <w:marRight w:val="0"/>
      <w:marTop w:val="0"/>
      <w:marBottom w:val="0"/>
      <w:divBdr>
        <w:top w:val="none" w:sz="0" w:space="0" w:color="auto"/>
        <w:left w:val="none" w:sz="0" w:space="0" w:color="auto"/>
        <w:bottom w:val="none" w:sz="0" w:space="0" w:color="auto"/>
        <w:right w:val="none" w:sz="0" w:space="0" w:color="auto"/>
      </w:divBdr>
    </w:div>
    <w:div w:id="248000312">
      <w:bodyDiv w:val="1"/>
      <w:marLeft w:val="0"/>
      <w:marRight w:val="0"/>
      <w:marTop w:val="0"/>
      <w:marBottom w:val="0"/>
      <w:divBdr>
        <w:top w:val="none" w:sz="0" w:space="0" w:color="auto"/>
        <w:left w:val="none" w:sz="0" w:space="0" w:color="auto"/>
        <w:bottom w:val="none" w:sz="0" w:space="0" w:color="auto"/>
        <w:right w:val="none" w:sz="0" w:space="0" w:color="auto"/>
      </w:divBdr>
    </w:div>
    <w:div w:id="248003703">
      <w:bodyDiv w:val="1"/>
      <w:marLeft w:val="0"/>
      <w:marRight w:val="0"/>
      <w:marTop w:val="0"/>
      <w:marBottom w:val="0"/>
      <w:divBdr>
        <w:top w:val="none" w:sz="0" w:space="0" w:color="auto"/>
        <w:left w:val="none" w:sz="0" w:space="0" w:color="auto"/>
        <w:bottom w:val="none" w:sz="0" w:space="0" w:color="auto"/>
        <w:right w:val="none" w:sz="0" w:space="0" w:color="auto"/>
      </w:divBdr>
    </w:div>
    <w:div w:id="248581851">
      <w:bodyDiv w:val="1"/>
      <w:marLeft w:val="0"/>
      <w:marRight w:val="0"/>
      <w:marTop w:val="0"/>
      <w:marBottom w:val="0"/>
      <w:divBdr>
        <w:top w:val="none" w:sz="0" w:space="0" w:color="auto"/>
        <w:left w:val="none" w:sz="0" w:space="0" w:color="auto"/>
        <w:bottom w:val="none" w:sz="0" w:space="0" w:color="auto"/>
        <w:right w:val="none" w:sz="0" w:space="0" w:color="auto"/>
      </w:divBdr>
    </w:div>
    <w:div w:id="248583415">
      <w:bodyDiv w:val="1"/>
      <w:marLeft w:val="0"/>
      <w:marRight w:val="0"/>
      <w:marTop w:val="0"/>
      <w:marBottom w:val="0"/>
      <w:divBdr>
        <w:top w:val="none" w:sz="0" w:space="0" w:color="auto"/>
        <w:left w:val="none" w:sz="0" w:space="0" w:color="auto"/>
        <w:bottom w:val="none" w:sz="0" w:space="0" w:color="auto"/>
        <w:right w:val="none" w:sz="0" w:space="0" w:color="auto"/>
      </w:divBdr>
    </w:div>
    <w:div w:id="248781450">
      <w:bodyDiv w:val="1"/>
      <w:marLeft w:val="0"/>
      <w:marRight w:val="0"/>
      <w:marTop w:val="0"/>
      <w:marBottom w:val="0"/>
      <w:divBdr>
        <w:top w:val="none" w:sz="0" w:space="0" w:color="auto"/>
        <w:left w:val="none" w:sz="0" w:space="0" w:color="auto"/>
        <w:bottom w:val="none" w:sz="0" w:space="0" w:color="auto"/>
        <w:right w:val="none" w:sz="0" w:space="0" w:color="auto"/>
      </w:divBdr>
    </w:div>
    <w:div w:id="249508947">
      <w:bodyDiv w:val="1"/>
      <w:marLeft w:val="0"/>
      <w:marRight w:val="0"/>
      <w:marTop w:val="0"/>
      <w:marBottom w:val="0"/>
      <w:divBdr>
        <w:top w:val="none" w:sz="0" w:space="0" w:color="auto"/>
        <w:left w:val="none" w:sz="0" w:space="0" w:color="auto"/>
        <w:bottom w:val="none" w:sz="0" w:space="0" w:color="auto"/>
        <w:right w:val="none" w:sz="0" w:space="0" w:color="auto"/>
      </w:divBdr>
    </w:div>
    <w:div w:id="249777462">
      <w:bodyDiv w:val="1"/>
      <w:marLeft w:val="0"/>
      <w:marRight w:val="0"/>
      <w:marTop w:val="0"/>
      <w:marBottom w:val="0"/>
      <w:divBdr>
        <w:top w:val="none" w:sz="0" w:space="0" w:color="auto"/>
        <w:left w:val="none" w:sz="0" w:space="0" w:color="auto"/>
        <w:bottom w:val="none" w:sz="0" w:space="0" w:color="auto"/>
        <w:right w:val="none" w:sz="0" w:space="0" w:color="auto"/>
      </w:divBdr>
    </w:div>
    <w:div w:id="250820173">
      <w:bodyDiv w:val="1"/>
      <w:marLeft w:val="0"/>
      <w:marRight w:val="0"/>
      <w:marTop w:val="0"/>
      <w:marBottom w:val="0"/>
      <w:divBdr>
        <w:top w:val="none" w:sz="0" w:space="0" w:color="auto"/>
        <w:left w:val="none" w:sz="0" w:space="0" w:color="auto"/>
        <w:bottom w:val="none" w:sz="0" w:space="0" w:color="auto"/>
        <w:right w:val="none" w:sz="0" w:space="0" w:color="auto"/>
      </w:divBdr>
    </w:div>
    <w:div w:id="251012521">
      <w:bodyDiv w:val="1"/>
      <w:marLeft w:val="0"/>
      <w:marRight w:val="0"/>
      <w:marTop w:val="0"/>
      <w:marBottom w:val="0"/>
      <w:divBdr>
        <w:top w:val="none" w:sz="0" w:space="0" w:color="auto"/>
        <w:left w:val="none" w:sz="0" w:space="0" w:color="auto"/>
        <w:bottom w:val="none" w:sz="0" w:space="0" w:color="auto"/>
        <w:right w:val="none" w:sz="0" w:space="0" w:color="auto"/>
      </w:divBdr>
    </w:div>
    <w:div w:id="251160394">
      <w:bodyDiv w:val="1"/>
      <w:marLeft w:val="0"/>
      <w:marRight w:val="0"/>
      <w:marTop w:val="0"/>
      <w:marBottom w:val="0"/>
      <w:divBdr>
        <w:top w:val="none" w:sz="0" w:space="0" w:color="auto"/>
        <w:left w:val="none" w:sz="0" w:space="0" w:color="auto"/>
        <w:bottom w:val="none" w:sz="0" w:space="0" w:color="auto"/>
        <w:right w:val="none" w:sz="0" w:space="0" w:color="auto"/>
      </w:divBdr>
    </w:div>
    <w:div w:id="252010371">
      <w:bodyDiv w:val="1"/>
      <w:marLeft w:val="0"/>
      <w:marRight w:val="0"/>
      <w:marTop w:val="0"/>
      <w:marBottom w:val="0"/>
      <w:divBdr>
        <w:top w:val="none" w:sz="0" w:space="0" w:color="auto"/>
        <w:left w:val="none" w:sz="0" w:space="0" w:color="auto"/>
        <w:bottom w:val="none" w:sz="0" w:space="0" w:color="auto"/>
        <w:right w:val="none" w:sz="0" w:space="0" w:color="auto"/>
      </w:divBdr>
    </w:div>
    <w:div w:id="252055205">
      <w:bodyDiv w:val="1"/>
      <w:marLeft w:val="0"/>
      <w:marRight w:val="0"/>
      <w:marTop w:val="0"/>
      <w:marBottom w:val="0"/>
      <w:divBdr>
        <w:top w:val="none" w:sz="0" w:space="0" w:color="auto"/>
        <w:left w:val="none" w:sz="0" w:space="0" w:color="auto"/>
        <w:bottom w:val="none" w:sz="0" w:space="0" w:color="auto"/>
        <w:right w:val="none" w:sz="0" w:space="0" w:color="auto"/>
      </w:divBdr>
    </w:div>
    <w:div w:id="252472636">
      <w:bodyDiv w:val="1"/>
      <w:marLeft w:val="0"/>
      <w:marRight w:val="0"/>
      <w:marTop w:val="0"/>
      <w:marBottom w:val="0"/>
      <w:divBdr>
        <w:top w:val="none" w:sz="0" w:space="0" w:color="auto"/>
        <w:left w:val="none" w:sz="0" w:space="0" w:color="auto"/>
        <w:bottom w:val="none" w:sz="0" w:space="0" w:color="auto"/>
        <w:right w:val="none" w:sz="0" w:space="0" w:color="auto"/>
      </w:divBdr>
    </w:div>
    <w:div w:id="252856905">
      <w:bodyDiv w:val="1"/>
      <w:marLeft w:val="0"/>
      <w:marRight w:val="0"/>
      <w:marTop w:val="0"/>
      <w:marBottom w:val="0"/>
      <w:divBdr>
        <w:top w:val="none" w:sz="0" w:space="0" w:color="auto"/>
        <w:left w:val="none" w:sz="0" w:space="0" w:color="auto"/>
        <w:bottom w:val="none" w:sz="0" w:space="0" w:color="auto"/>
        <w:right w:val="none" w:sz="0" w:space="0" w:color="auto"/>
      </w:divBdr>
    </w:div>
    <w:div w:id="254023801">
      <w:bodyDiv w:val="1"/>
      <w:marLeft w:val="0"/>
      <w:marRight w:val="0"/>
      <w:marTop w:val="0"/>
      <w:marBottom w:val="0"/>
      <w:divBdr>
        <w:top w:val="none" w:sz="0" w:space="0" w:color="auto"/>
        <w:left w:val="none" w:sz="0" w:space="0" w:color="auto"/>
        <w:bottom w:val="none" w:sz="0" w:space="0" w:color="auto"/>
        <w:right w:val="none" w:sz="0" w:space="0" w:color="auto"/>
      </w:divBdr>
    </w:div>
    <w:div w:id="255332360">
      <w:bodyDiv w:val="1"/>
      <w:marLeft w:val="0"/>
      <w:marRight w:val="0"/>
      <w:marTop w:val="0"/>
      <w:marBottom w:val="0"/>
      <w:divBdr>
        <w:top w:val="none" w:sz="0" w:space="0" w:color="auto"/>
        <w:left w:val="none" w:sz="0" w:space="0" w:color="auto"/>
        <w:bottom w:val="none" w:sz="0" w:space="0" w:color="auto"/>
        <w:right w:val="none" w:sz="0" w:space="0" w:color="auto"/>
      </w:divBdr>
    </w:div>
    <w:div w:id="255528390">
      <w:bodyDiv w:val="1"/>
      <w:marLeft w:val="0"/>
      <w:marRight w:val="0"/>
      <w:marTop w:val="0"/>
      <w:marBottom w:val="0"/>
      <w:divBdr>
        <w:top w:val="none" w:sz="0" w:space="0" w:color="auto"/>
        <w:left w:val="none" w:sz="0" w:space="0" w:color="auto"/>
        <w:bottom w:val="none" w:sz="0" w:space="0" w:color="auto"/>
        <w:right w:val="none" w:sz="0" w:space="0" w:color="auto"/>
      </w:divBdr>
    </w:div>
    <w:div w:id="255939444">
      <w:bodyDiv w:val="1"/>
      <w:marLeft w:val="0"/>
      <w:marRight w:val="0"/>
      <w:marTop w:val="0"/>
      <w:marBottom w:val="0"/>
      <w:divBdr>
        <w:top w:val="none" w:sz="0" w:space="0" w:color="auto"/>
        <w:left w:val="none" w:sz="0" w:space="0" w:color="auto"/>
        <w:bottom w:val="none" w:sz="0" w:space="0" w:color="auto"/>
        <w:right w:val="none" w:sz="0" w:space="0" w:color="auto"/>
      </w:divBdr>
    </w:div>
    <w:div w:id="256056881">
      <w:bodyDiv w:val="1"/>
      <w:marLeft w:val="0"/>
      <w:marRight w:val="0"/>
      <w:marTop w:val="0"/>
      <w:marBottom w:val="0"/>
      <w:divBdr>
        <w:top w:val="none" w:sz="0" w:space="0" w:color="auto"/>
        <w:left w:val="none" w:sz="0" w:space="0" w:color="auto"/>
        <w:bottom w:val="none" w:sz="0" w:space="0" w:color="auto"/>
        <w:right w:val="none" w:sz="0" w:space="0" w:color="auto"/>
      </w:divBdr>
    </w:div>
    <w:div w:id="256062211">
      <w:bodyDiv w:val="1"/>
      <w:marLeft w:val="0"/>
      <w:marRight w:val="0"/>
      <w:marTop w:val="0"/>
      <w:marBottom w:val="0"/>
      <w:divBdr>
        <w:top w:val="none" w:sz="0" w:space="0" w:color="auto"/>
        <w:left w:val="none" w:sz="0" w:space="0" w:color="auto"/>
        <w:bottom w:val="none" w:sz="0" w:space="0" w:color="auto"/>
        <w:right w:val="none" w:sz="0" w:space="0" w:color="auto"/>
      </w:divBdr>
    </w:div>
    <w:div w:id="256450138">
      <w:bodyDiv w:val="1"/>
      <w:marLeft w:val="0"/>
      <w:marRight w:val="0"/>
      <w:marTop w:val="0"/>
      <w:marBottom w:val="0"/>
      <w:divBdr>
        <w:top w:val="none" w:sz="0" w:space="0" w:color="auto"/>
        <w:left w:val="none" w:sz="0" w:space="0" w:color="auto"/>
        <w:bottom w:val="none" w:sz="0" w:space="0" w:color="auto"/>
        <w:right w:val="none" w:sz="0" w:space="0" w:color="auto"/>
      </w:divBdr>
    </w:div>
    <w:div w:id="256913874">
      <w:bodyDiv w:val="1"/>
      <w:marLeft w:val="0"/>
      <w:marRight w:val="0"/>
      <w:marTop w:val="0"/>
      <w:marBottom w:val="0"/>
      <w:divBdr>
        <w:top w:val="none" w:sz="0" w:space="0" w:color="auto"/>
        <w:left w:val="none" w:sz="0" w:space="0" w:color="auto"/>
        <w:bottom w:val="none" w:sz="0" w:space="0" w:color="auto"/>
        <w:right w:val="none" w:sz="0" w:space="0" w:color="auto"/>
      </w:divBdr>
    </w:div>
    <w:div w:id="257566853">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61183576">
      <w:bodyDiv w:val="1"/>
      <w:marLeft w:val="0"/>
      <w:marRight w:val="0"/>
      <w:marTop w:val="0"/>
      <w:marBottom w:val="0"/>
      <w:divBdr>
        <w:top w:val="none" w:sz="0" w:space="0" w:color="auto"/>
        <w:left w:val="none" w:sz="0" w:space="0" w:color="auto"/>
        <w:bottom w:val="none" w:sz="0" w:space="0" w:color="auto"/>
        <w:right w:val="none" w:sz="0" w:space="0" w:color="auto"/>
      </w:divBdr>
    </w:div>
    <w:div w:id="261231439">
      <w:bodyDiv w:val="1"/>
      <w:marLeft w:val="0"/>
      <w:marRight w:val="0"/>
      <w:marTop w:val="0"/>
      <w:marBottom w:val="0"/>
      <w:divBdr>
        <w:top w:val="none" w:sz="0" w:space="0" w:color="auto"/>
        <w:left w:val="none" w:sz="0" w:space="0" w:color="auto"/>
        <w:bottom w:val="none" w:sz="0" w:space="0" w:color="auto"/>
        <w:right w:val="none" w:sz="0" w:space="0" w:color="auto"/>
      </w:divBdr>
    </w:div>
    <w:div w:id="261766519">
      <w:bodyDiv w:val="1"/>
      <w:marLeft w:val="0"/>
      <w:marRight w:val="0"/>
      <w:marTop w:val="0"/>
      <w:marBottom w:val="0"/>
      <w:divBdr>
        <w:top w:val="none" w:sz="0" w:space="0" w:color="auto"/>
        <w:left w:val="none" w:sz="0" w:space="0" w:color="auto"/>
        <w:bottom w:val="none" w:sz="0" w:space="0" w:color="auto"/>
        <w:right w:val="none" w:sz="0" w:space="0" w:color="auto"/>
      </w:divBdr>
    </w:div>
    <w:div w:id="262961605">
      <w:bodyDiv w:val="1"/>
      <w:marLeft w:val="0"/>
      <w:marRight w:val="0"/>
      <w:marTop w:val="0"/>
      <w:marBottom w:val="0"/>
      <w:divBdr>
        <w:top w:val="none" w:sz="0" w:space="0" w:color="auto"/>
        <w:left w:val="none" w:sz="0" w:space="0" w:color="auto"/>
        <w:bottom w:val="none" w:sz="0" w:space="0" w:color="auto"/>
        <w:right w:val="none" w:sz="0" w:space="0" w:color="auto"/>
      </w:divBdr>
    </w:div>
    <w:div w:id="263074049">
      <w:bodyDiv w:val="1"/>
      <w:marLeft w:val="0"/>
      <w:marRight w:val="0"/>
      <w:marTop w:val="0"/>
      <w:marBottom w:val="0"/>
      <w:divBdr>
        <w:top w:val="none" w:sz="0" w:space="0" w:color="auto"/>
        <w:left w:val="none" w:sz="0" w:space="0" w:color="auto"/>
        <w:bottom w:val="none" w:sz="0" w:space="0" w:color="auto"/>
        <w:right w:val="none" w:sz="0" w:space="0" w:color="auto"/>
      </w:divBdr>
    </w:div>
    <w:div w:id="263391029">
      <w:bodyDiv w:val="1"/>
      <w:marLeft w:val="0"/>
      <w:marRight w:val="0"/>
      <w:marTop w:val="0"/>
      <w:marBottom w:val="0"/>
      <w:divBdr>
        <w:top w:val="none" w:sz="0" w:space="0" w:color="auto"/>
        <w:left w:val="none" w:sz="0" w:space="0" w:color="auto"/>
        <w:bottom w:val="none" w:sz="0" w:space="0" w:color="auto"/>
        <w:right w:val="none" w:sz="0" w:space="0" w:color="auto"/>
      </w:divBdr>
    </w:div>
    <w:div w:id="263920227">
      <w:bodyDiv w:val="1"/>
      <w:marLeft w:val="0"/>
      <w:marRight w:val="0"/>
      <w:marTop w:val="0"/>
      <w:marBottom w:val="0"/>
      <w:divBdr>
        <w:top w:val="none" w:sz="0" w:space="0" w:color="auto"/>
        <w:left w:val="none" w:sz="0" w:space="0" w:color="auto"/>
        <w:bottom w:val="none" w:sz="0" w:space="0" w:color="auto"/>
        <w:right w:val="none" w:sz="0" w:space="0" w:color="auto"/>
      </w:divBdr>
    </w:div>
    <w:div w:id="264118853">
      <w:bodyDiv w:val="1"/>
      <w:marLeft w:val="0"/>
      <w:marRight w:val="0"/>
      <w:marTop w:val="0"/>
      <w:marBottom w:val="0"/>
      <w:divBdr>
        <w:top w:val="none" w:sz="0" w:space="0" w:color="auto"/>
        <w:left w:val="none" w:sz="0" w:space="0" w:color="auto"/>
        <w:bottom w:val="none" w:sz="0" w:space="0" w:color="auto"/>
        <w:right w:val="none" w:sz="0" w:space="0" w:color="auto"/>
      </w:divBdr>
    </w:div>
    <w:div w:id="264920266">
      <w:bodyDiv w:val="1"/>
      <w:marLeft w:val="0"/>
      <w:marRight w:val="0"/>
      <w:marTop w:val="0"/>
      <w:marBottom w:val="0"/>
      <w:divBdr>
        <w:top w:val="none" w:sz="0" w:space="0" w:color="auto"/>
        <w:left w:val="none" w:sz="0" w:space="0" w:color="auto"/>
        <w:bottom w:val="none" w:sz="0" w:space="0" w:color="auto"/>
        <w:right w:val="none" w:sz="0" w:space="0" w:color="auto"/>
      </w:divBdr>
    </w:div>
    <w:div w:id="265236453">
      <w:bodyDiv w:val="1"/>
      <w:marLeft w:val="0"/>
      <w:marRight w:val="0"/>
      <w:marTop w:val="0"/>
      <w:marBottom w:val="0"/>
      <w:divBdr>
        <w:top w:val="none" w:sz="0" w:space="0" w:color="auto"/>
        <w:left w:val="none" w:sz="0" w:space="0" w:color="auto"/>
        <w:bottom w:val="none" w:sz="0" w:space="0" w:color="auto"/>
        <w:right w:val="none" w:sz="0" w:space="0" w:color="auto"/>
      </w:divBdr>
    </w:div>
    <w:div w:id="265697443">
      <w:bodyDiv w:val="1"/>
      <w:marLeft w:val="0"/>
      <w:marRight w:val="0"/>
      <w:marTop w:val="0"/>
      <w:marBottom w:val="0"/>
      <w:divBdr>
        <w:top w:val="none" w:sz="0" w:space="0" w:color="auto"/>
        <w:left w:val="none" w:sz="0" w:space="0" w:color="auto"/>
        <w:bottom w:val="none" w:sz="0" w:space="0" w:color="auto"/>
        <w:right w:val="none" w:sz="0" w:space="0" w:color="auto"/>
      </w:divBdr>
    </w:div>
    <w:div w:id="265776121">
      <w:bodyDiv w:val="1"/>
      <w:marLeft w:val="0"/>
      <w:marRight w:val="0"/>
      <w:marTop w:val="0"/>
      <w:marBottom w:val="0"/>
      <w:divBdr>
        <w:top w:val="none" w:sz="0" w:space="0" w:color="auto"/>
        <w:left w:val="none" w:sz="0" w:space="0" w:color="auto"/>
        <w:bottom w:val="none" w:sz="0" w:space="0" w:color="auto"/>
        <w:right w:val="none" w:sz="0" w:space="0" w:color="auto"/>
      </w:divBdr>
    </w:div>
    <w:div w:id="267738299">
      <w:bodyDiv w:val="1"/>
      <w:marLeft w:val="0"/>
      <w:marRight w:val="0"/>
      <w:marTop w:val="0"/>
      <w:marBottom w:val="0"/>
      <w:divBdr>
        <w:top w:val="none" w:sz="0" w:space="0" w:color="auto"/>
        <w:left w:val="none" w:sz="0" w:space="0" w:color="auto"/>
        <w:bottom w:val="none" w:sz="0" w:space="0" w:color="auto"/>
        <w:right w:val="none" w:sz="0" w:space="0" w:color="auto"/>
      </w:divBdr>
    </w:div>
    <w:div w:id="267854766">
      <w:bodyDiv w:val="1"/>
      <w:marLeft w:val="0"/>
      <w:marRight w:val="0"/>
      <w:marTop w:val="0"/>
      <w:marBottom w:val="0"/>
      <w:divBdr>
        <w:top w:val="none" w:sz="0" w:space="0" w:color="auto"/>
        <w:left w:val="none" w:sz="0" w:space="0" w:color="auto"/>
        <w:bottom w:val="none" w:sz="0" w:space="0" w:color="auto"/>
        <w:right w:val="none" w:sz="0" w:space="0" w:color="auto"/>
      </w:divBdr>
    </w:div>
    <w:div w:id="267977875">
      <w:bodyDiv w:val="1"/>
      <w:marLeft w:val="0"/>
      <w:marRight w:val="0"/>
      <w:marTop w:val="0"/>
      <w:marBottom w:val="0"/>
      <w:divBdr>
        <w:top w:val="none" w:sz="0" w:space="0" w:color="auto"/>
        <w:left w:val="none" w:sz="0" w:space="0" w:color="auto"/>
        <w:bottom w:val="none" w:sz="0" w:space="0" w:color="auto"/>
        <w:right w:val="none" w:sz="0" w:space="0" w:color="auto"/>
      </w:divBdr>
    </w:div>
    <w:div w:id="268704288">
      <w:bodyDiv w:val="1"/>
      <w:marLeft w:val="0"/>
      <w:marRight w:val="0"/>
      <w:marTop w:val="0"/>
      <w:marBottom w:val="0"/>
      <w:divBdr>
        <w:top w:val="none" w:sz="0" w:space="0" w:color="auto"/>
        <w:left w:val="none" w:sz="0" w:space="0" w:color="auto"/>
        <w:bottom w:val="none" w:sz="0" w:space="0" w:color="auto"/>
        <w:right w:val="none" w:sz="0" w:space="0" w:color="auto"/>
      </w:divBdr>
    </w:div>
    <w:div w:id="269244795">
      <w:bodyDiv w:val="1"/>
      <w:marLeft w:val="0"/>
      <w:marRight w:val="0"/>
      <w:marTop w:val="0"/>
      <w:marBottom w:val="0"/>
      <w:divBdr>
        <w:top w:val="none" w:sz="0" w:space="0" w:color="auto"/>
        <w:left w:val="none" w:sz="0" w:space="0" w:color="auto"/>
        <w:bottom w:val="none" w:sz="0" w:space="0" w:color="auto"/>
        <w:right w:val="none" w:sz="0" w:space="0" w:color="auto"/>
      </w:divBdr>
    </w:div>
    <w:div w:id="270011003">
      <w:bodyDiv w:val="1"/>
      <w:marLeft w:val="0"/>
      <w:marRight w:val="0"/>
      <w:marTop w:val="0"/>
      <w:marBottom w:val="0"/>
      <w:divBdr>
        <w:top w:val="none" w:sz="0" w:space="0" w:color="auto"/>
        <w:left w:val="none" w:sz="0" w:space="0" w:color="auto"/>
        <w:bottom w:val="none" w:sz="0" w:space="0" w:color="auto"/>
        <w:right w:val="none" w:sz="0" w:space="0" w:color="auto"/>
      </w:divBdr>
    </w:div>
    <w:div w:id="270482090">
      <w:bodyDiv w:val="1"/>
      <w:marLeft w:val="0"/>
      <w:marRight w:val="0"/>
      <w:marTop w:val="0"/>
      <w:marBottom w:val="0"/>
      <w:divBdr>
        <w:top w:val="none" w:sz="0" w:space="0" w:color="auto"/>
        <w:left w:val="none" w:sz="0" w:space="0" w:color="auto"/>
        <w:bottom w:val="none" w:sz="0" w:space="0" w:color="auto"/>
        <w:right w:val="none" w:sz="0" w:space="0" w:color="auto"/>
      </w:divBdr>
    </w:div>
    <w:div w:id="271481103">
      <w:bodyDiv w:val="1"/>
      <w:marLeft w:val="0"/>
      <w:marRight w:val="0"/>
      <w:marTop w:val="0"/>
      <w:marBottom w:val="0"/>
      <w:divBdr>
        <w:top w:val="none" w:sz="0" w:space="0" w:color="auto"/>
        <w:left w:val="none" w:sz="0" w:space="0" w:color="auto"/>
        <w:bottom w:val="none" w:sz="0" w:space="0" w:color="auto"/>
        <w:right w:val="none" w:sz="0" w:space="0" w:color="auto"/>
      </w:divBdr>
    </w:div>
    <w:div w:id="271516058">
      <w:bodyDiv w:val="1"/>
      <w:marLeft w:val="0"/>
      <w:marRight w:val="0"/>
      <w:marTop w:val="0"/>
      <w:marBottom w:val="0"/>
      <w:divBdr>
        <w:top w:val="none" w:sz="0" w:space="0" w:color="auto"/>
        <w:left w:val="none" w:sz="0" w:space="0" w:color="auto"/>
        <w:bottom w:val="none" w:sz="0" w:space="0" w:color="auto"/>
        <w:right w:val="none" w:sz="0" w:space="0" w:color="auto"/>
      </w:divBdr>
    </w:div>
    <w:div w:id="271595705">
      <w:bodyDiv w:val="1"/>
      <w:marLeft w:val="0"/>
      <w:marRight w:val="0"/>
      <w:marTop w:val="0"/>
      <w:marBottom w:val="0"/>
      <w:divBdr>
        <w:top w:val="none" w:sz="0" w:space="0" w:color="auto"/>
        <w:left w:val="none" w:sz="0" w:space="0" w:color="auto"/>
        <w:bottom w:val="none" w:sz="0" w:space="0" w:color="auto"/>
        <w:right w:val="none" w:sz="0" w:space="0" w:color="auto"/>
      </w:divBdr>
    </w:div>
    <w:div w:id="272127063">
      <w:bodyDiv w:val="1"/>
      <w:marLeft w:val="0"/>
      <w:marRight w:val="0"/>
      <w:marTop w:val="0"/>
      <w:marBottom w:val="0"/>
      <w:divBdr>
        <w:top w:val="none" w:sz="0" w:space="0" w:color="auto"/>
        <w:left w:val="none" w:sz="0" w:space="0" w:color="auto"/>
        <w:bottom w:val="none" w:sz="0" w:space="0" w:color="auto"/>
        <w:right w:val="none" w:sz="0" w:space="0" w:color="auto"/>
      </w:divBdr>
    </w:div>
    <w:div w:id="273051629">
      <w:bodyDiv w:val="1"/>
      <w:marLeft w:val="0"/>
      <w:marRight w:val="0"/>
      <w:marTop w:val="0"/>
      <w:marBottom w:val="0"/>
      <w:divBdr>
        <w:top w:val="none" w:sz="0" w:space="0" w:color="auto"/>
        <w:left w:val="none" w:sz="0" w:space="0" w:color="auto"/>
        <w:bottom w:val="none" w:sz="0" w:space="0" w:color="auto"/>
        <w:right w:val="none" w:sz="0" w:space="0" w:color="auto"/>
      </w:divBdr>
    </w:div>
    <w:div w:id="273096281">
      <w:bodyDiv w:val="1"/>
      <w:marLeft w:val="0"/>
      <w:marRight w:val="0"/>
      <w:marTop w:val="0"/>
      <w:marBottom w:val="0"/>
      <w:divBdr>
        <w:top w:val="none" w:sz="0" w:space="0" w:color="auto"/>
        <w:left w:val="none" w:sz="0" w:space="0" w:color="auto"/>
        <w:bottom w:val="none" w:sz="0" w:space="0" w:color="auto"/>
        <w:right w:val="none" w:sz="0" w:space="0" w:color="auto"/>
      </w:divBdr>
    </w:div>
    <w:div w:id="273638300">
      <w:bodyDiv w:val="1"/>
      <w:marLeft w:val="0"/>
      <w:marRight w:val="0"/>
      <w:marTop w:val="0"/>
      <w:marBottom w:val="0"/>
      <w:divBdr>
        <w:top w:val="none" w:sz="0" w:space="0" w:color="auto"/>
        <w:left w:val="none" w:sz="0" w:space="0" w:color="auto"/>
        <w:bottom w:val="none" w:sz="0" w:space="0" w:color="auto"/>
        <w:right w:val="none" w:sz="0" w:space="0" w:color="auto"/>
      </w:divBdr>
    </w:div>
    <w:div w:id="274673882">
      <w:bodyDiv w:val="1"/>
      <w:marLeft w:val="0"/>
      <w:marRight w:val="0"/>
      <w:marTop w:val="0"/>
      <w:marBottom w:val="0"/>
      <w:divBdr>
        <w:top w:val="none" w:sz="0" w:space="0" w:color="auto"/>
        <w:left w:val="none" w:sz="0" w:space="0" w:color="auto"/>
        <w:bottom w:val="none" w:sz="0" w:space="0" w:color="auto"/>
        <w:right w:val="none" w:sz="0" w:space="0" w:color="auto"/>
      </w:divBdr>
    </w:div>
    <w:div w:id="274751676">
      <w:bodyDiv w:val="1"/>
      <w:marLeft w:val="0"/>
      <w:marRight w:val="0"/>
      <w:marTop w:val="0"/>
      <w:marBottom w:val="0"/>
      <w:divBdr>
        <w:top w:val="none" w:sz="0" w:space="0" w:color="auto"/>
        <w:left w:val="none" w:sz="0" w:space="0" w:color="auto"/>
        <w:bottom w:val="none" w:sz="0" w:space="0" w:color="auto"/>
        <w:right w:val="none" w:sz="0" w:space="0" w:color="auto"/>
      </w:divBdr>
    </w:div>
    <w:div w:id="275410747">
      <w:bodyDiv w:val="1"/>
      <w:marLeft w:val="0"/>
      <w:marRight w:val="0"/>
      <w:marTop w:val="0"/>
      <w:marBottom w:val="0"/>
      <w:divBdr>
        <w:top w:val="none" w:sz="0" w:space="0" w:color="auto"/>
        <w:left w:val="none" w:sz="0" w:space="0" w:color="auto"/>
        <w:bottom w:val="none" w:sz="0" w:space="0" w:color="auto"/>
        <w:right w:val="none" w:sz="0" w:space="0" w:color="auto"/>
      </w:divBdr>
    </w:div>
    <w:div w:id="275992396">
      <w:bodyDiv w:val="1"/>
      <w:marLeft w:val="0"/>
      <w:marRight w:val="0"/>
      <w:marTop w:val="0"/>
      <w:marBottom w:val="0"/>
      <w:divBdr>
        <w:top w:val="none" w:sz="0" w:space="0" w:color="auto"/>
        <w:left w:val="none" w:sz="0" w:space="0" w:color="auto"/>
        <w:bottom w:val="none" w:sz="0" w:space="0" w:color="auto"/>
        <w:right w:val="none" w:sz="0" w:space="0" w:color="auto"/>
      </w:divBdr>
    </w:div>
    <w:div w:id="277033107">
      <w:bodyDiv w:val="1"/>
      <w:marLeft w:val="0"/>
      <w:marRight w:val="0"/>
      <w:marTop w:val="0"/>
      <w:marBottom w:val="0"/>
      <w:divBdr>
        <w:top w:val="none" w:sz="0" w:space="0" w:color="auto"/>
        <w:left w:val="none" w:sz="0" w:space="0" w:color="auto"/>
        <w:bottom w:val="none" w:sz="0" w:space="0" w:color="auto"/>
        <w:right w:val="none" w:sz="0" w:space="0" w:color="auto"/>
      </w:divBdr>
    </w:div>
    <w:div w:id="277378282">
      <w:bodyDiv w:val="1"/>
      <w:marLeft w:val="0"/>
      <w:marRight w:val="0"/>
      <w:marTop w:val="0"/>
      <w:marBottom w:val="0"/>
      <w:divBdr>
        <w:top w:val="none" w:sz="0" w:space="0" w:color="auto"/>
        <w:left w:val="none" w:sz="0" w:space="0" w:color="auto"/>
        <w:bottom w:val="none" w:sz="0" w:space="0" w:color="auto"/>
        <w:right w:val="none" w:sz="0" w:space="0" w:color="auto"/>
      </w:divBdr>
    </w:div>
    <w:div w:id="277495439">
      <w:bodyDiv w:val="1"/>
      <w:marLeft w:val="0"/>
      <w:marRight w:val="0"/>
      <w:marTop w:val="0"/>
      <w:marBottom w:val="0"/>
      <w:divBdr>
        <w:top w:val="none" w:sz="0" w:space="0" w:color="auto"/>
        <w:left w:val="none" w:sz="0" w:space="0" w:color="auto"/>
        <w:bottom w:val="none" w:sz="0" w:space="0" w:color="auto"/>
        <w:right w:val="none" w:sz="0" w:space="0" w:color="auto"/>
      </w:divBdr>
    </w:div>
    <w:div w:id="278032324">
      <w:bodyDiv w:val="1"/>
      <w:marLeft w:val="0"/>
      <w:marRight w:val="0"/>
      <w:marTop w:val="0"/>
      <w:marBottom w:val="0"/>
      <w:divBdr>
        <w:top w:val="none" w:sz="0" w:space="0" w:color="auto"/>
        <w:left w:val="none" w:sz="0" w:space="0" w:color="auto"/>
        <w:bottom w:val="none" w:sz="0" w:space="0" w:color="auto"/>
        <w:right w:val="none" w:sz="0" w:space="0" w:color="auto"/>
      </w:divBdr>
    </w:div>
    <w:div w:id="278101514">
      <w:bodyDiv w:val="1"/>
      <w:marLeft w:val="0"/>
      <w:marRight w:val="0"/>
      <w:marTop w:val="0"/>
      <w:marBottom w:val="0"/>
      <w:divBdr>
        <w:top w:val="none" w:sz="0" w:space="0" w:color="auto"/>
        <w:left w:val="none" w:sz="0" w:space="0" w:color="auto"/>
        <w:bottom w:val="none" w:sz="0" w:space="0" w:color="auto"/>
        <w:right w:val="none" w:sz="0" w:space="0" w:color="auto"/>
      </w:divBdr>
    </w:div>
    <w:div w:id="279843780">
      <w:bodyDiv w:val="1"/>
      <w:marLeft w:val="0"/>
      <w:marRight w:val="0"/>
      <w:marTop w:val="0"/>
      <w:marBottom w:val="0"/>
      <w:divBdr>
        <w:top w:val="none" w:sz="0" w:space="0" w:color="auto"/>
        <w:left w:val="none" w:sz="0" w:space="0" w:color="auto"/>
        <w:bottom w:val="none" w:sz="0" w:space="0" w:color="auto"/>
        <w:right w:val="none" w:sz="0" w:space="0" w:color="auto"/>
      </w:divBdr>
    </w:div>
    <w:div w:id="280065867">
      <w:bodyDiv w:val="1"/>
      <w:marLeft w:val="0"/>
      <w:marRight w:val="0"/>
      <w:marTop w:val="0"/>
      <w:marBottom w:val="0"/>
      <w:divBdr>
        <w:top w:val="none" w:sz="0" w:space="0" w:color="auto"/>
        <w:left w:val="none" w:sz="0" w:space="0" w:color="auto"/>
        <w:bottom w:val="none" w:sz="0" w:space="0" w:color="auto"/>
        <w:right w:val="none" w:sz="0" w:space="0" w:color="auto"/>
      </w:divBdr>
    </w:div>
    <w:div w:id="280916716">
      <w:bodyDiv w:val="1"/>
      <w:marLeft w:val="0"/>
      <w:marRight w:val="0"/>
      <w:marTop w:val="0"/>
      <w:marBottom w:val="0"/>
      <w:divBdr>
        <w:top w:val="none" w:sz="0" w:space="0" w:color="auto"/>
        <w:left w:val="none" w:sz="0" w:space="0" w:color="auto"/>
        <w:bottom w:val="none" w:sz="0" w:space="0" w:color="auto"/>
        <w:right w:val="none" w:sz="0" w:space="0" w:color="auto"/>
      </w:divBdr>
    </w:div>
    <w:div w:id="282420669">
      <w:bodyDiv w:val="1"/>
      <w:marLeft w:val="0"/>
      <w:marRight w:val="0"/>
      <w:marTop w:val="0"/>
      <w:marBottom w:val="0"/>
      <w:divBdr>
        <w:top w:val="none" w:sz="0" w:space="0" w:color="auto"/>
        <w:left w:val="none" w:sz="0" w:space="0" w:color="auto"/>
        <w:bottom w:val="none" w:sz="0" w:space="0" w:color="auto"/>
        <w:right w:val="none" w:sz="0" w:space="0" w:color="auto"/>
      </w:divBdr>
    </w:div>
    <w:div w:id="282464694">
      <w:bodyDiv w:val="1"/>
      <w:marLeft w:val="0"/>
      <w:marRight w:val="0"/>
      <w:marTop w:val="0"/>
      <w:marBottom w:val="0"/>
      <w:divBdr>
        <w:top w:val="none" w:sz="0" w:space="0" w:color="auto"/>
        <w:left w:val="none" w:sz="0" w:space="0" w:color="auto"/>
        <w:bottom w:val="none" w:sz="0" w:space="0" w:color="auto"/>
        <w:right w:val="none" w:sz="0" w:space="0" w:color="auto"/>
      </w:divBdr>
    </w:div>
    <w:div w:id="282545188">
      <w:bodyDiv w:val="1"/>
      <w:marLeft w:val="0"/>
      <w:marRight w:val="0"/>
      <w:marTop w:val="0"/>
      <w:marBottom w:val="0"/>
      <w:divBdr>
        <w:top w:val="none" w:sz="0" w:space="0" w:color="auto"/>
        <w:left w:val="none" w:sz="0" w:space="0" w:color="auto"/>
        <w:bottom w:val="none" w:sz="0" w:space="0" w:color="auto"/>
        <w:right w:val="none" w:sz="0" w:space="0" w:color="auto"/>
      </w:divBdr>
    </w:div>
    <w:div w:id="282618184">
      <w:bodyDiv w:val="1"/>
      <w:marLeft w:val="0"/>
      <w:marRight w:val="0"/>
      <w:marTop w:val="0"/>
      <w:marBottom w:val="0"/>
      <w:divBdr>
        <w:top w:val="none" w:sz="0" w:space="0" w:color="auto"/>
        <w:left w:val="none" w:sz="0" w:space="0" w:color="auto"/>
        <w:bottom w:val="none" w:sz="0" w:space="0" w:color="auto"/>
        <w:right w:val="none" w:sz="0" w:space="0" w:color="auto"/>
      </w:divBdr>
    </w:div>
    <w:div w:id="282999525">
      <w:bodyDiv w:val="1"/>
      <w:marLeft w:val="0"/>
      <w:marRight w:val="0"/>
      <w:marTop w:val="0"/>
      <w:marBottom w:val="0"/>
      <w:divBdr>
        <w:top w:val="none" w:sz="0" w:space="0" w:color="auto"/>
        <w:left w:val="none" w:sz="0" w:space="0" w:color="auto"/>
        <w:bottom w:val="none" w:sz="0" w:space="0" w:color="auto"/>
        <w:right w:val="none" w:sz="0" w:space="0" w:color="auto"/>
      </w:divBdr>
    </w:div>
    <w:div w:id="284236584">
      <w:bodyDiv w:val="1"/>
      <w:marLeft w:val="0"/>
      <w:marRight w:val="0"/>
      <w:marTop w:val="0"/>
      <w:marBottom w:val="0"/>
      <w:divBdr>
        <w:top w:val="none" w:sz="0" w:space="0" w:color="auto"/>
        <w:left w:val="none" w:sz="0" w:space="0" w:color="auto"/>
        <w:bottom w:val="none" w:sz="0" w:space="0" w:color="auto"/>
        <w:right w:val="none" w:sz="0" w:space="0" w:color="auto"/>
      </w:divBdr>
    </w:div>
    <w:div w:id="285308929">
      <w:bodyDiv w:val="1"/>
      <w:marLeft w:val="0"/>
      <w:marRight w:val="0"/>
      <w:marTop w:val="0"/>
      <w:marBottom w:val="0"/>
      <w:divBdr>
        <w:top w:val="none" w:sz="0" w:space="0" w:color="auto"/>
        <w:left w:val="none" w:sz="0" w:space="0" w:color="auto"/>
        <w:bottom w:val="none" w:sz="0" w:space="0" w:color="auto"/>
        <w:right w:val="none" w:sz="0" w:space="0" w:color="auto"/>
      </w:divBdr>
    </w:div>
    <w:div w:id="286399391">
      <w:bodyDiv w:val="1"/>
      <w:marLeft w:val="0"/>
      <w:marRight w:val="0"/>
      <w:marTop w:val="0"/>
      <w:marBottom w:val="0"/>
      <w:divBdr>
        <w:top w:val="none" w:sz="0" w:space="0" w:color="auto"/>
        <w:left w:val="none" w:sz="0" w:space="0" w:color="auto"/>
        <w:bottom w:val="none" w:sz="0" w:space="0" w:color="auto"/>
        <w:right w:val="none" w:sz="0" w:space="0" w:color="auto"/>
      </w:divBdr>
    </w:div>
    <w:div w:id="286743317">
      <w:bodyDiv w:val="1"/>
      <w:marLeft w:val="0"/>
      <w:marRight w:val="0"/>
      <w:marTop w:val="0"/>
      <w:marBottom w:val="0"/>
      <w:divBdr>
        <w:top w:val="none" w:sz="0" w:space="0" w:color="auto"/>
        <w:left w:val="none" w:sz="0" w:space="0" w:color="auto"/>
        <w:bottom w:val="none" w:sz="0" w:space="0" w:color="auto"/>
        <w:right w:val="none" w:sz="0" w:space="0" w:color="auto"/>
      </w:divBdr>
    </w:div>
    <w:div w:id="288122264">
      <w:bodyDiv w:val="1"/>
      <w:marLeft w:val="0"/>
      <w:marRight w:val="0"/>
      <w:marTop w:val="0"/>
      <w:marBottom w:val="0"/>
      <w:divBdr>
        <w:top w:val="none" w:sz="0" w:space="0" w:color="auto"/>
        <w:left w:val="none" w:sz="0" w:space="0" w:color="auto"/>
        <w:bottom w:val="none" w:sz="0" w:space="0" w:color="auto"/>
        <w:right w:val="none" w:sz="0" w:space="0" w:color="auto"/>
      </w:divBdr>
    </w:div>
    <w:div w:id="289896899">
      <w:bodyDiv w:val="1"/>
      <w:marLeft w:val="0"/>
      <w:marRight w:val="0"/>
      <w:marTop w:val="0"/>
      <w:marBottom w:val="0"/>
      <w:divBdr>
        <w:top w:val="none" w:sz="0" w:space="0" w:color="auto"/>
        <w:left w:val="none" w:sz="0" w:space="0" w:color="auto"/>
        <w:bottom w:val="none" w:sz="0" w:space="0" w:color="auto"/>
        <w:right w:val="none" w:sz="0" w:space="0" w:color="auto"/>
      </w:divBdr>
    </w:div>
    <w:div w:id="289940544">
      <w:bodyDiv w:val="1"/>
      <w:marLeft w:val="0"/>
      <w:marRight w:val="0"/>
      <w:marTop w:val="0"/>
      <w:marBottom w:val="0"/>
      <w:divBdr>
        <w:top w:val="none" w:sz="0" w:space="0" w:color="auto"/>
        <w:left w:val="none" w:sz="0" w:space="0" w:color="auto"/>
        <w:bottom w:val="none" w:sz="0" w:space="0" w:color="auto"/>
        <w:right w:val="none" w:sz="0" w:space="0" w:color="auto"/>
      </w:divBdr>
    </w:div>
    <w:div w:id="290016574">
      <w:bodyDiv w:val="1"/>
      <w:marLeft w:val="0"/>
      <w:marRight w:val="0"/>
      <w:marTop w:val="0"/>
      <w:marBottom w:val="0"/>
      <w:divBdr>
        <w:top w:val="none" w:sz="0" w:space="0" w:color="auto"/>
        <w:left w:val="none" w:sz="0" w:space="0" w:color="auto"/>
        <w:bottom w:val="none" w:sz="0" w:space="0" w:color="auto"/>
        <w:right w:val="none" w:sz="0" w:space="0" w:color="auto"/>
      </w:divBdr>
    </w:div>
    <w:div w:id="290131288">
      <w:bodyDiv w:val="1"/>
      <w:marLeft w:val="0"/>
      <w:marRight w:val="0"/>
      <w:marTop w:val="0"/>
      <w:marBottom w:val="0"/>
      <w:divBdr>
        <w:top w:val="none" w:sz="0" w:space="0" w:color="auto"/>
        <w:left w:val="none" w:sz="0" w:space="0" w:color="auto"/>
        <w:bottom w:val="none" w:sz="0" w:space="0" w:color="auto"/>
        <w:right w:val="none" w:sz="0" w:space="0" w:color="auto"/>
      </w:divBdr>
    </w:div>
    <w:div w:id="290139691">
      <w:bodyDiv w:val="1"/>
      <w:marLeft w:val="0"/>
      <w:marRight w:val="0"/>
      <w:marTop w:val="0"/>
      <w:marBottom w:val="0"/>
      <w:divBdr>
        <w:top w:val="none" w:sz="0" w:space="0" w:color="auto"/>
        <w:left w:val="none" w:sz="0" w:space="0" w:color="auto"/>
        <w:bottom w:val="none" w:sz="0" w:space="0" w:color="auto"/>
        <w:right w:val="none" w:sz="0" w:space="0" w:color="auto"/>
      </w:divBdr>
    </w:div>
    <w:div w:id="290746152">
      <w:bodyDiv w:val="1"/>
      <w:marLeft w:val="0"/>
      <w:marRight w:val="0"/>
      <w:marTop w:val="0"/>
      <w:marBottom w:val="0"/>
      <w:divBdr>
        <w:top w:val="none" w:sz="0" w:space="0" w:color="auto"/>
        <w:left w:val="none" w:sz="0" w:space="0" w:color="auto"/>
        <w:bottom w:val="none" w:sz="0" w:space="0" w:color="auto"/>
        <w:right w:val="none" w:sz="0" w:space="0" w:color="auto"/>
      </w:divBdr>
    </w:div>
    <w:div w:id="291593468">
      <w:bodyDiv w:val="1"/>
      <w:marLeft w:val="0"/>
      <w:marRight w:val="0"/>
      <w:marTop w:val="0"/>
      <w:marBottom w:val="0"/>
      <w:divBdr>
        <w:top w:val="none" w:sz="0" w:space="0" w:color="auto"/>
        <w:left w:val="none" w:sz="0" w:space="0" w:color="auto"/>
        <w:bottom w:val="none" w:sz="0" w:space="0" w:color="auto"/>
        <w:right w:val="none" w:sz="0" w:space="0" w:color="auto"/>
      </w:divBdr>
    </w:div>
    <w:div w:id="292055135">
      <w:bodyDiv w:val="1"/>
      <w:marLeft w:val="0"/>
      <w:marRight w:val="0"/>
      <w:marTop w:val="0"/>
      <w:marBottom w:val="0"/>
      <w:divBdr>
        <w:top w:val="none" w:sz="0" w:space="0" w:color="auto"/>
        <w:left w:val="none" w:sz="0" w:space="0" w:color="auto"/>
        <w:bottom w:val="none" w:sz="0" w:space="0" w:color="auto"/>
        <w:right w:val="none" w:sz="0" w:space="0" w:color="auto"/>
      </w:divBdr>
    </w:div>
    <w:div w:id="292101501">
      <w:bodyDiv w:val="1"/>
      <w:marLeft w:val="0"/>
      <w:marRight w:val="0"/>
      <w:marTop w:val="0"/>
      <w:marBottom w:val="0"/>
      <w:divBdr>
        <w:top w:val="none" w:sz="0" w:space="0" w:color="auto"/>
        <w:left w:val="none" w:sz="0" w:space="0" w:color="auto"/>
        <w:bottom w:val="none" w:sz="0" w:space="0" w:color="auto"/>
        <w:right w:val="none" w:sz="0" w:space="0" w:color="auto"/>
      </w:divBdr>
    </w:div>
    <w:div w:id="292487215">
      <w:bodyDiv w:val="1"/>
      <w:marLeft w:val="0"/>
      <w:marRight w:val="0"/>
      <w:marTop w:val="0"/>
      <w:marBottom w:val="0"/>
      <w:divBdr>
        <w:top w:val="none" w:sz="0" w:space="0" w:color="auto"/>
        <w:left w:val="none" w:sz="0" w:space="0" w:color="auto"/>
        <w:bottom w:val="none" w:sz="0" w:space="0" w:color="auto"/>
        <w:right w:val="none" w:sz="0" w:space="0" w:color="auto"/>
      </w:divBdr>
    </w:div>
    <w:div w:id="292910532">
      <w:bodyDiv w:val="1"/>
      <w:marLeft w:val="0"/>
      <w:marRight w:val="0"/>
      <w:marTop w:val="0"/>
      <w:marBottom w:val="0"/>
      <w:divBdr>
        <w:top w:val="none" w:sz="0" w:space="0" w:color="auto"/>
        <w:left w:val="none" w:sz="0" w:space="0" w:color="auto"/>
        <w:bottom w:val="none" w:sz="0" w:space="0" w:color="auto"/>
        <w:right w:val="none" w:sz="0" w:space="0" w:color="auto"/>
      </w:divBdr>
    </w:div>
    <w:div w:id="293147545">
      <w:bodyDiv w:val="1"/>
      <w:marLeft w:val="0"/>
      <w:marRight w:val="0"/>
      <w:marTop w:val="0"/>
      <w:marBottom w:val="0"/>
      <w:divBdr>
        <w:top w:val="none" w:sz="0" w:space="0" w:color="auto"/>
        <w:left w:val="none" w:sz="0" w:space="0" w:color="auto"/>
        <w:bottom w:val="none" w:sz="0" w:space="0" w:color="auto"/>
        <w:right w:val="none" w:sz="0" w:space="0" w:color="auto"/>
      </w:divBdr>
    </w:div>
    <w:div w:id="293602372">
      <w:bodyDiv w:val="1"/>
      <w:marLeft w:val="0"/>
      <w:marRight w:val="0"/>
      <w:marTop w:val="0"/>
      <w:marBottom w:val="0"/>
      <w:divBdr>
        <w:top w:val="none" w:sz="0" w:space="0" w:color="auto"/>
        <w:left w:val="none" w:sz="0" w:space="0" w:color="auto"/>
        <w:bottom w:val="none" w:sz="0" w:space="0" w:color="auto"/>
        <w:right w:val="none" w:sz="0" w:space="0" w:color="auto"/>
      </w:divBdr>
    </w:div>
    <w:div w:id="293752149">
      <w:bodyDiv w:val="1"/>
      <w:marLeft w:val="0"/>
      <w:marRight w:val="0"/>
      <w:marTop w:val="0"/>
      <w:marBottom w:val="0"/>
      <w:divBdr>
        <w:top w:val="none" w:sz="0" w:space="0" w:color="auto"/>
        <w:left w:val="none" w:sz="0" w:space="0" w:color="auto"/>
        <w:bottom w:val="none" w:sz="0" w:space="0" w:color="auto"/>
        <w:right w:val="none" w:sz="0" w:space="0" w:color="auto"/>
      </w:divBdr>
    </w:div>
    <w:div w:id="294794713">
      <w:bodyDiv w:val="1"/>
      <w:marLeft w:val="0"/>
      <w:marRight w:val="0"/>
      <w:marTop w:val="0"/>
      <w:marBottom w:val="0"/>
      <w:divBdr>
        <w:top w:val="none" w:sz="0" w:space="0" w:color="auto"/>
        <w:left w:val="none" w:sz="0" w:space="0" w:color="auto"/>
        <w:bottom w:val="none" w:sz="0" w:space="0" w:color="auto"/>
        <w:right w:val="none" w:sz="0" w:space="0" w:color="auto"/>
      </w:divBdr>
    </w:div>
    <w:div w:id="296767748">
      <w:bodyDiv w:val="1"/>
      <w:marLeft w:val="0"/>
      <w:marRight w:val="0"/>
      <w:marTop w:val="0"/>
      <w:marBottom w:val="0"/>
      <w:divBdr>
        <w:top w:val="none" w:sz="0" w:space="0" w:color="auto"/>
        <w:left w:val="none" w:sz="0" w:space="0" w:color="auto"/>
        <w:bottom w:val="none" w:sz="0" w:space="0" w:color="auto"/>
        <w:right w:val="none" w:sz="0" w:space="0" w:color="auto"/>
      </w:divBdr>
    </w:div>
    <w:div w:id="297152740">
      <w:bodyDiv w:val="1"/>
      <w:marLeft w:val="0"/>
      <w:marRight w:val="0"/>
      <w:marTop w:val="0"/>
      <w:marBottom w:val="0"/>
      <w:divBdr>
        <w:top w:val="none" w:sz="0" w:space="0" w:color="auto"/>
        <w:left w:val="none" w:sz="0" w:space="0" w:color="auto"/>
        <w:bottom w:val="none" w:sz="0" w:space="0" w:color="auto"/>
        <w:right w:val="none" w:sz="0" w:space="0" w:color="auto"/>
      </w:divBdr>
    </w:div>
    <w:div w:id="298265729">
      <w:bodyDiv w:val="1"/>
      <w:marLeft w:val="0"/>
      <w:marRight w:val="0"/>
      <w:marTop w:val="0"/>
      <w:marBottom w:val="0"/>
      <w:divBdr>
        <w:top w:val="none" w:sz="0" w:space="0" w:color="auto"/>
        <w:left w:val="none" w:sz="0" w:space="0" w:color="auto"/>
        <w:bottom w:val="none" w:sz="0" w:space="0" w:color="auto"/>
        <w:right w:val="none" w:sz="0" w:space="0" w:color="auto"/>
      </w:divBdr>
    </w:div>
    <w:div w:id="298389194">
      <w:bodyDiv w:val="1"/>
      <w:marLeft w:val="0"/>
      <w:marRight w:val="0"/>
      <w:marTop w:val="0"/>
      <w:marBottom w:val="0"/>
      <w:divBdr>
        <w:top w:val="none" w:sz="0" w:space="0" w:color="auto"/>
        <w:left w:val="none" w:sz="0" w:space="0" w:color="auto"/>
        <w:bottom w:val="none" w:sz="0" w:space="0" w:color="auto"/>
        <w:right w:val="none" w:sz="0" w:space="0" w:color="auto"/>
      </w:divBdr>
    </w:div>
    <w:div w:id="298658579">
      <w:bodyDiv w:val="1"/>
      <w:marLeft w:val="0"/>
      <w:marRight w:val="0"/>
      <w:marTop w:val="0"/>
      <w:marBottom w:val="0"/>
      <w:divBdr>
        <w:top w:val="none" w:sz="0" w:space="0" w:color="auto"/>
        <w:left w:val="none" w:sz="0" w:space="0" w:color="auto"/>
        <w:bottom w:val="none" w:sz="0" w:space="0" w:color="auto"/>
        <w:right w:val="none" w:sz="0" w:space="0" w:color="auto"/>
      </w:divBdr>
    </w:div>
    <w:div w:id="299651881">
      <w:bodyDiv w:val="1"/>
      <w:marLeft w:val="0"/>
      <w:marRight w:val="0"/>
      <w:marTop w:val="0"/>
      <w:marBottom w:val="0"/>
      <w:divBdr>
        <w:top w:val="none" w:sz="0" w:space="0" w:color="auto"/>
        <w:left w:val="none" w:sz="0" w:space="0" w:color="auto"/>
        <w:bottom w:val="none" w:sz="0" w:space="0" w:color="auto"/>
        <w:right w:val="none" w:sz="0" w:space="0" w:color="auto"/>
      </w:divBdr>
    </w:div>
    <w:div w:id="299773728">
      <w:bodyDiv w:val="1"/>
      <w:marLeft w:val="0"/>
      <w:marRight w:val="0"/>
      <w:marTop w:val="0"/>
      <w:marBottom w:val="0"/>
      <w:divBdr>
        <w:top w:val="none" w:sz="0" w:space="0" w:color="auto"/>
        <w:left w:val="none" w:sz="0" w:space="0" w:color="auto"/>
        <w:bottom w:val="none" w:sz="0" w:space="0" w:color="auto"/>
        <w:right w:val="none" w:sz="0" w:space="0" w:color="auto"/>
      </w:divBdr>
    </w:div>
    <w:div w:id="299967563">
      <w:bodyDiv w:val="1"/>
      <w:marLeft w:val="0"/>
      <w:marRight w:val="0"/>
      <w:marTop w:val="0"/>
      <w:marBottom w:val="0"/>
      <w:divBdr>
        <w:top w:val="none" w:sz="0" w:space="0" w:color="auto"/>
        <w:left w:val="none" w:sz="0" w:space="0" w:color="auto"/>
        <w:bottom w:val="none" w:sz="0" w:space="0" w:color="auto"/>
        <w:right w:val="none" w:sz="0" w:space="0" w:color="auto"/>
      </w:divBdr>
    </w:div>
    <w:div w:id="300616832">
      <w:bodyDiv w:val="1"/>
      <w:marLeft w:val="0"/>
      <w:marRight w:val="0"/>
      <w:marTop w:val="0"/>
      <w:marBottom w:val="0"/>
      <w:divBdr>
        <w:top w:val="none" w:sz="0" w:space="0" w:color="auto"/>
        <w:left w:val="none" w:sz="0" w:space="0" w:color="auto"/>
        <w:bottom w:val="none" w:sz="0" w:space="0" w:color="auto"/>
        <w:right w:val="none" w:sz="0" w:space="0" w:color="auto"/>
      </w:divBdr>
    </w:div>
    <w:div w:id="300619147">
      <w:bodyDiv w:val="1"/>
      <w:marLeft w:val="0"/>
      <w:marRight w:val="0"/>
      <w:marTop w:val="0"/>
      <w:marBottom w:val="0"/>
      <w:divBdr>
        <w:top w:val="none" w:sz="0" w:space="0" w:color="auto"/>
        <w:left w:val="none" w:sz="0" w:space="0" w:color="auto"/>
        <w:bottom w:val="none" w:sz="0" w:space="0" w:color="auto"/>
        <w:right w:val="none" w:sz="0" w:space="0" w:color="auto"/>
      </w:divBdr>
    </w:div>
    <w:div w:id="300887571">
      <w:bodyDiv w:val="1"/>
      <w:marLeft w:val="0"/>
      <w:marRight w:val="0"/>
      <w:marTop w:val="0"/>
      <w:marBottom w:val="0"/>
      <w:divBdr>
        <w:top w:val="none" w:sz="0" w:space="0" w:color="auto"/>
        <w:left w:val="none" w:sz="0" w:space="0" w:color="auto"/>
        <w:bottom w:val="none" w:sz="0" w:space="0" w:color="auto"/>
        <w:right w:val="none" w:sz="0" w:space="0" w:color="auto"/>
      </w:divBdr>
    </w:div>
    <w:div w:id="301618885">
      <w:bodyDiv w:val="1"/>
      <w:marLeft w:val="0"/>
      <w:marRight w:val="0"/>
      <w:marTop w:val="0"/>
      <w:marBottom w:val="0"/>
      <w:divBdr>
        <w:top w:val="none" w:sz="0" w:space="0" w:color="auto"/>
        <w:left w:val="none" w:sz="0" w:space="0" w:color="auto"/>
        <w:bottom w:val="none" w:sz="0" w:space="0" w:color="auto"/>
        <w:right w:val="none" w:sz="0" w:space="0" w:color="auto"/>
      </w:divBdr>
    </w:div>
    <w:div w:id="301888283">
      <w:bodyDiv w:val="1"/>
      <w:marLeft w:val="0"/>
      <w:marRight w:val="0"/>
      <w:marTop w:val="0"/>
      <w:marBottom w:val="0"/>
      <w:divBdr>
        <w:top w:val="none" w:sz="0" w:space="0" w:color="auto"/>
        <w:left w:val="none" w:sz="0" w:space="0" w:color="auto"/>
        <w:bottom w:val="none" w:sz="0" w:space="0" w:color="auto"/>
        <w:right w:val="none" w:sz="0" w:space="0" w:color="auto"/>
      </w:divBdr>
    </w:div>
    <w:div w:id="302658634">
      <w:bodyDiv w:val="1"/>
      <w:marLeft w:val="0"/>
      <w:marRight w:val="0"/>
      <w:marTop w:val="0"/>
      <w:marBottom w:val="0"/>
      <w:divBdr>
        <w:top w:val="none" w:sz="0" w:space="0" w:color="auto"/>
        <w:left w:val="none" w:sz="0" w:space="0" w:color="auto"/>
        <w:bottom w:val="none" w:sz="0" w:space="0" w:color="auto"/>
        <w:right w:val="none" w:sz="0" w:space="0" w:color="auto"/>
      </w:divBdr>
    </w:div>
    <w:div w:id="302927243">
      <w:bodyDiv w:val="1"/>
      <w:marLeft w:val="0"/>
      <w:marRight w:val="0"/>
      <w:marTop w:val="0"/>
      <w:marBottom w:val="0"/>
      <w:divBdr>
        <w:top w:val="none" w:sz="0" w:space="0" w:color="auto"/>
        <w:left w:val="none" w:sz="0" w:space="0" w:color="auto"/>
        <w:bottom w:val="none" w:sz="0" w:space="0" w:color="auto"/>
        <w:right w:val="none" w:sz="0" w:space="0" w:color="auto"/>
      </w:divBdr>
    </w:div>
    <w:div w:id="303434672">
      <w:bodyDiv w:val="1"/>
      <w:marLeft w:val="0"/>
      <w:marRight w:val="0"/>
      <w:marTop w:val="0"/>
      <w:marBottom w:val="0"/>
      <w:divBdr>
        <w:top w:val="none" w:sz="0" w:space="0" w:color="auto"/>
        <w:left w:val="none" w:sz="0" w:space="0" w:color="auto"/>
        <w:bottom w:val="none" w:sz="0" w:space="0" w:color="auto"/>
        <w:right w:val="none" w:sz="0" w:space="0" w:color="auto"/>
      </w:divBdr>
    </w:div>
    <w:div w:id="303899932">
      <w:bodyDiv w:val="1"/>
      <w:marLeft w:val="0"/>
      <w:marRight w:val="0"/>
      <w:marTop w:val="0"/>
      <w:marBottom w:val="0"/>
      <w:divBdr>
        <w:top w:val="none" w:sz="0" w:space="0" w:color="auto"/>
        <w:left w:val="none" w:sz="0" w:space="0" w:color="auto"/>
        <w:bottom w:val="none" w:sz="0" w:space="0" w:color="auto"/>
        <w:right w:val="none" w:sz="0" w:space="0" w:color="auto"/>
      </w:divBdr>
    </w:div>
    <w:div w:id="303971561">
      <w:bodyDiv w:val="1"/>
      <w:marLeft w:val="0"/>
      <w:marRight w:val="0"/>
      <w:marTop w:val="0"/>
      <w:marBottom w:val="0"/>
      <w:divBdr>
        <w:top w:val="none" w:sz="0" w:space="0" w:color="auto"/>
        <w:left w:val="none" w:sz="0" w:space="0" w:color="auto"/>
        <w:bottom w:val="none" w:sz="0" w:space="0" w:color="auto"/>
        <w:right w:val="none" w:sz="0" w:space="0" w:color="auto"/>
      </w:divBdr>
    </w:div>
    <w:div w:id="304047709">
      <w:bodyDiv w:val="1"/>
      <w:marLeft w:val="0"/>
      <w:marRight w:val="0"/>
      <w:marTop w:val="0"/>
      <w:marBottom w:val="0"/>
      <w:divBdr>
        <w:top w:val="none" w:sz="0" w:space="0" w:color="auto"/>
        <w:left w:val="none" w:sz="0" w:space="0" w:color="auto"/>
        <w:bottom w:val="none" w:sz="0" w:space="0" w:color="auto"/>
        <w:right w:val="none" w:sz="0" w:space="0" w:color="auto"/>
      </w:divBdr>
    </w:div>
    <w:div w:id="304167347">
      <w:bodyDiv w:val="1"/>
      <w:marLeft w:val="0"/>
      <w:marRight w:val="0"/>
      <w:marTop w:val="0"/>
      <w:marBottom w:val="0"/>
      <w:divBdr>
        <w:top w:val="none" w:sz="0" w:space="0" w:color="auto"/>
        <w:left w:val="none" w:sz="0" w:space="0" w:color="auto"/>
        <w:bottom w:val="none" w:sz="0" w:space="0" w:color="auto"/>
        <w:right w:val="none" w:sz="0" w:space="0" w:color="auto"/>
      </w:divBdr>
    </w:div>
    <w:div w:id="304354531">
      <w:bodyDiv w:val="1"/>
      <w:marLeft w:val="0"/>
      <w:marRight w:val="0"/>
      <w:marTop w:val="0"/>
      <w:marBottom w:val="0"/>
      <w:divBdr>
        <w:top w:val="none" w:sz="0" w:space="0" w:color="auto"/>
        <w:left w:val="none" w:sz="0" w:space="0" w:color="auto"/>
        <w:bottom w:val="none" w:sz="0" w:space="0" w:color="auto"/>
        <w:right w:val="none" w:sz="0" w:space="0" w:color="auto"/>
      </w:divBdr>
    </w:div>
    <w:div w:id="304631444">
      <w:bodyDiv w:val="1"/>
      <w:marLeft w:val="0"/>
      <w:marRight w:val="0"/>
      <w:marTop w:val="0"/>
      <w:marBottom w:val="0"/>
      <w:divBdr>
        <w:top w:val="none" w:sz="0" w:space="0" w:color="auto"/>
        <w:left w:val="none" w:sz="0" w:space="0" w:color="auto"/>
        <w:bottom w:val="none" w:sz="0" w:space="0" w:color="auto"/>
        <w:right w:val="none" w:sz="0" w:space="0" w:color="auto"/>
      </w:divBdr>
    </w:div>
    <w:div w:id="304941216">
      <w:bodyDiv w:val="1"/>
      <w:marLeft w:val="0"/>
      <w:marRight w:val="0"/>
      <w:marTop w:val="0"/>
      <w:marBottom w:val="0"/>
      <w:divBdr>
        <w:top w:val="none" w:sz="0" w:space="0" w:color="auto"/>
        <w:left w:val="none" w:sz="0" w:space="0" w:color="auto"/>
        <w:bottom w:val="none" w:sz="0" w:space="0" w:color="auto"/>
        <w:right w:val="none" w:sz="0" w:space="0" w:color="auto"/>
      </w:divBdr>
    </w:div>
    <w:div w:id="305669080">
      <w:bodyDiv w:val="1"/>
      <w:marLeft w:val="0"/>
      <w:marRight w:val="0"/>
      <w:marTop w:val="0"/>
      <w:marBottom w:val="0"/>
      <w:divBdr>
        <w:top w:val="none" w:sz="0" w:space="0" w:color="auto"/>
        <w:left w:val="none" w:sz="0" w:space="0" w:color="auto"/>
        <w:bottom w:val="none" w:sz="0" w:space="0" w:color="auto"/>
        <w:right w:val="none" w:sz="0" w:space="0" w:color="auto"/>
      </w:divBdr>
    </w:div>
    <w:div w:id="306011054">
      <w:bodyDiv w:val="1"/>
      <w:marLeft w:val="0"/>
      <w:marRight w:val="0"/>
      <w:marTop w:val="0"/>
      <w:marBottom w:val="0"/>
      <w:divBdr>
        <w:top w:val="none" w:sz="0" w:space="0" w:color="auto"/>
        <w:left w:val="none" w:sz="0" w:space="0" w:color="auto"/>
        <w:bottom w:val="none" w:sz="0" w:space="0" w:color="auto"/>
        <w:right w:val="none" w:sz="0" w:space="0" w:color="auto"/>
      </w:divBdr>
    </w:div>
    <w:div w:id="306517681">
      <w:bodyDiv w:val="1"/>
      <w:marLeft w:val="0"/>
      <w:marRight w:val="0"/>
      <w:marTop w:val="0"/>
      <w:marBottom w:val="0"/>
      <w:divBdr>
        <w:top w:val="none" w:sz="0" w:space="0" w:color="auto"/>
        <w:left w:val="none" w:sz="0" w:space="0" w:color="auto"/>
        <w:bottom w:val="none" w:sz="0" w:space="0" w:color="auto"/>
        <w:right w:val="none" w:sz="0" w:space="0" w:color="auto"/>
      </w:divBdr>
    </w:div>
    <w:div w:id="306905685">
      <w:bodyDiv w:val="1"/>
      <w:marLeft w:val="0"/>
      <w:marRight w:val="0"/>
      <w:marTop w:val="0"/>
      <w:marBottom w:val="0"/>
      <w:divBdr>
        <w:top w:val="none" w:sz="0" w:space="0" w:color="auto"/>
        <w:left w:val="none" w:sz="0" w:space="0" w:color="auto"/>
        <w:bottom w:val="none" w:sz="0" w:space="0" w:color="auto"/>
        <w:right w:val="none" w:sz="0" w:space="0" w:color="auto"/>
      </w:divBdr>
    </w:div>
    <w:div w:id="308098078">
      <w:bodyDiv w:val="1"/>
      <w:marLeft w:val="0"/>
      <w:marRight w:val="0"/>
      <w:marTop w:val="0"/>
      <w:marBottom w:val="0"/>
      <w:divBdr>
        <w:top w:val="none" w:sz="0" w:space="0" w:color="auto"/>
        <w:left w:val="none" w:sz="0" w:space="0" w:color="auto"/>
        <w:bottom w:val="none" w:sz="0" w:space="0" w:color="auto"/>
        <w:right w:val="none" w:sz="0" w:space="0" w:color="auto"/>
      </w:divBdr>
    </w:div>
    <w:div w:id="309554913">
      <w:bodyDiv w:val="1"/>
      <w:marLeft w:val="0"/>
      <w:marRight w:val="0"/>
      <w:marTop w:val="0"/>
      <w:marBottom w:val="0"/>
      <w:divBdr>
        <w:top w:val="none" w:sz="0" w:space="0" w:color="auto"/>
        <w:left w:val="none" w:sz="0" w:space="0" w:color="auto"/>
        <w:bottom w:val="none" w:sz="0" w:space="0" w:color="auto"/>
        <w:right w:val="none" w:sz="0" w:space="0" w:color="auto"/>
      </w:divBdr>
    </w:div>
    <w:div w:id="310255118">
      <w:bodyDiv w:val="1"/>
      <w:marLeft w:val="0"/>
      <w:marRight w:val="0"/>
      <w:marTop w:val="0"/>
      <w:marBottom w:val="0"/>
      <w:divBdr>
        <w:top w:val="none" w:sz="0" w:space="0" w:color="auto"/>
        <w:left w:val="none" w:sz="0" w:space="0" w:color="auto"/>
        <w:bottom w:val="none" w:sz="0" w:space="0" w:color="auto"/>
        <w:right w:val="none" w:sz="0" w:space="0" w:color="auto"/>
      </w:divBdr>
    </w:div>
    <w:div w:id="310983613">
      <w:bodyDiv w:val="1"/>
      <w:marLeft w:val="0"/>
      <w:marRight w:val="0"/>
      <w:marTop w:val="0"/>
      <w:marBottom w:val="0"/>
      <w:divBdr>
        <w:top w:val="none" w:sz="0" w:space="0" w:color="auto"/>
        <w:left w:val="none" w:sz="0" w:space="0" w:color="auto"/>
        <w:bottom w:val="none" w:sz="0" w:space="0" w:color="auto"/>
        <w:right w:val="none" w:sz="0" w:space="0" w:color="auto"/>
      </w:divBdr>
    </w:div>
    <w:div w:id="311103033">
      <w:bodyDiv w:val="1"/>
      <w:marLeft w:val="0"/>
      <w:marRight w:val="0"/>
      <w:marTop w:val="0"/>
      <w:marBottom w:val="0"/>
      <w:divBdr>
        <w:top w:val="none" w:sz="0" w:space="0" w:color="auto"/>
        <w:left w:val="none" w:sz="0" w:space="0" w:color="auto"/>
        <w:bottom w:val="none" w:sz="0" w:space="0" w:color="auto"/>
        <w:right w:val="none" w:sz="0" w:space="0" w:color="auto"/>
      </w:divBdr>
    </w:div>
    <w:div w:id="311328622">
      <w:bodyDiv w:val="1"/>
      <w:marLeft w:val="0"/>
      <w:marRight w:val="0"/>
      <w:marTop w:val="0"/>
      <w:marBottom w:val="0"/>
      <w:divBdr>
        <w:top w:val="none" w:sz="0" w:space="0" w:color="auto"/>
        <w:left w:val="none" w:sz="0" w:space="0" w:color="auto"/>
        <w:bottom w:val="none" w:sz="0" w:space="0" w:color="auto"/>
        <w:right w:val="none" w:sz="0" w:space="0" w:color="auto"/>
      </w:divBdr>
    </w:div>
    <w:div w:id="311832031">
      <w:bodyDiv w:val="1"/>
      <w:marLeft w:val="0"/>
      <w:marRight w:val="0"/>
      <w:marTop w:val="0"/>
      <w:marBottom w:val="0"/>
      <w:divBdr>
        <w:top w:val="none" w:sz="0" w:space="0" w:color="auto"/>
        <w:left w:val="none" w:sz="0" w:space="0" w:color="auto"/>
        <w:bottom w:val="none" w:sz="0" w:space="0" w:color="auto"/>
        <w:right w:val="none" w:sz="0" w:space="0" w:color="auto"/>
      </w:divBdr>
    </w:div>
    <w:div w:id="312760583">
      <w:bodyDiv w:val="1"/>
      <w:marLeft w:val="0"/>
      <w:marRight w:val="0"/>
      <w:marTop w:val="0"/>
      <w:marBottom w:val="0"/>
      <w:divBdr>
        <w:top w:val="none" w:sz="0" w:space="0" w:color="auto"/>
        <w:left w:val="none" w:sz="0" w:space="0" w:color="auto"/>
        <w:bottom w:val="none" w:sz="0" w:space="0" w:color="auto"/>
        <w:right w:val="none" w:sz="0" w:space="0" w:color="auto"/>
      </w:divBdr>
    </w:div>
    <w:div w:id="313728739">
      <w:bodyDiv w:val="1"/>
      <w:marLeft w:val="0"/>
      <w:marRight w:val="0"/>
      <w:marTop w:val="0"/>
      <w:marBottom w:val="0"/>
      <w:divBdr>
        <w:top w:val="none" w:sz="0" w:space="0" w:color="auto"/>
        <w:left w:val="none" w:sz="0" w:space="0" w:color="auto"/>
        <w:bottom w:val="none" w:sz="0" w:space="0" w:color="auto"/>
        <w:right w:val="none" w:sz="0" w:space="0" w:color="auto"/>
      </w:divBdr>
    </w:div>
    <w:div w:id="313992826">
      <w:bodyDiv w:val="1"/>
      <w:marLeft w:val="0"/>
      <w:marRight w:val="0"/>
      <w:marTop w:val="0"/>
      <w:marBottom w:val="0"/>
      <w:divBdr>
        <w:top w:val="none" w:sz="0" w:space="0" w:color="auto"/>
        <w:left w:val="none" w:sz="0" w:space="0" w:color="auto"/>
        <w:bottom w:val="none" w:sz="0" w:space="0" w:color="auto"/>
        <w:right w:val="none" w:sz="0" w:space="0" w:color="auto"/>
      </w:divBdr>
    </w:div>
    <w:div w:id="316228924">
      <w:bodyDiv w:val="1"/>
      <w:marLeft w:val="0"/>
      <w:marRight w:val="0"/>
      <w:marTop w:val="0"/>
      <w:marBottom w:val="0"/>
      <w:divBdr>
        <w:top w:val="none" w:sz="0" w:space="0" w:color="auto"/>
        <w:left w:val="none" w:sz="0" w:space="0" w:color="auto"/>
        <w:bottom w:val="none" w:sz="0" w:space="0" w:color="auto"/>
        <w:right w:val="none" w:sz="0" w:space="0" w:color="auto"/>
      </w:divBdr>
    </w:div>
    <w:div w:id="316422775">
      <w:bodyDiv w:val="1"/>
      <w:marLeft w:val="0"/>
      <w:marRight w:val="0"/>
      <w:marTop w:val="0"/>
      <w:marBottom w:val="0"/>
      <w:divBdr>
        <w:top w:val="none" w:sz="0" w:space="0" w:color="auto"/>
        <w:left w:val="none" w:sz="0" w:space="0" w:color="auto"/>
        <w:bottom w:val="none" w:sz="0" w:space="0" w:color="auto"/>
        <w:right w:val="none" w:sz="0" w:space="0" w:color="auto"/>
      </w:divBdr>
    </w:div>
    <w:div w:id="316619516">
      <w:bodyDiv w:val="1"/>
      <w:marLeft w:val="0"/>
      <w:marRight w:val="0"/>
      <w:marTop w:val="0"/>
      <w:marBottom w:val="0"/>
      <w:divBdr>
        <w:top w:val="none" w:sz="0" w:space="0" w:color="auto"/>
        <w:left w:val="none" w:sz="0" w:space="0" w:color="auto"/>
        <w:bottom w:val="none" w:sz="0" w:space="0" w:color="auto"/>
        <w:right w:val="none" w:sz="0" w:space="0" w:color="auto"/>
      </w:divBdr>
    </w:div>
    <w:div w:id="317004183">
      <w:bodyDiv w:val="1"/>
      <w:marLeft w:val="0"/>
      <w:marRight w:val="0"/>
      <w:marTop w:val="0"/>
      <w:marBottom w:val="0"/>
      <w:divBdr>
        <w:top w:val="none" w:sz="0" w:space="0" w:color="auto"/>
        <w:left w:val="none" w:sz="0" w:space="0" w:color="auto"/>
        <w:bottom w:val="none" w:sz="0" w:space="0" w:color="auto"/>
        <w:right w:val="none" w:sz="0" w:space="0" w:color="auto"/>
      </w:divBdr>
    </w:div>
    <w:div w:id="317462905">
      <w:bodyDiv w:val="1"/>
      <w:marLeft w:val="0"/>
      <w:marRight w:val="0"/>
      <w:marTop w:val="0"/>
      <w:marBottom w:val="0"/>
      <w:divBdr>
        <w:top w:val="none" w:sz="0" w:space="0" w:color="auto"/>
        <w:left w:val="none" w:sz="0" w:space="0" w:color="auto"/>
        <w:bottom w:val="none" w:sz="0" w:space="0" w:color="auto"/>
        <w:right w:val="none" w:sz="0" w:space="0" w:color="auto"/>
      </w:divBdr>
    </w:div>
    <w:div w:id="318927138">
      <w:bodyDiv w:val="1"/>
      <w:marLeft w:val="0"/>
      <w:marRight w:val="0"/>
      <w:marTop w:val="0"/>
      <w:marBottom w:val="0"/>
      <w:divBdr>
        <w:top w:val="none" w:sz="0" w:space="0" w:color="auto"/>
        <w:left w:val="none" w:sz="0" w:space="0" w:color="auto"/>
        <w:bottom w:val="none" w:sz="0" w:space="0" w:color="auto"/>
        <w:right w:val="none" w:sz="0" w:space="0" w:color="auto"/>
      </w:divBdr>
    </w:div>
    <w:div w:id="319118938">
      <w:bodyDiv w:val="1"/>
      <w:marLeft w:val="0"/>
      <w:marRight w:val="0"/>
      <w:marTop w:val="0"/>
      <w:marBottom w:val="0"/>
      <w:divBdr>
        <w:top w:val="none" w:sz="0" w:space="0" w:color="auto"/>
        <w:left w:val="none" w:sz="0" w:space="0" w:color="auto"/>
        <w:bottom w:val="none" w:sz="0" w:space="0" w:color="auto"/>
        <w:right w:val="none" w:sz="0" w:space="0" w:color="auto"/>
      </w:divBdr>
    </w:div>
    <w:div w:id="319386588">
      <w:bodyDiv w:val="1"/>
      <w:marLeft w:val="0"/>
      <w:marRight w:val="0"/>
      <w:marTop w:val="0"/>
      <w:marBottom w:val="0"/>
      <w:divBdr>
        <w:top w:val="none" w:sz="0" w:space="0" w:color="auto"/>
        <w:left w:val="none" w:sz="0" w:space="0" w:color="auto"/>
        <w:bottom w:val="none" w:sz="0" w:space="0" w:color="auto"/>
        <w:right w:val="none" w:sz="0" w:space="0" w:color="auto"/>
      </w:divBdr>
    </w:div>
    <w:div w:id="319969856">
      <w:bodyDiv w:val="1"/>
      <w:marLeft w:val="0"/>
      <w:marRight w:val="0"/>
      <w:marTop w:val="0"/>
      <w:marBottom w:val="0"/>
      <w:divBdr>
        <w:top w:val="none" w:sz="0" w:space="0" w:color="auto"/>
        <w:left w:val="none" w:sz="0" w:space="0" w:color="auto"/>
        <w:bottom w:val="none" w:sz="0" w:space="0" w:color="auto"/>
        <w:right w:val="none" w:sz="0" w:space="0" w:color="auto"/>
      </w:divBdr>
    </w:div>
    <w:div w:id="320013817">
      <w:bodyDiv w:val="1"/>
      <w:marLeft w:val="0"/>
      <w:marRight w:val="0"/>
      <w:marTop w:val="0"/>
      <w:marBottom w:val="0"/>
      <w:divBdr>
        <w:top w:val="none" w:sz="0" w:space="0" w:color="auto"/>
        <w:left w:val="none" w:sz="0" w:space="0" w:color="auto"/>
        <w:bottom w:val="none" w:sz="0" w:space="0" w:color="auto"/>
        <w:right w:val="none" w:sz="0" w:space="0" w:color="auto"/>
      </w:divBdr>
    </w:div>
    <w:div w:id="320037935">
      <w:bodyDiv w:val="1"/>
      <w:marLeft w:val="0"/>
      <w:marRight w:val="0"/>
      <w:marTop w:val="0"/>
      <w:marBottom w:val="0"/>
      <w:divBdr>
        <w:top w:val="none" w:sz="0" w:space="0" w:color="auto"/>
        <w:left w:val="none" w:sz="0" w:space="0" w:color="auto"/>
        <w:bottom w:val="none" w:sz="0" w:space="0" w:color="auto"/>
        <w:right w:val="none" w:sz="0" w:space="0" w:color="auto"/>
      </w:divBdr>
    </w:div>
    <w:div w:id="320818683">
      <w:bodyDiv w:val="1"/>
      <w:marLeft w:val="0"/>
      <w:marRight w:val="0"/>
      <w:marTop w:val="0"/>
      <w:marBottom w:val="0"/>
      <w:divBdr>
        <w:top w:val="none" w:sz="0" w:space="0" w:color="auto"/>
        <w:left w:val="none" w:sz="0" w:space="0" w:color="auto"/>
        <w:bottom w:val="none" w:sz="0" w:space="0" w:color="auto"/>
        <w:right w:val="none" w:sz="0" w:space="0" w:color="auto"/>
      </w:divBdr>
    </w:div>
    <w:div w:id="322391728">
      <w:bodyDiv w:val="1"/>
      <w:marLeft w:val="0"/>
      <w:marRight w:val="0"/>
      <w:marTop w:val="0"/>
      <w:marBottom w:val="0"/>
      <w:divBdr>
        <w:top w:val="none" w:sz="0" w:space="0" w:color="auto"/>
        <w:left w:val="none" w:sz="0" w:space="0" w:color="auto"/>
        <w:bottom w:val="none" w:sz="0" w:space="0" w:color="auto"/>
        <w:right w:val="none" w:sz="0" w:space="0" w:color="auto"/>
      </w:divBdr>
    </w:div>
    <w:div w:id="322900120">
      <w:bodyDiv w:val="1"/>
      <w:marLeft w:val="0"/>
      <w:marRight w:val="0"/>
      <w:marTop w:val="0"/>
      <w:marBottom w:val="0"/>
      <w:divBdr>
        <w:top w:val="none" w:sz="0" w:space="0" w:color="auto"/>
        <w:left w:val="none" w:sz="0" w:space="0" w:color="auto"/>
        <w:bottom w:val="none" w:sz="0" w:space="0" w:color="auto"/>
        <w:right w:val="none" w:sz="0" w:space="0" w:color="auto"/>
      </w:divBdr>
    </w:div>
    <w:div w:id="323313731">
      <w:bodyDiv w:val="1"/>
      <w:marLeft w:val="0"/>
      <w:marRight w:val="0"/>
      <w:marTop w:val="0"/>
      <w:marBottom w:val="0"/>
      <w:divBdr>
        <w:top w:val="none" w:sz="0" w:space="0" w:color="auto"/>
        <w:left w:val="none" w:sz="0" w:space="0" w:color="auto"/>
        <w:bottom w:val="none" w:sz="0" w:space="0" w:color="auto"/>
        <w:right w:val="none" w:sz="0" w:space="0" w:color="auto"/>
      </w:divBdr>
    </w:div>
    <w:div w:id="323626470">
      <w:bodyDiv w:val="1"/>
      <w:marLeft w:val="0"/>
      <w:marRight w:val="0"/>
      <w:marTop w:val="0"/>
      <w:marBottom w:val="0"/>
      <w:divBdr>
        <w:top w:val="none" w:sz="0" w:space="0" w:color="auto"/>
        <w:left w:val="none" w:sz="0" w:space="0" w:color="auto"/>
        <w:bottom w:val="none" w:sz="0" w:space="0" w:color="auto"/>
        <w:right w:val="none" w:sz="0" w:space="0" w:color="auto"/>
      </w:divBdr>
    </w:div>
    <w:div w:id="324627486">
      <w:bodyDiv w:val="1"/>
      <w:marLeft w:val="0"/>
      <w:marRight w:val="0"/>
      <w:marTop w:val="0"/>
      <w:marBottom w:val="0"/>
      <w:divBdr>
        <w:top w:val="none" w:sz="0" w:space="0" w:color="auto"/>
        <w:left w:val="none" w:sz="0" w:space="0" w:color="auto"/>
        <w:bottom w:val="none" w:sz="0" w:space="0" w:color="auto"/>
        <w:right w:val="none" w:sz="0" w:space="0" w:color="auto"/>
      </w:divBdr>
    </w:div>
    <w:div w:id="325091021">
      <w:bodyDiv w:val="1"/>
      <w:marLeft w:val="0"/>
      <w:marRight w:val="0"/>
      <w:marTop w:val="0"/>
      <w:marBottom w:val="0"/>
      <w:divBdr>
        <w:top w:val="none" w:sz="0" w:space="0" w:color="auto"/>
        <w:left w:val="none" w:sz="0" w:space="0" w:color="auto"/>
        <w:bottom w:val="none" w:sz="0" w:space="0" w:color="auto"/>
        <w:right w:val="none" w:sz="0" w:space="0" w:color="auto"/>
      </w:divBdr>
    </w:div>
    <w:div w:id="325935533">
      <w:bodyDiv w:val="1"/>
      <w:marLeft w:val="0"/>
      <w:marRight w:val="0"/>
      <w:marTop w:val="0"/>
      <w:marBottom w:val="0"/>
      <w:divBdr>
        <w:top w:val="none" w:sz="0" w:space="0" w:color="auto"/>
        <w:left w:val="none" w:sz="0" w:space="0" w:color="auto"/>
        <w:bottom w:val="none" w:sz="0" w:space="0" w:color="auto"/>
        <w:right w:val="none" w:sz="0" w:space="0" w:color="auto"/>
      </w:divBdr>
    </w:div>
    <w:div w:id="326709633">
      <w:bodyDiv w:val="1"/>
      <w:marLeft w:val="0"/>
      <w:marRight w:val="0"/>
      <w:marTop w:val="0"/>
      <w:marBottom w:val="0"/>
      <w:divBdr>
        <w:top w:val="none" w:sz="0" w:space="0" w:color="auto"/>
        <w:left w:val="none" w:sz="0" w:space="0" w:color="auto"/>
        <w:bottom w:val="none" w:sz="0" w:space="0" w:color="auto"/>
        <w:right w:val="none" w:sz="0" w:space="0" w:color="auto"/>
      </w:divBdr>
    </w:div>
    <w:div w:id="327827930">
      <w:bodyDiv w:val="1"/>
      <w:marLeft w:val="0"/>
      <w:marRight w:val="0"/>
      <w:marTop w:val="0"/>
      <w:marBottom w:val="0"/>
      <w:divBdr>
        <w:top w:val="none" w:sz="0" w:space="0" w:color="auto"/>
        <w:left w:val="none" w:sz="0" w:space="0" w:color="auto"/>
        <w:bottom w:val="none" w:sz="0" w:space="0" w:color="auto"/>
        <w:right w:val="none" w:sz="0" w:space="0" w:color="auto"/>
      </w:divBdr>
    </w:div>
    <w:div w:id="328992790">
      <w:bodyDiv w:val="1"/>
      <w:marLeft w:val="0"/>
      <w:marRight w:val="0"/>
      <w:marTop w:val="0"/>
      <w:marBottom w:val="0"/>
      <w:divBdr>
        <w:top w:val="none" w:sz="0" w:space="0" w:color="auto"/>
        <w:left w:val="none" w:sz="0" w:space="0" w:color="auto"/>
        <w:bottom w:val="none" w:sz="0" w:space="0" w:color="auto"/>
        <w:right w:val="none" w:sz="0" w:space="0" w:color="auto"/>
      </w:divBdr>
    </w:div>
    <w:div w:id="329060818">
      <w:bodyDiv w:val="1"/>
      <w:marLeft w:val="0"/>
      <w:marRight w:val="0"/>
      <w:marTop w:val="0"/>
      <w:marBottom w:val="0"/>
      <w:divBdr>
        <w:top w:val="none" w:sz="0" w:space="0" w:color="auto"/>
        <w:left w:val="none" w:sz="0" w:space="0" w:color="auto"/>
        <w:bottom w:val="none" w:sz="0" w:space="0" w:color="auto"/>
        <w:right w:val="none" w:sz="0" w:space="0" w:color="auto"/>
      </w:divBdr>
    </w:div>
    <w:div w:id="329914725">
      <w:bodyDiv w:val="1"/>
      <w:marLeft w:val="0"/>
      <w:marRight w:val="0"/>
      <w:marTop w:val="0"/>
      <w:marBottom w:val="0"/>
      <w:divBdr>
        <w:top w:val="none" w:sz="0" w:space="0" w:color="auto"/>
        <w:left w:val="none" w:sz="0" w:space="0" w:color="auto"/>
        <w:bottom w:val="none" w:sz="0" w:space="0" w:color="auto"/>
        <w:right w:val="none" w:sz="0" w:space="0" w:color="auto"/>
      </w:divBdr>
    </w:div>
    <w:div w:id="330177545">
      <w:bodyDiv w:val="1"/>
      <w:marLeft w:val="0"/>
      <w:marRight w:val="0"/>
      <w:marTop w:val="0"/>
      <w:marBottom w:val="0"/>
      <w:divBdr>
        <w:top w:val="none" w:sz="0" w:space="0" w:color="auto"/>
        <w:left w:val="none" w:sz="0" w:space="0" w:color="auto"/>
        <w:bottom w:val="none" w:sz="0" w:space="0" w:color="auto"/>
        <w:right w:val="none" w:sz="0" w:space="0" w:color="auto"/>
      </w:divBdr>
    </w:div>
    <w:div w:id="330257902">
      <w:bodyDiv w:val="1"/>
      <w:marLeft w:val="0"/>
      <w:marRight w:val="0"/>
      <w:marTop w:val="0"/>
      <w:marBottom w:val="0"/>
      <w:divBdr>
        <w:top w:val="none" w:sz="0" w:space="0" w:color="auto"/>
        <w:left w:val="none" w:sz="0" w:space="0" w:color="auto"/>
        <w:bottom w:val="none" w:sz="0" w:space="0" w:color="auto"/>
        <w:right w:val="none" w:sz="0" w:space="0" w:color="auto"/>
      </w:divBdr>
    </w:div>
    <w:div w:id="330374395">
      <w:bodyDiv w:val="1"/>
      <w:marLeft w:val="0"/>
      <w:marRight w:val="0"/>
      <w:marTop w:val="0"/>
      <w:marBottom w:val="0"/>
      <w:divBdr>
        <w:top w:val="none" w:sz="0" w:space="0" w:color="auto"/>
        <w:left w:val="none" w:sz="0" w:space="0" w:color="auto"/>
        <w:bottom w:val="none" w:sz="0" w:space="0" w:color="auto"/>
        <w:right w:val="none" w:sz="0" w:space="0" w:color="auto"/>
      </w:divBdr>
    </w:div>
    <w:div w:id="330914601">
      <w:bodyDiv w:val="1"/>
      <w:marLeft w:val="0"/>
      <w:marRight w:val="0"/>
      <w:marTop w:val="0"/>
      <w:marBottom w:val="0"/>
      <w:divBdr>
        <w:top w:val="none" w:sz="0" w:space="0" w:color="auto"/>
        <w:left w:val="none" w:sz="0" w:space="0" w:color="auto"/>
        <w:bottom w:val="none" w:sz="0" w:space="0" w:color="auto"/>
        <w:right w:val="none" w:sz="0" w:space="0" w:color="auto"/>
      </w:divBdr>
    </w:div>
    <w:div w:id="331107034">
      <w:bodyDiv w:val="1"/>
      <w:marLeft w:val="0"/>
      <w:marRight w:val="0"/>
      <w:marTop w:val="0"/>
      <w:marBottom w:val="0"/>
      <w:divBdr>
        <w:top w:val="none" w:sz="0" w:space="0" w:color="auto"/>
        <w:left w:val="none" w:sz="0" w:space="0" w:color="auto"/>
        <w:bottom w:val="none" w:sz="0" w:space="0" w:color="auto"/>
        <w:right w:val="none" w:sz="0" w:space="0" w:color="auto"/>
      </w:divBdr>
    </w:div>
    <w:div w:id="331370960">
      <w:bodyDiv w:val="1"/>
      <w:marLeft w:val="0"/>
      <w:marRight w:val="0"/>
      <w:marTop w:val="0"/>
      <w:marBottom w:val="0"/>
      <w:divBdr>
        <w:top w:val="none" w:sz="0" w:space="0" w:color="auto"/>
        <w:left w:val="none" w:sz="0" w:space="0" w:color="auto"/>
        <w:bottom w:val="none" w:sz="0" w:space="0" w:color="auto"/>
        <w:right w:val="none" w:sz="0" w:space="0" w:color="auto"/>
      </w:divBdr>
    </w:div>
    <w:div w:id="331954632">
      <w:bodyDiv w:val="1"/>
      <w:marLeft w:val="0"/>
      <w:marRight w:val="0"/>
      <w:marTop w:val="0"/>
      <w:marBottom w:val="0"/>
      <w:divBdr>
        <w:top w:val="none" w:sz="0" w:space="0" w:color="auto"/>
        <w:left w:val="none" w:sz="0" w:space="0" w:color="auto"/>
        <w:bottom w:val="none" w:sz="0" w:space="0" w:color="auto"/>
        <w:right w:val="none" w:sz="0" w:space="0" w:color="auto"/>
      </w:divBdr>
    </w:div>
    <w:div w:id="332295289">
      <w:bodyDiv w:val="1"/>
      <w:marLeft w:val="0"/>
      <w:marRight w:val="0"/>
      <w:marTop w:val="0"/>
      <w:marBottom w:val="0"/>
      <w:divBdr>
        <w:top w:val="none" w:sz="0" w:space="0" w:color="auto"/>
        <w:left w:val="none" w:sz="0" w:space="0" w:color="auto"/>
        <w:bottom w:val="none" w:sz="0" w:space="0" w:color="auto"/>
        <w:right w:val="none" w:sz="0" w:space="0" w:color="auto"/>
      </w:divBdr>
    </w:div>
    <w:div w:id="332681047">
      <w:bodyDiv w:val="1"/>
      <w:marLeft w:val="0"/>
      <w:marRight w:val="0"/>
      <w:marTop w:val="0"/>
      <w:marBottom w:val="0"/>
      <w:divBdr>
        <w:top w:val="none" w:sz="0" w:space="0" w:color="auto"/>
        <w:left w:val="none" w:sz="0" w:space="0" w:color="auto"/>
        <w:bottom w:val="none" w:sz="0" w:space="0" w:color="auto"/>
        <w:right w:val="none" w:sz="0" w:space="0" w:color="auto"/>
      </w:divBdr>
    </w:div>
    <w:div w:id="332803333">
      <w:bodyDiv w:val="1"/>
      <w:marLeft w:val="0"/>
      <w:marRight w:val="0"/>
      <w:marTop w:val="0"/>
      <w:marBottom w:val="0"/>
      <w:divBdr>
        <w:top w:val="none" w:sz="0" w:space="0" w:color="auto"/>
        <w:left w:val="none" w:sz="0" w:space="0" w:color="auto"/>
        <w:bottom w:val="none" w:sz="0" w:space="0" w:color="auto"/>
        <w:right w:val="none" w:sz="0" w:space="0" w:color="auto"/>
      </w:divBdr>
    </w:div>
    <w:div w:id="332998121">
      <w:bodyDiv w:val="1"/>
      <w:marLeft w:val="0"/>
      <w:marRight w:val="0"/>
      <w:marTop w:val="0"/>
      <w:marBottom w:val="0"/>
      <w:divBdr>
        <w:top w:val="none" w:sz="0" w:space="0" w:color="auto"/>
        <w:left w:val="none" w:sz="0" w:space="0" w:color="auto"/>
        <w:bottom w:val="none" w:sz="0" w:space="0" w:color="auto"/>
        <w:right w:val="none" w:sz="0" w:space="0" w:color="auto"/>
      </w:divBdr>
    </w:div>
    <w:div w:id="334381992">
      <w:bodyDiv w:val="1"/>
      <w:marLeft w:val="0"/>
      <w:marRight w:val="0"/>
      <w:marTop w:val="0"/>
      <w:marBottom w:val="0"/>
      <w:divBdr>
        <w:top w:val="none" w:sz="0" w:space="0" w:color="auto"/>
        <w:left w:val="none" w:sz="0" w:space="0" w:color="auto"/>
        <w:bottom w:val="none" w:sz="0" w:space="0" w:color="auto"/>
        <w:right w:val="none" w:sz="0" w:space="0" w:color="auto"/>
      </w:divBdr>
    </w:div>
    <w:div w:id="334651808">
      <w:bodyDiv w:val="1"/>
      <w:marLeft w:val="0"/>
      <w:marRight w:val="0"/>
      <w:marTop w:val="0"/>
      <w:marBottom w:val="0"/>
      <w:divBdr>
        <w:top w:val="none" w:sz="0" w:space="0" w:color="auto"/>
        <w:left w:val="none" w:sz="0" w:space="0" w:color="auto"/>
        <w:bottom w:val="none" w:sz="0" w:space="0" w:color="auto"/>
        <w:right w:val="none" w:sz="0" w:space="0" w:color="auto"/>
      </w:divBdr>
    </w:div>
    <w:div w:id="335378411">
      <w:bodyDiv w:val="1"/>
      <w:marLeft w:val="0"/>
      <w:marRight w:val="0"/>
      <w:marTop w:val="0"/>
      <w:marBottom w:val="0"/>
      <w:divBdr>
        <w:top w:val="none" w:sz="0" w:space="0" w:color="auto"/>
        <w:left w:val="none" w:sz="0" w:space="0" w:color="auto"/>
        <w:bottom w:val="none" w:sz="0" w:space="0" w:color="auto"/>
        <w:right w:val="none" w:sz="0" w:space="0" w:color="auto"/>
      </w:divBdr>
    </w:div>
    <w:div w:id="336737651">
      <w:bodyDiv w:val="1"/>
      <w:marLeft w:val="0"/>
      <w:marRight w:val="0"/>
      <w:marTop w:val="0"/>
      <w:marBottom w:val="0"/>
      <w:divBdr>
        <w:top w:val="none" w:sz="0" w:space="0" w:color="auto"/>
        <w:left w:val="none" w:sz="0" w:space="0" w:color="auto"/>
        <w:bottom w:val="none" w:sz="0" w:space="0" w:color="auto"/>
        <w:right w:val="none" w:sz="0" w:space="0" w:color="auto"/>
      </w:divBdr>
    </w:div>
    <w:div w:id="337729482">
      <w:bodyDiv w:val="1"/>
      <w:marLeft w:val="0"/>
      <w:marRight w:val="0"/>
      <w:marTop w:val="0"/>
      <w:marBottom w:val="0"/>
      <w:divBdr>
        <w:top w:val="none" w:sz="0" w:space="0" w:color="auto"/>
        <w:left w:val="none" w:sz="0" w:space="0" w:color="auto"/>
        <w:bottom w:val="none" w:sz="0" w:space="0" w:color="auto"/>
        <w:right w:val="none" w:sz="0" w:space="0" w:color="auto"/>
      </w:divBdr>
    </w:div>
    <w:div w:id="337926386">
      <w:bodyDiv w:val="1"/>
      <w:marLeft w:val="0"/>
      <w:marRight w:val="0"/>
      <w:marTop w:val="0"/>
      <w:marBottom w:val="0"/>
      <w:divBdr>
        <w:top w:val="none" w:sz="0" w:space="0" w:color="auto"/>
        <w:left w:val="none" w:sz="0" w:space="0" w:color="auto"/>
        <w:bottom w:val="none" w:sz="0" w:space="0" w:color="auto"/>
        <w:right w:val="none" w:sz="0" w:space="0" w:color="auto"/>
      </w:divBdr>
    </w:div>
    <w:div w:id="338384858">
      <w:bodyDiv w:val="1"/>
      <w:marLeft w:val="0"/>
      <w:marRight w:val="0"/>
      <w:marTop w:val="0"/>
      <w:marBottom w:val="0"/>
      <w:divBdr>
        <w:top w:val="none" w:sz="0" w:space="0" w:color="auto"/>
        <w:left w:val="none" w:sz="0" w:space="0" w:color="auto"/>
        <w:bottom w:val="none" w:sz="0" w:space="0" w:color="auto"/>
        <w:right w:val="none" w:sz="0" w:space="0" w:color="auto"/>
      </w:divBdr>
    </w:div>
    <w:div w:id="338587206">
      <w:bodyDiv w:val="1"/>
      <w:marLeft w:val="0"/>
      <w:marRight w:val="0"/>
      <w:marTop w:val="0"/>
      <w:marBottom w:val="0"/>
      <w:divBdr>
        <w:top w:val="none" w:sz="0" w:space="0" w:color="auto"/>
        <w:left w:val="none" w:sz="0" w:space="0" w:color="auto"/>
        <w:bottom w:val="none" w:sz="0" w:space="0" w:color="auto"/>
        <w:right w:val="none" w:sz="0" w:space="0" w:color="auto"/>
      </w:divBdr>
    </w:div>
    <w:div w:id="338851429">
      <w:bodyDiv w:val="1"/>
      <w:marLeft w:val="0"/>
      <w:marRight w:val="0"/>
      <w:marTop w:val="0"/>
      <w:marBottom w:val="0"/>
      <w:divBdr>
        <w:top w:val="none" w:sz="0" w:space="0" w:color="auto"/>
        <w:left w:val="none" w:sz="0" w:space="0" w:color="auto"/>
        <w:bottom w:val="none" w:sz="0" w:space="0" w:color="auto"/>
        <w:right w:val="none" w:sz="0" w:space="0" w:color="auto"/>
      </w:divBdr>
    </w:div>
    <w:div w:id="339624450">
      <w:bodyDiv w:val="1"/>
      <w:marLeft w:val="0"/>
      <w:marRight w:val="0"/>
      <w:marTop w:val="0"/>
      <w:marBottom w:val="0"/>
      <w:divBdr>
        <w:top w:val="none" w:sz="0" w:space="0" w:color="auto"/>
        <w:left w:val="none" w:sz="0" w:space="0" w:color="auto"/>
        <w:bottom w:val="none" w:sz="0" w:space="0" w:color="auto"/>
        <w:right w:val="none" w:sz="0" w:space="0" w:color="auto"/>
      </w:divBdr>
    </w:div>
    <w:div w:id="340011158">
      <w:bodyDiv w:val="1"/>
      <w:marLeft w:val="0"/>
      <w:marRight w:val="0"/>
      <w:marTop w:val="0"/>
      <w:marBottom w:val="0"/>
      <w:divBdr>
        <w:top w:val="none" w:sz="0" w:space="0" w:color="auto"/>
        <w:left w:val="none" w:sz="0" w:space="0" w:color="auto"/>
        <w:bottom w:val="none" w:sz="0" w:space="0" w:color="auto"/>
        <w:right w:val="none" w:sz="0" w:space="0" w:color="auto"/>
      </w:divBdr>
    </w:div>
    <w:div w:id="340015899">
      <w:bodyDiv w:val="1"/>
      <w:marLeft w:val="0"/>
      <w:marRight w:val="0"/>
      <w:marTop w:val="0"/>
      <w:marBottom w:val="0"/>
      <w:divBdr>
        <w:top w:val="none" w:sz="0" w:space="0" w:color="auto"/>
        <w:left w:val="none" w:sz="0" w:space="0" w:color="auto"/>
        <w:bottom w:val="none" w:sz="0" w:space="0" w:color="auto"/>
        <w:right w:val="none" w:sz="0" w:space="0" w:color="auto"/>
      </w:divBdr>
    </w:div>
    <w:div w:id="341784393">
      <w:bodyDiv w:val="1"/>
      <w:marLeft w:val="0"/>
      <w:marRight w:val="0"/>
      <w:marTop w:val="0"/>
      <w:marBottom w:val="0"/>
      <w:divBdr>
        <w:top w:val="none" w:sz="0" w:space="0" w:color="auto"/>
        <w:left w:val="none" w:sz="0" w:space="0" w:color="auto"/>
        <w:bottom w:val="none" w:sz="0" w:space="0" w:color="auto"/>
        <w:right w:val="none" w:sz="0" w:space="0" w:color="auto"/>
      </w:divBdr>
    </w:div>
    <w:div w:id="341973746">
      <w:bodyDiv w:val="1"/>
      <w:marLeft w:val="0"/>
      <w:marRight w:val="0"/>
      <w:marTop w:val="0"/>
      <w:marBottom w:val="0"/>
      <w:divBdr>
        <w:top w:val="none" w:sz="0" w:space="0" w:color="auto"/>
        <w:left w:val="none" w:sz="0" w:space="0" w:color="auto"/>
        <w:bottom w:val="none" w:sz="0" w:space="0" w:color="auto"/>
        <w:right w:val="none" w:sz="0" w:space="0" w:color="auto"/>
      </w:divBdr>
    </w:div>
    <w:div w:id="342318229">
      <w:bodyDiv w:val="1"/>
      <w:marLeft w:val="0"/>
      <w:marRight w:val="0"/>
      <w:marTop w:val="0"/>
      <w:marBottom w:val="0"/>
      <w:divBdr>
        <w:top w:val="none" w:sz="0" w:space="0" w:color="auto"/>
        <w:left w:val="none" w:sz="0" w:space="0" w:color="auto"/>
        <w:bottom w:val="none" w:sz="0" w:space="0" w:color="auto"/>
        <w:right w:val="none" w:sz="0" w:space="0" w:color="auto"/>
      </w:divBdr>
    </w:div>
    <w:div w:id="343047552">
      <w:bodyDiv w:val="1"/>
      <w:marLeft w:val="0"/>
      <w:marRight w:val="0"/>
      <w:marTop w:val="0"/>
      <w:marBottom w:val="0"/>
      <w:divBdr>
        <w:top w:val="none" w:sz="0" w:space="0" w:color="auto"/>
        <w:left w:val="none" w:sz="0" w:space="0" w:color="auto"/>
        <w:bottom w:val="none" w:sz="0" w:space="0" w:color="auto"/>
        <w:right w:val="none" w:sz="0" w:space="0" w:color="auto"/>
      </w:divBdr>
    </w:div>
    <w:div w:id="347411916">
      <w:bodyDiv w:val="1"/>
      <w:marLeft w:val="0"/>
      <w:marRight w:val="0"/>
      <w:marTop w:val="0"/>
      <w:marBottom w:val="0"/>
      <w:divBdr>
        <w:top w:val="none" w:sz="0" w:space="0" w:color="auto"/>
        <w:left w:val="none" w:sz="0" w:space="0" w:color="auto"/>
        <w:bottom w:val="none" w:sz="0" w:space="0" w:color="auto"/>
        <w:right w:val="none" w:sz="0" w:space="0" w:color="auto"/>
      </w:divBdr>
    </w:div>
    <w:div w:id="347608579">
      <w:bodyDiv w:val="1"/>
      <w:marLeft w:val="0"/>
      <w:marRight w:val="0"/>
      <w:marTop w:val="0"/>
      <w:marBottom w:val="0"/>
      <w:divBdr>
        <w:top w:val="none" w:sz="0" w:space="0" w:color="auto"/>
        <w:left w:val="none" w:sz="0" w:space="0" w:color="auto"/>
        <w:bottom w:val="none" w:sz="0" w:space="0" w:color="auto"/>
        <w:right w:val="none" w:sz="0" w:space="0" w:color="auto"/>
      </w:divBdr>
    </w:div>
    <w:div w:id="348263247">
      <w:bodyDiv w:val="1"/>
      <w:marLeft w:val="0"/>
      <w:marRight w:val="0"/>
      <w:marTop w:val="0"/>
      <w:marBottom w:val="0"/>
      <w:divBdr>
        <w:top w:val="none" w:sz="0" w:space="0" w:color="auto"/>
        <w:left w:val="none" w:sz="0" w:space="0" w:color="auto"/>
        <w:bottom w:val="none" w:sz="0" w:space="0" w:color="auto"/>
        <w:right w:val="none" w:sz="0" w:space="0" w:color="auto"/>
      </w:divBdr>
    </w:div>
    <w:div w:id="349382620">
      <w:bodyDiv w:val="1"/>
      <w:marLeft w:val="0"/>
      <w:marRight w:val="0"/>
      <w:marTop w:val="0"/>
      <w:marBottom w:val="0"/>
      <w:divBdr>
        <w:top w:val="none" w:sz="0" w:space="0" w:color="auto"/>
        <w:left w:val="none" w:sz="0" w:space="0" w:color="auto"/>
        <w:bottom w:val="none" w:sz="0" w:space="0" w:color="auto"/>
        <w:right w:val="none" w:sz="0" w:space="0" w:color="auto"/>
      </w:divBdr>
    </w:div>
    <w:div w:id="349456319">
      <w:bodyDiv w:val="1"/>
      <w:marLeft w:val="0"/>
      <w:marRight w:val="0"/>
      <w:marTop w:val="0"/>
      <w:marBottom w:val="0"/>
      <w:divBdr>
        <w:top w:val="none" w:sz="0" w:space="0" w:color="auto"/>
        <w:left w:val="none" w:sz="0" w:space="0" w:color="auto"/>
        <w:bottom w:val="none" w:sz="0" w:space="0" w:color="auto"/>
        <w:right w:val="none" w:sz="0" w:space="0" w:color="auto"/>
      </w:divBdr>
    </w:div>
    <w:div w:id="349989057">
      <w:bodyDiv w:val="1"/>
      <w:marLeft w:val="0"/>
      <w:marRight w:val="0"/>
      <w:marTop w:val="0"/>
      <w:marBottom w:val="0"/>
      <w:divBdr>
        <w:top w:val="none" w:sz="0" w:space="0" w:color="auto"/>
        <w:left w:val="none" w:sz="0" w:space="0" w:color="auto"/>
        <w:bottom w:val="none" w:sz="0" w:space="0" w:color="auto"/>
        <w:right w:val="none" w:sz="0" w:space="0" w:color="auto"/>
      </w:divBdr>
    </w:div>
    <w:div w:id="351733098">
      <w:bodyDiv w:val="1"/>
      <w:marLeft w:val="0"/>
      <w:marRight w:val="0"/>
      <w:marTop w:val="0"/>
      <w:marBottom w:val="0"/>
      <w:divBdr>
        <w:top w:val="none" w:sz="0" w:space="0" w:color="auto"/>
        <w:left w:val="none" w:sz="0" w:space="0" w:color="auto"/>
        <w:bottom w:val="none" w:sz="0" w:space="0" w:color="auto"/>
        <w:right w:val="none" w:sz="0" w:space="0" w:color="auto"/>
      </w:divBdr>
    </w:div>
    <w:div w:id="352001092">
      <w:bodyDiv w:val="1"/>
      <w:marLeft w:val="0"/>
      <w:marRight w:val="0"/>
      <w:marTop w:val="0"/>
      <w:marBottom w:val="0"/>
      <w:divBdr>
        <w:top w:val="none" w:sz="0" w:space="0" w:color="auto"/>
        <w:left w:val="none" w:sz="0" w:space="0" w:color="auto"/>
        <w:bottom w:val="none" w:sz="0" w:space="0" w:color="auto"/>
        <w:right w:val="none" w:sz="0" w:space="0" w:color="auto"/>
      </w:divBdr>
    </w:div>
    <w:div w:id="353044159">
      <w:bodyDiv w:val="1"/>
      <w:marLeft w:val="0"/>
      <w:marRight w:val="0"/>
      <w:marTop w:val="0"/>
      <w:marBottom w:val="0"/>
      <w:divBdr>
        <w:top w:val="none" w:sz="0" w:space="0" w:color="auto"/>
        <w:left w:val="none" w:sz="0" w:space="0" w:color="auto"/>
        <w:bottom w:val="none" w:sz="0" w:space="0" w:color="auto"/>
        <w:right w:val="none" w:sz="0" w:space="0" w:color="auto"/>
      </w:divBdr>
    </w:div>
    <w:div w:id="353581206">
      <w:bodyDiv w:val="1"/>
      <w:marLeft w:val="0"/>
      <w:marRight w:val="0"/>
      <w:marTop w:val="0"/>
      <w:marBottom w:val="0"/>
      <w:divBdr>
        <w:top w:val="none" w:sz="0" w:space="0" w:color="auto"/>
        <w:left w:val="none" w:sz="0" w:space="0" w:color="auto"/>
        <w:bottom w:val="none" w:sz="0" w:space="0" w:color="auto"/>
        <w:right w:val="none" w:sz="0" w:space="0" w:color="auto"/>
      </w:divBdr>
    </w:div>
    <w:div w:id="353969727">
      <w:bodyDiv w:val="1"/>
      <w:marLeft w:val="0"/>
      <w:marRight w:val="0"/>
      <w:marTop w:val="0"/>
      <w:marBottom w:val="0"/>
      <w:divBdr>
        <w:top w:val="none" w:sz="0" w:space="0" w:color="auto"/>
        <w:left w:val="none" w:sz="0" w:space="0" w:color="auto"/>
        <w:bottom w:val="none" w:sz="0" w:space="0" w:color="auto"/>
        <w:right w:val="none" w:sz="0" w:space="0" w:color="auto"/>
      </w:divBdr>
    </w:div>
    <w:div w:id="356851098">
      <w:bodyDiv w:val="1"/>
      <w:marLeft w:val="0"/>
      <w:marRight w:val="0"/>
      <w:marTop w:val="0"/>
      <w:marBottom w:val="0"/>
      <w:divBdr>
        <w:top w:val="none" w:sz="0" w:space="0" w:color="auto"/>
        <w:left w:val="none" w:sz="0" w:space="0" w:color="auto"/>
        <w:bottom w:val="none" w:sz="0" w:space="0" w:color="auto"/>
        <w:right w:val="none" w:sz="0" w:space="0" w:color="auto"/>
      </w:divBdr>
    </w:div>
    <w:div w:id="357392819">
      <w:bodyDiv w:val="1"/>
      <w:marLeft w:val="0"/>
      <w:marRight w:val="0"/>
      <w:marTop w:val="0"/>
      <w:marBottom w:val="0"/>
      <w:divBdr>
        <w:top w:val="none" w:sz="0" w:space="0" w:color="auto"/>
        <w:left w:val="none" w:sz="0" w:space="0" w:color="auto"/>
        <w:bottom w:val="none" w:sz="0" w:space="0" w:color="auto"/>
        <w:right w:val="none" w:sz="0" w:space="0" w:color="auto"/>
      </w:divBdr>
    </w:div>
    <w:div w:id="358706313">
      <w:bodyDiv w:val="1"/>
      <w:marLeft w:val="0"/>
      <w:marRight w:val="0"/>
      <w:marTop w:val="0"/>
      <w:marBottom w:val="0"/>
      <w:divBdr>
        <w:top w:val="none" w:sz="0" w:space="0" w:color="auto"/>
        <w:left w:val="none" w:sz="0" w:space="0" w:color="auto"/>
        <w:bottom w:val="none" w:sz="0" w:space="0" w:color="auto"/>
        <w:right w:val="none" w:sz="0" w:space="0" w:color="auto"/>
      </w:divBdr>
    </w:div>
    <w:div w:id="359016925">
      <w:bodyDiv w:val="1"/>
      <w:marLeft w:val="0"/>
      <w:marRight w:val="0"/>
      <w:marTop w:val="0"/>
      <w:marBottom w:val="0"/>
      <w:divBdr>
        <w:top w:val="none" w:sz="0" w:space="0" w:color="auto"/>
        <w:left w:val="none" w:sz="0" w:space="0" w:color="auto"/>
        <w:bottom w:val="none" w:sz="0" w:space="0" w:color="auto"/>
        <w:right w:val="none" w:sz="0" w:space="0" w:color="auto"/>
      </w:divBdr>
    </w:div>
    <w:div w:id="359623559">
      <w:bodyDiv w:val="1"/>
      <w:marLeft w:val="0"/>
      <w:marRight w:val="0"/>
      <w:marTop w:val="0"/>
      <w:marBottom w:val="0"/>
      <w:divBdr>
        <w:top w:val="none" w:sz="0" w:space="0" w:color="auto"/>
        <w:left w:val="none" w:sz="0" w:space="0" w:color="auto"/>
        <w:bottom w:val="none" w:sz="0" w:space="0" w:color="auto"/>
        <w:right w:val="none" w:sz="0" w:space="0" w:color="auto"/>
      </w:divBdr>
    </w:div>
    <w:div w:id="359820966">
      <w:bodyDiv w:val="1"/>
      <w:marLeft w:val="0"/>
      <w:marRight w:val="0"/>
      <w:marTop w:val="0"/>
      <w:marBottom w:val="0"/>
      <w:divBdr>
        <w:top w:val="none" w:sz="0" w:space="0" w:color="auto"/>
        <w:left w:val="none" w:sz="0" w:space="0" w:color="auto"/>
        <w:bottom w:val="none" w:sz="0" w:space="0" w:color="auto"/>
        <w:right w:val="none" w:sz="0" w:space="0" w:color="auto"/>
      </w:divBdr>
    </w:div>
    <w:div w:id="360207699">
      <w:bodyDiv w:val="1"/>
      <w:marLeft w:val="0"/>
      <w:marRight w:val="0"/>
      <w:marTop w:val="0"/>
      <w:marBottom w:val="0"/>
      <w:divBdr>
        <w:top w:val="none" w:sz="0" w:space="0" w:color="auto"/>
        <w:left w:val="none" w:sz="0" w:space="0" w:color="auto"/>
        <w:bottom w:val="none" w:sz="0" w:space="0" w:color="auto"/>
        <w:right w:val="none" w:sz="0" w:space="0" w:color="auto"/>
      </w:divBdr>
    </w:div>
    <w:div w:id="360790730">
      <w:bodyDiv w:val="1"/>
      <w:marLeft w:val="0"/>
      <w:marRight w:val="0"/>
      <w:marTop w:val="0"/>
      <w:marBottom w:val="0"/>
      <w:divBdr>
        <w:top w:val="none" w:sz="0" w:space="0" w:color="auto"/>
        <w:left w:val="none" w:sz="0" w:space="0" w:color="auto"/>
        <w:bottom w:val="none" w:sz="0" w:space="0" w:color="auto"/>
        <w:right w:val="none" w:sz="0" w:space="0" w:color="auto"/>
      </w:divBdr>
    </w:div>
    <w:div w:id="361052838">
      <w:bodyDiv w:val="1"/>
      <w:marLeft w:val="0"/>
      <w:marRight w:val="0"/>
      <w:marTop w:val="0"/>
      <w:marBottom w:val="0"/>
      <w:divBdr>
        <w:top w:val="none" w:sz="0" w:space="0" w:color="auto"/>
        <w:left w:val="none" w:sz="0" w:space="0" w:color="auto"/>
        <w:bottom w:val="none" w:sz="0" w:space="0" w:color="auto"/>
        <w:right w:val="none" w:sz="0" w:space="0" w:color="auto"/>
      </w:divBdr>
    </w:div>
    <w:div w:id="361905338">
      <w:bodyDiv w:val="1"/>
      <w:marLeft w:val="0"/>
      <w:marRight w:val="0"/>
      <w:marTop w:val="0"/>
      <w:marBottom w:val="0"/>
      <w:divBdr>
        <w:top w:val="none" w:sz="0" w:space="0" w:color="auto"/>
        <w:left w:val="none" w:sz="0" w:space="0" w:color="auto"/>
        <w:bottom w:val="none" w:sz="0" w:space="0" w:color="auto"/>
        <w:right w:val="none" w:sz="0" w:space="0" w:color="auto"/>
      </w:divBdr>
    </w:div>
    <w:div w:id="362093231">
      <w:bodyDiv w:val="1"/>
      <w:marLeft w:val="0"/>
      <w:marRight w:val="0"/>
      <w:marTop w:val="0"/>
      <w:marBottom w:val="0"/>
      <w:divBdr>
        <w:top w:val="none" w:sz="0" w:space="0" w:color="auto"/>
        <w:left w:val="none" w:sz="0" w:space="0" w:color="auto"/>
        <w:bottom w:val="none" w:sz="0" w:space="0" w:color="auto"/>
        <w:right w:val="none" w:sz="0" w:space="0" w:color="auto"/>
      </w:divBdr>
    </w:div>
    <w:div w:id="362558013">
      <w:bodyDiv w:val="1"/>
      <w:marLeft w:val="0"/>
      <w:marRight w:val="0"/>
      <w:marTop w:val="0"/>
      <w:marBottom w:val="0"/>
      <w:divBdr>
        <w:top w:val="none" w:sz="0" w:space="0" w:color="auto"/>
        <w:left w:val="none" w:sz="0" w:space="0" w:color="auto"/>
        <w:bottom w:val="none" w:sz="0" w:space="0" w:color="auto"/>
        <w:right w:val="none" w:sz="0" w:space="0" w:color="auto"/>
      </w:divBdr>
    </w:div>
    <w:div w:id="364404445">
      <w:bodyDiv w:val="1"/>
      <w:marLeft w:val="0"/>
      <w:marRight w:val="0"/>
      <w:marTop w:val="0"/>
      <w:marBottom w:val="0"/>
      <w:divBdr>
        <w:top w:val="none" w:sz="0" w:space="0" w:color="auto"/>
        <w:left w:val="none" w:sz="0" w:space="0" w:color="auto"/>
        <w:bottom w:val="none" w:sz="0" w:space="0" w:color="auto"/>
        <w:right w:val="none" w:sz="0" w:space="0" w:color="auto"/>
      </w:divBdr>
    </w:div>
    <w:div w:id="364406156">
      <w:bodyDiv w:val="1"/>
      <w:marLeft w:val="0"/>
      <w:marRight w:val="0"/>
      <w:marTop w:val="0"/>
      <w:marBottom w:val="0"/>
      <w:divBdr>
        <w:top w:val="none" w:sz="0" w:space="0" w:color="auto"/>
        <w:left w:val="none" w:sz="0" w:space="0" w:color="auto"/>
        <w:bottom w:val="none" w:sz="0" w:space="0" w:color="auto"/>
        <w:right w:val="none" w:sz="0" w:space="0" w:color="auto"/>
      </w:divBdr>
    </w:div>
    <w:div w:id="367416489">
      <w:bodyDiv w:val="1"/>
      <w:marLeft w:val="0"/>
      <w:marRight w:val="0"/>
      <w:marTop w:val="0"/>
      <w:marBottom w:val="0"/>
      <w:divBdr>
        <w:top w:val="none" w:sz="0" w:space="0" w:color="auto"/>
        <w:left w:val="none" w:sz="0" w:space="0" w:color="auto"/>
        <w:bottom w:val="none" w:sz="0" w:space="0" w:color="auto"/>
        <w:right w:val="none" w:sz="0" w:space="0" w:color="auto"/>
      </w:divBdr>
    </w:div>
    <w:div w:id="368191611">
      <w:bodyDiv w:val="1"/>
      <w:marLeft w:val="0"/>
      <w:marRight w:val="0"/>
      <w:marTop w:val="0"/>
      <w:marBottom w:val="0"/>
      <w:divBdr>
        <w:top w:val="none" w:sz="0" w:space="0" w:color="auto"/>
        <w:left w:val="none" w:sz="0" w:space="0" w:color="auto"/>
        <w:bottom w:val="none" w:sz="0" w:space="0" w:color="auto"/>
        <w:right w:val="none" w:sz="0" w:space="0" w:color="auto"/>
      </w:divBdr>
    </w:div>
    <w:div w:id="368385652">
      <w:bodyDiv w:val="1"/>
      <w:marLeft w:val="0"/>
      <w:marRight w:val="0"/>
      <w:marTop w:val="0"/>
      <w:marBottom w:val="0"/>
      <w:divBdr>
        <w:top w:val="none" w:sz="0" w:space="0" w:color="auto"/>
        <w:left w:val="none" w:sz="0" w:space="0" w:color="auto"/>
        <w:bottom w:val="none" w:sz="0" w:space="0" w:color="auto"/>
        <w:right w:val="none" w:sz="0" w:space="0" w:color="auto"/>
      </w:divBdr>
    </w:div>
    <w:div w:id="368654619">
      <w:bodyDiv w:val="1"/>
      <w:marLeft w:val="0"/>
      <w:marRight w:val="0"/>
      <w:marTop w:val="0"/>
      <w:marBottom w:val="0"/>
      <w:divBdr>
        <w:top w:val="none" w:sz="0" w:space="0" w:color="auto"/>
        <w:left w:val="none" w:sz="0" w:space="0" w:color="auto"/>
        <w:bottom w:val="none" w:sz="0" w:space="0" w:color="auto"/>
        <w:right w:val="none" w:sz="0" w:space="0" w:color="auto"/>
      </w:divBdr>
    </w:div>
    <w:div w:id="370303221">
      <w:bodyDiv w:val="1"/>
      <w:marLeft w:val="0"/>
      <w:marRight w:val="0"/>
      <w:marTop w:val="0"/>
      <w:marBottom w:val="0"/>
      <w:divBdr>
        <w:top w:val="none" w:sz="0" w:space="0" w:color="auto"/>
        <w:left w:val="none" w:sz="0" w:space="0" w:color="auto"/>
        <w:bottom w:val="none" w:sz="0" w:space="0" w:color="auto"/>
        <w:right w:val="none" w:sz="0" w:space="0" w:color="auto"/>
      </w:divBdr>
    </w:div>
    <w:div w:id="370614817">
      <w:bodyDiv w:val="1"/>
      <w:marLeft w:val="0"/>
      <w:marRight w:val="0"/>
      <w:marTop w:val="0"/>
      <w:marBottom w:val="0"/>
      <w:divBdr>
        <w:top w:val="none" w:sz="0" w:space="0" w:color="auto"/>
        <w:left w:val="none" w:sz="0" w:space="0" w:color="auto"/>
        <w:bottom w:val="none" w:sz="0" w:space="0" w:color="auto"/>
        <w:right w:val="none" w:sz="0" w:space="0" w:color="auto"/>
      </w:divBdr>
    </w:div>
    <w:div w:id="371151002">
      <w:bodyDiv w:val="1"/>
      <w:marLeft w:val="0"/>
      <w:marRight w:val="0"/>
      <w:marTop w:val="0"/>
      <w:marBottom w:val="0"/>
      <w:divBdr>
        <w:top w:val="none" w:sz="0" w:space="0" w:color="auto"/>
        <w:left w:val="none" w:sz="0" w:space="0" w:color="auto"/>
        <w:bottom w:val="none" w:sz="0" w:space="0" w:color="auto"/>
        <w:right w:val="none" w:sz="0" w:space="0" w:color="auto"/>
      </w:divBdr>
    </w:div>
    <w:div w:id="371731211">
      <w:bodyDiv w:val="1"/>
      <w:marLeft w:val="0"/>
      <w:marRight w:val="0"/>
      <w:marTop w:val="0"/>
      <w:marBottom w:val="0"/>
      <w:divBdr>
        <w:top w:val="none" w:sz="0" w:space="0" w:color="auto"/>
        <w:left w:val="none" w:sz="0" w:space="0" w:color="auto"/>
        <w:bottom w:val="none" w:sz="0" w:space="0" w:color="auto"/>
        <w:right w:val="none" w:sz="0" w:space="0" w:color="auto"/>
      </w:divBdr>
    </w:div>
    <w:div w:id="372850503">
      <w:bodyDiv w:val="1"/>
      <w:marLeft w:val="0"/>
      <w:marRight w:val="0"/>
      <w:marTop w:val="0"/>
      <w:marBottom w:val="0"/>
      <w:divBdr>
        <w:top w:val="none" w:sz="0" w:space="0" w:color="auto"/>
        <w:left w:val="none" w:sz="0" w:space="0" w:color="auto"/>
        <w:bottom w:val="none" w:sz="0" w:space="0" w:color="auto"/>
        <w:right w:val="none" w:sz="0" w:space="0" w:color="auto"/>
      </w:divBdr>
    </w:div>
    <w:div w:id="373041780">
      <w:bodyDiv w:val="1"/>
      <w:marLeft w:val="0"/>
      <w:marRight w:val="0"/>
      <w:marTop w:val="0"/>
      <w:marBottom w:val="0"/>
      <w:divBdr>
        <w:top w:val="none" w:sz="0" w:space="0" w:color="auto"/>
        <w:left w:val="none" w:sz="0" w:space="0" w:color="auto"/>
        <w:bottom w:val="none" w:sz="0" w:space="0" w:color="auto"/>
        <w:right w:val="none" w:sz="0" w:space="0" w:color="auto"/>
      </w:divBdr>
    </w:div>
    <w:div w:id="373504008">
      <w:bodyDiv w:val="1"/>
      <w:marLeft w:val="0"/>
      <w:marRight w:val="0"/>
      <w:marTop w:val="0"/>
      <w:marBottom w:val="0"/>
      <w:divBdr>
        <w:top w:val="none" w:sz="0" w:space="0" w:color="auto"/>
        <w:left w:val="none" w:sz="0" w:space="0" w:color="auto"/>
        <w:bottom w:val="none" w:sz="0" w:space="0" w:color="auto"/>
        <w:right w:val="none" w:sz="0" w:space="0" w:color="auto"/>
      </w:divBdr>
    </w:div>
    <w:div w:id="375079920">
      <w:bodyDiv w:val="1"/>
      <w:marLeft w:val="0"/>
      <w:marRight w:val="0"/>
      <w:marTop w:val="0"/>
      <w:marBottom w:val="0"/>
      <w:divBdr>
        <w:top w:val="none" w:sz="0" w:space="0" w:color="auto"/>
        <w:left w:val="none" w:sz="0" w:space="0" w:color="auto"/>
        <w:bottom w:val="none" w:sz="0" w:space="0" w:color="auto"/>
        <w:right w:val="none" w:sz="0" w:space="0" w:color="auto"/>
      </w:divBdr>
    </w:div>
    <w:div w:id="375739242">
      <w:bodyDiv w:val="1"/>
      <w:marLeft w:val="0"/>
      <w:marRight w:val="0"/>
      <w:marTop w:val="0"/>
      <w:marBottom w:val="0"/>
      <w:divBdr>
        <w:top w:val="none" w:sz="0" w:space="0" w:color="auto"/>
        <w:left w:val="none" w:sz="0" w:space="0" w:color="auto"/>
        <w:bottom w:val="none" w:sz="0" w:space="0" w:color="auto"/>
        <w:right w:val="none" w:sz="0" w:space="0" w:color="auto"/>
      </w:divBdr>
    </w:div>
    <w:div w:id="376130310">
      <w:bodyDiv w:val="1"/>
      <w:marLeft w:val="0"/>
      <w:marRight w:val="0"/>
      <w:marTop w:val="0"/>
      <w:marBottom w:val="0"/>
      <w:divBdr>
        <w:top w:val="none" w:sz="0" w:space="0" w:color="auto"/>
        <w:left w:val="none" w:sz="0" w:space="0" w:color="auto"/>
        <w:bottom w:val="none" w:sz="0" w:space="0" w:color="auto"/>
        <w:right w:val="none" w:sz="0" w:space="0" w:color="auto"/>
      </w:divBdr>
    </w:div>
    <w:div w:id="376702199">
      <w:bodyDiv w:val="1"/>
      <w:marLeft w:val="0"/>
      <w:marRight w:val="0"/>
      <w:marTop w:val="0"/>
      <w:marBottom w:val="0"/>
      <w:divBdr>
        <w:top w:val="none" w:sz="0" w:space="0" w:color="auto"/>
        <w:left w:val="none" w:sz="0" w:space="0" w:color="auto"/>
        <w:bottom w:val="none" w:sz="0" w:space="0" w:color="auto"/>
        <w:right w:val="none" w:sz="0" w:space="0" w:color="auto"/>
      </w:divBdr>
    </w:div>
    <w:div w:id="377898911">
      <w:bodyDiv w:val="1"/>
      <w:marLeft w:val="0"/>
      <w:marRight w:val="0"/>
      <w:marTop w:val="0"/>
      <w:marBottom w:val="0"/>
      <w:divBdr>
        <w:top w:val="none" w:sz="0" w:space="0" w:color="auto"/>
        <w:left w:val="none" w:sz="0" w:space="0" w:color="auto"/>
        <w:bottom w:val="none" w:sz="0" w:space="0" w:color="auto"/>
        <w:right w:val="none" w:sz="0" w:space="0" w:color="auto"/>
      </w:divBdr>
    </w:div>
    <w:div w:id="378089027">
      <w:bodyDiv w:val="1"/>
      <w:marLeft w:val="0"/>
      <w:marRight w:val="0"/>
      <w:marTop w:val="0"/>
      <w:marBottom w:val="0"/>
      <w:divBdr>
        <w:top w:val="none" w:sz="0" w:space="0" w:color="auto"/>
        <w:left w:val="none" w:sz="0" w:space="0" w:color="auto"/>
        <w:bottom w:val="none" w:sz="0" w:space="0" w:color="auto"/>
        <w:right w:val="none" w:sz="0" w:space="0" w:color="auto"/>
      </w:divBdr>
    </w:div>
    <w:div w:id="378601488">
      <w:bodyDiv w:val="1"/>
      <w:marLeft w:val="0"/>
      <w:marRight w:val="0"/>
      <w:marTop w:val="0"/>
      <w:marBottom w:val="0"/>
      <w:divBdr>
        <w:top w:val="none" w:sz="0" w:space="0" w:color="auto"/>
        <w:left w:val="none" w:sz="0" w:space="0" w:color="auto"/>
        <w:bottom w:val="none" w:sz="0" w:space="0" w:color="auto"/>
        <w:right w:val="none" w:sz="0" w:space="0" w:color="auto"/>
      </w:divBdr>
    </w:div>
    <w:div w:id="380055830">
      <w:bodyDiv w:val="1"/>
      <w:marLeft w:val="0"/>
      <w:marRight w:val="0"/>
      <w:marTop w:val="0"/>
      <w:marBottom w:val="0"/>
      <w:divBdr>
        <w:top w:val="none" w:sz="0" w:space="0" w:color="auto"/>
        <w:left w:val="none" w:sz="0" w:space="0" w:color="auto"/>
        <w:bottom w:val="none" w:sz="0" w:space="0" w:color="auto"/>
        <w:right w:val="none" w:sz="0" w:space="0" w:color="auto"/>
      </w:divBdr>
    </w:div>
    <w:div w:id="380254858">
      <w:bodyDiv w:val="1"/>
      <w:marLeft w:val="0"/>
      <w:marRight w:val="0"/>
      <w:marTop w:val="0"/>
      <w:marBottom w:val="0"/>
      <w:divBdr>
        <w:top w:val="none" w:sz="0" w:space="0" w:color="auto"/>
        <w:left w:val="none" w:sz="0" w:space="0" w:color="auto"/>
        <w:bottom w:val="none" w:sz="0" w:space="0" w:color="auto"/>
        <w:right w:val="none" w:sz="0" w:space="0" w:color="auto"/>
      </w:divBdr>
    </w:div>
    <w:div w:id="380977588">
      <w:bodyDiv w:val="1"/>
      <w:marLeft w:val="0"/>
      <w:marRight w:val="0"/>
      <w:marTop w:val="0"/>
      <w:marBottom w:val="0"/>
      <w:divBdr>
        <w:top w:val="none" w:sz="0" w:space="0" w:color="auto"/>
        <w:left w:val="none" w:sz="0" w:space="0" w:color="auto"/>
        <w:bottom w:val="none" w:sz="0" w:space="0" w:color="auto"/>
        <w:right w:val="none" w:sz="0" w:space="0" w:color="auto"/>
      </w:divBdr>
    </w:div>
    <w:div w:id="382099613">
      <w:bodyDiv w:val="1"/>
      <w:marLeft w:val="0"/>
      <w:marRight w:val="0"/>
      <w:marTop w:val="0"/>
      <w:marBottom w:val="0"/>
      <w:divBdr>
        <w:top w:val="none" w:sz="0" w:space="0" w:color="auto"/>
        <w:left w:val="none" w:sz="0" w:space="0" w:color="auto"/>
        <w:bottom w:val="none" w:sz="0" w:space="0" w:color="auto"/>
        <w:right w:val="none" w:sz="0" w:space="0" w:color="auto"/>
      </w:divBdr>
    </w:div>
    <w:div w:id="383024971">
      <w:bodyDiv w:val="1"/>
      <w:marLeft w:val="0"/>
      <w:marRight w:val="0"/>
      <w:marTop w:val="0"/>
      <w:marBottom w:val="0"/>
      <w:divBdr>
        <w:top w:val="none" w:sz="0" w:space="0" w:color="auto"/>
        <w:left w:val="none" w:sz="0" w:space="0" w:color="auto"/>
        <w:bottom w:val="none" w:sz="0" w:space="0" w:color="auto"/>
        <w:right w:val="none" w:sz="0" w:space="0" w:color="auto"/>
      </w:divBdr>
    </w:div>
    <w:div w:id="383062933">
      <w:bodyDiv w:val="1"/>
      <w:marLeft w:val="0"/>
      <w:marRight w:val="0"/>
      <w:marTop w:val="0"/>
      <w:marBottom w:val="0"/>
      <w:divBdr>
        <w:top w:val="none" w:sz="0" w:space="0" w:color="auto"/>
        <w:left w:val="none" w:sz="0" w:space="0" w:color="auto"/>
        <w:bottom w:val="none" w:sz="0" w:space="0" w:color="auto"/>
        <w:right w:val="none" w:sz="0" w:space="0" w:color="auto"/>
      </w:divBdr>
    </w:div>
    <w:div w:id="383454048">
      <w:bodyDiv w:val="1"/>
      <w:marLeft w:val="0"/>
      <w:marRight w:val="0"/>
      <w:marTop w:val="0"/>
      <w:marBottom w:val="0"/>
      <w:divBdr>
        <w:top w:val="none" w:sz="0" w:space="0" w:color="auto"/>
        <w:left w:val="none" w:sz="0" w:space="0" w:color="auto"/>
        <w:bottom w:val="none" w:sz="0" w:space="0" w:color="auto"/>
        <w:right w:val="none" w:sz="0" w:space="0" w:color="auto"/>
      </w:divBdr>
    </w:div>
    <w:div w:id="383868556">
      <w:bodyDiv w:val="1"/>
      <w:marLeft w:val="0"/>
      <w:marRight w:val="0"/>
      <w:marTop w:val="0"/>
      <w:marBottom w:val="0"/>
      <w:divBdr>
        <w:top w:val="none" w:sz="0" w:space="0" w:color="auto"/>
        <w:left w:val="none" w:sz="0" w:space="0" w:color="auto"/>
        <w:bottom w:val="none" w:sz="0" w:space="0" w:color="auto"/>
        <w:right w:val="none" w:sz="0" w:space="0" w:color="auto"/>
      </w:divBdr>
    </w:div>
    <w:div w:id="384258290">
      <w:bodyDiv w:val="1"/>
      <w:marLeft w:val="0"/>
      <w:marRight w:val="0"/>
      <w:marTop w:val="0"/>
      <w:marBottom w:val="0"/>
      <w:divBdr>
        <w:top w:val="none" w:sz="0" w:space="0" w:color="auto"/>
        <w:left w:val="none" w:sz="0" w:space="0" w:color="auto"/>
        <w:bottom w:val="none" w:sz="0" w:space="0" w:color="auto"/>
        <w:right w:val="none" w:sz="0" w:space="0" w:color="auto"/>
      </w:divBdr>
    </w:div>
    <w:div w:id="385448055">
      <w:bodyDiv w:val="1"/>
      <w:marLeft w:val="0"/>
      <w:marRight w:val="0"/>
      <w:marTop w:val="0"/>
      <w:marBottom w:val="0"/>
      <w:divBdr>
        <w:top w:val="none" w:sz="0" w:space="0" w:color="auto"/>
        <w:left w:val="none" w:sz="0" w:space="0" w:color="auto"/>
        <w:bottom w:val="none" w:sz="0" w:space="0" w:color="auto"/>
        <w:right w:val="none" w:sz="0" w:space="0" w:color="auto"/>
      </w:divBdr>
    </w:div>
    <w:div w:id="385688467">
      <w:bodyDiv w:val="1"/>
      <w:marLeft w:val="0"/>
      <w:marRight w:val="0"/>
      <w:marTop w:val="0"/>
      <w:marBottom w:val="0"/>
      <w:divBdr>
        <w:top w:val="none" w:sz="0" w:space="0" w:color="auto"/>
        <w:left w:val="none" w:sz="0" w:space="0" w:color="auto"/>
        <w:bottom w:val="none" w:sz="0" w:space="0" w:color="auto"/>
        <w:right w:val="none" w:sz="0" w:space="0" w:color="auto"/>
      </w:divBdr>
    </w:div>
    <w:div w:id="386224159">
      <w:bodyDiv w:val="1"/>
      <w:marLeft w:val="0"/>
      <w:marRight w:val="0"/>
      <w:marTop w:val="0"/>
      <w:marBottom w:val="0"/>
      <w:divBdr>
        <w:top w:val="none" w:sz="0" w:space="0" w:color="auto"/>
        <w:left w:val="none" w:sz="0" w:space="0" w:color="auto"/>
        <w:bottom w:val="none" w:sz="0" w:space="0" w:color="auto"/>
        <w:right w:val="none" w:sz="0" w:space="0" w:color="auto"/>
      </w:divBdr>
    </w:div>
    <w:div w:id="386414374">
      <w:bodyDiv w:val="1"/>
      <w:marLeft w:val="0"/>
      <w:marRight w:val="0"/>
      <w:marTop w:val="0"/>
      <w:marBottom w:val="0"/>
      <w:divBdr>
        <w:top w:val="none" w:sz="0" w:space="0" w:color="auto"/>
        <w:left w:val="none" w:sz="0" w:space="0" w:color="auto"/>
        <w:bottom w:val="none" w:sz="0" w:space="0" w:color="auto"/>
        <w:right w:val="none" w:sz="0" w:space="0" w:color="auto"/>
      </w:divBdr>
    </w:div>
    <w:div w:id="386688396">
      <w:bodyDiv w:val="1"/>
      <w:marLeft w:val="0"/>
      <w:marRight w:val="0"/>
      <w:marTop w:val="0"/>
      <w:marBottom w:val="0"/>
      <w:divBdr>
        <w:top w:val="none" w:sz="0" w:space="0" w:color="auto"/>
        <w:left w:val="none" w:sz="0" w:space="0" w:color="auto"/>
        <w:bottom w:val="none" w:sz="0" w:space="0" w:color="auto"/>
        <w:right w:val="none" w:sz="0" w:space="0" w:color="auto"/>
      </w:divBdr>
    </w:div>
    <w:div w:id="386880083">
      <w:bodyDiv w:val="1"/>
      <w:marLeft w:val="0"/>
      <w:marRight w:val="0"/>
      <w:marTop w:val="0"/>
      <w:marBottom w:val="0"/>
      <w:divBdr>
        <w:top w:val="none" w:sz="0" w:space="0" w:color="auto"/>
        <w:left w:val="none" w:sz="0" w:space="0" w:color="auto"/>
        <w:bottom w:val="none" w:sz="0" w:space="0" w:color="auto"/>
        <w:right w:val="none" w:sz="0" w:space="0" w:color="auto"/>
      </w:divBdr>
    </w:div>
    <w:div w:id="387924859">
      <w:bodyDiv w:val="1"/>
      <w:marLeft w:val="0"/>
      <w:marRight w:val="0"/>
      <w:marTop w:val="0"/>
      <w:marBottom w:val="0"/>
      <w:divBdr>
        <w:top w:val="none" w:sz="0" w:space="0" w:color="auto"/>
        <w:left w:val="none" w:sz="0" w:space="0" w:color="auto"/>
        <w:bottom w:val="none" w:sz="0" w:space="0" w:color="auto"/>
        <w:right w:val="none" w:sz="0" w:space="0" w:color="auto"/>
      </w:divBdr>
    </w:div>
    <w:div w:id="388580780">
      <w:bodyDiv w:val="1"/>
      <w:marLeft w:val="0"/>
      <w:marRight w:val="0"/>
      <w:marTop w:val="0"/>
      <w:marBottom w:val="0"/>
      <w:divBdr>
        <w:top w:val="none" w:sz="0" w:space="0" w:color="auto"/>
        <w:left w:val="none" w:sz="0" w:space="0" w:color="auto"/>
        <w:bottom w:val="none" w:sz="0" w:space="0" w:color="auto"/>
        <w:right w:val="none" w:sz="0" w:space="0" w:color="auto"/>
      </w:divBdr>
    </w:div>
    <w:div w:id="388849979">
      <w:bodyDiv w:val="1"/>
      <w:marLeft w:val="0"/>
      <w:marRight w:val="0"/>
      <w:marTop w:val="0"/>
      <w:marBottom w:val="0"/>
      <w:divBdr>
        <w:top w:val="none" w:sz="0" w:space="0" w:color="auto"/>
        <w:left w:val="none" w:sz="0" w:space="0" w:color="auto"/>
        <w:bottom w:val="none" w:sz="0" w:space="0" w:color="auto"/>
        <w:right w:val="none" w:sz="0" w:space="0" w:color="auto"/>
      </w:divBdr>
    </w:div>
    <w:div w:id="391001909">
      <w:bodyDiv w:val="1"/>
      <w:marLeft w:val="0"/>
      <w:marRight w:val="0"/>
      <w:marTop w:val="0"/>
      <w:marBottom w:val="0"/>
      <w:divBdr>
        <w:top w:val="none" w:sz="0" w:space="0" w:color="auto"/>
        <w:left w:val="none" w:sz="0" w:space="0" w:color="auto"/>
        <w:bottom w:val="none" w:sz="0" w:space="0" w:color="auto"/>
        <w:right w:val="none" w:sz="0" w:space="0" w:color="auto"/>
      </w:divBdr>
    </w:div>
    <w:div w:id="391084033">
      <w:bodyDiv w:val="1"/>
      <w:marLeft w:val="0"/>
      <w:marRight w:val="0"/>
      <w:marTop w:val="0"/>
      <w:marBottom w:val="0"/>
      <w:divBdr>
        <w:top w:val="none" w:sz="0" w:space="0" w:color="auto"/>
        <w:left w:val="none" w:sz="0" w:space="0" w:color="auto"/>
        <w:bottom w:val="none" w:sz="0" w:space="0" w:color="auto"/>
        <w:right w:val="none" w:sz="0" w:space="0" w:color="auto"/>
      </w:divBdr>
    </w:div>
    <w:div w:id="391199352">
      <w:bodyDiv w:val="1"/>
      <w:marLeft w:val="0"/>
      <w:marRight w:val="0"/>
      <w:marTop w:val="0"/>
      <w:marBottom w:val="0"/>
      <w:divBdr>
        <w:top w:val="none" w:sz="0" w:space="0" w:color="auto"/>
        <w:left w:val="none" w:sz="0" w:space="0" w:color="auto"/>
        <w:bottom w:val="none" w:sz="0" w:space="0" w:color="auto"/>
        <w:right w:val="none" w:sz="0" w:space="0" w:color="auto"/>
      </w:divBdr>
    </w:div>
    <w:div w:id="391733875">
      <w:bodyDiv w:val="1"/>
      <w:marLeft w:val="0"/>
      <w:marRight w:val="0"/>
      <w:marTop w:val="0"/>
      <w:marBottom w:val="0"/>
      <w:divBdr>
        <w:top w:val="none" w:sz="0" w:space="0" w:color="auto"/>
        <w:left w:val="none" w:sz="0" w:space="0" w:color="auto"/>
        <w:bottom w:val="none" w:sz="0" w:space="0" w:color="auto"/>
        <w:right w:val="none" w:sz="0" w:space="0" w:color="auto"/>
      </w:divBdr>
    </w:div>
    <w:div w:id="392780881">
      <w:bodyDiv w:val="1"/>
      <w:marLeft w:val="0"/>
      <w:marRight w:val="0"/>
      <w:marTop w:val="0"/>
      <w:marBottom w:val="0"/>
      <w:divBdr>
        <w:top w:val="none" w:sz="0" w:space="0" w:color="auto"/>
        <w:left w:val="none" w:sz="0" w:space="0" w:color="auto"/>
        <w:bottom w:val="none" w:sz="0" w:space="0" w:color="auto"/>
        <w:right w:val="none" w:sz="0" w:space="0" w:color="auto"/>
      </w:divBdr>
    </w:div>
    <w:div w:id="393357053">
      <w:bodyDiv w:val="1"/>
      <w:marLeft w:val="0"/>
      <w:marRight w:val="0"/>
      <w:marTop w:val="0"/>
      <w:marBottom w:val="0"/>
      <w:divBdr>
        <w:top w:val="none" w:sz="0" w:space="0" w:color="auto"/>
        <w:left w:val="none" w:sz="0" w:space="0" w:color="auto"/>
        <w:bottom w:val="none" w:sz="0" w:space="0" w:color="auto"/>
        <w:right w:val="none" w:sz="0" w:space="0" w:color="auto"/>
      </w:divBdr>
    </w:div>
    <w:div w:id="393508563">
      <w:bodyDiv w:val="1"/>
      <w:marLeft w:val="0"/>
      <w:marRight w:val="0"/>
      <w:marTop w:val="0"/>
      <w:marBottom w:val="0"/>
      <w:divBdr>
        <w:top w:val="none" w:sz="0" w:space="0" w:color="auto"/>
        <w:left w:val="none" w:sz="0" w:space="0" w:color="auto"/>
        <w:bottom w:val="none" w:sz="0" w:space="0" w:color="auto"/>
        <w:right w:val="none" w:sz="0" w:space="0" w:color="auto"/>
      </w:divBdr>
    </w:div>
    <w:div w:id="393704916">
      <w:bodyDiv w:val="1"/>
      <w:marLeft w:val="0"/>
      <w:marRight w:val="0"/>
      <w:marTop w:val="0"/>
      <w:marBottom w:val="0"/>
      <w:divBdr>
        <w:top w:val="none" w:sz="0" w:space="0" w:color="auto"/>
        <w:left w:val="none" w:sz="0" w:space="0" w:color="auto"/>
        <w:bottom w:val="none" w:sz="0" w:space="0" w:color="auto"/>
        <w:right w:val="none" w:sz="0" w:space="0" w:color="auto"/>
      </w:divBdr>
    </w:div>
    <w:div w:id="394620762">
      <w:bodyDiv w:val="1"/>
      <w:marLeft w:val="0"/>
      <w:marRight w:val="0"/>
      <w:marTop w:val="0"/>
      <w:marBottom w:val="0"/>
      <w:divBdr>
        <w:top w:val="none" w:sz="0" w:space="0" w:color="auto"/>
        <w:left w:val="none" w:sz="0" w:space="0" w:color="auto"/>
        <w:bottom w:val="none" w:sz="0" w:space="0" w:color="auto"/>
        <w:right w:val="none" w:sz="0" w:space="0" w:color="auto"/>
      </w:divBdr>
    </w:div>
    <w:div w:id="394667201">
      <w:bodyDiv w:val="1"/>
      <w:marLeft w:val="0"/>
      <w:marRight w:val="0"/>
      <w:marTop w:val="0"/>
      <w:marBottom w:val="0"/>
      <w:divBdr>
        <w:top w:val="none" w:sz="0" w:space="0" w:color="auto"/>
        <w:left w:val="none" w:sz="0" w:space="0" w:color="auto"/>
        <w:bottom w:val="none" w:sz="0" w:space="0" w:color="auto"/>
        <w:right w:val="none" w:sz="0" w:space="0" w:color="auto"/>
      </w:divBdr>
    </w:div>
    <w:div w:id="395056644">
      <w:bodyDiv w:val="1"/>
      <w:marLeft w:val="0"/>
      <w:marRight w:val="0"/>
      <w:marTop w:val="0"/>
      <w:marBottom w:val="0"/>
      <w:divBdr>
        <w:top w:val="none" w:sz="0" w:space="0" w:color="auto"/>
        <w:left w:val="none" w:sz="0" w:space="0" w:color="auto"/>
        <w:bottom w:val="none" w:sz="0" w:space="0" w:color="auto"/>
        <w:right w:val="none" w:sz="0" w:space="0" w:color="auto"/>
      </w:divBdr>
    </w:div>
    <w:div w:id="395860862">
      <w:bodyDiv w:val="1"/>
      <w:marLeft w:val="0"/>
      <w:marRight w:val="0"/>
      <w:marTop w:val="0"/>
      <w:marBottom w:val="0"/>
      <w:divBdr>
        <w:top w:val="none" w:sz="0" w:space="0" w:color="auto"/>
        <w:left w:val="none" w:sz="0" w:space="0" w:color="auto"/>
        <w:bottom w:val="none" w:sz="0" w:space="0" w:color="auto"/>
        <w:right w:val="none" w:sz="0" w:space="0" w:color="auto"/>
      </w:divBdr>
    </w:div>
    <w:div w:id="397245860">
      <w:bodyDiv w:val="1"/>
      <w:marLeft w:val="0"/>
      <w:marRight w:val="0"/>
      <w:marTop w:val="0"/>
      <w:marBottom w:val="0"/>
      <w:divBdr>
        <w:top w:val="none" w:sz="0" w:space="0" w:color="auto"/>
        <w:left w:val="none" w:sz="0" w:space="0" w:color="auto"/>
        <w:bottom w:val="none" w:sz="0" w:space="0" w:color="auto"/>
        <w:right w:val="none" w:sz="0" w:space="0" w:color="auto"/>
      </w:divBdr>
    </w:div>
    <w:div w:id="397290427">
      <w:bodyDiv w:val="1"/>
      <w:marLeft w:val="0"/>
      <w:marRight w:val="0"/>
      <w:marTop w:val="0"/>
      <w:marBottom w:val="0"/>
      <w:divBdr>
        <w:top w:val="none" w:sz="0" w:space="0" w:color="auto"/>
        <w:left w:val="none" w:sz="0" w:space="0" w:color="auto"/>
        <w:bottom w:val="none" w:sz="0" w:space="0" w:color="auto"/>
        <w:right w:val="none" w:sz="0" w:space="0" w:color="auto"/>
      </w:divBdr>
    </w:div>
    <w:div w:id="398018947">
      <w:bodyDiv w:val="1"/>
      <w:marLeft w:val="0"/>
      <w:marRight w:val="0"/>
      <w:marTop w:val="0"/>
      <w:marBottom w:val="0"/>
      <w:divBdr>
        <w:top w:val="none" w:sz="0" w:space="0" w:color="auto"/>
        <w:left w:val="none" w:sz="0" w:space="0" w:color="auto"/>
        <w:bottom w:val="none" w:sz="0" w:space="0" w:color="auto"/>
        <w:right w:val="none" w:sz="0" w:space="0" w:color="auto"/>
      </w:divBdr>
    </w:div>
    <w:div w:id="398137035">
      <w:bodyDiv w:val="1"/>
      <w:marLeft w:val="0"/>
      <w:marRight w:val="0"/>
      <w:marTop w:val="0"/>
      <w:marBottom w:val="0"/>
      <w:divBdr>
        <w:top w:val="none" w:sz="0" w:space="0" w:color="auto"/>
        <w:left w:val="none" w:sz="0" w:space="0" w:color="auto"/>
        <w:bottom w:val="none" w:sz="0" w:space="0" w:color="auto"/>
        <w:right w:val="none" w:sz="0" w:space="0" w:color="auto"/>
      </w:divBdr>
    </w:div>
    <w:div w:id="398405780">
      <w:bodyDiv w:val="1"/>
      <w:marLeft w:val="0"/>
      <w:marRight w:val="0"/>
      <w:marTop w:val="0"/>
      <w:marBottom w:val="0"/>
      <w:divBdr>
        <w:top w:val="none" w:sz="0" w:space="0" w:color="auto"/>
        <w:left w:val="none" w:sz="0" w:space="0" w:color="auto"/>
        <w:bottom w:val="none" w:sz="0" w:space="0" w:color="auto"/>
        <w:right w:val="none" w:sz="0" w:space="0" w:color="auto"/>
      </w:divBdr>
    </w:div>
    <w:div w:id="398678827">
      <w:bodyDiv w:val="1"/>
      <w:marLeft w:val="0"/>
      <w:marRight w:val="0"/>
      <w:marTop w:val="0"/>
      <w:marBottom w:val="0"/>
      <w:divBdr>
        <w:top w:val="none" w:sz="0" w:space="0" w:color="auto"/>
        <w:left w:val="none" w:sz="0" w:space="0" w:color="auto"/>
        <w:bottom w:val="none" w:sz="0" w:space="0" w:color="auto"/>
        <w:right w:val="none" w:sz="0" w:space="0" w:color="auto"/>
      </w:divBdr>
    </w:div>
    <w:div w:id="398946431">
      <w:bodyDiv w:val="1"/>
      <w:marLeft w:val="0"/>
      <w:marRight w:val="0"/>
      <w:marTop w:val="0"/>
      <w:marBottom w:val="0"/>
      <w:divBdr>
        <w:top w:val="none" w:sz="0" w:space="0" w:color="auto"/>
        <w:left w:val="none" w:sz="0" w:space="0" w:color="auto"/>
        <w:bottom w:val="none" w:sz="0" w:space="0" w:color="auto"/>
        <w:right w:val="none" w:sz="0" w:space="0" w:color="auto"/>
      </w:divBdr>
    </w:div>
    <w:div w:id="398986476">
      <w:bodyDiv w:val="1"/>
      <w:marLeft w:val="0"/>
      <w:marRight w:val="0"/>
      <w:marTop w:val="0"/>
      <w:marBottom w:val="0"/>
      <w:divBdr>
        <w:top w:val="none" w:sz="0" w:space="0" w:color="auto"/>
        <w:left w:val="none" w:sz="0" w:space="0" w:color="auto"/>
        <w:bottom w:val="none" w:sz="0" w:space="0" w:color="auto"/>
        <w:right w:val="none" w:sz="0" w:space="0" w:color="auto"/>
      </w:divBdr>
    </w:div>
    <w:div w:id="399256783">
      <w:bodyDiv w:val="1"/>
      <w:marLeft w:val="0"/>
      <w:marRight w:val="0"/>
      <w:marTop w:val="0"/>
      <w:marBottom w:val="0"/>
      <w:divBdr>
        <w:top w:val="none" w:sz="0" w:space="0" w:color="auto"/>
        <w:left w:val="none" w:sz="0" w:space="0" w:color="auto"/>
        <w:bottom w:val="none" w:sz="0" w:space="0" w:color="auto"/>
        <w:right w:val="none" w:sz="0" w:space="0" w:color="auto"/>
      </w:divBdr>
    </w:div>
    <w:div w:id="399325379">
      <w:bodyDiv w:val="1"/>
      <w:marLeft w:val="0"/>
      <w:marRight w:val="0"/>
      <w:marTop w:val="0"/>
      <w:marBottom w:val="0"/>
      <w:divBdr>
        <w:top w:val="none" w:sz="0" w:space="0" w:color="auto"/>
        <w:left w:val="none" w:sz="0" w:space="0" w:color="auto"/>
        <w:bottom w:val="none" w:sz="0" w:space="0" w:color="auto"/>
        <w:right w:val="none" w:sz="0" w:space="0" w:color="auto"/>
      </w:divBdr>
    </w:div>
    <w:div w:id="399446265">
      <w:bodyDiv w:val="1"/>
      <w:marLeft w:val="0"/>
      <w:marRight w:val="0"/>
      <w:marTop w:val="0"/>
      <w:marBottom w:val="0"/>
      <w:divBdr>
        <w:top w:val="none" w:sz="0" w:space="0" w:color="auto"/>
        <w:left w:val="none" w:sz="0" w:space="0" w:color="auto"/>
        <w:bottom w:val="none" w:sz="0" w:space="0" w:color="auto"/>
        <w:right w:val="none" w:sz="0" w:space="0" w:color="auto"/>
      </w:divBdr>
    </w:div>
    <w:div w:id="399720291">
      <w:bodyDiv w:val="1"/>
      <w:marLeft w:val="0"/>
      <w:marRight w:val="0"/>
      <w:marTop w:val="0"/>
      <w:marBottom w:val="0"/>
      <w:divBdr>
        <w:top w:val="none" w:sz="0" w:space="0" w:color="auto"/>
        <w:left w:val="none" w:sz="0" w:space="0" w:color="auto"/>
        <w:bottom w:val="none" w:sz="0" w:space="0" w:color="auto"/>
        <w:right w:val="none" w:sz="0" w:space="0" w:color="auto"/>
      </w:divBdr>
    </w:div>
    <w:div w:id="401490581">
      <w:bodyDiv w:val="1"/>
      <w:marLeft w:val="0"/>
      <w:marRight w:val="0"/>
      <w:marTop w:val="0"/>
      <w:marBottom w:val="0"/>
      <w:divBdr>
        <w:top w:val="none" w:sz="0" w:space="0" w:color="auto"/>
        <w:left w:val="none" w:sz="0" w:space="0" w:color="auto"/>
        <w:bottom w:val="none" w:sz="0" w:space="0" w:color="auto"/>
        <w:right w:val="none" w:sz="0" w:space="0" w:color="auto"/>
      </w:divBdr>
    </w:div>
    <w:div w:id="403064783">
      <w:bodyDiv w:val="1"/>
      <w:marLeft w:val="0"/>
      <w:marRight w:val="0"/>
      <w:marTop w:val="0"/>
      <w:marBottom w:val="0"/>
      <w:divBdr>
        <w:top w:val="none" w:sz="0" w:space="0" w:color="auto"/>
        <w:left w:val="none" w:sz="0" w:space="0" w:color="auto"/>
        <w:bottom w:val="none" w:sz="0" w:space="0" w:color="auto"/>
        <w:right w:val="none" w:sz="0" w:space="0" w:color="auto"/>
      </w:divBdr>
    </w:div>
    <w:div w:id="403376761">
      <w:bodyDiv w:val="1"/>
      <w:marLeft w:val="0"/>
      <w:marRight w:val="0"/>
      <w:marTop w:val="0"/>
      <w:marBottom w:val="0"/>
      <w:divBdr>
        <w:top w:val="none" w:sz="0" w:space="0" w:color="auto"/>
        <w:left w:val="none" w:sz="0" w:space="0" w:color="auto"/>
        <w:bottom w:val="none" w:sz="0" w:space="0" w:color="auto"/>
        <w:right w:val="none" w:sz="0" w:space="0" w:color="auto"/>
      </w:divBdr>
    </w:div>
    <w:div w:id="403531179">
      <w:bodyDiv w:val="1"/>
      <w:marLeft w:val="0"/>
      <w:marRight w:val="0"/>
      <w:marTop w:val="0"/>
      <w:marBottom w:val="0"/>
      <w:divBdr>
        <w:top w:val="none" w:sz="0" w:space="0" w:color="auto"/>
        <w:left w:val="none" w:sz="0" w:space="0" w:color="auto"/>
        <w:bottom w:val="none" w:sz="0" w:space="0" w:color="auto"/>
        <w:right w:val="none" w:sz="0" w:space="0" w:color="auto"/>
      </w:divBdr>
    </w:div>
    <w:div w:id="404257019">
      <w:bodyDiv w:val="1"/>
      <w:marLeft w:val="0"/>
      <w:marRight w:val="0"/>
      <w:marTop w:val="0"/>
      <w:marBottom w:val="0"/>
      <w:divBdr>
        <w:top w:val="none" w:sz="0" w:space="0" w:color="auto"/>
        <w:left w:val="none" w:sz="0" w:space="0" w:color="auto"/>
        <w:bottom w:val="none" w:sz="0" w:space="0" w:color="auto"/>
        <w:right w:val="none" w:sz="0" w:space="0" w:color="auto"/>
      </w:divBdr>
    </w:div>
    <w:div w:id="404425218">
      <w:bodyDiv w:val="1"/>
      <w:marLeft w:val="0"/>
      <w:marRight w:val="0"/>
      <w:marTop w:val="0"/>
      <w:marBottom w:val="0"/>
      <w:divBdr>
        <w:top w:val="none" w:sz="0" w:space="0" w:color="auto"/>
        <w:left w:val="none" w:sz="0" w:space="0" w:color="auto"/>
        <w:bottom w:val="none" w:sz="0" w:space="0" w:color="auto"/>
        <w:right w:val="none" w:sz="0" w:space="0" w:color="auto"/>
      </w:divBdr>
    </w:div>
    <w:div w:id="406920938">
      <w:bodyDiv w:val="1"/>
      <w:marLeft w:val="0"/>
      <w:marRight w:val="0"/>
      <w:marTop w:val="0"/>
      <w:marBottom w:val="0"/>
      <w:divBdr>
        <w:top w:val="none" w:sz="0" w:space="0" w:color="auto"/>
        <w:left w:val="none" w:sz="0" w:space="0" w:color="auto"/>
        <w:bottom w:val="none" w:sz="0" w:space="0" w:color="auto"/>
        <w:right w:val="none" w:sz="0" w:space="0" w:color="auto"/>
      </w:divBdr>
    </w:div>
    <w:div w:id="407312381">
      <w:bodyDiv w:val="1"/>
      <w:marLeft w:val="0"/>
      <w:marRight w:val="0"/>
      <w:marTop w:val="0"/>
      <w:marBottom w:val="0"/>
      <w:divBdr>
        <w:top w:val="none" w:sz="0" w:space="0" w:color="auto"/>
        <w:left w:val="none" w:sz="0" w:space="0" w:color="auto"/>
        <w:bottom w:val="none" w:sz="0" w:space="0" w:color="auto"/>
        <w:right w:val="none" w:sz="0" w:space="0" w:color="auto"/>
      </w:divBdr>
    </w:div>
    <w:div w:id="407385710">
      <w:bodyDiv w:val="1"/>
      <w:marLeft w:val="0"/>
      <w:marRight w:val="0"/>
      <w:marTop w:val="0"/>
      <w:marBottom w:val="0"/>
      <w:divBdr>
        <w:top w:val="none" w:sz="0" w:space="0" w:color="auto"/>
        <w:left w:val="none" w:sz="0" w:space="0" w:color="auto"/>
        <w:bottom w:val="none" w:sz="0" w:space="0" w:color="auto"/>
        <w:right w:val="none" w:sz="0" w:space="0" w:color="auto"/>
      </w:divBdr>
    </w:div>
    <w:div w:id="407575116">
      <w:bodyDiv w:val="1"/>
      <w:marLeft w:val="0"/>
      <w:marRight w:val="0"/>
      <w:marTop w:val="0"/>
      <w:marBottom w:val="0"/>
      <w:divBdr>
        <w:top w:val="none" w:sz="0" w:space="0" w:color="auto"/>
        <w:left w:val="none" w:sz="0" w:space="0" w:color="auto"/>
        <w:bottom w:val="none" w:sz="0" w:space="0" w:color="auto"/>
        <w:right w:val="none" w:sz="0" w:space="0" w:color="auto"/>
      </w:divBdr>
    </w:div>
    <w:div w:id="410350584">
      <w:bodyDiv w:val="1"/>
      <w:marLeft w:val="0"/>
      <w:marRight w:val="0"/>
      <w:marTop w:val="0"/>
      <w:marBottom w:val="0"/>
      <w:divBdr>
        <w:top w:val="none" w:sz="0" w:space="0" w:color="auto"/>
        <w:left w:val="none" w:sz="0" w:space="0" w:color="auto"/>
        <w:bottom w:val="none" w:sz="0" w:space="0" w:color="auto"/>
        <w:right w:val="none" w:sz="0" w:space="0" w:color="auto"/>
      </w:divBdr>
    </w:div>
    <w:div w:id="410733604">
      <w:bodyDiv w:val="1"/>
      <w:marLeft w:val="0"/>
      <w:marRight w:val="0"/>
      <w:marTop w:val="0"/>
      <w:marBottom w:val="0"/>
      <w:divBdr>
        <w:top w:val="none" w:sz="0" w:space="0" w:color="auto"/>
        <w:left w:val="none" w:sz="0" w:space="0" w:color="auto"/>
        <w:bottom w:val="none" w:sz="0" w:space="0" w:color="auto"/>
        <w:right w:val="none" w:sz="0" w:space="0" w:color="auto"/>
      </w:divBdr>
    </w:div>
    <w:div w:id="411705952">
      <w:bodyDiv w:val="1"/>
      <w:marLeft w:val="0"/>
      <w:marRight w:val="0"/>
      <w:marTop w:val="0"/>
      <w:marBottom w:val="0"/>
      <w:divBdr>
        <w:top w:val="none" w:sz="0" w:space="0" w:color="auto"/>
        <w:left w:val="none" w:sz="0" w:space="0" w:color="auto"/>
        <w:bottom w:val="none" w:sz="0" w:space="0" w:color="auto"/>
        <w:right w:val="none" w:sz="0" w:space="0" w:color="auto"/>
      </w:divBdr>
    </w:div>
    <w:div w:id="411854978">
      <w:bodyDiv w:val="1"/>
      <w:marLeft w:val="0"/>
      <w:marRight w:val="0"/>
      <w:marTop w:val="0"/>
      <w:marBottom w:val="0"/>
      <w:divBdr>
        <w:top w:val="none" w:sz="0" w:space="0" w:color="auto"/>
        <w:left w:val="none" w:sz="0" w:space="0" w:color="auto"/>
        <w:bottom w:val="none" w:sz="0" w:space="0" w:color="auto"/>
        <w:right w:val="none" w:sz="0" w:space="0" w:color="auto"/>
      </w:divBdr>
    </w:div>
    <w:div w:id="412049552">
      <w:bodyDiv w:val="1"/>
      <w:marLeft w:val="0"/>
      <w:marRight w:val="0"/>
      <w:marTop w:val="0"/>
      <w:marBottom w:val="0"/>
      <w:divBdr>
        <w:top w:val="none" w:sz="0" w:space="0" w:color="auto"/>
        <w:left w:val="none" w:sz="0" w:space="0" w:color="auto"/>
        <w:bottom w:val="none" w:sz="0" w:space="0" w:color="auto"/>
        <w:right w:val="none" w:sz="0" w:space="0" w:color="auto"/>
      </w:divBdr>
    </w:div>
    <w:div w:id="412356016">
      <w:bodyDiv w:val="1"/>
      <w:marLeft w:val="0"/>
      <w:marRight w:val="0"/>
      <w:marTop w:val="0"/>
      <w:marBottom w:val="0"/>
      <w:divBdr>
        <w:top w:val="none" w:sz="0" w:space="0" w:color="auto"/>
        <w:left w:val="none" w:sz="0" w:space="0" w:color="auto"/>
        <w:bottom w:val="none" w:sz="0" w:space="0" w:color="auto"/>
        <w:right w:val="none" w:sz="0" w:space="0" w:color="auto"/>
      </w:divBdr>
    </w:div>
    <w:div w:id="412825349">
      <w:bodyDiv w:val="1"/>
      <w:marLeft w:val="0"/>
      <w:marRight w:val="0"/>
      <w:marTop w:val="0"/>
      <w:marBottom w:val="0"/>
      <w:divBdr>
        <w:top w:val="none" w:sz="0" w:space="0" w:color="auto"/>
        <w:left w:val="none" w:sz="0" w:space="0" w:color="auto"/>
        <w:bottom w:val="none" w:sz="0" w:space="0" w:color="auto"/>
        <w:right w:val="none" w:sz="0" w:space="0" w:color="auto"/>
      </w:divBdr>
    </w:div>
    <w:div w:id="412900744">
      <w:bodyDiv w:val="1"/>
      <w:marLeft w:val="0"/>
      <w:marRight w:val="0"/>
      <w:marTop w:val="0"/>
      <w:marBottom w:val="0"/>
      <w:divBdr>
        <w:top w:val="none" w:sz="0" w:space="0" w:color="auto"/>
        <w:left w:val="none" w:sz="0" w:space="0" w:color="auto"/>
        <w:bottom w:val="none" w:sz="0" w:space="0" w:color="auto"/>
        <w:right w:val="none" w:sz="0" w:space="0" w:color="auto"/>
      </w:divBdr>
    </w:div>
    <w:div w:id="414017635">
      <w:bodyDiv w:val="1"/>
      <w:marLeft w:val="0"/>
      <w:marRight w:val="0"/>
      <w:marTop w:val="0"/>
      <w:marBottom w:val="0"/>
      <w:divBdr>
        <w:top w:val="none" w:sz="0" w:space="0" w:color="auto"/>
        <w:left w:val="none" w:sz="0" w:space="0" w:color="auto"/>
        <w:bottom w:val="none" w:sz="0" w:space="0" w:color="auto"/>
        <w:right w:val="none" w:sz="0" w:space="0" w:color="auto"/>
      </w:divBdr>
    </w:div>
    <w:div w:id="414595375">
      <w:bodyDiv w:val="1"/>
      <w:marLeft w:val="0"/>
      <w:marRight w:val="0"/>
      <w:marTop w:val="0"/>
      <w:marBottom w:val="0"/>
      <w:divBdr>
        <w:top w:val="none" w:sz="0" w:space="0" w:color="auto"/>
        <w:left w:val="none" w:sz="0" w:space="0" w:color="auto"/>
        <w:bottom w:val="none" w:sz="0" w:space="0" w:color="auto"/>
        <w:right w:val="none" w:sz="0" w:space="0" w:color="auto"/>
      </w:divBdr>
    </w:div>
    <w:div w:id="415826119">
      <w:bodyDiv w:val="1"/>
      <w:marLeft w:val="0"/>
      <w:marRight w:val="0"/>
      <w:marTop w:val="0"/>
      <w:marBottom w:val="0"/>
      <w:divBdr>
        <w:top w:val="none" w:sz="0" w:space="0" w:color="auto"/>
        <w:left w:val="none" w:sz="0" w:space="0" w:color="auto"/>
        <w:bottom w:val="none" w:sz="0" w:space="0" w:color="auto"/>
        <w:right w:val="none" w:sz="0" w:space="0" w:color="auto"/>
      </w:divBdr>
    </w:div>
    <w:div w:id="416022590">
      <w:bodyDiv w:val="1"/>
      <w:marLeft w:val="0"/>
      <w:marRight w:val="0"/>
      <w:marTop w:val="0"/>
      <w:marBottom w:val="0"/>
      <w:divBdr>
        <w:top w:val="none" w:sz="0" w:space="0" w:color="auto"/>
        <w:left w:val="none" w:sz="0" w:space="0" w:color="auto"/>
        <w:bottom w:val="none" w:sz="0" w:space="0" w:color="auto"/>
        <w:right w:val="none" w:sz="0" w:space="0" w:color="auto"/>
      </w:divBdr>
    </w:div>
    <w:div w:id="416168966">
      <w:bodyDiv w:val="1"/>
      <w:marLeft w:val="0"/>
      <w:marRight w:val="0"/>
      <w:marTop w:val="0"/>
      <w:marBottom w:val="0"/>
      <w:divBdr>
        <w:top w:val="none" w:sz="0" w:space="0" w:color="auto"/>
        <w:left w:val="none" w:sz="0" w:space="0" w:color="auto"/>
        <w:bottom w:val="none" w:sz="0" w:space="0" w:color="auto"/>
        <w:right w:val="none" w:sz="0" w:space="0" w:color="auto"/>
      </w:divBdr>
    </w:div>
    <w:div w:id="416172547">
      <w:bodyDiv w:val="1"/>
      <w:marLeft w:val="0"/>
      <w:marRight w:val="0"/>
      <w:marTop w:val="0"/>
      <w:marBottom w:val="0"/>
      <w:divBdr>
        <w:top w:val="none" w:sz="0" w:space="0" w:color="auto"/>
        <w:left w:val="none" w:sz="0" w:space="0" w:color="auto"/>
        <w:bottom w:val="none" w:sz="0" w:space="0" w:color="auto"/>
        <w:right w:val="none" w:sz="0" w:space="0" w:color="auto"/>
      </w:divBdr>
    </w:div>
    <w:div w:id="417144092">
      <w:bodyDiv w:val="1"/>
      <w:marLeft w:val="0"/>
      <w:marRight w:val="0"/>
      <w:marTop w:val="0"/>
      <w:marBottom w:val="0"/>
      <w:divBdr>
        <w:top w:val="none" w:sz="0" w:space="0" w:color="auto"/>
        <w:left w:val="none" w:sz="0" w:space="0" w:color="auto"/>
        <w:bottom w:val="none" w:sz="0" w:space="0" w:color="auto"/>
        <w:right w:val="none" w:sz="0" w:space="0" w:color="auto"/>
      </w:divBdr>
    </w:div>
    <w:div w:id="417291520">
      <w:bodyDiv w:val="1"/>
      <w:marLeft w:val="0"/>
      <w:marRight w:val="0"/>
      <w:marTop w:val="0"/>
      <w:marBottom w:val="0"/>
      <w:divBdr>
        <w:top w:val="none" w:sz="0" w:space="0" w:color="auto"/>
        <w:left w:val="none" w:sz="0" w:space="0" w:color="auto"/>
        <w:bottom w:val="none" w:sz="0" w:space="0" w:color="auto"/>
        <w:right w:val="none" w:sz="0" w:space="0" w:color="auto"/>
      </w:divBdr>
    </w:div>
    <w:div w:id="417749528">
      <w:bodyDiv w:val="1"/>
      <w:marLeft w:val="0"/>
      <w:marRight w:val="0"/>
      <w:marTop w:val="0"/>
      <w:marBottom w:val="0"/>
      <w:divBdr>
        <w:top w:val="none" w:sz="0" w:space="0" w:color="auto"/>
        <w:left w:val="none" w:sz="0" w:space="0" w:color="auto"/>
        <w:bottom w:val="none" w:sz="0" w:space="0" w:color="auto"/>
        <w:right w:val="none" w:sz="0" w:space="0" w:color="auto"/>
      </w:divBdr>
    </w:div>
    <w:div w:id="418017319">
      <w:bodyDiv w:val="1"/>
      <w:marLeft w:val="0"/>
      <w:marRight w:val="0"/>
      <w:marTop w:val="0"/>
      <w:marBottom w:val="0"/>
      <w:divBdr>
        <w:top w:val="none" w:sz="0" w:space="0" w:color="auto"/>
        <w:left w:val="none" w:sz="0" w:space="0" w:color="auto"/>
        <w:bottom w:val="none" w:sz="0" w:space="0" w:color="auto"/>
        <w:right w:val="none" w:sz="0" w:space="0" w:color="auto"/>
      </w:divBdr>
    </w:div>
    <w:div w:id="419065075">
      <w:bodyDiv w:val="1"/>
      <w:marLeft w:val="0"/>
      <w:marRight w:val="0"/>
      <w:marTop w:val="0"/>
      <w:marBottom w:val="0"/>
      <w:divBdr>
        <w:top w:val="none" w:sz="0" w:space="0" w:color="auto"/>
        <w:left w:val="none" w:sz="0" w:space="0" w:color="auto"/>
        <w:bottom w:val="none" w:sz="0" w:space="0" w:color="auto"/>
        <w:right w:val="none" w:sz="0" w:space="0" w:color="auto"/>
      </w:divBdr>
    </w:div>
    <w:div w:id="419179145">
      <w:bodyDiv w:val="1"/>
      <w:marLeft w:val="0"/>
      <w:marRight w:val="0"/>
      <w:marTop w:val="0"/>
      <w:marBottom w:val="0"/>
      <w:divBdr>
        <w:top w:val="none" w:sz="0" w:space="0" w:color="auto"/>
        <w:left w:val="none" w:sz="0" w:space="0" w:color="auto"/>
        <w:bottom w:val="none" w:sz="0" w:space="0" w:color="auto"/>
        <w:right w:val="none" w:sz="0" w:space="0" w:color="auto"/>
      </w:divBdr>
    </w:div>
    <w:div w:id="419639094">
      <w:bodyDiv w:val="1"/>
      <w:marLeft w:val="0"/>
      <w:marRight w:val="0"/>
      <w:marTop w:val="0"/>
      <w:marBottom w:val="0"/>
      <w:divBdr>
        <w:top w:val="none" w:sz="0" w:space="0" w:color="auto"/>
        <w:left w:val="none" w:sz="0" w:space="0" w:color="auto"/>
        <w:bottom w:val="none" w:sz="0" w:space="0" w:color="auto"/>
        <w:right w:val="none" w:sz="0" w:space="0" w:color="auto"/>
      </w:divBdr>
    </w:div>
    <w:div w:id="419647656">
      <w:bodyDiv w:val="1"/>
      <w:marLeft w:val="0"/>
      <w:marRight w:val="0"/>
      <w:marTop w:val="0"/>
      <w:marBottom w:val="0"/>
      <w:divBdr>
        <w:top w:val="none" w:sz="0" w:space="0" w:color="auto"/>
        <w:left w:val="none" w:sz="0" w:space="0" w:color="auto"/>
        <w:bottom w:val="none" w:sz="0" w:space="0" w:color="auto"/>
        <w:right w:val="none" w:sz="0" w:space="0" w:color="auto"/>
      </w:divBdr>
    </w:div>
    <w:div w:id="419719648">
      <w:bodyDiv w:val="1"/>
      <w:marLeft w:val="0"/>
      <w:marRight w:val="0"/>
      <w:marTop w:val="0"/>
      <w:marBottom w:val="0"/>
      <w:divBdr>
        <w:top w:val="none" w:sz="0" w:space="0" w:color="auto"/>
        <w:left w:val="none" w:sz="0" w:space="0" w:color="auto"/>
        <w:bottom w:val="none" w:sz="0" w:space="0" w:color="auto"/>
        <w:right w:val="none" w:sz="0" w:space="0" w:color="auto"/>
      </w:divBdr>
    </w:div>
    <w:div w:id="419720022">
      <w:bodyDiv w:val="1"/>
      <w:marLeft w:val="0"/>
      <w:marRight w:val="0"/>
      <w:marTop w:val="0"/>
      <w:marBottom w:val="0"/>
      <w:divBdr>
        <w:top w:val="none" w:sz="0" w:space="0" w:color="auto"/>
        <w:left w:val="none" w:sz="0" w:space="0" w:color="auto"/>
        <w:bottom w:val="none" w:sz="0" w:space="0" w:color="auto"/>
        <w:right w:val="none" w:sz="0" w:space="0" w:color="auto"/>
      </w:divBdr>
    </w:div>
    <w:div w:id="420416555">
      <w:bodyDiv w:val="1"/>
      <w:marLeft w:val="0"/>
      <w:marRight w:val="0"/>
      <w:marTop w:val="0"/>
      <w:marBottom w:val="0"/>
      <w:divBdr>
        <w:top w:val="none" w:sz="0" w:space="0" w:color="auto"/>
        <w:left w:val="none" w:sz="0" w:space="0" w:color="auto"/>
        <w:bottom w:val="none" w:sz="0" w:space="0" w:color="auto"/>
        <w:right w:val="none" w:sz="0" w:space="0" w:color="auto"/>
      </w:divBdr>
    </w:div>
    <w:div w:id="420881422">
      <w:bodyDiv w:val="1"/>
      <w:marLeft w:val="0"/>
      <w:marRight w:val="0"/>
      <w:marTop w:val="0"/>
      <w:marBottom w:val="0"/>
      <w:divBdr>
        <w:top w:val="none" w:sz="0" w:space="0" w:color="auto"/>
        <w:left w:val="none" w:sz="0" w:space="0" w:color="auto"/>
        <w:bottom w:val="none" w:sz="0" w:space="0" w:color="auto"/>
        <w:right w:val="none" w:sz="0" w:space="0" w:color="auto"/>
      </w:divBdr>
    </w:div>
    <w:div w:id="422143343">
      <w:bodyDiv w:val="1"/>
      <w:marLeft w:val="0"/>
      <w:marRight w:val="0"/>
      <w:marTop w:val="0"/>
      <w:marBottom w:val="0"/>
      <w:divBdr>
        <w:top w:val="none" w:sz="0" w:space="0" w:color="auto"/>
        <w:left w:val="none" w:sz="0" w:space="0" w:color="auto"/>
        <w:bottom w:val="none" w:sz="0" w:space="0" w:color="auto"/>
        <w:right w:val="none" w:sz="0" w:space="0" w:color="auto"/>
      </w:divBdr>
    </w:div>
    <w:div w:id="422411469">
      <w:bodyDiv w:val="1"/>
      <w:marLeft w:val="0"/>
      <w:marRight w:val="0"/>
      <w:marTop w:val="0"/>
      <w:marBottom w:val="0"/>
      <w:divBdr>
        <w:top w:val="none" w:sz="0" w:space="0" w:color="auto"/>
        <w:left w:val="none" w:sz="0" w:space="0" w:color="auto"/>
        <w:bottom w:val="none" w:sz="0" w:space="0" w:color="auto"/>
        <w:right w:val="none" w:sz="0" w:space="0" w:color="auto"/>
      </w:divBdr>
    </w:div>
    <w:div w:id="423107662">
      <w:bodyDiv w:val="1"/>
      <w:marLeft w:val="0"/>
      <w:marRight w:val="0"/>
      <w:marTop w:val="0"/>
      <w:marBottom w:val="0"/>
      <w:divBdr>
        <w:top w:val="none" w:sz="0" w:space="0" w:color="auto"/>
        <w:left w:val="none" w:sz="0" w:space="0" w:color="auto"/>
        <w:bottom w:val="none" w:sz="0" w:space="0" w:color="auto"/>
        <w:right w:val="none" w:sz="0" w:space="0" w:color="auto"/>
      </w:divBdr>
    </w:div>
    <w:div w:id="423456990">
      <w:bodyDiv w:val="1"/>
      <w:marLeft w:val="0"/>
      <w:marRight w:val="0"/>
      <w:marTop w:val="0"/>
      <w:marBottom w:val="0"/>
      <w:divBdr>
        <w:top w:val="none" w:sz="0" w:space="0" w:color="auto"/>
        <w:left w:val="none" w:sz="0" w:space="0" w:color="auto"/>
        <w:bottom w:val="none" w:sz="0" w:space="0" w:color="auto"/>
        <w:right w:val="none" w:sz="0" w:space="0" w:color="auto"/>
      </w:divBdr>
    </w:div>
    <w:div w:id="423573565">
      <w:bodyDiv w:val="1"/>
      <w:marLeft w:val="0"/>
      <w:marRight w:val="0"/>
      <w:marTop w:val="0"/>
      <w:marBottom w:val="0"/>
      <w:divBdr>
        <w:top w:val="none" w:sz="0" w:space="0" w:color="auto"/>
        <w:left w:val="none" w:sz="0" w:space="0" w:color="auto"/>
        <w:bottom w:val="none" w:sz="0" w:space="0" w:color="auto"/>
        <w:right w:val="none" w:sz="0" w:space="0" w:color="auto"/>
      </w:divBdr>
    </w:div>
    <w:div w:id="424420274">
      <w:bodyDiv w:val="1"/>
      <w:marLeft w:val="0"/>
      <w:marRight w:val="0"/>
      <w:marTop w:val="0"/>
      <w:marBottom w:val="0"/>
      <w:divBdr>
        <w:top w:val="none" w:sz="0" w:space="0" w:color="auto"/>
        <w:left w:val="none" w:sz="0" w:space="0" w:color="auto"/>
        <w:bottom w:val="none" w:sz="0" w:space="0" w:color="auto"/>
        <w:right w:val="none" w:sz="0" w:space="0" w:color="auto"/>
      </w:divBdr>
    </w:div>
    <w:div w:id="425157450">
      <w:bodyDiv w:val="1"/>
      <w:marLeft w:val="0"/>
      <w:marRight w:val="0"/>
      <w:marTop w:val="0"/>
      <w:marBottom w:val="0"/>
      <w:divBdr>
        <w:top w:val="none" w:sz="0" w:space="0" w:color="auto"/>
        <w:left w:val="none" w:sz="0" w:space="0" w:color="auto"/>
        <w:bottom w:val="none" w:sz="0" w:space="0" w:color="auto"/>
        <w:right w:val="none" w:sz="0" w:space="0" w:color="auto"/>
      </w:divBdr>
    </w:div>
    <w:div w:id="425930305">
      <w:bodyDiv w:val="1"/>
      <w:marLeft w:val="0"/>
      <w:marRight w:val="0"/>
      <w:marTop w:val="0"/>
      <w:marBottom w:val="0"/>
      <w:divBdr>
        <w:top w:val="none" w:sz="0" w:space="0" w:color="auto"/>
        <w:left w:val="none" w:sz="0" w:space="0" w:color="auto"/>
        <w:bottom w:val="none" w:sz="0" w:space="0" w:color="auto"/>
        <w:right w:val="none" w:sz="0" w:space="0" w:color="auto"/>
      </w:divBdr>
    </w:div>
    <w:div w:id="426465916">
      <w:bodyDiv w:val="1"/>
      <w:marLeft w:val="0"/>
      <w:marRight w:val="0"/>
      <w:marTop w:val="0"/>
      <w:marBottom w:val="0"/>
      <w:divBdr>
        <w:top w:val="none" w:sz="0" w:space="0" w:color="auto"/>
        <w:left w:val="none" w:sz="0" w:space="0" w:color="auto"/>
        <w:bottom w:val="none" w:sz="0" w:space="0" w:color="auto"/>
        <w:right w:val="none" w:sz="0" w:space="0" w:color="auto"/>
      </w:divBdr>
    </w:div>
    <w:div w:id="426968577">
      <w:bodyDiv w:val="1"/>
      <w:marLeft w:val="0"/>
      <w:marRight w:val="0"/>
      <w:marTop w:val="0"/>
      <w:marBottom w:val="0"/>
      <w:divBdr>
        <w:top w:val="none" w:sz="0" w:space="0" w:color="auto"/>
        <w:left w:val="none" w:sz="0" w:space="0" w:color="auto"/>
        <w:bottom w:val="none" w:sz="0" w:space="0" w:color="auto"/>
        <w:right w:val="none" w:sz="0" w:space="0" w:color="auto"/>
      </w:divBdr>
    </w:div>
    <w:div w:id="427655049">
      <w:bodyDiv w:val="1"/>
      <w:marLeft w:val="0"/>
      <w:marRight w:val="0"/>
      <w:marTop w:val="0"/>
      <w:marBottom w:val="0"/>
      <w:divBdr>
        <w:top w:val="none" w:sz="0" w:space="0" w:color="auto"/>
        <w:left w:val="none" w:sz="0" w:space="0" w:color="auto"/>
        <w:bottom w:val="none" w:sz="0" w:space="0" w:color="auto"/>
        <w:right w:val="none" w:sz="0" w:space="0" w:color="auto"/>
      </w:divBdr>
    </w:div>
    <w:div w:id="429812234">
      <w:bodyDiv w:val="1"/>
      <w:marLeft w:val="0"/>
      <w:marRight w:val="0"/>
      <w:marTop w:val="0"/>
      <w:marBottom w:val="0"/>
      <w:divBdr>
        <w:top w:val="none" w:sz="0" w:space="0" w:color="auto"/>
        <w:left w:val="none" w:sz="0" w:space="0" w:color="auto"/>
        <w:bottom w:val="none" w:sz="0" w:space="0" w:color="auto"/>
        <w:right w:val="none" w:sz="0" w:space="0" w:color="auto"/>
      </w:divBdr>
    </w:div>
    <w:div w:id="430012461">
      <w:bodyDiv w:val="1"/>
      <w:marLeft w:val="0"/>
      <w:marRight w:val="0"/>
      <w:marTop w:val="0"/>
      <w:marBottom w:val="0"/>
      <w:divBdr>
        <w:top w:val="none" w:sz="0" w:space="0" w:color="auto"/>
        <w:left w:val="none" w:sz="0" w:space="0" w:color="auto"/>
        <w:bottom w:val="none" w:sz="0" w:space="0" w:color="auto"/>
        <w:right w:val="none" w:sz="0" w:space="0" w:color="auto"/>
      </w:divBdr>
    </w:div>
    <w:div w:id="430050288">
      <w:bodyDiv w:val="1"/>
      <w:marLeft w:val="0"/>
      <w:marRight w:val="0"/>
      <w:marTop w:val="0"/>
      <w:marBottom w:val="0"/>
      <w:divBdr>
        <w:top w:val="none" w:sz="0" w:space="0" w:color="auto"/>
        <w:left w:val="none" w:sz="0" w:space="0" w:color="auto"/>
        <w:bottom w:val="none" w:sz="0" w:space="0" w:color="auto"/>
        <w:right w:val="none" w:sz="0" w:space="0" w:color="auto"/>
      </w:divBdr>
    </w:div>
    <w:div w:id="430200500">
      <w:bodyDiv w:val="1"/>
      <w:marLeft w:val="0"/>
      <w:marRight w:val="0"/>
      <w:marTop w:val="0"/>
      <w:marBottom w:val="0"/>
      <w:divBdr>
        <w:top w:val="none" w:sz="0" w:space="0" w:color="auto"/>
        <w:left w:val="none" w:sz="0" w:space="0" w:color="auto"/>
        <w:bottom w:val="none" w:sz="0" w:space="0" w:color="auto"/>
        <w:right w:val="none" w:sz="0" w:space="0" w:color="auto"/>
      </w:divBdr>
    </w:div>
    <w:div w:id="430704477">
      <w:bodyDiv w:val="1"/>
      <w:marLeft w:val="0"/>
      <w:marRight w:val="0"/>
      <w:marTop w:val="0"/>
      <w:marBottom w:val="0"/>
      <w:divBdr>
        <w:top w:val="none" w:sz="0" w:space="0" w:color="auto"/>
        <w:left w:val="none" w:sz="0" w:space="0" w:color="auto"/>
        <w:bottom w:val="none" w:sz="0" w:space="0" w:color="auto"/>
        <w:right w:val="none" w:sz="0" w:space="0" w:color="auto"/>
      </w:divBdr>
    </w:div>
    <w:div w:id="430899730">
      <w:bodyDiv w:val="1"/>
      <w:marLeft w:val="0"/>
      <w:marRight w:val="0"/>
      <w:marTop w:val="0"/>
      <w:marBottom w:val="0"/>
      <w:divBdr>
        <w:top w:val="none" w:sz="0" w:space="0" w:color="auto"/>
        <w:left w:val="none" w:sz="0" w:space="0" w:color="auto"/>
        <w:bottom w:val="none" w:sz="0" w:space="0" w:color="auto"/>
        <w:right w:val="none" w:sz="0" w:space="0" w:color="auto"/>
      </w:divBdr>
    </w:div>
    <w:div w:id="431319132">
      <w:bodyDiv w:val="1"/>
      <w:marLeft w:val="0"/>
      <w:marRight w:val="0"/>
      <w:marTop w:val="0"/>
      <w:marBottom w:val="0"/>
      <w:divBdr>
        <w:top w:val="none" w:sz="0" w:space="0" w:color="auto"/>
        <w:left w:val="none" w:sz="0" w:space="0" w:color="auto"/>
        <w:bottom w:val="none" w:sz="0" w:space="0" w:color="auto"/>
        <w:right w:val="none" w:sz="0" w:space="0" w:color="auto"/>
      </w:divBdr>
    </w:div>
    <w:div w:id="432210392">
      <w:bodyDiv w:val="1"/>
      <w:marLeft w:val="0"/>
      <w:marRight w:val="0"/>
      <w:marTop w:val="0"/>
      <w:marBottom w:val="0"/>
      <w:divBdr>
        <w:top w:val="none" w:sz="0" w:space="0" w:color="auto"/>
        <w:left w:val="none" w:sz="0" w:space="0" w:color="auto"/>
        <w:bottom w:val="none" w:sz="0" w:space="0" w:color="auto"/>
        <w:right w:val="none" w:sz="0" w:space="0" w:color="auto"/>
      </w:divBdr>
    </w:div>
    <w:div w:id="432286180">
      <w:bodyDiv w:val="1"/>
      <w:marLeft w:val="0"/>
      <w:marRight w:val="0"/>
      <w:marTop w:val="0"/>
      <w:marBottom w:val="0"/>
      <w:divBdr>
        <w:top w:val="none" w:sz="0" w:space="0" w:color="auto"/>
        <w:left w:val="none" w:sz="0" w:space="0" w:color="auto"/>
        <w:bottom w:val="none" w:sz="0" w:space="0" w:color="auto"/>
        <w:right w:val="none" w:sz="0" w:space="0" w:color="auto"/>
      </w:divBdr>
    </w:div>
    <w:div w:id="433869812">
      <w:bodyDiv w:val="1"/>
      <w:marLeft w:val="0"/>
      <w:marRight w:val="0"/>
      <w:marTop w:val="0"/>
      <w:marBottom w:val="0"/>
      <w:divBdr>
        <w:top w:val="none" w:sz="0" w:space="0" w:color="auto"/>
        <w:left w:val="none" w:sz="0" w:space="0" w:color="auto"/>
        <w:bottom w:val="none" w:sz="0" w:space="0" w:color="auto"/>
        <w:right w:val="none" w:sz="0" w:space="0" w:color="auto"/>
      </w:divBdr>
    </w:div>
    <w:div w:id="435178947">
      <w:bodyDiv w:val="1"/>
      <w:marLeft w:val="0"/>
      <w:marRight w:val="0"/>
      <w:marTop w:val="0"/>
      <w:marBottom w:val="0"/>
      <w:divBdr>
        <w:top w:val="none" w:sz="0" w:space="0" w:color="auto"/>
        <w:left w:val="none" w:sz="0" w:space="0" w:color="auto"/>
        <w:bottom w:val="none" w:sz="0" w:space="0" w:color="auto"/>
        <w:right w:val="none" w:sz="0" w:space="0" w:color="auto"/>
      </w:divBdr>
    </w:div>
    <w:div w:id="435290439">
      <w:bodyDiv w:val="1"/>
      <w:marLeft w:val="0"/>
      <w:marRight w:val="0"/>
      <w:marTop w:val="0"/>
      <w:marBottom w:val="0"/>
      <w:divBdr>
        <w:top w:val="none" w:sz="0" w:space="0" w:color="auto"/>
        <w:left w:val="none" w:sz="0" w:space="0" w:color="auto"/>
        <w:bottom w:val="none" w:sz="0" w:space="0" w:color="auto"/>
        <w:right w:val="none" w:sz="0" w:space="0" w:color="auto"/>
      </w:divBdr>
    </w:div>
    <w:div w:id="435446685">
      <w:bodyDiv w:val="1"/>
      <w:marLeft w:val="0"/>
      <w:marRight w:val="0"/>
      <w:marTop w:val="0"/>
      <w:marBottom w:val="0"/>
      <w:divBdr>
        <w:top w:val="none" w:sz="0" w:space="0" w:color="auto"/>
        <w:left w:val="none" w:sz="0" w:space="0" w:color="auto"/>
        <w:bottom w:val="none" w:sz="0" w:space="0" w:color="auto"/>
        <w:right w:val="none" w:sz="0" w:space="0" w:color="auto"/>
      </w:divBdr>
    </w:div>
    <w:div w:id="436221845">
      <w:bodyDiv w:val="1"/>
      <w:marLeft w:val="0"/>
      <w:marRight w:val="0"/>
      <w:marTop w:val="0"/>
      <w:marBottom w:val="0"/>
      <w:divBdr>
        <w:top w:val="none" w:sz="0" w:space="0" w:color="auto"/>
        <w:left w:val="none" w:sz="0" w:space="0" w:color="auto"/>
        <w:bottom w:val="none" w:sz="0" w:space="0" w:color="auto"/>
        <w:right w:val="none" w:sz="0" w:space="0" w:color="auto"/>
      </w:divBdr>
    </w:div>
    <w:div w:id="438647261">
      <w:bodyDiv w:val="1"/>
      <w:marLeft w:val="0"/>
      <w:marRight w:val="0"/>
      <w:marTop w:val="0"/>
      <w:marBottom w:val="0"/>
      <w:divBdr>
        <w:top w:val="none" w:sz="0" w:space="0" w:color="auto"/>
        <w:left w:val="none" w:sz="0" w:space="0" w:color="auto"/>
        <w:bottom w:val="none" w:sz="0" w:space="0" w:color="auto"/>
        <w:right w:val="none" w:sz="0" w:space="0" w:color="auto"/>
      </w:divBdr>
    </w:div>
    <w:div w:id="438648833">
      <w:bodyDiv w:val="1"/>
      <w:marLeft w:val="0"/>
      <w:marRight w:val="0"/>
      <w:marTop w:val="0"/>
      <w:marBottom w:val="0"/>
      <w:divBdr>
        <w:top w:val="none" w:sz="0" w:space="0" w:color="auto"/>
        <w:left w:val="none" w:sz="0" w:space="0" w:color="auto"/>
        <w:bottom w:val="none" w:sz="0" w:space="0" w:color="auto"/>
        <w:right w:val="none" w:sz="0" w:space="0" w:color="auto"/>
      </w:divBdr>
    </w:div>
    <w:div w:id="439178354">
      <w:bodyDiv w:val="1"/>
      <w:marLeft w:val="0"/>
      <w:marRight w:val="0"/>
      <w:marTop w:val="0"/>
      <w:marBottom w:val="0"/>
      <w:divBdr>
        <w:top w:val="none" w:sz="0" w:space="0" w:color="auto"/>
        <w:left w:val="none" w:sz="0" w:space="0" w:color="auto"/>
        <w:bottom w:val="none" w:sz="0" w:space="0" w:color="auto"/>
        <w:right w:val="none" w:sz="0" w:space="0" w:color="auto"/>
      </w:divBdr>
    </w:div>
    <w:div w:id="440414146">
      <w:bodyDiv w:val="1"/>
      <w:marLeft w:val="0"/>
      <w:marRight w:val="0"/>
      <w:marTop w:val="0"/>
      <w:marBottom w:val="0"/>
      <w:divBdr>
        <w:top w:val="none" w:sz="0" w:space="0" w:color="auto"/>
        <w:left w:val="none" w:sz="0" w:space="0" w:color="auto"/>
        <w:bottom w:val="none" w:sz="0" w:space="0" w:color="auto"/>
        <w:right w:val="none" w:sz="0" w:space="0" w:color="auto"/>
      </w:divBdr>
    </w:div>
    <w:div w:id="441264865">
      <w:bodyDiv w:val="1"/>
      <w:marLeft w:val="0"/>
      <w:marRight w:val="0"/>
      <w:marTop w:val="0"/>
      <w:marBottom w:val="0"/>
      <w:divBdr>
        <w:top w:val="none" w:sz="0" w:space="0" w:color="auto"/>
        <w:left w:val="none" w:sz="0" w:space="0" w:color="auto"/>
        <w:bottom w:val="none" w:sz="0" w:space="0" w:color="auto"/>
        <w:right w:val="none" w:sz="0" w:space="0" w:color="auto"/>
      </w:divBdr>
    </w:div>
    <w:div w:id="441266249">
      <w:bodyDiv w:val="1"/>
      <w:marLeft w:val="0"/>
      <w:marRight w:val="0"/>
      <w:marTop w:val="0"/>
      <w:marBottom w:val="0"/>
      <w:divBdr>
        <w:top w:val="none" w:sz="0" w:space="0" w:color="auto"/>
        <w:left w:val="none" w:sz="0" w:space="0" w:color="auto"/>
        <w:bottom w:val="none" w:sz="0" w:space="0" w:color="auto"/>
        <w:right w:val="none" w:sz="0" w:space="0" w:color="auto"/>
      </w:divBdr>
    </w:div>
    <w:div w:id="443308199">
      <w:bodyDiv w:val="1"/>
      <w:marLeft w:val="0"/>
      <w:marRight w:val="0"/>
      <w:marTop w:val="0"/>
      <w:marBottom w:val="0"/>
      <w:divBdr>
        <w:top w:val="none" w:sz="0" w:space="0" w:color="auto"/>
        <w:left w:val="none" w:sz="0" w:space="0" w:color="auto"/>
        <w:bottom w:val="none" w:sz="0" w:space="0" w:color="auto"/>
        <w:right w:val="none" w:sz="0" w:space="0" w:color="auto"/>
      </w:divBdr>
    </w:div>
    <w:div w:id="444233734">
      <w:bodyDiv w:val="1"/>
      <w:marLeft w:val="0"/>
      <w:marRight w:val="0"/>
      <w:marTop w:val="0"/>
      <w:marBottom w:val="0"/>
      <w:divBdr>
        <w:top w:val="none" w:sz="0" w:space="0" w:color="auto"/>
        <w:left w:val="none" w:sz="0" w:space="0" w:color="auto"/>
        <w:bottom w:val="none" w:sz="0" w:space="0" w:color="auto"/>
        <w:right w:val="none" w:sz="0" w:space="0" w:color="auto"/>
      </w:divBdr>
    </w:div>
    <w:div w:id="445777377">
      <w:bodyDiv w:val="1"/>
      <w:marLeft w:val="0"/>
      <w:marRight w:val="0"/>
      <w:marTop w:val="0"/>
      <w:marBottom w:val="0"/>
      <w:divBdr>
        <w:top w:val="none" w:sz="0" w:space="0" w:color="auto"/>
        <w:left w:val="none" w:sz="0" w:space="0" w:color="auto"/>
        <w:bottom w:val="none" w:sz="0" w:space="0" w:color="auto"/>
        <w:right w:val="none" w:sz="0" w:space="0" w:color="auto"/>
      </w:divBdr>
    </w:div>
    <w:div w:id="448472237">
      <w:bodyDiv w:val="1"/>
      <w:marLeft w:val="0"/>
      <w:marRight w:val="0"/>
      <w:marTop w:val="0"/>
      <w:marBottom w:val="0"/>
      <w:divBdr>
        <w:top w:val="none" w:sz="0" w:space="0" w:color="auto"/>
        <w:left w:val="none" w:sz="0" w:space="0" w:color="auto"/>
        <w:bottom w:val="none" w:sz="0" w:space="0" w:color="auto"/>
        <w:right w:val="none" w:sz="0" w:space="0" w:color="auto"/>
      </w:divBdr>
    </w:div>
    <w:div w:id="450631482">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51943887">
      <w:bodyDiv w:val="1"/>
      <w:marLeft w:val="0"/>
      <w:marRight w:val="0"/>
      <w:marTop w:val="0"/>
      <w:marBottom w:val="0"/>
      <w:divBdr>
        <w:top w:val="none" w:sz="0" w:space="0" w:color="auto"/>
        <w:left w:val="none" w:sz="0" w:space="0" w:color="auto"/>
        <w:bottom w:val="none" w:sz="0" w:space="0" w:color="auto"/>
        <w:right w:val="none" w:sz="0" w:space="0" w:color="auto"/>
      </w:divBdr>
    </w:div>
    <w:div w:id="453404522">
      <w:bodyDiv w:val="1"/>
      <w:marLeft w:val="0"/>
      <w:marRight w:val="0"/>
      <w:marTop w:val="0"/>
      <w:marBottom w:val="0"/>
      <w:divBdr>
        <w:top w:val="none" w:sz="0" w:space="0" w:color="auto"/>
        <w:left w:val="none" w:sz="0" w:space="0" w:color="auto"/>
        <w:bottom w:val="none" w:sz="0" w:space="0" w:color="auto"/>
        <w:right w:val="none" w:sz="0" w:space="0" w:color="auto"/>
      </w:divBdr>
    </w:div>
    <w:div w:id="453406207">
      <w:bodyDiv w:val="1"/>
      <w:marLeft w:val="0"/>
      <w:marRight w:val="0"/>
      <w:marTop w:val="0"/>
      <w:marBottom w:val="0"/>
      <w:divBdr>
        <w:top w:val="none" w:sz="0" w:space="0" w:color="auto"/>
        <w:left w:val="none" w:sz="0" w:space="0" w:color="auto"/>
        <w:bottom w:val="none" w:sz="0" w:space="0" w:color="auto"/>
        <w:right w:val="none" w:sz="0" w:space="0" w:color="auto"/>
      </w:divBdr>
    </w:div>
    <w:div w:id="454063819">
      <w:bodyDiv w:val="1"/>
      <w:marLeft w:val="0"/>
      <w:marRight w:val="0"/>
      <w:marTop w:val="0"/>
      <w:marBottom w:val="0"/>
      <w:divBdr>
        <w:top w:val="none" w:sz="0" w:space="0" w:color="auto"/>
        <w:left w:val="none" w:sz="0" w:space="0" w:color="auto"/>
        <w:bottom w:val="none" w:sz="0" w:space="0" w:color="auto"/>
        <w:right w:val="none" w:sz="0" w:space="0" w:color="auto"/>
      </w:divBdr>
    </w:div>
    <w:div w:id="454182129">
      <w:bodyDiv w:val="1"/>
      <w:marLeft w:val="0"/>
      <w:marRight w:val="0"/>
      <w:marTop w:val="0"/>
      <w:marBottom w:val="0"/>
      <w:divBdr>
        <w:top w:val="none" w:sz="0" w:space="0" w:color="auto"/>
        <w:left w:val="none" w:sz="0" w:space="0" w:color="auto"/>
        <w:bottom w:val="none" w:sz="0" w:space="0" w:color="auto"/>
        <w:right w:val="none" w:sz="0" w:space="0" w:color="auto"/>
      </w:divBdr>
    </w:div>
    <w:div w:id="454253726">
      <w:bodyDiv w:val="1"/>
      <w:marLeft w:val="0"/>
      <w:marRight w:val="0"/>
      <w:marTop w:val="0"/>
      <w:marBottom w:val="0"/>
      <w:divBdr>
        <w:top w:val="none" w:sz="0" w:space="0" w:color="auto"/>
        <w:left w:val="none" w:sz="0" w:space="0" w:color="auto"/>
        <w:bottom w:val="none" w:sz="0" w:space="0" w:color="auto"/>
        <w:right w:val="none" w:sz="0" w:space="0" w:color="auto"/>
      </w:divBdr>
    </w:div>
    <w:div w:id="455030286">
      <w:bodyDiv w:val="1"/>
      <w:marLeft w:val="0"/>
      <w:marRight w:val="0"/>
      <w:marTop w:val="0"/>
      <w:marBottom w:val="0"/>
      <w:divBdr>
        <w:top w:val="none" w:sz="0" w:space="0" w:color="auto"/>
        <w:left w:val="none" w:sz="0" w:space="0" w:color="auto"/>
        <w:bottom w:val="none" w:sz="0" w:space="0" w:color="auto"/>
        <w:right w:val="none" w:sz="0" w:space="0" w:color="auto"/>
      </w:divBdr>
    </w:div>
    <w:div w:id="455375288">
      <w:bodyDiv w:val="1"/>
      <w:marLeft w:val="0"/>
      <w:marRight w:val="0"/>
      <w:marTop w:val="0"/>
      <w:marBottom w:val="0"/>
      <w:divBdr>
        <w:top w:val="none" w:sz="0" w:space="0" w:color="auto"/>
        <w:left w:val="none" w:sz="0" w:space="0" w:color="auto"/>
        <w:bottom w:val="none" w:sz="0" w:space="0" w:color="auto"/>
        <w:right w:val="none" w:sz="0" w:space="0" w:color="auto"/>
      </w:divBdr>
    </w:div>
    <w:div w:id="455417522">
      <w:bodyDiv w:val="1"/>
      <w:marLeft w:val="0"/>
      <w:marRight w:val="0"/>
      <w:marTop w:val="0"/>
      <w:marBottom w:val="0"/>
      <w:divBdr>
        <w:top w:val="none" w:sz="0" w:space="0" w:color="auto"/>
        <w:left w:val="none" w:sz="0" w:space="0" w:color="auto"/>
        <w:bottom w:val="none" w:sz="0" w:space="0" w:color="auto"/>
        <w:right w:val="none" w:sz="0" w:space="0" w:color="auto"/>
      </w:divBdr>
    </w:div>
    <w:div w:id="455610507">
      <w:bodyDiv w:val="1"/>
      <w:marLeft w:val="0"/>
      <w:marRight w:val="0"/>
      <w:marTop w:val="0"/>
      <w:marBottom w:val="0"/>
      <w:divBdr>
        <w:top w:val="none" w:sz="0" w:space="0" w:color="auto"/>
        <w:left w:val="none" w:sz="0" w:space="0" w:color="auto"/>
        <w:bottom w:val="none" w:sz="0" w:space="0" w:color="auto"/>
        <w:right w:val="none" w:sz="0" w:space="0" w:color="auto"/>
      </w:divBdr>
    </w:div>
    <w:div w:id="456143109">
      <w:bodyDiv w:val="1"/>
      <w:marLeft w:val="0"/>
      <w:marRight w:val="0"/>
      <w:marTop w:val="0"/>
      <w:marBottom w:val="0"/>
      <w:divBdr>
        <w:top w:val="none" w:sz="0" w:space="0" w:color="auto"/>
        <w:left w:val="none" w:sz="0" w:space="0" w:color="auto"/>
        <w:bottom w:val="none" w:sz="0" w:space="0" w:color="auto"/>
        <w:right w:val="none" w:sz="0" w:space="0" w:color="auto"/>
      </w:divBdr>
    </w:div>
    <w:div w:id="456333572">
      <w:bodyDiv w:val="1"/>
      <w:marLeft w:val="0"/>
      <w:marRight w:val="0"/>
      <w:marTop w:val="0"/>
      <w:marBottom w:val="0"/>
      <w:divBdr>
        <w:top w:val="none" w:sz="0" w:space="0" w:color="auto"/>
        <w:left w:val="none" w:sz="0" w:space="0" w:color="auto"/>
        <w:bottom w:val="none" w:sz="0" w:space="0" w:color="auto"/>
        <w:right w:val="none" w:sz="0" w:space="0" w:color="auto"/>
      </w:divBdr>
    </w:div>
    <w:div w:id="456880121">
      <w:bodyDiv w:val="1"/>
      <w:marLeft w:val="0"/>
      <w:marRight w:val="0"/>
      <w:marTop w:val="0"/>
      <w:marBottom w:val="0"/>
      <w:divBdr>
        <w:top w:val="none" w:sz="0" w:space="0" w:color="auto"/>
        <w:left w:val="none" w:sz="0" w:space="0" w:color="auto"/>
        <w:bottom w:val="none" w:sz="0" w:space="0" w:color="auto"/>
        <w:right w:val="none" w:sz="0" w:space="0" w:color="auto"/>
      </w:divBdr>
    </w:div>
    <w:div w:id="456921463">
      <w:bodyDiv w:val="1"/>
      <w:marLeft w:val="0"/>
      <w:marRight w:val="0"/>
      <w:marTop w:val="0"/>
      <w:marBottom w:val="0"/>
      <w:divBdr>
        <w:top w:val="none" w:sz="0" w:space="0" w:color="auto"/>
        <w:left w:val="none" w:sz="0" w:space="0" w:color="auto"/>
        <w:bottom w:val="none" w:sz="0" w:space="0" w:color="auto"/>
        <w:right w:val="none" w:sz="0" w:space="0" w:color="auto"/>
      </w:divBdr>
    </w:div>
    <w:div w:id="456992044">
      <w:bodyDiv w:val="1"/>
      <w:marLeft w:val="0"/>
      <w:marRight w:val="0"/>
      <w:marTop w:val="0"/>
      <w:marBottom w:val="0"/>
      <w:divBdr>
        <w:top w:val="none" w:sz="0" w:space="0" w:color="auto"/>
        <w:left w:val="none" w:sz="0" w:space="0" w:color="auto"/>
        <w:bottom w:val="none" w:sz="0" w:space="0" w:color="auto"/>
        <w:right w:val="none" w:sz="0" w:space="0" w:color="auto"/>
      </w:divBdr>
    </w:div>
    <w:div w:id="459887114">
      <w:bodyDiv w:val="1"/>
      <w:marLeft w:val="0"/>
      <w:marRight w:val="0"/>
      <w:marTop w:val="0"/>
      <w:marBottom w:val="0"/>
      <w:divBdr>
        <w:top w:val="none" w:sz="0" w:space="0" w:color="auto"/>
        <w:left w:val="none" w:sz="0" w:space="0" w:color="auto"/>
        <w:bottom w:val="none" w:sz="0" w:space="0" w:color="auto"/>
        <w:right w:val="none" w:sz="0" w:space="0" w:color="auto"/>
      </w:divBdr>
    </w:div>
    <w:div w:id="460080403">
      <w:bodyDiv w:val="1"/>
      <w:marLeft w:val="0"/>
      <w:marRight w:val="0"/>
      <w:marTop w:val="0"/>
      <w:marBottom w:val="0"/>
      <w:divBdr>
        <w:top w:val="none" w:sz="0" w:space="0" w:color="auto"/>
        <w:left w:val="none" w:sz="0" w:space="0" w:color="auto"/>
        <w:bottom w:val="none" w:sz="0" w:space="0" w:color="auto"/>
        <w:right w:val="none" w:sz="0" w:space="0" w:color="auto"/>
      </w:divBdr>
    </w:div>
    <w:div w:id="460660370">
      <w:bodyDiv w:val="1"/>
      <w:marLeft w:val="0"/>
      <w:marRight w:val="0"/>
      <w:marTop w:val="0"/>
      <w:marBottom w:val="0"/>
      <w:divBdr>
        <w:top w:val="none" w:sz="0" w:space="0" w:color="auto"/>
        <w:left w:val="none" w:sz="0" w:space="0" w:color="auto"/>
        <w:bottom w:val="none" w:sz="0" w:space="0" w:color="auto"/>
        <w:right w:val="none" w:sz="0" w:space="0" w:color="auto"/>
      </w:divBdr>
    </w:div>
    <w:div w:id="461002321">
      <w:bodyDiv w:val="1"/>
      <w:marLeft w:val="0"/>
      <w:marRight w:val="0"/>
      <w:marTop w:val="0"/>
      <w:marBottom w:val="0"/>
      <w:divBdr>
        <w:top w:val="none" w:sz="0" w:space="0" w:color="auto"/>
        <w:left w:val="none" w:sz="0" w:space="0" w:color="auto"/>
        <w:bottom w:val="none" w:sz="0" w:space="0" w:color="auto"/>
        <w:right w:val="none" w:sz="0" w:space="0" w:color="auto"/>
      </w:divBdr>
    </w:div>
    <w:div w:id="461311597">
      <w:bodyDiv w:val="1"/>
      <w:marLeft w:val="0"/>
      <w:marRight w:val="0"/>
      <w:marTop w:val="0"/>
      <w:marBottom w:val="0"/>
      <w:divBdr>
        <w:top w:val="none" w:sz="0" w:space="0" w:color="auto"/>
        <w:left w:val="none" w:sz="0" w:space="0" w:color="auto"/>
        <w:bottom w:val="none" w:sz="0" w:space="0" w:color="auto"/>
        <w:right w:val="none" w:sz="0" w:space="0" w:color="auto"/>
      </w:divBdr>
    </w:div>
    <w:div w:id="462044770">
      <w:bodyDiv w:val="1"/>
      <w:marLeft w:val="0"/>
      <w:marRight w:val="0"/>
      <w:marTop w:val="0"/>
      <w:marBottom w:val="0"/>
      <w:divBdr>
        <w:top w:val="none" w:sz="0" w:space="0" w:color="auto"/>
        <w:left w:val="none" w:sz="0" w:space="0" w:color="auto"/>
        <w:bottom w:val="none" w:sz="0" w:space="0" w:color="auto"/>
        <w:right w:val="none" w:sz="0" w:space="0" w:color="auto"/>
      </w:divBdr>
    </w:div>
    <w:div w:id="462308852">
      <w:bodyDiv w:val="1"/>
      <w:marLeft w:val="0"/>
      <w:marRight w:val="0"/>
      <w:marTop w:val="0"/>
      <w:marBottom w:val="0"/>
      <w:divBdr>
        <w:top w:val="none" w:sz="0" w:space="0" w:color="auto"/>
        <w:left w:val="none" w:sz="0" w:space="0" w:color="auto"/>
        <w:bottom w:val="none" w:sz="0" w:space="0" w:color="auto"/>
        <w:right w:val="none" w:sz="0" w:space="0" w:color="auto"/>
      </w:divBdr>
    </w:div>
    <w:div w:id="462387559">
      <w:bodyDiv w:val="1"/>
      <w:marLeft w:val="0"/>
      <w:marRight w:val="0"/>
      <w:marTop w:val="0"/>
      <w:marBottom w:val="0"/>
      <w:divBdr>
        <w:top w:val="none" w:sz="0" w:space="0" w:color="auto"/>
        <w:left w:val="none" w:sz="0" w:space="0" w:color="auto"/>
        <w:bottom w:val="none" w:sz="0" w:space="0" w:color="auto"/>
        <w:right w:val="none" w:sz="0" w:space="0" w:color="auto"/>
      </w:divBdr>
    </w:div>
    <w:div w:id="463041088">
      <w:bodyDiv w:val="1"/>
      <w:marLeft w:val="0"/>
      <w:marRight w:val="0"/>
      <w:marTop w:val="0"/>
      <w:marBottom w:val="0"/>
      <w:divBdr>
        <w:top w:val="none" w:sz="0" w:space="0" w:color="auto"/>
        <w:left w:val="none" w:sz="0" w:space="0" w:color="auto"/>
        <w:bottom w:val="none" w:sz="0" w:space="0" w:color="auto"/>
        <w:right w:val="none" w:sz="0" w:space="0" w:color="auto"/>
      </w:divBdr>
    </w:div>
    <w:div w:id="463815574">
      <w:bodyDiv w:val="1"/>
      <w:marLeft w:val="0"/>
      <w:marRight w:val="0"/>
      <w:marTop w:val="0"/>
      <w:marBottom w:val="0"/>
      <w:divBdr>
        <w:top w:val="none" w:sz="0" w:space="0" w:color="auto"/>
        <w:left w:val="none" w:sz="0" w:space="0" w:color="auto"/>
        <w:bottom w:val="none" w:sz="0" w:space="0" w:color="auto"/>
        <w:right w:val="none" w:sz="0" w:space="0" w:color="auto"/>
      </w:divBdr>
    </w:div>
    <w:div w:id="464472219">
      <w:bodyDiv w:val="1"/>
      <w:marLeft w:val="0"/>
      <w:marRight w:val="0"/>
      <w:marTop w:val="0"/>
      <w:marBottom w:val="0"/>
      <w:divBdr>
        <w:top w:val="none" w:sz="0" w:space="0" w:color="auto"/>
        <w:left w:val="none" w:sz="0" w:space="0" w:color="auto"/>
        <w:bottom w:val="none" w:sz="0" w:space="0" w:color="auto"/>
        <w:right w:val="none" w:sz="0" w:space="0" w:color="auto"/>
      </w:divBdr>
    </w:div>
    <w:div w:id="464544613">
      <w:bodyDiv w:val="1"/>
      <w:marLeft w:val="0"/>
      <w:marRight w:val="0"/>
      <w:marTop w:val="0"/>
      <w:marBottom w:val="0"/>
      <w:divBdr>
        <w:top w:val="none" w:sz="0" w:space="0" w:color="auto"/>
        <w:left w:val="none" w:sz="0" w:space="0" w:color="auto"/>
        <w:bottom w:val="none" w:sz="0" w:space="0" w:color="auto"/>
        <w:right w:val="none" w:sz="0" w:space="0" w:color="auto"/>
      </w:divBdr>
    </w:div>
    <w:div w:id="465854002">
      <w:bodyDiv w:val="1"/>
      <w:marLeft w:val="0"/>
      <w:marRight w:val="0"/>
      <w:marTop w:val="0"/>
      <w:marBottom w:val="0"/>
      <w:divBdr>
        <w:top w:val="none" w:sz="0" w:space="0" w:color="auto"/>
        <w:left w:val="none" w:sz="0" w:space="0" w:color="auto"/>
        <w:bottom w:val="none" w:sz="0" w:space="0" w:color="auto"/>
        <w:right w:val="none" w:sz="0" w:space="0" w:color="auto"/>
      </w:divBdr>
    </w:div>
    <w:div w:id="467090394">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
    <w:div w:id="468481255">
      <w:bodyDiv w:val="1"/>
      <w:marLeft w:val="0"/>
      <w:marRight w:val="0"/>
      <w:marTop w:val="0"/>
      <w:marBottom w:val="0"/>
      <w:divBdr>
        <w:top w:val="none" w:sz="0" w:space="0" w:color="auto"/>
        <w:left w:val="none" w:sz="0" w:space="0" w:color="auto"/>
        <w:bottom w:val="none" w:sz="0" w:space="0" w:color="auto"/>
        <w:right w:val="none" w:sz="0" w:space="0" w:color="auto"/>
      </w:divBdr>
    </w:div>
    <w:div w:id="469056904">
      <w:bodyDiv w:val="1"/>
      <w:marLeft w:val="0"/>
      <w:marRight w:val="0"/>
      <w:marTop w:val="0"/>
      <w:marBottom w:val="0"/>
      <w:divBdr>
        <w:top w:val="none" w:sz="0" w:space="0" w:color="auto"/>
        <w:left w:val="none" w:sz="0" w:space="0" w:color="auto"/>
        <w:bottom w:val="none" w:sz="0" w:space="0" w:color="auto"/>
        <w:right w:val="none" w:sz="0" w:space="0" w:color="auto"/>
      </w:divBdr>
    </w:div>
    <w:div w:id="471286547">
      <w:bodyDiv w:val="1"/>
      <w:marLeft w:val="0"/>
      <w:marRight w:val="0"/>
      <w:marTop w:val="0"/>
      <w:marBottom w:val="0"/>
      <w:divBdr>
        <w:top w:val="none" w:sz="0" w:space="0" w:color="auto"/>
        <w:left w:val="none" w:sz="0" w:space="0" w:color="auto"/>
        <w:bottom w:val="none" w:sz="0" w:space="0" w:color="auto"/>
        <w:right w:val="none" w:sz="0" w:space="0" w:color="auto"/>
      </w:divBdr>
    </w:div>
    <w:div w:id="471294808">
      <w:bodyDiv w:val="1"/>
      <w:marLeft w:val="0"/>
      <w:marRight w:val="0"/>
      <w:marTop w:val="0"/>
      <w:marBottom w:val="0"/>
      <w:divBdr>
        <w:top w:val="none" w:sz="0" w:space="0" w:color="auto"/>
        <w:left w:val="none" w:sz="0" w:space="0" w:color="auto"/>
        <w:bottom w:val="none" w:sz="0" w:space="0" w:color="auto"/>
        <w:right w:val="none" w:sz="0" w:space="0" w:color="auto"/>
      </w:divBdr>
    </w:div>
    <w:div w:id="471872823">
      <w:bodyDiv w:val="1"/>
      <w:marLeft w:val="0"/>
      <w:marRight w:val="0"/>
      <w:marTop w:val="0"/>
      <w:marBottom w:val="0"/>
      <w:divBdr>
        <w:top w:val="none" w:sz="0" w:space="0" w:color="auto"/>
        <w:left w:val="none" w:sz="0" w:space="0" w:color="auto"/>
        <w:bottom w:val="none" w:sz="0" w:space="0" w:color="auto"/>
        <w:right w:val="none" w:sz="0" w:space="0" w:color="auto"/>
      </w:divBdr>
    </w:div>
    <w:div w:id="472067341">
      <w:bodyDiv w:val="1"/>
      <w:marLeft w:val="0"/>
      <w:marRight w:val="0"/>
      <w:marTop w:val="0"/>
      <w:marBottom w:val="0"/>
      <w:divBdr>
        <w:top w:val="none" w:sz="0" w:space="0" w:color="auto"/>
        <w:left w:val="none" w:sz="0" w:space="0" w:color="auto"/>
        <w:bottom w:val="none" w:sz="0" w:space="0" w:color="auto"/>
        <w:right w:val="none" w:sz="0" w:space="0" w:color="auto"/>
      </w:divBdr>
    </w:div>
    <w:div w:id="472257830">
      <w:bodyDiv w:val="1"/>
      <w:marLeft w:val="0"/>
      <w:marRight w:val="0"/>
      <w:marTop w:val="0"/>
      <w:marBottom w:val="0"/>
      <w:divBdr>
        <w:top w:val="none" w:sz="0" w:space="0" w:color="auto"/>
        <w:left w:val="none" w:sz="0" w:space="0" w:color="auto"/>
        <w:bottom w:val="none" w:sz="0" w:space="0" w:color="auto"/>
        <w:right w:val="none" w:sz="0" w:space="0" w:color="auto"/>
      </w:divBdr>
    </w:div>
    <w:div w:id="472413137">
      <w:bodyDiv w:val="1"/>
      <w:marLeft w:val="0"/>
      <w:marRight w:val="0"/>
      <w:marTop w:val="0"/>
      <w:marBottom w:val="0"/>
      <w:divBdr>
        <w:top w:val="none" w:sz="0" w:space="0" w:color="auto"/>
        <w:left w:val="none" w:sz="0" w:space="0" w:color="auto"/>
        <w:bottom w:val="none" w:sz="0" w:space="0" w:color="auto"/>
        <w:right w:val="none" w:sz="0" w:space="0" w:color="auto"/>
      </w:divBdr>
    </w:div>
    <w:div w:id="472648255">
      <w:bodyDiv w:val="1"/>
      <w:marLeft w:val="0"/>
      <w:marRight w:val="0"/>
      <w:marTop w:val="0"/>
      <w:marBottom w:val="0"/>
      <w:divBdr>
        <w:top w:val="none" w:sz="0" w:space="0" w:color="auto"/>
        <w:left w:val="none" w:sz="0" w:space="0" w:color="auto"/>
        <w:bottom w:val="none" w:sz="0" w:space="0" w:color="auto"/>
        <w:right w:val="none" w:sz="0" w:space="0" w:color="auto"/>
      </w:divBdr>
    </w:div>
    <w:div w:id="472985145">
      <w:bodyDiv w:val="1"/>
      <w:marLeft w:val="0"/>
      <w:marRight w:val="0"/>
      <w:marTop w:val="0"/>
      <w:marBottom w:val="0"/>
      <w:divBdr>
        <w:top w:val="none" w:sz="0" w:space="0" w:color="auto"/>
        <w:left w:val="none" w:sz="0" w:space="0" w:color="auto"/>
        <w:bottom w:val="none" w:sz="0" w:space="0" w:color="auto"/>
        <w:right w:val="none" w:sz="0" w:space="0" w:color="auto"/>
      </w:divBdr>
    </w:div>
    <w:div w:id="472991642">
      <w:bodyDiv w:val="1"/>
      <w:marLeft w:val="0"/>
      <w:marRight w:val="0"/>
      <w:marTop w:val="0"/>
      <w:marBottom w:val="0"/>
      <w:divBdr>
        <w:top w:val="none" w:sz="0" w:space="0" w:color="auto"/>
        <w:left w:val="none" w:sz="0" w:space="0" w:color="auto"/>
        <w:bottom w:val="none" w:sz="0" w:space="0" w:color="auto"/>
        <w:right w:val="none" w:sz="0" w:space="0" w:color="auto"/>
      </w:divBdr>
    </w:div>
    <w:div w:id="473446689">
      <w:bodyDiv w:val="1"/>
      <w:marLeft w:val="0"/>
      <w:marRight w:val="0"/>
      <w:marTop w:val="0"/>
      <w:marBottom w:val="0"/>
      <w:divBdr>
        <w:top w:val="none" w:sz="0" w:space="0" w:color="auto"/>
        <w:left w:val="none" w:sz="0" w:space="0" w:color="auto"/>
        <w:bottom w:val="none" w:sz="0" w:space="0" w:color="auto"/>
        <w:right w:val="none" w:sz="0" w:space="0" w:color="auto"/>
      </w:divBdr>
    </w:div>
    <w:div w:id="473910233">
      <w:bodyDiv w:val="1"/>
      <w:marLeft w:val="0"/>
      <w:marRight w:val="0"/>
      <w:marTop w:val="0"/>
      <w:marBottom w:val="0"/>
      <w:divBdr>
        <w:top w:val="none" w:sz="0" w:space="0" w:color="auto"/>
        <w:left w:val="none" w:sz="0" w:space="0" w:color="auto"/>
        <w:bottom w:val="none" w:sz="0" w:space="0" w:color="auto"/>
        <w:right w:val="none" w:sz="0" w:space="0" w:color="auto"/>
      </w:divBdr>
    </w:div>
    <w:div w:id="476918135">
      <w:bodyDiv w:val="1"/>
      <w:marLeft w:val="0"/>
      <w:marRight w:val="0"/>
      <w:marTop w:val="0"/>
      <w:marBottom w:val="0"/>
      <w:divBdr>
        <w:top w:val="none" w:sz="0" w:space="0" w:color="auto"/>
        <w:left w:val="none" w:sz="0" w:space="0" w:color="auto"/>
        <w:bottom w:val="none" w:sz="0" w:space="0" w:color="auto"/>
        <w:right w:val="none" w:sz="0" w:space="0" w:color="auto"/>
      </w:divBdr>
    </w:div>
    <w:div w:id="477111518">
      <w:bodyDiv w:val="1"/>
      <w:marLeft w:val="0"/>
      <w:marRight w:val="0"/>
      <w:marTop w:val="0"/>
      <w:marBottom w:val="0"/>
      <w:divBdr>
        <w:top w:val="none" w:sz="0" w:space="0" w:color="auto"/>
        <w:left w:val="none" w:sz="0" w:space="0" w:color="auto"/>
        <w:bottom w:val="none" w:sz="0" w:space="0" w:color="auto"/>
        <w:right w:val="none" w:sz="0" w:space="0" w:color="auto"/>
      </w:divBdr>
    </w:div>
    <w:div w:id="477889995">
      <w:bodyDiv w:val="1"/>
      <w:marLeft w:val="0"/>
      <w:marRight w:val="0"/>
      <w:marTop w:val="0"/>
      <w:marBottom w:val="0"/>
      <w:divBdr>
        <w:top w:val="none" w:sz="0" w:space="0" w:color="auto"/>
        <w:left w:val="none" w:sz="0" w:space="0" w:color="auto"/>
        <w:bottom w:val="none" w:sz="0" w:space="0" w:color="auto"/>
        <w:right w:val="none" w:sz="0" w:space="0" w:color="auto"/>
      </w:divBdr>
    </w:div>
    <w:div w:id="478763704">
      <w:bodyDiv w:val="1"/>
      <w:marLeft w:val="0"/>
      <w:marRight w:val="0"/>
      <w:marTop w:val="0"/>
      <w:marBottom w:val="0"/>
      <w:divBdr>
        <w:top w:val="none" w:sz="0" w:space="0" w:color="auto"/>
        <w:left w:val="none" w:sz="0" w:space="0" w:color="auto"/>
        <w:bottom w:val="none" w:sz="0" w:space="0" w:color="auto"/>
        <w:right w:val="none" w:sz="0" w:space="0" w:color="auto"/>
      </w:divBdr>
    </w:div>
    <w:div w:id="479152263">
      <w:bodyDiv w:val="1"/>
      <w:marLeft w:val="0"/>
      <w:marRight w:val="0"/>
      <w:marTop w:val="0"/>
      <w:marBottom w:val="0"/>
      <w:divBdr>
        <w:top w:val="none" w:sz="0" w:space="0" w:color="auto"/>
        <w:left w:val="none" w:sz="0" w:space="0" w:color="auto"/>
        <w:bottom w:val="none" w:sz="0" w:space="0" w:color="auto"/>
        <w:right w:val="none" w:sz="0" w:space="0" w:color="auto"/>
      </w:divBdr>
    </w:div>
    <w:div w:id="479152991">
      <w:bodyDiv w:val="1"/>
      <w:marLeft w:val="0"/>
      <w:marRight w:val="0"/>
      <w:marTop w:val="0"/>
      <w:marBottom w:val="0"/>
      <w:divBdr>
        <w:top w:val="none" w:sz="0" w:space="0" w:color="auto"/>
        <w:left w:val="none" w:sz="0" w:space="0" w:color="auto"/>
        <w:bottom w:val="none" w:sz="0" w:space="0" w:color="auto"/>
        <w:right w:val="none" w:sz="0" w:space="0" w:color="auto"/>
      </w:divBdr>
    </w:div>
    <w:div w:id="480387051">
      <w:bodyDiv w:val="1"/>
      <w:marLeft w:val="0"/>
      <w:marRight w:val="0"/>
      <w:marTop w:val="0"/>
      <w:marBottom w:val="0"/>
      <w:divBdr>
        <w:top w:val="none" w:sz="0" w:space="0" w:color="auto"/>
        <w:left w:val="none" w:sz="0" w:space="0" w:color="auto"/>
        <w:bottom w:val="none" w:sz="0" w:space="0" w:color="auto"/>
        <w:right w:val="none" w:sz="0" w:space="0" w:color="auto"/>
      </w:divBdr>
    </w:div>
    <w:div w:id="480464937">
      <w:bodyDiv w:val="1"/>
      <w:marLeft w:val="0"/>
      <w:marRight w:val="0"/>
      <w:marTop w:val="0"/>
      <w:marBottom w:val="0"/>
      <w:divBdr>
        <w:top w:val="none" w:sz="0" w:space="0" w:color="auto"/>
        <w:left w:val="none" w:sz="0" w:space="0" w:color="auto"/>
        <w:bottom w:val="none" w:sz="0" w:space="0" w:color="auto"/>
        <w:right w:val="none" w:sz="0" w:space="0" w:color="auto"/>
      </w:divBdr>
    </w:div>
    <w:div w:id="480655587">
      <w:bodyDiv w:val="1"/>
      <w:marLeft w:val="0"/>
      <w:marRight w:val="0"/>
      <w:marTop w:val="0"/>
      <w:marBottom w:val="0"/>
      <w:divBdr>
        <w:top w:val="none" w:sz="0" w:space="0" w:color="auto"/>
        <w:left w:val="none" w:sz="0" w:space="0" w:color="auto"/>
        <w:bottom w:val="none" w:sz="0" w:space="0" w:color="auto"/>
        <w:right w:val="none" w:sz="0" w:space="0" w:color="auto"/>
      </w:divBdr>
    </w:div>
    <w:div w:id="481191573">
      <w:bodyDiv w:val="1"/>
      <w:marLeft w:val="0"/>
      <w:marRight w:val="0"/>
      <w:marTop w:val="0"/>
      <w:marBottom w:val="0"/>
      <w:divBdr>
        <w:top w:val="none" w:sz="0" w:space="0" w:color="auto"/>
        <w:left w:val="none" w:sz="0" w:space="0" w:color="auto"/>
        <w:bottom w:val="none" w:sz="0" w:space="0" w:color="auto"/>
        <w:right w:val="none" w:sz="0" w:space="0" w:color="auto"/>
      </w:divBdr>
    </w:div>
    <w:div w:id="481194949">
      <w:bodyDiv w:val="1"/>
      <w:marLeft w:val="0"/>
      <w:marRight w:val="0"/>
      <w:marTop w:val="0"/>
      <w:marBottom w:val="0"/>
      <w:divBdr>
        <w:top w:val="none" w:sz="0" w:space="0" w:color="auto"/>
        <w:left w:val="none" w:sz="0" w:space="0" w:color="auto"/>
        <w:bottom w:val="none" w:sz="0" w:space="0" w:color="auto"/>
        <w:right w:val="none" w:sz="0" w:space="0" w:color="auto"/>
      </w:divBdr>
    </w:div>
    <w:div w:id="481893174">
      <w:bodyDiv w:val="1"/>
      <w:marLeft w:val="0"/>
      <w:marRight w:val="0"/>
      <w:marTop w:val="0"/>
      <w:marBottom w:val="0"/>
      <w:divBdr>
        <w:top w:val="none" w:sz="0" w:space="0" w:color="auto"/>
        <w:left w:val="none" w:sz="0" w:space="0" w:color="auto"/>
        <w:bottom w:val="none" w:sz="0" w:space="0" w:color="auto"/>
        <w:right w:val="none" w:sz="0" w:space="0" w:color="auto"/>
      </w:divBdr>
    </w:div>
    <w:div w:id="482627573">
      <w:bodyDiv w:val="1"/>
      <w:marLeft w:val="0"/>
      <w:marRight w:val="0"/>
      <w:marTop w:val="0"/>
      <w:marBottom w:val="0"/>
      <w:divBdr>
        <w:top w:val="none" w:sz="0" w:space="0" w:color="auto"/>
        <w:left w:val="none" w:sz="0" w:space="0" w:color="auto"/>
        <w:bottom w:val="none" w:sz="0" w:space="0" w:color="auto"/>
        <w:right w:val="none" w:sz="0" w:space="0" w:color="auto"/>
      </w:divBdr>
    </w:div>
    <w:div w:id="483669953">
      <w:bodyDiv w:val="1"/>
      <w:marLeft w:val="0"/>
      <w:marRight w:val="0"/>
      <w:marTop w:val="0"/>
      <w:marBottom w:val="0"/>
      <w:divBdr>
        <w:top w:val="none" w:sz="0" w:space="0" w:color="auto"/>
        <w:left w:val="none" w:sz="0" w:space="0" w:color="auto"/>
        <w:bottom w:val="none" w:sz="0" w:space="0" w:color="auto"/>
        <w:right w:val="none" w:sz="0" w:space="0" w:color="auto"/>
      </w:divBdr>
    </w:div>
    <w:div w:id="484014238">
      <w:bodyDiv w:val="1"/>
      <w:marLeft w:val="0"/>
      <w:marRight w:val="0"/>
      <w:marTop w:val="0"/>
      <w:marBottom w:val="0"/>
      <w:divBdr>
        <w:top w:val="none" w:sz="0" w:space="0" w:color="auto"/>
        <w:left w:val="none" w:sz="0" w:space="0" w:color="auto"/>
        <w:bottom w:val="none" w:sz="0" w:space="0" w:color="auto"/>
        <w:right w:val="none" w:sz="0" w:space="0" w:color="auto"/>
      </w:divBdr>
    </w:div>
    <w:div w:id="484081124">
      <w:bodyDiv w:val="1"/>
      <w:marLeft w:val="0"/>
      <w:marRight w:val="0"/>
      <w:marTop w:val="0"/>
      <w:marBottom w:val="0"/>
      <w:divBdr>
        <w:top w:val="none" w:sz="0" w:space="0" w:color="auto"/>
        <w:left w:val="none" w:sz="0" w:space="0" w:color="auto"/>
        <w:bottom w:val="none" w:sz="0" w:space="0" w:color="auto"/>
        <w:right w:val="none" w:sz="0" w:space="0" w:color="auto"/>
      </w:divBdr>
    </w:div>
    <w:div w:id="484129043">
      <w:bodyDiv w:val="1"/>
      <w:marLeft w:val="0"/>
      <w:marRight w:val="0"/>
      <w:marTop w:val="0"/>
      <w:marBottom w:val="0"/>
      <w:divBdr>
        <w:top w:val="none" w:sz="0" w:space="0" w:color="auto"/>
        <w:left w:val="none" w:sz="0" w:space="0" w:color="auto"/>
        <w:bottom w:val="none" w:sz="0" w:space="0" w:color="auto"/>
        <w:right w:val="none" w:sz="0" w:space="0" w:color="auto"/>
      </w:divBdr>
    </w:div>
    <w:div w:id="484203971">
      <w:bodyDiv w:val="1"/>
      <w:marLeft w:val="0"/>
      <w:marRight w:val="0"/>
      <w:marTop w:val="0"/>
      <w:marBottom w:val="0"/>
      <w:divBdr>
        <w:top w:val="none" w:sz="0" w:space="0" w:color="auto"/>
        <w:left w:val="none" w:sz="0" w:space="0" w:color="auto"/>
        <w:bottom w:val="none" w:sz="0" w:space="0" w:color="auto"/>
        <w:right w:val="none" w:sz="0" w:space="0" w:color="auto"/>
      </w:divBdr>
    </w:div>
    <w:div w:id="484977815">
      <w:bodyDiv w:val="1"/>
      <w:marLeft w:val="0"/>
      <w:marRight w:val="0"/>
      <w:marTop w:val="0"/>
      <w:marBottom w:val="0"/>
      <w:divBdr>
        <w:top w:val="none" w:sz="0" w:space="0" w:color="auto"/>
        <w:left w:val="none" w:sz="0" w:space="0" w:color="auto"/>
        <w:bottom w:val="none" w:sz="0" w:space="0" w:color="auto"/>
        <w:right w:val="none" w:sz="0" w:space="0" w:color="auto"/>
      </w:divBdr>
    </w:div>
    <w:div w:id="485588665">
      <w:bodyDiv w:val="1"/>
      <w:marLeft w:val="0"/>
      <w:marRight w:val="0"/>
      <w:marTop w:val="0"/>
      <w:marBottom w:val="0"/>
      <w:divBdr>
        <w:top w:val="none" w:sz="0" w:space="0" w:color="auto"/>
        <w:left w:val="none" w:sz="0" w:space="0" w:color="auto"/>
        <w:bottom w:val="none" w:sz="0" w:space="0" w:color="auto"/>
        <w:right w:val="none" w:sz="0" w:space="0" w:color="auto"/>
      </w:divBdr>
    </w:div>
    <w:div w:id="485630570">
      <w:bodyDiv w:val="1"/>
      <w:marLeft w:val="0"/>
      <w:marRight w:val="0"/>
      <w:marTop w:val="0"/>
      <w:marBottom w:val="0"/>
      <w:divBdr>
        <w:top w:val="none" w:sz="0" w:space="0" w:color="auto"/>
        <w:left w:val="none" w:sz="0" w:space="0" w:color="auto"/>
        <w:bottom w:val="none" w:sz="0" w:space="0" w:color="auto"/>
        <w:right w:val="none" w:sz="0" w:space="0" w:color="auto"/>
      </w:divBdr>
    </w:div>
    <w:div w:id="486437748">
      <w:bodyDiv w:val="1"/>
      <w:marLeft w:val="0"/>
      <w:marRight w:val="0"/>
      <w:marTop w:val="0"/>
      <w:marBottom w:val="0"/>
      <w:divBdr>
        <w:top w:val="none" w:sz="0" w:space="0" w:color="auto"/>
        <w:left w:val="none" w:sz="0" w:space="0" w:color="auto"/>
        <w:bottom w:val="none" w:sz="0" w:space="0" w:color="auto"/>
        <w:right w:val="none" w:sz="0" w:space="0" w:color="auto"/>
      </w:divBdr>
    </w:div>
    <w:div w:id="486552388">
      <w:bodyDiv w:val="1"/>
      <w:marLeft w:val="0"/>
      <w:marRight w:val="0"/>
      <w:marTop w:val="0"/>
      <w:marBottom w:val="0"/>
      <w:divBdr>
        <w:top w:val="none" w:sz="0" w:space="0" w:color="auto"/>
        <w:left w:val="none" w:sz="0" w:space="0" w:color="auto"/>
        <w:bottom w:val="none" w:sz="0" w:space="0" w:color="auto"/>
        <w:right w:val="none" w:sz="0" w:space="0" w:color="auto"/>
      </w:divBdr>
    </w:div>
    <w:div w:id="487477438">
      <w:bodyDiv w:val="1"/>
      <w:marLeft w:val="0"/>
      <w:marRight w:val="0"/>
      <w:marTop w:val="0"/>
      <w:marBottom w:val="0"/>
      <w:divBdr>
        <w:top w:val="none" w:sz="0" w:space="0" w:color="auto"/>
        <w:left w:val="none" w:sz="0" w:space="0" w:color="auto"/>
        <w:bottom w:val="none" w:sz="0" w:space="0" w:color="auto"/>
        <w:right w:val="none" w:sz="0" w:space="0" w:color="auto"/>
      </w:divBdr>
    </w:div>
    <w:div w:id="488134328">
      <w:bodyDiv w:val="1"/>
      <w:marLeft w:val="0"/>
      <w:marRight w:val="0"/>
      <w:marTop w:val="0"/>
      <w:marBottom w:val="0"/>
      <w:divBdr>
        <w:top w:val="none" w:sz="0" w:space="0" w:color="auto"/>
        <w:left w:val="none" w:sz="0" w:space="0" w:color="auto"/>
        <w:bottom w:val="none" w:sz="0" w:space="0" w:color="auto"/>
        <w:right w:val="none" w:sz="0" w:space="0" w:color="auto"/>
      </w:divBdr>
    </w:div>
    <w:div w:id="488641360">
      <w:bodyDiv w:val="1"/>
      <w:marLeft w:val="0"/>
      <w:marRight w:val="0"/>
      <w:marTop w:val="0"/>
      <w:marBottom w:val="0"/>
      <w:divBdr>
        <w:top w:val="none" w:sz="0" w:space="0" w:color="auto"/>
        <w:left w:val="none" w:sz="0" w:space="0" w:color="auto"/>
        <w:bottom w:val="none" w:sz="0" w:space="0" w:color="auto"/>
        <w:right w:val="none" w:sz="0" w:space="0" w:color="auto"/>
      </w:divBdr>
    </w:div>
    <w:div w:id="489637111">
      <w:bodyDiv w:val="1"/>
      <w:marLeft w:val="0"/>
      <w:marRight w:val="0"/>
      <w:marTop w:val="0"/>
      <w:marBottom w:val="0"/>
      <w:divBdr>
        <w:top w:val="none" w:sz="0" w:space="0" w:color="auto"/>
        <w:left w:val="none" w:sz="0" w:space="0" w:color="auto"/>
        <w:bottom w:val="none" w:sz="0" w:space="0" w:color="auto"/>
        <w:right w:val="none" w:sz="0" w:space="0" w:color="auto"/>
      </w:divBdr>
    </w:div>
    <w:div w:id="489952574">
      <w:bodyDiv w:val="1"/>
      <w:marLeft w:val="0"/>
      <w:marRight w:val="0"/>
      <w:marTop w:val="0"/>
      <w:marBottom w:val="0"/>
      <w:divBdr>
        <w:top w:val="none" w:sz="0" w:space="0" w:color="auto"/>
        <w:left w:val="none" w:sz="0" w:space="0" w:color="auto"/>
        <w:bottom w:val="none" w:sz="0" w:space="0" w:color="auto"/>
        <w:right w:val="none" w:sz="0" w:space="0" w:color="auto"/>
      </w:divBdr>
    </w:div>
    <w:div w:id="490024610">
      <w:bodyDiv w:val="1"/>
      <w:marLeft w:val="0"/>
      <w:marRight w:val="0"/>
      <w:marTop w:val="0"/>
      <w:marBottom w:val="0"/>
      <w:divBdr>
        <w:top w:val="none" w:sz="0" w:space="0" w:color="auto"/>
        <w:left w:val="none" w:sz="0" w:space="0" w:color="auto"/>
        <w:bottom w:val="none" w:sz="0" w:space="0" w:color="auto"/>
        <w:right w:val="none" w:sz="0" w:space="0" w:color="auto"/>
      </w:divBdr>
    </w:div>
    <w:div w:id="490373117">
      <w:bodyDiv w:val="1"/>
      <w:marLeft w:val="0"/>
      <w:marRight w:val="0"/>
      <w:marTop w:val="0"/>
      <w:marBottom w:val="0"/>
      <w:divBdr>
        <w:top w:val="none" w:sz="0" w:space="0" w:color="auto"/>
        <w:left w:val="none" w:sz="0" w:space="0" w:color="auto"/>
        <w:bottom w:val="none" w:sz="0" w:space="0" w:color="auto"/>
        <w:right w:val="none" w:sz="0" w:space="0" w:color="auto"/>
      </w:divBdr>
    </w:div>
    <w:div w:id="490680226">
      <w:bodyDiv w:val="1"/>
      <w:marLeft w:val="0"/>
      <w:marRight w:val="0"/>
      <w:marTop w:val="0"/>
      <w:marBottom w:val="0"/>
      <w:divBdr>
        <w:top w:val="none" w:sz="0" w:space="0" w:color="auto"/>
        <w:left w:val="none" w:sz="0" w:space="0" w:color="auto"/>
        <w:bottom w:val="none" w:sz="0" w:space="0" w:color="auto"/>
        <w:right w:val="none" w:sz="0" w:space="0" w:color="auto"/>
      </w:divBdr>
    </w:div>
    <w:div w:id="491025118">
      <w:bodyDiv w:val="1"/>
      <w:marLeft w:val="0"/>
      <w:marRight w:val="0"/>
      <w:marTop w:val="0"/>
      <w:marBottom w:val="0"/>
      <w:divBdr>
        <w:top w:val="none" w:sz="0" w:space="0" w:color="auto"/>
        <w:left w:val="none" w:sz="0" w:space="0" w:color="auto"/>
        <w:bottom w:val="none" w:sz="0" w:space="0" w:color="auto"/>
        <w:right w:val="none" w:sz="0" w:space="0" w:color="auto"/>
      </w:divBdr>
    </w:div>
    <w:div w:id="491143164">
      <w:bodyDiv w:val="1"/>
      <w:marLeft w:val="0"/>
      <w:marRight w:val="0"/>
      <w:marTop w:val="0"/>
      <w:marBottom w:val="0"/>
      <w:divBdr>
        <w:top w:val="none" w:sz="0" w:space="0" w:color="auto"/>
        <w:left w:val="none" w:sz="0" w:space="0" w:color="auto"/>
        <w:bottom w:val="none" w:sz="0" w:space="0" w:color="auto"/>
        <w:right w:val="none" w:sz="0" w:space="0" w:color="auto"/>
      </w:divBdr>
    </w:div>
    <w:div w:id="491339025">
      <w:bodyDiv w:val="1"/>
      <w:marLeft w:val="0"/>
      <w:marRight w:val="0"/>
      <w:marTop w:val="0"/>
      <w:marBottom w:val="0"/>
      <w:divBdr>
        <w:top w:val="none" w:sz="0" w:space="0" w:color="auto"/>
        <w:left w:val="none" w:sz="0" w:space="0" w:color="auto"/>
        <w:bottom w:val="none" w:sz="0" w:space="0" w:color="auto"/>
        <w:right w:val="none" w:sz="0" w:space="0" w:color="auto"/>
      </w:divBdr>
    </w:div>
    <w:div w:id="492065269">
      <w:bodyDiv w:val="1"/>
      <w:marLeft w:val="0"/>
      <w:marRight w:val="0"/>
      <w:marTop w:val="0"/>
      <w:marBottom w:val="0"/>
      <w:divBdr>
        <w:top w:val="none" w:sz="0" w:space="0" w:color="auto"/>
        <w:left w:val="none" w:sz="0" w:space="0" w:color="auto"/>
        <w:bottom w:val="none" w:sz="0" w:space="0" w:color="auto"/>
        <w:right w:val="none" w:sz="0" w:space="0" w:color="auto"/>
      </w:divBdr>
    </w:div>
    <w:div w:id="492646060">
      <w:bodyDiv w:val="1"/>
      <w:marLeft w:val="0"/>
      <w:marRight w:val="0"/>
      <w:marTop w:val="0"/>
      <w:marBottom w:val="0"/>
      <w:divBdr>
        <w:top w:val="none" w:sz="0" w:space="0" w:color="auto"/>
        <w:left w:val="none" w:sz="0" w:space="0" w:color="auto"/>
        <w:bottom w:val="none" w:sz="0" w:space="0" w:color="auto"/>
        <w:right w:val="none" w:sz="0" w:space="0" w:color="auto"/>
      </w:divBdr>
    </w:div>
    <w:div w:id="493029188">
      <w:bodyDiv w:val="1"/>
      <w:marLeft w:val="0"/>
      <w:marRight w:val="0"/>
      <w:marTop w:val="0"/>
      <w:marBottom w:val="0"/>
      <w:divBdr>
        <w:top w:val="none" w:sz="0" w:space="0" w:color="auto"/>
        <w:left w:val="none" w:sz="0" w:space="0" w:color="auto"/>
        <w:bottom w:val="none" w:sz="0" w:space="0" w:color="auto"/>
        <w:right w:val="none" w:sz="0" w:space="0" w:color="auto"/>
      </w:divBdr>
    </w:div>
    <w:div w:id="494877757">
      <w:bodyDiv w:val="1"/>
      <w:marLeft w:val="0"/>
      <w:marRight w:val="0"/>
      <w:marTop w:val="0"/>
      <w:marBottom w:val="0"/>
      <w:divBdr>
        <w:top w:val="none" w:sz="0" w:space="0" w:color="auto"/>
        <w:left w:val="none" w:sz="0" w:space="0" w:color="auto"/>
        <w:bottom w:val="none" w:sz="0" w:space="0" w:color="auto"/>
        <w:right w:val="none" w:sz="0" w:space="0" w:color="auto"/>
      </w:divBdr>
    </w:div>
    <w:div w:id="495926751">
      <w:bodyDiv w:val="1"/>
      <w:marLeft w:val="0"/>
      <w:marRight w:val="0"/>
      <w:marTop w:val="0"/>
      <w:marBottom w:val="0"/>
      <w:divBdr>
        <w:top w:val="none" w:sz="0" w:space="0" w:color="auto"/>
        <w:left w:val="none" w:sz="0" w:space="0" w:color="auto"/>
        <w:bottom w:val="none" w:sz="0" w:space="0" w:color="auto"/>
        <w:right w:val="none" w:sz="0" w:space="0" w:color="auto"/>
      </w:divBdr>
    </w:div>
    <w:div w:id="496969231">
      <w:bodyDiv w:val="1"/>
      <w:marLeft w:val="0"/>
      <w:marRight w:val="0"/>
      <w:marTop w:val="0"/>
      <w:marBottom w:val="0"/>
      <w:divBdr>
        <w:top w:val="none" w:sz="0" w:space="0" w:color="auto"/>
        <w:left w:val="none" w:sz="0" w:space="0" w:color="auto"/>
        <w:bottom w:val="none" w:sz="0" w:space="0" w:color="auto"/>
        <w:right w:val="none" w:sz="0" w:space="0" w:color="auto"/>
      </w:divBdr>
    </w:div>
    <w:div w:id="497966611">
      <w:bodyDiv w:val="1"/>
      <w:marLeft w:val="0"/>
      <w:marRight w:val="0"/>
      <w:marTop w:val="0"/>
      <w:marBottom w:val="0"/>
      <w:divBdr>
        <w:top w:val="none" w:sz="0" w:space="0" w:color="auto"/>
        <w:left w:val="none" w:sz="0" w:space="0" w:color="auto"/>
        <w:bottom w:val="none" w:sz="0" w:space="0" w:color="auto"/>
        <w:right w:val="none" w:sz="0" w:space="0" w:color="auto"/>
      </w:divBdr>
    </w:div>
    <w:div w:id="498034607">
      <w:bodyDiv w:val="1"/>
      <w:marLeft w:val="0"/>
      <w:marRight w:val="0"/>
      <w:marTop w:val="0"/>
      <w:marBottom w:val="0"/>
      <w:divBdr>
        <w:top w:val="none" w:sz="0" w:space="0" w:color="auto"/>
        <w:left w:val="none" w:sz="0" w:space="0" w:color="auto"/>
        <w:bottom w:val="none" w:sz="0" w:space="0" w:color="auto"/>
        <w:right w:val="none" w:sz="0" w:space="0" w:color="auto"/>
      </w:divBdr>
    </w:div>
    <w:div w:id="498346751">
      <w:bodyDiv w:val="1"/>
      <w:marLeft w:val="0"/>
      <w:marRight w:val="0"/>
      <w:marTop w:val="0"/>
      <w:marBottom w:val="0"/>
      <w:divBdr>
        <w:top w:val="none" w:sz="0" w:space="0" w:color="auto"/>
        <w:left w:val="none" w:sz="0" w:space="0" w:color="auto"/>
        <w:bottom w:val="none" w:sz="0" w:space="0" w:color="auto"/>
        <w:right w:val="none" w:sz="0" w:space="0" w:color="auto"/>
      </w:divBdr>
    </w:div>
    <w:div w:id="499853803">
      <w:bodyDiv w:val="1"/>
      <w:marLeft w:val="0"/>
      <w:marRight w:val="0"/>
      <w:marTop w:val="0"/>
      <w:marBottom w:val="0"/>
      <w:divBdr>
        <w:top w:val="none" w:sz="0" w:space="0" w:color="auto"/>
        <w:left w:val="none" w:sz="0" w:space="0" w:color="auto"/>
        <w:bottom w:val="none" w:sz="0" w:space="0" w:color="auto"/>
        <w:right w:val="none" w:sz="0" w:space="0" w:color="auto"/>
      </w:divBdr>
    </w:div>
    <w:div w:id="500005282">
      <w:bodyDiv w:val="1"/>
      <w:marLeft w:val="0"/>
      <w:marRight w:val="0"/>
      <w:marTop w:val="0"/>
      <w:marBottom w:val="0"/>
      <w:divBdr>
        <w:top w:val="none" w:sz="0" w:space="0" w:color="auto"/>
        <w:left w:val="none" w:sz="0" w:space="0" w:color="auto"/>
        <w:bottom w:val="none" w:sz="0" w:space="0" w:color="auto"/>
        <w:right w:val="none" w:sz="0" w:space="0" w:color="auto"/>
      </w:divBdr>
    </w:div>
    <w:div w:id="500395234">
      <w:bodyDiv w:val="1"/>
      <w:marLeft w:val="0"/>
      <w:marRight w:val="0"/>
      <w:marTop w:val="0"/>
      <w:marBottom w:val="0"/>
      <w:divBdr>
        <w:top w:val="none" w:sz="0" w:space="0" w:color="auto"/>
        <w:left w:val="none" w:sz="0" w:space="0" w:color="auto"/>
        <w:bottom w:val="none" w:sz="0" w:space="0" w:color="auto"/>
        <w:right w:val="none" w:sz="0" w:space="0" w:color="auto"/>
      </w:divBdr>
    </w:div>
    <w:div w:id="501628306">
      <w:bodyDiv w:val="1"/>
      <w:marLeft w:val="0"/>
      <w:marRight w:val="0"/>
      <w:marTop w:val="0"/>
      <w:marBottom w:val="0"/>
      <w:divBdr>
        <w:top w:val="none" w:sz="0" w:space="0" w:color="auto"/>
        <w:left w:val="none" w:sz="0" w:space="0" w:color="auto"/>
        <w:bottom w:val="none" w:sz="0" w:space="0" w:color="auto"/>
        <w:right w:val="none" w:sz="0" w:space="0" w:color="auto"/>
      </w:divBdr>
    </w:div>
    <w:div w:id="502740635">
      <w:bodyDiv w:val="1"/>
      <w:marLeft w:val="0"/>
      <w:marRight w:val="0"/>
      <w:marTop w:val="0"/>
      <w:marBottom w:val="0"/>
      <w:divBdr>
        <w:top w:val="none" w:sz="0" w:space="0" w:color="auto"/>
        <w:left w:val="none" w:sz="0" w:space="0" w:color="auto"/>
        <w:bottom w:val="none" w:sz="0" w:space="0" w:color="auto"/>
        <w:right w:val="none" w:sz="0" w:space="0" w:color="auto"/>
      </w:divBdr>
    </w:div>
    <w:div w:id="502741112">
      <w:bodyDiv w:val="1"/>
      <w:marLeft w:val="0"/>
      <w:marRight w:val="0"/>
      <w:marTop w:val="0"/>
      <w:marBottom w:val="0"/>
      <w:divBdr>
        <w:top w:val="none" w:sz="0" w:space="0" w:color="auto"/>
        <w:left w:val="none" w:sz="0" w:space="0" w:color="auto"/>
        <w:bottom w:val="none" w:sz="0" w:space="0" w:color="auto"/>
        <w:right w:val="none" w:sz="0" w:space="0" w:color="auto"/>
      </w:divBdr>
    </w:div>
    <w:div w:id="502741187">
      <w:bodyDiv w:val="1"/>
      <w:marLeft w:val="0"/>
      <w:marRight w:val="0"/>
      <w:marTop w:val="0"/>
      <w:marBottom w:val="0"/>
      <w:divBdr>
        <w:top w:val="none" w:sz="0" w:space="0" w:color="auto"/>
        <w:left w:val="none" w:sz="0" w:space="0" w:color="auto"/>
        <w:bottom w:val="none" w:sz="0" w:space="0" w:color="auto"/>
        <w:right w:val="none" w:sz="0" w:space="0" w:color="auto"/>
      </w:divBdr>
    </w:div>
    <w:div w:id="503134447">
      <w:bodyDiv w:val="1"/>
      <w:marLeft w:val="0"/>
      <w:marRight w:val="0"/>
      <w:marTop w:val="0"/>
      <w:marBottom w:val="0"/>
      <w:divBdr>
        <w:top w:val="none" w:sz="0" w:space="0" w:color="auto"/>
        <w:left w:val="none" w:sz="0" w:space="0" w:color="auto"/>
        <w:bottom w:val="none" w:sz="0" w:space="0" w:color="auto"/>
        <w:right w:val="none" w:sz="0" w:space="0" w:color="auto"/>
      </w:divBdr>
    </w:div>
    <w:div w:id="504244368">
      <w:bodyDiv w:val="1"/>
      <w:marLeft w:val="0"/>
      <w:marRight w:val="0"/>
      <w:marTop w:val="0"/>
      <w:marBottom w:val="0"/>
      <w:divBdr>
        <w:top w:val="none" w:sz="0" w:space="0" w:color="auto"/>
        <w:left w:val="none" w:sz="0" w:space="0" w:color="auto"/>
        <w:bottom w:val="none" w:sz="0" w:space="0" w:color="auto"/>
        <w:right w:val="none" w:sz="0" w:space="0" w:color="auto"/>
      </w:divBdr>
    </w:div>
    <w:div w:id="504324304">
      <w:bodyDiv w:val="1"/>
      <w:marLeft w:val="0"/>
      <w:marRight w:val="0"/>
      <w:marTop w:val="0"/>
      <w:marBottom w:val="0"/>
      <w:divBdr>
        <w:top w:val="none" w:sz="0" w:space="0" w:color="auto"/>
        <w:left w:val="none" w:sz="0" w:space="0" w:color="auto"/>
        <w:bottom w:val="none" w:sz="0" w:space="0" w:color="auto"/>
        <w:right w:val="none" w:sz="0" w:space="0" w:color="auto"/>
      </w:divBdr>
    </w:div>
    <w:div w:id="504980483">
      <w:bodyDiv w:val="1"/>
      <w:marLeft w:val="0"/>
      <w:marRight w:val="0"/>
      <w:marTop w:val="0"/>
      <w:marBottom w:val="0"/>
      <w:divBdr>
        <w:top w:val="none" w:sz="0" w:space="0" w:color="auto"/>
        <w:left w:val="none" w:sz="0" w:space="0" w:color="auto"/>
        <w:bottom w:val="none" w:sz="0" w:space="0" w:color="auto"/>
        <w:right w:val="none" w:sz="0" w:space="0" w:color="auto"/>
      </w:divBdr>
    </w:div>
    <w:div w:id="506359681">
      <w:bodyDiv w:val="1"/>
      <w:marLeft w:val="0"/>
      <w:marRight w:val="0"/>
      <w:marTop w:val="0"/>
      <w:marBottom w:val="0"/>
      <w:divBdr>
        <w:top w:val="none" w:sz="0" w:space="0" w:color="auto"/>
        <w:left w:val="none" w:sz="0" w:space="0" w:color="auto"/>
        <w:bottom w:val="none" w:sz="0" w:space="0" w:color="auto"/>
        <w:right w:val="none" w:sz="0" w:space="0" w:color="auto"/>
      </w:divBdr>
    </w:div>
    <w:div w:id="507258239">
      <w:bodyDiv w:val="1"/>
      <w:marLeft w:val="0"/>
      <w:marRight w:val="0"/>
      <w:marTop w:val="0"/>
      <w:marBottom w:val="0"/>
      <w:divBdr>
        <w:top w:val="none" w:sz="0" w:space="0" w:color="auto"/>
        <w:left w:val="none" w:sz="0" w:space="0" w:color="auto"/>
        <w:bottom w:val="none" w:sz="0" w:space="0" w:color="auto"/>
        <w:right w:val="none" w:sz="0" w:space="0" w:color="auto"/>
      </w:divBdr>
    </w:div>
    <w:div w:id="507406052">
      <w:bodyDiv w:val="1"/>
      <w:marLeft w:val="0"/>
      <w:marRight w:val="0"/>
      <w:marTop w:val="0"/>
      <w:marBottom w:val="0"/>
      <w:divBdr>
        <w:top w:val="none" w:sz="0" w:space="0" w:color="auto"/>
        <w:left w:val="none" w:sz="0" w:space="0" w:color="auto"/>
        <w:bottom w:val="none" w:sz="0" w:space="0" w:color="auto"/>
        <w:right w:val="none" w:sz="0" w:space="0" w:color="auto"/>
      </w:divBdr>
    </w:div>
    <w:div w:id="508057250">
      <w:bodyDiv w:val="1"/>
      <w:marLeft w:val="0"/>
      <w:marRight w:val="0"/>
      <w:marTop w:val="0"/>
      <w:marBottom w:val="0"/>
      <w:divBdr>
        <w:top w:val="none" w:sz="0" w:space="0" w:color="auto"/>
        <w:left w:val="none" w:sz="0" w:space="0" w:color="auto"/>
        <w:bottom w:val="none" w:sz="0" w:space="0" w:color="auto"/>
        <w:right w:val="none" w:sz="0" w:space="0" w:color="auto"/>
      </w:divBdr>
    </w:div>
    <w:div w:id="508980769">
      <w:bodyDiv w:val="1"/>
      <w:marLeft w:val="0"/>
      <w:marRight w:val="0"/>
      <w:marTop w:val="0"/>
      <w:marBottom w:val="0"/>
      <w:divBdr>
        <w:top w:val="none" w:sz="0" w:space="0" w:color="auto"/>
        <w:left w:val="none" w:sz="0" w:space="0" w:color="auto"/>
        <w:bottom w:val="none" w:sz="0" w:space="0" w:color="auto"/>
        <w:right w:val="none" w:sz="0" w:space="0" w:color="auto"/>
      </w:divBdr>
    </w:div>
    <w:div w:id="509754686">
      <w:bodyDiv w:val="1"/>
      <w:marLeft w:val="0"/>
      <w:marRight w:val="0"/>
      <w:marTop w:val="0"/>
      <w:marBottom w:val="0"/>
      <w:divBdr>
        <w:top w:val="none" w:sz="0" w:space="0" w:color="auto"/>
        <w:left w:val="none" w:sz="0" w:space="0" w:color="auto"/>
        <w:bottom w:val="none" w:sz="0" w:space="0" w:color="auto"/>
        <w:right w:val="none" w:sz="0" w:space="0" w:color="auto"/>
      </w:divBdr>
    </w:div>
    <w:div w:id="509836146">
      <w:bodyDiv w:val="1"/>
      <w:marLeft w:val="0"/>
      <w:marRight w:val="0"/>
      <w:marTop w:val="0"/>
      <w:marBottom w:val="0"/>
      <w:divBdr>
        <w:top w:val="none" w:sz="0" w:space="0" w:color="auto"/>
        <w:left w:val="none" w:sz="0" w:space="0" w:color="auto"/>
        <w:bottom w:val="none" w:sz="0" w:space="0" w:color="auto"/>
        <w:right w:val="none" w:sz="0" w:space="0" w:color="auto"/>
      </w:divBdr>
    </w:div>
    <w:div w:id="510027145">
      <w:bodyDiv w:val="1"/>
      <w:marLeft w:val="0"/>
      <w:marRight w:val="0"/>
      <w:marTop w:val="0"/>
      <w:marBottom w:val="0"/>
      <w:divBdr>
        <w:top w:val="none" w:sz="0" w:space="0" w:color="auto"/>
        <w:left w:val="none" w:sz="0" w:space="0" w:color="auto"/>
        <w:bottom w:val="none" w:sz="0" w:space="0" w:color="auto"/>
        <w:right w:val="none" w:sz="0" w:space="0" w:color="auto"/>
      </w:divBdr>
    </w:div>
    <w:div w:id="510530616">
      <w:bodyDiv w:val="1"/>
      <w:marLeft w:val="0"/>
      <w:marRight w:val="0"/>
      <w:marTop w:val="0"/>
      <w:marBottom w:val="0"/>
      <w:divBdr>
        <w:top w:val="none" w:sz="0" w:space="0" w:color="auto"/>
        <w:left w:val="none" w:sz="0" w:space="0" w:color="auto"/>
        <w:bottom w:val="none" w:sz="0" w:space="0" w:color="auto"/>
        <w:right w:val="none" w:sz="0" w:space="0" w:color="auto"/>
      </w:divBdr>
    </w:div>
    <w:div w:id="511460748">
      <w:bodyDiv w:val="1"/>
      <w:marLeft w:val="0"/>
      <w:marRight w:val="0"/>
      <w:marTop w:val="0"/>
      <w:marBottom w:val="0"/>
      <w:divBdr>
        <w:top w:val="none" w:sz="0" w:space="0" w:color="auto"/>
        <w:left w:val="none" w:sz="0" w:space="0" w:color="auto"/>
        <w:bottom w:val="none" w:sz="0" w:space="0" w:color="auto"/>
        <w:right w:val="none" w:sz="0" w:space="0" w:color="auto"/>
      </w:divBdr>
    </w:div>
    <w:div w:id="512110741">
      <w:bodyDiv w:val="1"/>
      <w:marLeft w:val="0"/>
      <w:marRight w:val="0"/>
      <w:marTop w:val="0"/>
      <w:marBottom w:val="0"/>
      <w:divBdr>
        <w:top w:val="none" w:sz="0" w:space="0" w:color="auto"/>
        <w:left w:val="none" w:sz="0" w:space="0" w:color="auto"/>
        <w:bottom w:val="none" w:sz="0" w:space="0" w:color="auto"/>
        <w:right w:val="none" w:sz="0" w:space="0" w:color="auto"/>
      </w:divBdr>
    </w:div>
    <w:div w:id="512955951">
      <w:bodyDiv w:val="1"/>
      <w:marLeft w:val="0"/>
      <w:marRight w:val="0"/>
      <w:marTop w:val="0"/>
      <w:marBottom w:val="0"/>
      <w:divBdr>
        <w:top w:val="none" w:sz="0" w:space="0" w:color="auto"/>
        <w:left w:val="none" w:sz="0" w:space="0" w:color="auto"/>
        <w:bottom w:val="none" w:sz="0" w:space="0" w:color="auto"/>
        <w:right w:val="none" w:sz="0" w:space="0" w:color="auto"/>
      </w:divBdr>
    </w:div>
    <w:div w:id="513107880">
      <w:bodyDiv w:val="1"/>
      <w:marLeft w:val="0"/>
      <w:marRight w:val="0"/>
      <w:marTop w:val="0"/>
      <w:marBottom w:val="0"/>
      <w:divBdr>
        <w:top w:val="none" w:sz="0" w:space="0" w:color="auto"/>
        <w:left w:val="none" w:sz="0" w:space="0" w:color="auto"/>
        <w:bottom w:val="none" w:sz="0" w:space="0" w:color="auto"/>
        <w:right w:val="none" w:sz="0" w:space="0" w:color="auto"/>
      </w:divBdr>
    </w:div>
    <w:div w:id="513610175">
      <w:bodyDiv w:val="1"/>
      <w:marLeft w:val="0"/>
      <w:marRight w:val="0"/>
      <w:marTop w:val="0"/>
      <w:marBottom w:val="0"/>
      <w:divBdr>
        <w:top w:val="none" w:sz="0" w:space="0" w:color="auto"/>
        <w:left w:val="none" w:sz="0" w:space="0" w:color="auto"/>
        <w:bottom w:val="none" w:sz="0" w:space="0" w:color="auto"/>
        <w:right w:val="none" w:sz="0" w:space="0" w:color="auto"/>
      </w:divBdr>
    </w:div>
    <w:div w:id="513812121">
      <w:bodyDiv w:val="1"/>
      <w:marLeft w:val="0"/>
      <w:marRight w:val="0"/>
      <w:marTop w:val="0"/>
      <w:marBottom w:val="0"/>
      <w:divBdr>
        <w:top w:val="none" w:sz="0" w:space="0" w:color="auto"/>
        <w:left w:val="none" w:sz="0" w:space="0" w:color="auto"/>
        <w:bottom w:val="none" w:sz="0" w:space="0" w:color="auto"/>
        <w:right w:val="none" w:sz="0" w:space="0" w:color="auto"/>
      </w:divBdr>
    </w:div>
    <w:div w:id="514420601">
      <w:bodyDiv w:val="1"/>
      <w:marLeft w:val="0"/>
      <w:marRight w:val="0"/>
      <w:marTop w:val="0"/>
      <w:marBottom w:val="0"/>
      <w:divBdr>
        <w:top w:val="none" w:sz="0" w:space="0" w:color="auto"/>
        <w:left w:val="none" w:sz="0" w:space="0" w:color="auto"/>
        <w:bottom w:val="none" w:sz="0" w:space="0" w:color="auto"/>
        <w:right w:val="none" w:sz="0" w:space="0" w:color="auto"/>
      </w:divBdr>
    </w:div>
    <w:div w:id="515190166">
      <w:bodyDiv w:val="1"/>
      <w:marLeft w:val="0"/>
      <w:marRight w:val="0"/>
      <w:marTop w:val="0"/>
      <w:marBottom w:val="0"/>
      <w:divBdr>
        <w:top w:val="none" w:sz="0" w:space="0" w:color="auto"/>
        <w:left w:val="none" w:sz="0" w:space="0" w:color="auto"/>
        <w:bottom w:val="none" w:sz="0" w:space="0" w:color="auto"/>
        <w:right w:val="none" w:sz="0" w:space="0" w:color="auto"/>
      </w:divBdr>
    </w:div>
    <w:div w:id="515310668">
      <w:bodyDiv w:val="1"/>
      <w:marLeft w:val="0"/>
      <w:marRight w:val="0"/>
      <w:marTop w:val="0"/>
      <w:marBottom w:val="0"/>
      <w:divBdr>
        <w:top w:val="none" w:sz="0" w:space="0" w:color="auto"/>
        <w:left w:val="none" w:sz="0" w:space="0" w:color="auto"/>
        <w:bottom w:val="none" w:sz="0" w:space="0" w:color="auto"/>
        <w:right w:val="none" w:sz="0" w:space="0" w:color="auto"/>
      </w:divBdr>
    </w:div>
    <w:div w:id="515315677">
      <w:bodyDiv w:val="1"/>
      <w:marLeft w:val="0"/>
      <w:marRight w:val="0"/>
      <w:marTop w:val="0"/>
      <w:marBottom w:val="0"/>
      <w:divBdr>
        <w:top w:val="none" w:sz="0" w:space="0" w:color="auto"/>
        <w:left w:val="none" w:sz="0" w:space="0" w:color="auto"/>
        <w:bottom w:val="none" w:sz="0" w:space="0" w:color="auto"/>
        <w:right w:val="none" w:sz="0" w:space="0" w:color="auto"/>
      </w:divBdr>
    </w:div>
    <w:div w:id="515850716">
      <w:bodyDiv w:val="1"/>
      <w:marLeft w:val="0"/>
      <w:marRight w:val="0"/>
      <w:marTop w:val="0"/>
      <w:marBottom w:val="0"/>
      <w:divBdr>
        <w:top w:val="none" w:sz="0" w:space="0" w:color="auto"/>
        <w:left w:val="none" w:sz="0" w:space="0" w:color="auto"/>
        <w:bottom w:val="none" w:sz="0" w:space="0" w:color="auto"/>
        <w:right w:val="none" w:sz="0" w:space="0" w:color="auto"/>
      </w:divBdr>
    </w:div>
    <w:div w:id="516430411">
      <w:bodyDiv w:val="1"/>
      <w:marLeft w:val="0"/>
      <w:marRight w:val="0"/>
      <w:marTop w:val="0"/>
      <w:marBottom w:val="0"/>
      <w:divBdr>
        <w:top w:val="none" w:sz="0" w:space="0" w:color="auto"/>
        <w:left w:val="none" w:sz="0" w:space="0" w:color="auto"/>
        <w:bottom w:val="none" w:sz="0" w:space="0" w:color="auto"/>
        <w:right w:val="none" w:sz="0" w:space="0" w:color="auto"/>
      </w:divBdr>
    </w:div>
    <w:div w:id="517934478">
      <w:bodyDiv w:val="1"/>
      <w:marLeft w:val="0"/>
      <w:marRight w:val="0"/>
      <w:marTop w:val="0"/>
      <w:marBottom w:val="0"/>
      <w:divBdr>
        <w:top w:val="none" w:sz="0" w:space="0" w:color="auto"/>
        <w:left w:val="none" w:sz="0" w:space="0" w:color="auto"/>
        <w:bottom w:val="none" w:sz="0" w:space="0" w:color="auto"/>
        <w:right w:val="none" w:sz="0" w:space="0" w:color="auto"/>
      </w:divBdr>
    </w:div>
    <w:div w:id="518350502">
      <w:bodyDiv w:val="1"/>
      <w:marLeft w:val="0"/>
      <w:marRight w:val="0"/>
      <w:marTop w:val="0"/>
      <w:marBottom w:val="0"/>
      <w:divBdr>
        <w:top w:val="none" w:sz="0" w:space="0" w:color="auto"/>
        <w:left w:val="none" w:sz="0" w:space="0" w:color="auto"/>
        <w:bottom w:val="none" w:sz="0" w:space="0" w:color="auto"/>
        <w:right w:val="none" w:sz="0" w:space="0" w:color="auto"/>
      </w:divBdr>
    </w:div>
    <w:div w:id="518666926">
      <w:bodyDiv w:val="1"/>
      <w:marLeft w:val="0"/>
      <w:marRight w:val="0"/>
      <w:marTop w:val="0"/>
      <w:marBottom w:val="0"/>
      <w:divBdr>
        <w:top w:val="none" w:sz="0" w:space="0" w:color="auto"/>
        <w:left w:val="none" w:sz="0" w:space="0" w:color="auto"/>
        <w:bottom w:val="none" w:sz="0" w:space="0" w:color="auto"/>
        <w:right w:val="none" w:sz="0" w:space="0" w:color="auto"/>
      </w:divBdr>
    </w:div>
    <w:div w:id="519898914">
      <w:bodyDiv w:val="1"/>
      <w:marLeft w:val="0"/>
      <w:marRight w:val="0"/>
      <w:marTop w:val="0"/>
      <w:marBottom w:val="0"/>
      <w:divBdr>
        <w:top w:val="none" w:sz="0" w:space="0" w:color="auto"/>
        <w:left w:val="none" w:sz="0" w:space="0" w:color="auto"/>
        <w:bottom w:val="none" w:sz="0" w:space="0" w:color="auto"/>
        <w:right w:val="none" w:sz="0" w:space="0" w:color="auto"/>
      </w:divBdr>
    </w:div>
    <w:div w:id="520240099">
      <w:bodyDiv w:val="1"/>
      <w:marLeft w:val="0"/>
      <w:marRight w:val="0"/>
      <w:marTop w:val="0"/>
      <w:marBottom w:val="0"/>
      <w:divBdr>
        <w:top w:val="none" w:sz="0" w:space="0" w:color="auto"/>
        <w:left w:val="none" w:sz="0" w:space="0" w:color="auto"/>
        <w:bottom w:val="none" w:sz="0" w:space="0" w:color="auto"/>
        <w:right w:val="none" w:sz="0" w:space="0" w:color="auto"/>
      </w:divBdr>
    </w:div>
    <w:div w:id="520319369">
      <w:bodyDiv w:val="1"/>
      <w:marLeft w:val="0"/>
      <w:marRight w:val="0"/>
      <w:marTop w:val="0"/>
      <w:marBottom w:val="0"/>
      <w:divBdr>
        <w:top w:val="none" w:sz="0" w:space="0" w:color="auto"/>
        <w:left w:val="none" w:sz="0" w:space="0" w:color="auto"/>
        <w:bottom w:val="none" w:sz="0" w:space="0" w:color="auto"/>
        <w:right w:val="none" w:sz="0" w:space="0" w:color="auto"/>
      </w:divBdr>
    </w:div>
    <w:div w:id="521095910">
      <w:bodyDiv w:val="1"/>
      <w:marLeft w:val="0"/>
      <w:marRight w:val="0"/>
      <w:marTop w:val="0"/>
      <w:marBottom w:val="0"/>
      <w:divBdr>
        <w:top w:val="none" w:sz="0" w:space="0" w:color="auto"/>
        <w:left w:val="none" w:sz="0" w:space="0" w:color="auto"/>
        <w:bottom w:val="none" w:sz="0" w:space="0" w:color="auto"/>
        <w:right w:val="none" w:sz="0" w:space="0" w:color="auto"/>
      </w:divBdr>
    </w:div>
    <w:div w:id="521364992">
      <w:bodyDiv w:val="1"/>
      <w:marLeft w:val="0"/>
      <w:marRight w:val="0"/>
      <w:marTop w:val="0"/>
      <w:marBottom w:val="0"/>
      <w:divBdr>
        <w:top w:val="none" w:sz="0" w:space="0" w:color="auto"/>
        <w:left w:val="none" w:sz="0" w:space="0" w:color="auto"/>
        <w:bottom w:val="none" w:sz="0" w:space="0" w:color="auto"/>
        <w:right w:val="none" w:sz="0" w:space="0" w:color="auto"/>
      </w:divBdr>
    </w:div>
    <w:div w:id="522479197">
      <w:bodyDiv w:val="1"/>
      <w:marLeft w:val="0"/>
      <w:marRight w:val="0"/>
      <w:marTop w:val="0"/>
      <w:marBottom w:val="0"/>
      <w:divBdr>
        <w:top w:val="none" w:sz="0" w:space="0" w:color="auto"/>
        <w:left w:val="none" w:sz="0" w:space="0" w:color="auto"/>
        <w:bottom w:val="none" w:sz="0" w:space="0" w:color="auto"/>
        <w:right w:val="none" w:sz="0" w:space="0" w:color="auto"/>
      </w:divBdr>
    </w:div>
    <w:div w:id="523637936">
      <w:bodyDiv w:val="1"/>
      <w:marLeft w:val="0"/>
      <w:marRight w:val="0"/>
      <w:marTop w:val="0"/>
      <w:marBottom w:val="0"/>
      <w:divBdr>
        <w:top w:val="none" w:sz="0" w:space="0" w:color="auto"/>
        <w:left w:val="none" w:sz="0" w:space="0" w:color="auto"/>
        <w:bottom w:val="none" w:sz="0" w:space="0" w:color="auto"/>
        <w:right w:val="none" w:sz="0" w:space="0" w:color="auto"/>
      </w:divBdr>
    </w:div>
    <w:div w:id="523984181">
      <w:bodyDiv w:val="1"/>
      <w:marLeft w:val="0"/>
      <w:marRight w:val="0"/>
      <w:marTop w:val="0"/>
      <w:marBottom w:val="0"/>
      <w:divBdr>
        <w:top w:val="none" w:sz="0" w:space="0" w:color="auto"/>
        <w:left w:val="none" w:sz="0" w:space="0" w:color="auto"/>
        <w:bottom w:val="none" w:sz="0" w:space="0" w:color="auto"/>
        <w:right w:val="none" w:sz="0" w:space="0" w:color="auto"/>
      </w:divBdr>
    </w:div>
    <w:div w:id="524246162">
      <w:bodyDiv w:val="1"/>
      <w:marLeft w:val="0"/>
      <w:marRight w:val="0"/>
      <w:marTop w:val="0"/>
      <w:marBottom w:val="0"/>
      <w:divBdr>
        <w:top w:val="none" w:sz="0" w:space="0" w:color="auto"/>
        <w:left w:val="none" w:sz="0" w:space="0" w:color="auto"/>
        <w:bottom w:val="none" w:sz="0" w:space="0" w:color="auto"/>
        <w:right w:val="none" w:sz="0" w:space="0" w:color="auto"/>
      </w:divBdr>
    </w:div>
    <w:div w:id="524445530">
      <w:bodyDiv w:val="1"/>
      <w:marLeft w:val="0"/>
      <w:marRight w:val="0"/>
      <w:marTop w:val="0"/>
      <w:marBottom w:val="0"/>
      <w:divBdr>
        <w:top w:val="none" w:sz="0" w:space="0" w:color="auto"/>
        <w:left w:val="none" w:sz="0" w:space="0" w:color="auto"/>
        <w:bottom w:val="none" w:sz="0" w:space="0" w:color="auto"/>
        <w:right w:val="none" w:sz="0" w:space="0" w:color="auto"/>
      </w:divBdr>
    </w:div>
    <w:div w:id="525217945">
      <w:bodyDiv w:val="1"/>
      <w:marLeft w:val="0"/>
      <w:marRight w:val="0"/>
      <w:marTop w:val="0"/>
      <w:marBottom w:val="0"/>
      <w:divBdr>
        <w:top w:val="none" w:sz="0" w:space="0" w:color="auto"/>
        <w:left w:val="none" w:sz="0" w:space="0" w:color="auto"/>
        <w:bottom w:val="none" w:sz="0" w:space="0" w:color="auto"/>
        <w:right w:val="none" w:sz="0" w:space="0" w:color="auto"/>
      </w:divBdr>
    </w:div>
    <w:div w:id="529345029">
      <w:bodyDiv w:val="1"/>
      <w:marLeft w:val="0"/>
      <w:marRight w:val="0"/>
      <w:marTop w:val="0"/>
      <w:marBottom w:val="0"/>
      <w:divBdr>
        <w:top w:val="none" w:sz="0" w:space="0" w:color="auto"/>
        <w:left w:val="none" w:sz="0" w:space="0" w:color="auto"/>
        <w:bottom w:val="none" w:sz="0" w:space="0" w:color="auto"/>
        <w:right w:val="none" w:sz="0" w:space="0" w:color="auto"/>
      </w:divBdr>
    </w:div>
    <w:div w:id="529607637">
      <w:bodyDiv w:val="1"/>
      <w:marLeft w:val="0"/>
      <w:marRight w:val="0"/>
      <w:marTop w:val="0"/>
      <w:marBottom w:val="0"/>
      <w:divBdr>
        <w:top w:val="none" w:sz="0" w:space="0" w:color="auto"/>
        <w:left w:val="none" w:sz="0" w:space="0" w:color="auto"/>
        <w:bottom w:val="none" w:sz="0" w:space="0" w:color="auto"/>
        <w:right w:val="none" w:sz="0" w:space="0" w:color="auto"/>
      </w:divBdr>
    </w:div>
    <w:div w:id="529805963">
      <w:bodyDiv w:val="1"/>
      <w:marLeft w:val="0"/>
      <w:marRight w:val="0"/>
      <w:marTop w:val="0"/>
      <w:marBottom w:val="0"/>
      <w:divBdr>
        <w:top w:val="none" w:sz="0" w:space="0" w:color="auto"/>
        <w:left w:val="none" w:sz="0" w:space="0" w:color="auto"/>
        <w:bottom w:val="none" w:sz="0" w:space="0" w:color="auto"/>
        <w:right w:val="none" w:sz="0" w:space="0" w:color="auto"/>
      </w:divBdr>
    </w:div>
    <w:div w:id="530191250">
      <w:bodyDiv w:val="1"/>
      <w:marLeft w:val="0"/>
      <w:marRight w:val="0"/>
      <w:marTop w:val="0"/>
      <w:marBottom w:val="0"/>
      <w:divBdr>
        <w:top w:val="none" w:sz="0" w:space="0" w:color="auto"/>
        <w:left w:val="none" w:sz="0" w:space="0" w:color="auto"/>
        <w:bottom w:val="none" w:sz="0" w:space="0" w:color="auto"/>
        <w:right w:val="none" w:sz="0" w:space="0" w:color="auto"/>
      </w:divBdr>
    </w:div>
    <w:div w:id="530537739">
      <w:bodyDiv w:val="1"/>
      <w:marLeft w:val="0"/>
      <w:marRight w:val="0"/>
      <w:marTop w:val="0"/>
      <w:marBottom w:val="0"/>
      <w:divBdr>
        <w:top w:val="none" w:sz="0" w:space="0" w:color="auto"/>
        <w:left w:val="none" w:sz="0" w:space="0" w:color="auto"/>
        <w:bottom w:val="none" w:sz="0" w:space="0" w:color="auto"/>
        <w:right w:val="none" w:sz="0" w:space="0" w:color="auto"/>
      </w:divBdr>
    </w:div>
    <w:div w:id="530581043">
      <w:bodyDiv w:val="1"/>
      <w:marLeft w:val="0"/>
      <w:marRight w:val="0"/>
      <w:marTop w:val="0"/>
      <w:marBottom w:val="0"/>
      <w:divBdr>
        <w:top w:val="none" w:sz="0" w:space="0" w:color="auto"/>
        <w:left w:val="none" w:sz="0" w:space="0" w:color="auto"/>
        <w:bottom w:val="none" w:sz="0" w:space="0" w:color="auto"/>
        <w:right w:val="none" w:sz="0" w:space="0" w:color="auto"/>
      </w:divBdr>
    </w:div>
    <w:div w:id="531693701">
      <w:bodyDiv w:val="1"/>
      <w:marLeft w:val="0"/>
      <w:marRight w:val="0"/>
      <w:marTop w:val="0"/>
      <w:marBottom w:val="0"/>
      <w:divBdr>
        <w:top w:val="none" w:sz="0" w:space="0" w:color="auto"/>
        <w:left w:val="none" w:sz="0" w:space="0" w:color="auto"/>
        <w:bottom w:val="none" w:sz="0" w:space="0" w:color="auto"/>
        <w:right w:val="none" w:sz="0" w:space="0" w:color="auto"/>
      </w:divBdr>
    </w:div>
    <w:div w:id="532038535">
      <w:bodyDiv w:val="1"/>
      <w:marLeft w:val="0"/>
      <w:marRight w:val="0"/>
      <w:marTop w:val="0"/>
      <w:marBottom w:val="0"/>
      <w:divBdr>
        <w:top w:val="none" w:sz="0" w:space="0" w:color="auto"/>
        <w:left w:val="none" w:sz="0" w:space="0" w:color="auto"/>
        <w:bottom w:val="none" w:sz="0" w:space="0" w:color="auto"/>
        <w:right w:val="none" w:sz="0" w:space="0" w:color="auto"/>
      </w:divBdr>
    </w:div>
    <w:div w:id="533079382">
      <w:bodyDiv w:val="1"/>
      <w:marLeft w:val="0"/>
      <w:marRight w:val="0"/>
      <w:marTop w:val="0"/>
      <w:marBottom w:val="0"/>
      <w:divBdr>
        <w:top w:val="none" w:sz="0" w:space="0" w:color="auto"/>
        <w:left w:val="none" w:sz="0" w:space="0" w:color="auto"/>
        <w:bottom w:val="none" w:sz="0" w:space="0" w:color="auto"/>
        <w:right w:val="none" w:sz="0" w:space="0" w:color="auto"/>
      </w:divBdr>
    </w:div>
    <w:div w:id="533271321">
      <w:bodyDiv w:val="1"/>
      <w:marLeft w:val="0"/>
      <w:marRight w:val="0"/>
      <w:marTop w:val="0"/>
      <w:marBottom w:val="0"/>
      <w:divBdr>
        <w:top w:val="none" w:sz="0" w:space="0" w:color="auto"/>
        <w:left w:val="none" w:sz="0" w:space="0" w:color="auto"/>
        <w:bottom w:val="none" w:sz="0" w:space="0" w:color="auto"/>
        <w:right w:val="none" w:sz="0" w:space="0" w:color="auto"/>
      </w:divBdr>
    </w:div>
    <w:div w:id="534465737">
      <w:bodyDiv w:val="1"/>
      <w:marLeft w:val="0"/>
      <w:marRight w:val="0"/>
      <w:marTop w:val="0"/>
      <w:marBottom w:val="0"/>
      <w:divBdr>
        <w:top w:val="none" w:sz="0" w:space="0" w:color="auto"/>
        <w:left w:val="none" w:sz="0" w:space="0" w:color="auto"/>
        <w:bottom w:val="none" w:sz="0" w:space="0" w:color="auto"/>
        <w:right w:val="none" w:sz="0" w:space="0" w:color="auto"/>
      </w:divBdr>
    </w:div>
    <w:div w:id="534733950">
      <w:bodyDiv w:val="1"/>
      <w:marLeft w:val="0"/>
      <w:marRight w:val="0"/>
      <w:marTop w:val="0"/>
      <w:marBottom w:val="0"/>
      <w:divBdr>
        <w:top w:val="none" w:sz="0" w:space="0" w:color="auto"/>
        <w:left w:val="none" w:sz="0" w:space="0" w:color="auto"/>
        <w:bottom w:val="none" w:sz="0" w:space="0" w:color="auto"/>
        <w:right w:val="none" w:sz="0" w:space="0" w:color="auto"/>
      </w:divBdr>
    </w:div>
    <w:div w:id="535312214">
      <w:bodyDiv w:val="1"/>
      <w:marLeft w:val="0"/>
      <w:marRight w:val="0"/>
      <w:marTop w:val="0"/>
      <w:marBottom w:val="0"/>
      <w:divBdr>
        <w:top w:val="none" w:sz="0" w:space="0" w:color="auto"/>
        <w:left w:val="none" w:sz="0" w:space="0" w:color="auto"/>
        <w:bottom w:val="none" w:sz="0" w:space="0" w:color="auto"/>
        <w:right w:val="none" w:sz="0" w:space="0" w:color="auto"/>
      </w:divBdr>
    </w:div>
    <w:div w:id="535429786">
      <w:bodyDiv w:val="1"/>
      <w:marLeft w:val="0"/>
      <w:marRight w:val="0"/>
      <w:marTop w:val="0"/>
      <w:marBottom w:val="0"/>
      <w:divBdr>
        <w:top w:val="none" w:sz="0" w:space="0" w:color="auto"/>
        <w:left w:val="none" w:sz="0" w:space="0" w:color="auto"/>
        <w:bottom w:val="none" w:sz="0" w:space="0" w:color="auto"/>
        <w:right w:val="none" w:sz="0" w:space="0" w:color="auto"/>
      </w:divBdr>
    </w:div>
    <w:div w:id="536041250">
      <w:bodyDiv w:val="1"/>
      <w:marLeft w:val="0"/>
      <w:marRight w:val="0"/>
      <w:marTop w:val="0"/>
      <w:marBottom w:val="0"/>
      <w:divBdr>
        <w:top w:val="none" w:sz="0" w:space="0" w:color="auto"/>
        <w:left w:val="none" w:sz="0" w:space="0" w:color="auto"/>
        <w:bottom w:val="none" w:sz="0" w:space="0" w:color="auto"/>
        <w:right w:val="none" w:sz="0" w:space="0" w:color="auto"/>
      </w:divBdr>
    </w:div>
    <w:div w:id="536167672">
      <w:bodyDiv w:val="1"/>
      <w:marLeft w:val="0"/>
      <w:marRight w:val="0"/>
      <w:marTop w:val="0"/>
      <w:marBottom w:val="0"/>
      <w:divBdr>
        <w:top w:val="none" w:sz="0" w:space="0" w:color="auto"/>
        <w:left w:val="none" w:sz="0" w:space="0" w:color="auto"/>
        <w:bottom w:val="none" w:sz="0" w:space="0" w:color="auto"/>
        <w:right w:val="none" w:sz="0" w:space="0" w:color="auto"/>
      </w:divBdr>
    </w:div>
    <w:div w:id="536359194">
      <w:bodyDiv w:val="1"/>
      <w:marLeft w:val="0"/>
      <w:marRight w:val="0"/>
      <w:marTop w:val="0"/>
      <w:marBottom w:val="0"/>
      <w:divBdr>
        <w:top w:val="none" w:sz="0" w:space="0" w:color="auto"/>
        <w:left w:val="none" w:sz="0" w:space="0" w:color="auto"/>
        <w:bottom w:val="none" w:sz="0" w:space="0" w:color="auto"/>
        <w:right w:val="none" w:sz="0" w:space="0" w:color="auto"/>
      </w:divBdr>
    </w:div>
    <w:div w:id="537164152">
      <w:bodyDiv w:val="1"/>
      <w:marLeft w:val="0"/>
      <w:marRight w:val="0"/>
      <w:marTop w:val="0"/>
      <w:marBottom w:val="0"/>
      <w:divBdr>
        <w:top w:val="none" w:sz="0" w:space="0" w:color="auto"/>
        <w:left w:val="none" w:sz="0" w:space="0" w:color="auto"/>
        <w:bottom w:val="none" w:sz="0" w:space="0" w:color="auto"/>
        <w:right w:val="none" w:sz="0" w:space="0" w:color="auto"/>
      </w:divBdr>
    </w:div>
    <w:div w:id="537359828">
      <w:bodyDiv w:val="1"/>
      <w:marLeft w:val="0"/>
      <w:marRight w:val="0"/>
      <w:marTop w:val="0"/>
      <w:marBottom w:val="0"/>
      <w:divBdr>
        <w:top w:val="none" w:sz="0" w:space="0" w:color="auto"/>
        <w:left w:val="none" w:sz="0" w:space="0" w:color="auto"/>
        <w:bottom w:val="none" w:sz="0" w:space="0" w:color="auto"/>
        <w:right w:val="none" w:sz="0" w:space="0" w:color="auto"/>
      </w:divBdr>
    </w:div>
    <w:div w:id="538469386">
      <w:bodyDiv w:val="1"/>
      <w:marLeft w:val="0"/>
      <w:marRight w:val="0"/>
      <w:marTop w:val="0"/>
      <w:marBottom w:val="0"/>
      <w:divBdr>
        <w:top w:val="none" w:sz="0" w:space="0" w:color="auto"/>
        <w:left w:val="none" w:sz="0" w:space="0" w:color="auto"/>
        <w:bottom w:val="none" w:sz="0" w:space="0" w:color="auto"/>
        <w:right w:val="none" w:sz="0" w:space="0" w:color="auto"/>
      </w:divBdr>
    </w:div>
    <w:div w:id="538783176">
      <w:bodyDiv w:val="1"/>
      <w:marLeft w:val="0"/>
      <w:marRight w:val="0"/>
      <w:marTop w:val="0"/>
      <w:marBottom w:val="0"/>
      <w:divBdr>
        <w:top w:val="none" w:sz="0" w:space="0" w:color="auto"/>
        <w:left w:val="none" w:sz="0" w:space="0" w:color="auto"/>
        <w:bottom w:val="none" w:sz="0" w:space="0" w:color="auto"/>
        <w:right w:val="none" w:sz="0" w:space="0" w:color="auto"/>
      </w:divBdr>
    </w:div>
    <w:div w:id="539978939">
      <w:bodyDiv w:val="1"/>
      <w:marLeft w:val="0"/>
      <w:marRight w:val="0"/>
      <w:marTop w:val="0"/>
      <w:marBottom w:val="0"/>
      <w:divBdr>
        <w:top w:val="none" w:sz="0" w:space="0" w:color="auto"/>
        <w:left w:val="none" w:sz="0" w:space="0" w:color="auto"/>
        <w:bottom w:val="none" w:sz="0" w:space="0" w:color="auto"/>
        <w:right w:val="none" w:sz="0" w:space="0" w:color="auto"/>
      </w:divBdr>
    </w:div>
    <w:div w:id="540823369">
      <w:bodyDiv w:val="1"/>
      <w:marLeft w:val="0"/>
      <w:marRight w:val="0"/>
      <w:marTop w:val="0"/>
      <w:marBottom w:val="0"/>
      <w:divBdr>
        <w:top w:val="none" w:sz="0" w:space="0" w:color="auto"/>
        <w:left w:val="none" w:sz="0" w:space="0" w:color="auto"/>
        <w:bottom w:val="none" w:sz="0" w:space="0" w:color="auto"/>
        <w:right w:val="none" w:sz="0" w:space="0" w:color="auto"/>
      </w:divBdr>
    </w:div>
    <w:div w:id="540871965">
      <w:bodyDiv w:val="1"/>
      <w:marLeft w:val="0"/>
      <w:marRight w:val="0"/>
      <w:marTop w:val="0"/>
      <w:marBottom w:val="0"/>
      <w:divBdr>
        <w:top w:val="none" w:sz="0" w:space="0" w:color="auto"/>
        <w:left w:val="none" w:sz="0" w:space="0" w:color="auto"/>
        <w:bottom w:val="none" w:sz="0" w:space="0" w:color="auto"/>
        <w:right w:val="none" w:sz="0" w:space="0" w:color="auto"/>
      </w:divBdr>
    </w:div>
    <w:div w:id="541478318">
      <w:bodyDiv w:val="1"/>
      <w:marLeft w:val="0"/>
      <w:marRight w:val="0"/>
      <w:marTop w:val="0"/>
      <w:marBottom w:val="0"/>
      <w:divBdr>
        <w:top w:val="none" w:sz="0" w:space="0" w:color="auto"/>
        <w:left w:val="none" w:sz="0" w:space="0" w:color="auto"/>
        <w:bottom w:val="none" w:sz="0" w:space="0" w:color="auto"/>
        <w:right w:val="none" w:sz="0" w:space="0" w:color="auto"/>
      </w:divBdr>
    </w:div>
    <w:div w:id="543712912">
      <w:bodyDiv w:val="1"/>
      <w:marLeft w:val="0"/>
      <w:marRight w:val="0"/>
      <w:marTop w:val="0"/>
      <w:marBottom w:val="0"/>
      <w:divBdr>
        <w:top w:val="none" w:sz="0" w:space="0" w:color="auto"/>
        <w:left w:val="none" w:sz="0" w:space="0" w:color="auto"/>
        <w:bottom w:val="none" w:sz="0" w:space="0" w:color="auto"/>
        <w:right w:val="none" w:sz="0" w:space="0" w:color="auto"/>
      </w:divBdr>
    </w:div>
    <w:div w:id="544607435">
      <w:bodyDiv w:val="1"/>
      <w:marLeft w:val="0"/>
      <w:marRight w:val="0"/>
      <w:marTop w:val="0"/>
      <w:marBottom w:val="0"/>
      <w:divBdr>
        <w:top w:val="none" w:sz="0" w:space="0" w:color="auto"/>
        <w:left w:val="none" w:sz="0" w:space="0" w:color="auto"/>
        <w:bottom w:val="none" w:sz="0" w:space="0" w:color="auto"/>
        <w:right w:val="none" w:sz="0" w:space="0" w:color="auto"/>
      </w:divBdr>
    </w:div>
    <w:div w:id="545222898">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6141721">
      <w:bodyDiv w:val="1"/>
      <w:marLeft w:val="0"/>
      <w:marRight w:val="0"/>
      <w:marTop w:val="0"/>
      <w:marBottom w:val="0"/>
      <w:divBdr>
        <w:top w:val="none" w:sz="0" w:space="0" w:color="auto"/>
        <w:left w:val="none" w:sz="0" w:space="0" w:color="auto"/>
        <w:bottom w:val="none" w:sz="0" w:space="0" w:color="auto"/>
        <w:right w:val="none" w:sz="0" w:space="0" w:color="auto"/>
      </w:divBdr>
    </w:div>
    <w:div w:id="546649030">
      <w:bodyDiv w:val="1"/>
      <w:marLeft w:val="0"/>
      <w:marRight w:val="0"/>
      <w:marTop w:val="0"/>
      <w:marBottom w:val="0"/>
      <w:divBdr>
        <w:top w:val="none" w:sz="0" w:space="0" w:color="auto"/>
        <w:left w:val="none" w:sz="0" w:space="0" w:color="auto"/>
        <w:bottom w:val="none" w:sz="0" w:space="0" w:color="auto"/>
        <w:right w:val="none" w:sz="0" w:space="0" w:color="auto"/>
      </w:divBdr>
    </w:div>
    <w:div w:id="547574629">
      <w:bodyDiv w:val="1"/>
      <w:marLeft w:val="0"/>
      <w:marRight w:val="0"/>
      <w:marTop w:val="0"/>
      <w:marBottom w:val="0"/>
      <w:divBdr>
        <w:top w:val="none" w:sz="0" w:space="0" w:color="auto"/>
        <w:left w:val="none" w:sz="0" w:space="0" w:color="auto"/>
        <w:bottom w:val="none" w:sz="0" w:space="0" w:color="auto"/>
        <w:right w:val="none" w:sz="0" w:space="0" w:color="auto"/>
      </w:divBdr>
    </w:div>
    <w:div w:id="547958149">
      <w:bodyDiv w:val="1"/>
      <w:marLeft w:val="0"/>
      <w:marRight w:val="0"/>
      <w:marTop w:val="0"/>
      <w:marBottom w:val="0"/>
      <w:divBdr>
        <w:top w:val="none" w:sz="0" w:space="0" w:color="auto"/>
        <w:left w:val="none" w:sz="0" w:space="0" w:color="auto"/>
        <w:bottom w:val="none" w:sz="0" w:space="0" w:color="auto"/>
        <w:right w:val="none" w:sz="0" w:space="0" w:color="auto"/>
      </w:divBdr>
    </w:div>
    <w:div w:id="548541147">
      <w:bodyDiv w:val="1"/>
      <w:marLeft w:val="0"/>
      <w:marRight w:val="0"/>
      <w:marTop w:val="0"/>
      <w:marBottom w:val="0"/>
      <w:divBdr>
        <w:top w:val="none" w:sz="0" w:space="0" w:color="auto"/>
        <w:left w:val="none" w:sz="0" w:space="0" w:color="auto"/>
        <w:bottom w:val="none" w:sz="0" w:space="0" w:color="auto"/>
        <w:right w:val="none" w:sz="0" w:space="0" w:color="auto"/>
      </w:divBdr>
    </w:div>
    <w:div w:id="548952131">
      <w:bodyDiv w:val="1"/>
      <w:marLeft w:val="0"/>
      <w:marRight w:val="0"/>
      <w:marTop w:val="0"/>
      <w:marBottom w:val="0"/>
      <w:divBdr>
        <w:top w:val="none" w:sz="0" w:space="0" w:color="auto"/>
        <w:left w:val="none" w:sz="0" w:space="0" w:color="auto"/>
        <w:bottom w:val="none" w:sz="0" w:space="0" w:color="auto"/>
        <w:right w:val="none" w:sz="0" w:space="0" w:color="auto"/>
      </w:divBdr>
    </w:div>
    <w:div w:id="548995373">
      <w:bodyDiv w:val="1"/>
      <w:marLeft w:val="0"/>
      <w:marRight w:val="0"/>
      <w:marTop w:val="0"/>
      <w:marBottom w:val="0"/>
      <w:divBdr>
        <w:top w:val="none" w:sz="0" w:space="0" w:color="auto"/>
        <w:left w:val="none" w:sz="0" w:space="0" w:color="auto"/>
        <w:bottom w:val="none" w:sz="0" w:space="0" w:color="auto"/>
        <w:right w:val="none" w:sz="0" w:space="0" w:color="auto"/>
      </w:divBdr>
    </w:div>
    <w:div w:id="549609452">
      <w:bodyDiv w:val="1"/>
      <w:marLeft w:val="0"/>
      <w:marRight w:val="0"/>
      <w:marTop w:val="0"/>
      <w:marBottom w:val="0"/>
      <w:divBdr>
        <w:top w:val="none" w:sz="0" w:space="0" w:color="auto"/>
        <w:left w:val="none" w:sz="0" w:space="0" w:color="auto"/>
        <w:bottom w:val="none" w:sz="0" w:space="0" w:color="auto"/>
        <w:right w:val="none" w:sz="0" w:space="0" w:color="auto"/>
      </w:divBdr>
    </w:div>
    <w:div w:id="549808418">
      <w:bodyDiv w:val="1"/>
      <w:marLeft w:val="0"/>
      <w:marRight w:val="0"/>
      <w:marTop w:val="0"/>
      <w:marBottom w:val="0"/>
      <w:divBdr>
        <w:top w:val="none" w:sz="0" w:space="0" w:color="auto"/>
        <w:left w:val="none" w:sz="0" w:space="0" w:color="auto"/>
        <w:bottom w:val="none" w:sz="0" w:space="0" w:color="auto"/>
        <w:right w:val="none" w:sz="0" w:space="0" w:color="auto"/>
      </w:divBdr>
    </w:div>
    <w:div w:id="550533422">
      <w:bodyDiv w:val="1"/>
      <w:marLeft w:val="0"/>
      <w:marRight w:val="0"/>
      <w:marTop w:val="0"/>
      <w:marBottom w:val="0"/>
      <w:divBdr>
        <w:top w:val="none" w:sz="0" w:space="0" w:color="auto"/>
        <w:left w:val="none" w:sz="0" w:space="0" w:color="auto"/>
        <w:bottom w:val="none" w:sz="0" w:space="0" w:color="auto"/>
        <w:right w:val="none" w:sz="0" w:space="0" w:color="auto"/>
      </w:divBdr>
    </w:div>
    <w:div w:id="550776351">
      <w:bodyDiv w:val="1"/>
      <w:marLeft w:val="0"/>
      <w:marRight w:val="0"/>
      <w:marTop w:val="0"/>
      <w:marBottom w:val="0"/>
      <w:divBdr>
        <w:top w:val="none" w:sz="0" w:space="0" w:color="auto"/>
        <w:left w:val="none" w:sz="0" w:space="0" w:color="auto"/>
        <w:bottom w:val="none" w:sz="0" w:space="0" w:color="auto"/>
        <w:right w:val="none" w:sz="0" w:space="0" w:color="auto"/>
      </w:divBdr>
    </w:div>
    <w:div w:id="553465741">
      <w:bodyDiv w:val="1"/>
      <w:marLeft w:val="0"/>
      <w:marRight w:val="0"/>
      <w:marTop w:val="0"/>
      <w:marBottom w:val="0"/>
      <w:divBdr>
        <w:top w:val="none" w:sz="0" w:space="0" w:color="auto"/>
        <w:left w:val="none" w:sz="0" w:space="0" w:color="auto"/>
        <w:bottom w:val="none" w:sz="0" w:space="0" w:color="auto"/>
        <w:right w:val="none" w:sz="0" w:space="0" w:color="auto"/>
      </w:divBdr>
    </w:div>
    <w:div w:id="554241170">
      <w:bodyDiv w:val="1"/>
      <w:marLeft w:val="0"/>
      <w:marRight w:val="0"/>
      <w:marTop w:val="0"/>
      <w:marBottom w:val="0"/>
      <w:divBdr>
        <w:top w:val="none" w:sz="0" w:space="0" w:color="auto"/>
        <w:left w:val="none" w:sz="0" w:space="0" w:color="auto"/>
        <w:bottom w:val="none" w:sz="0" w:space="0" w:color="auto"/>
        <w:right w:val="none" w:sz="0" w:space="0" w:color="auto"/>
      </w:divBdr>
    </w:div>
    <w:div w:id="554705992">
      <w:bodyDiv w:val="1"/>
      <w:marLeft w:val="0"/>
      <w:marRight w:val="0"/>
      <w:marTop w:val="0"/>
      <w:marBottom w:val="0"/>
      <w:divBdr>
        <w:top w:val="none" w:sz="0" w:space="0" w:color="auto"/>
        <w:left w:val="none" w:sz="0" w:space="0" w:color="auto"/>
        <w:bottom w:val="none" w:sz="0" w:space="0" w:color="auto"/>
        <w:right w:val="none" w:sz="0" w:space="0" w:color="auto"/>
      </w:divBdr>
    </w:div>
    <w:div w:id="555361451">
      <w:bodyDiv w:val="1"/>
      <w:marLeft w:val="0"/>
      <w:marRight w:val="0"/>
      <w:marTop w:val="0"/>
      <w:marBottom w:val="0"/>
      <w:divBdr>
        <w:top w:val="none" w:sz="0" w:space="0" w:color="auto"/>
        <w:left w:val="none" w:sz="0" w:space="0" w:color="auto"/>
        <w:bottom w:val="none" w:sz="0" w:space="0" w:color="auto"/>
        <w:right w:val="none" w:sz="0" w:space="0" w:color="auto"/>
      </w:divBdr>
    </w:div>
    <w:div w:id="555431314">
      <w:bodyDiv w:val="1"/>
      <w:marLeft w:val="0"/>
      <w:marRight w:val="0"/>
      <w:marTop w:val="0"/>
      <w:marBottom w:val="0"/>
      <w:divBdr>
        <w:top w:val="none" w:sz="0" w:space="0" w:color="auto"/>
        <w:left w:val="none" w:sz="0" w:space="0" w:color="auto"/>
        <w:bottom w:val="none" w:sz="0" w:space="0" w:color="auto"/>
        <w:right w:val="none" w:sz="0" w:space="0" w:color="auto"/>
      </w:divBdr>
    </w:div>
    <w:div w:id="556402120">
      <w:bodyDiv w:val="1"/>
      <w:marLeft w:val="0"/>
      <w:marRight w:val="0"/>
      <w:marTop w:val="0"/>
      <w:marBottom w:val="0"/>
      <w:divBdr>
        <w:top w:val="none" w:sz="0" w:space="0" w:color="auto"/>
        <w:left w:val="none" w:sz="0" w:space="0" w:color="auto"/>
        <w:bottom w:val="none" w:sz="0" w:space="0" w:color="auto"/>
        <w:right w:val="none" w:sz="0" w:space="0" w:color="auto"/>
      </w:divBdr>
    </w:div>
    <w:div w:id="556629569">
      <w:bodyDiv w:val="1"/>
      <w:marLeft w:val="0"/>
      <w:marRight w:val="0"/>
      <w:marTop w:val="0"/>
      <w:marBottom w:val="0"/>
      <w:divBdr>
        <w:top w:val="none" w:sz="0" w:space="0" w:color="auto"/>
        <w:left w:val="none" w:sz="0" w:space="0" w:color="auto"/>
        <w:bottom w:val="none" w:sz="0" w:space="0" w:color="auto"/>
        <w:right w:val="none" w:sz="0" w:space="0" w:color="auto"/>
      </w:divBdr>
    </w:div>
    <w:div w:id="556671268">
      <w:bodyDiv w:val="1"/>
      <w:marLeft w:val="0"/>
      <w:marRight w:val="0"/>
      <w:marTop w:val="0"/>
      <w:marBottom w:val="0"/>
      <w:divBdr>
        <w:top w:val="none" w:sz="0" w:space="0" w:color="auto"/>
        <w:left w:val="none" w:sz="0" w:space="0" w:color="auto"/>
        <w:bottom w:val="none" w:sz="0" w:space="0" w:color="auto"/>
        <w:right w:val="none" w:sz="0" w:space="0" w:color="auto"/>
      </w:divBdr>
    </w:div>
    <w:div w:id="557013478">
      <w:bodyDiv w:val="1"/>
      <w:marLeft w:val="0"/>
      <w:marRight w:val="0"/>
      <w:marTop w:val="0"/>
      <w:marBottom w:val="0"/>
      <w:divBdr>
        <w:top w:val="none" w:sz="0" w:space="0" w:color="auto"/>
        <w:left w:val="none" w:sz="0" w:space="0" w:color="auto"/>
        <w:bottom w:val="none" w:sz="0" w:space="0" w:color="auto"/>
        <w:right w:val="none" w:sz="0" w:space="0" w:color="auto"/>
      </w:divBdr>
    </w:div>
    <w:div w:id="558253251">
      <w:bodyDiv w:val="1"/>
      <w:marLeft w:val="0"/>
      <w:marRight w:val="0"/>
      <w:marTop w:val="0"/>
      <w:marBottom w:val="0"/>
      <w:divBdr>
        <w:top w:val="none" w:sz="0" w:space="0" w:color="auto"/>
        <w:left w:val="none" w:sz="0" w:space="0" w:color="auto"/>
        <w:bottom w:val="none" w:sz="0" w:space="0" w:color="auto"/>
        <w:right w:val="none" w:sz="0" w:space="0" w:color="auto"/>
      </w:divBdr>
    </w:div>
    <w:div w:id="559361673">
      <w:bodyDiv w:val="1"/>
      <w:marLeft w:val="0"/>
      <w:marRight w:val="0"/>
      <w:marTop w:val="0"/>
      <w:marBottom w:val="0"/>
      <w:divBdr>
        <w:top w:val="none" w:sz="0" w:space="0" w:color="auto"/>
        <w:left w:val="none" w:sz="0" w:space="0" w:color="auto"/>
        <w:bottom w:val="none" w:sz="0" w:space="0" w:color="auto"/>
        <w:right w:val="none" w:sz="0" w:space="0" w:color="auto"/>
      </w:divBdr>
    </w:div>
    <w:div w:id="559362873">
      <w:bodyDiv w:val="1"/>
      <w:marLeft w:val="0"/>
      <w:marRight w:val="0"/>
      <w:marTop w:val="0"/>
      <w:marBottom w:val="0"/>
      <w:divBdr>
        <w:top w:val="none" w:sz="0" w:space="0" w:color="auto"/>
        <w:left w:val="none" w:sz="0" w:space="0" w:color="auto"/>
        <w:bottom w:val="none" w:sz="0" w:space="0" w:color="auto"/>
        <w:right w:val="none" w:sz="0" w:space="0" w:color="auto"/>
      </w:divBdr>
    </w:div>
    <w:div w:id="559445394">
      <w:bodyDiv w:val="1"/>
      <w:marLeft w:val="0"/>
      <w:marRight w:val="0"/>
      <w:marTop w:val="0"/>
      <w:marBottom w:val="0"/>
      <w:divBdr>
        <w:top w:val="none" w:sz="0" w:space="0" w:color="auto"/>
        <w:left w:val="none" w:sz="0" w:space="0" w:color="auto"/>
        <w:bottom w:val="none" w:sz="0" w:space="0" w:color="auto"/>
        <w:right w:val="none" w:sz="0" w:space="0" w:color="auto"/>
      </w:divBdr>
    </w:div>
    <w:div w:id="560560277">
      <w:bodyDiv w:val="1"/>
      <w:marLeft w:val="0"/>
      <w:marRight w:val="0"/>
      <w:marTop w:val="0"/>
      <w:marBottom w:val="0"/>
      <w:divBdr>
        <w:top w:val="none" w:sz="0" w:space="0" w:color="auto"/>
        <w:left w:val="none" w:sz="0" w:space="0" w:color="auto"/>
        <w:bottom w:val="none" w:sz="0" w:space="0" w:color="auto"/>
        <w:right w:val="none" w:sz="0" w:space="0" w:color="auto"/>
      </w:divBdr>
    </w:div>
    <w:div w:id="561601387">
      <w:bodyDiv w:val="1"/>
      <w:marLeft w:val="0"/>
      <w:marRight w:val="0"/>
      <w:marTop w:val="0"/>
      <w:marBottom w:val="0"/>
      <w:divBdr>
        <w:top w:val="none" w:sz="0" w:space="0" w:color="auto"/>
        <w:left w:val="none" w:sz="0" w:space="0" w:color="auto"/>
        <w:bottom w:val="none" w:sz="0" w:space="0" w:color="auto"/>
        <w:right w:val="none" w:sz="0" w:space="0" w:color="auto"/>
      </w:divBdr>
    </w:div>
    <w:div w:id="561646934">
      <w:bodyDiv w:val="1"/>
      <w:marLeft w:val="0"/>
      <w:marRight w:val="0"/>
      <w:marTop w:val="0"/>
      <w:marBottom w:val="0"/>
      <w:divBdr>
        <w:top w:val="none" w:sz="0" w:space="0" w:color="auto"/>
        <w:left w:val="none" w:sz="0" w:space="0" w:color="auto"/>
        <w:bottom w:val="none" w:sz="0" w:space="0" w:color="auto"/>
        <w:right w:val="none" w:sz="0" w:space="0" w:color="auto"/>
      </w:divBdr>
    </w:div>
    <w:div w:id="561717546">
      <w:bodyDiv w:val="1"/>
      <w:marLeft w:val="0"/>
      <w:marRight w:val="0"/>
      <w:marTop w:val="0"/>
      <w:marBottom w:val="0"/>
      <w:divBdr>
        <w:top w:val="none" w:sz="0" w:space="0" w:color="auto"/>
        <w:left w:val="none" w:sz="0" w:space="0" w:color="auto"/>
        <w:bottom w:val="none" w:sz="0" w:space="0" w:color="auto"/>
        <w:right w:val="none" w:sz="0" w:space="0" w:color="auto"/>
      </w:divBdr>
    </w:div>
    <w:div w:id="562565531">
      <w:bodyDiv w:val="1"/>
      <w:marLeft w:val="0"/>
      <w:marRight w:val="0"/>
      <w:marTop w:val="0"/>
      <w:marBottom w:val="0"/>
      <w:divBdr>
        <w:top w:val="none" w:sz="0" w:space="0" w:color="auto"/>
        <w:left w:val="none" w:sz="0" w:space="0" w:color="auto"/>
        <w:bottom w:val="none" w:sz="0" w:space="0" w:color="auto"/>
        <w:right w:val="none" w:sz="0" w:space="0" w:color="auto"/>
      </w:divBdr>
    </w:div>
    <w:div w:id="563370732">
      <w:bodyDiv w:val="1"/>
      <w:marLeft w:val="0"/>
      <w:marRight w:val="0"/>
      <w:marTop w:val="0"/>
      <w:marBottom w:val="0"/>
      <w:divBdr>
        <w:top w:val="none" w:sz="0" w:space="0" w:color="auto"/>
        <w:left w:val="none" w:sz="0" w:space="0" w:color="auto"/>
        <w:bottom w:val="none" w:sz="0" w:space="0" w:color="auto"/>
        <w:right w:val="none" w:sz="0" w:space="0" w:color="auto"/>
      </w:divBdr>
    </w:div>
    <w:div w:id="564612593">
      <w:bodyDiv w:val="1"/>
      <w:marLeft w:val="0"/>
      <w:marRight w:val="0"/>
      <w:marTop w:val="0"/>
      <w:marBottom w:val="0"/>
      <w:divBdr>
        <w:top w:val="none" w:sz="0" w:space="0" w:color="auto"/>
        <w:left w:val="none" w:sz="0" w:space="0" w:color="auto"/>
        <w:bottom w:val="none" w:sz="0" w:space="0" w:color="auto"/>
        <w:right w:val="none" w:sz="0" w:space="0" w:color="auto"/>
      </w:divBdr>
    </w:div>
    <w:div w:id="564873123">
      <w:bodyDiv w:val="1"/>
      <w:marLeft w:val="0"/>
      <w:marRight w:val="0"/>
      <w:marTop w:val="0"/>
      <w:marBottom w:val="0"/>
      <w:divBdr>
        <w:top w:val="none" w:sz="0" w:space="0" w:color="auto"/>
        <w:left w:val="none" w:sz="0" w:space="0" w:color="auto"/>
        <w:bottom w:val="none" w:sz="0" w:space="0" w:color="auto"/>
        <w:right w:val="none" w:sz="0" w:space="0" w:color="auto"/>
      </w:divBdr>
    </w:div>
    <w:div w:id="567417694">
      <w:bodyDiv w:val="1"/>
      <w:marLeft w:val="0"/>
      <w:marRight w:val="0"/>
      <w:marTop w:val="0"/>
      <w:marBottom w:val="0"/>
      <w:divBdr>
        <w:top w:val="none" w:sz="0" w:space="0" w:color="auto"/>
        <w:left w:val="none" w:sz="0" w:space="0" w:color="auto"/>
        <w:bottom w:val="none" w:sz="0" w:space="0" w:color="auto"/>
        <w:right w:val="none" w:sz="0" w:space="0" w:color="auto"/>
      </w:divBdr>
    </w:div>
    <w:div w:id="567425283">
      <w:bodyDiv w:val="1"/>
      <w:marLeft w:val="0"/>
      <w:marRight w:val="0"/>
      <w:marTop w:val="0"/>
      <w:marBottom w:val="0"/>
      <w:divBdr>
        <w:top w:val="none" w:sz="0" w:space="0" w:color="auto"/>
        <w:left w:val="none" w:sz="0" w:space="0" w:color="auto"/>
        <w:bottom w:val="none" w:sz="0" w:space="0" w:color="auto"/>
        <w:right w:val="none" w:sz="0" w:space="0" w:color="auto"/>
      </w:divBdr>
    </w:div>
    <w:div w:id="567762710">
      <w:bodyDiv w:val="1"/>
      <w:marLeft w:val="0"/>
      <w:marRight w:val="0"/>
      <w:marTop w:val="0"/>
      <w:marBottom w:val="0"/>
      <w:divBdr>
        <w:top w:val="none" w:sz="0" w:space="0" w:color="auto"/>
        <w:left w:val="none" w:sz="0" w:space="0" w:color="auto"/>
        <w:bottom w:val="none" w:sz="0" w:space="0" w:color="auto"/>
        <w:right w:val="none" w:sz="0" w:space="0" w:color="auto"/>
      </w:divBdr>
    </w:div>
    <w:div w:id="568688041">
      <w:bodyDiv w:val="1"/>
      <w:marLeft w:val="0"/>
      <w:marRight w:val="0"/>
      <w:marTop w:val="0"/>
      <w:marBottom w:val="0"/>
      <w:divBdr>
        <w:top w:val="none" w:sz="0" w:space="0" w:color="auto"/>
        <w:left w:val="none" w:sz="0" w:space="0" w:color="auto"/>
        <w:bottom w:val="none" w:sz="0" w:space="0" w:color="auto"/>
        <w:right w:val="none" w:sz="0" w:space="0" w:color="auto"/>
      </w:divBdr>
    </w:div>
    <w:div w:id="569466169">
      <w:bodyDiv w:val="1"/>
      <w:marLeft w:val="0"/>
      <w:marRight w:val="0"/>
      <w:marTop w:val="0"/>
      <w:marBottom w:val="0"/>
      <w:divBdr>
        <w:top w:val="none" w:sz="0" w:space="0" w:color="auto"/>
        <w:left w:val="none" w:sz="0" w:space="0" w:color="auto"/>
        <w:bottom w:val="none" w:sz="0" w:space="0" w:color="auto"/>
        <w:right w:val="none" w:sz="0" w:space="0" w:color="auto"/>
      </w:divBdr>
    </w:div>
    <w:div w:id="570425858">
      <w:bodyDiv w:val="1"/>
      <w:marLeft w:val="0"/>
      <w:marRight w:val="0"/>
      <w:marTop w:val="0"/>
      <w:marBottom w:val="0"/>
      <w:divBdr>
        <w:top w:val="none" w:sz="0" w:space="0" w:color="auto"/>
        <w:left w:val="none" w:sz="0" w:space="0" w:color="auto"/>
        <w:bottom w:val="none" w:sz="0" w:space="0" w:color="auto"/>
        <w:right w:val="none" w:sz="0" w:space="0" w:color="auto"/>
      </w:divBdr>
    </w:div>
    <w:div w:id="571040303">
      <w:bodyDiv w:val="1"/>
      <w:marLeft w:val="0"/>
      <w:marRight w:val="0"/>
      <w:marTop w:val="0"/>
      <w:marBottom w:val="0"/>
      <w:divBdr>
        <w:top w:val="none" w:sz="0" w:space="0" w:color="auto"/>
        <w:left w:val="none" w:sz="0" w:space="0" w:color="auto"/>
        <w:bottom w:val="none" w:sz="0" w:space="0" w:color="auto"/>
        <w:right w:val="none" w:sz="0" w:space="0" w:color="auto"/>
      </w:divBdr>
    </w:div>
    <w:div w:id="571356184">
      <w:bodyDiv w:val="1"/>
      <w:marLeft w:val="0"/>
      <w:marRight w:val="0"/>
      <w:marTop w:val="0"/>
      <w:marBottom w:val="0"/>
      <w:divBdr>
        <w:top w:val="none" w:sz="0" w:space="0" w:color="auto"/>
        <w:left w:val="none" w:sz="0" w:space="0" w:color="auto"/>
        <w:bottom w:val="none" w:sz="0" w:space="0" w:color="auto"/>
        <w:right w:val="none" w:sz="0" w:space="0" w:color="auto"/>
      </w:divBdr>
    </w:div>
    <w:div w:id="572660086">
      <w:bodyDiv w:val="1"/>
      <w:marLeft w:val="0"/>
      <w:marRight w:val="0"/>
      <w:marTop w:val="0"/>
      <w:marBottom w:val="0"/>
      <w:divBdr>
        <w:top w:val="none" w:sz="0" w:space="0" w:color="auto"/>
        <w:left w:val="none" w:sz="0" w:space="0" w:color="auto"/>
        <w:bottom w:val="none" w:sz="0" w:space="0" w:color="auto"/>
        <w:right w:val="none" w:sz="0" w:space="0" w:color="auto"/>
      </w:divBdr>
    </w:div>
    <w:div w:id="572785241">
      <w:bodyDiv w:val="1"/>
      <w:marLeft w:val="0"/>
      <w:marRight w:val="0"/>
      <w:marTop w:val="0"/>
      <w:marBottom w:val="0"/>
      <w:divBdr>
        <w:top w:val="none" w:sz="0" w:space="0" w:color="auto"/>
        <w:left w:val="none" w:sz="0" w:space="0" w:color="auto"/>
        <w:bottom w:val="none" w:sz="0" w:space="0" w:color="auto"/>
        <w:right w:val="none" w:sz="0" w:space="0" w:color="auto"/>
      </w:divBdr>
    </w:div>
    <w:div w:id="573704188">
      <w:bodyDiv w:val="1"/>
      <w:marLeft w:val="0"/>
      <w:marRight w:val="0"/>
      <w:marTop w:val="0"/>
      <w:marBottom w:val="0"/>
      <w:divBdr>
        <w:top w:val="none" w:sz="0" w:space="0" w:color="auto"/>
        <w:left w:val="none" w:sz="0" w:space="0" w:color="auto"/>
        <w:bottom w:val="none" w:sz="0" w:space="0" w:color="auto"/>
        <w:right w:val="none" w:sz="0" w:space="0" w:color="auto"/>
      </w:divBdr>
    </w:div>
    <w:div w:id="573856555">
      <w:bodyDiv w:val="1"/>
      <w:marLeft w:val="0"/>
      <w:marRight w:val="0"/>
      <w:marTop w:val="0"/>
      <w:marBottom w:val="0"/>
      <w:divBdr>
        <w:top w:val="none" w:sz="0" w:space="0" w:color="auto"/>
        <w:left w:val="none" w:sz="0" w:space="0" w:color="auto"/>
        <w:bottom w:val="none" w:sz="0" w:space="0" w:color="auto"/>
        <w:right w:val="none" w:sz="0" w:space="0" w:color="auto"/>
      </w:divBdr>
    </w:div>
    <w:div w:id="574046348">
      <w:bodyDiv w:val="1"/>
      <w:marLeft w:val="0"/>
      <w:marRight w:val="0"/>
      <w:marTop w:val="0"/>
      <w:marBottom w:val="0"/>
      <w:divBdr>
        <w:top w:val="none" w:sz="0" w:space="0" w:color="auto"/>
        <w:left w:val="none" w:sz="0" w:space="0" w:color="auto"/>
        <w:bottom w:val="none" w:sz="0" w:space="0" w:color="auto"/>
        <w:right w:val="none" w:sz="0" w:space="0" w:color="auto"/>
      </w:divBdr>
    </w:div>
    <w:div w:id="575365034">
      <w:bodyDiv w:val="1"/>
      <w:marLeft w:val="0"/>
      <w:marRight w:val="0"/>
      <w:marTop w:val="0"/>
      <w:marBottom w:val="0"/>
      <w:divBdr>
        <w:top w:val="none" w:sz="0" w:space="0" w:color="auto"/>
        <w:left w:val="none" w:sz="0" w:space="0" w:color="auto"/>
        <w:bottom w:val="none" w:sz="0" w:space="0" w:color="auto"/>
        <w:right w:val="none" w:sz="0" w:space="0" w:color="auto"/>
      </w:divBdr>
    </w:div>
    <w:div w:id="576593915">
      <w:bodyDiv w:val="1"/>
      <w:marLeft w:val="0"/>
      <w:marRight w:val="0"/>
      <w:marTop w:val="0"/>
      <w:marBottom w:val="0"/>
      <w:divBdr>
        <w:top w:val="none" w:sz="0" w:space="0" w:color="auto"/>
        <w:left w:val="none" w:sz="0" w:space="0" w:color="auto"/>
        <w:bottom w:val="none" w:sz="0" w:space="0" w:color="auto"/>
        <w:right w:val="none" w:sz="0" w:space="0" w:color="auto"/>
      </w:divBdr>
    </w:div>
    <w:div w:id="577831198">
      <w:bodyDiv w:val="1"/>
      <w:marLeft w:val="0"/>
      <w:marRight w:val="0"/>
      <w:marTop w:val="0"/>
      <w:marBottom w:val="0"/>
      <w:divBdr>
        <w:top w:val="none" w:sz="0" w:space="0" w:color="auto"/>
        <w:left w:val="none" w:sz="0" w:space="0" w:color="auto"/>
        <w:bottom w:val="none" w:sz="0" w:space="0" w:color="auto"/>
        <w:right w:val="none" w:sz="0" w:space="0" w:color="auto"/>
      </w:divBdr>
    </w:div>
    <w:div w:id="577862172">
      <w:bodyDiv w:val="1"/>
      <w:marLeft w:val="0"/>
      <w:marRight w:val="0"/>
      <w:marTop w:val="0"/>
      <w:marBottom w:val="0"/>
      <w:divBdr>
        <w:top w:val="none" w:sz="0" w:space="0" w:color="auto"/>
        <w:left w:val="none" w:sz="0" w:space="0" w:color="auto"/>
        <w:bottom w:val="none" w:sz="0" w:space="0" w:color="auto"/>
        <w:right w:val="none" w:sz="0" w:space="0" w:color="auto"/>
      </w:divBdr>
    </w:div>
    <w:div w:id="578516129">
      <w:bodyDiv w:val="1"/>
      <w:marLeft w:val="0"/>
      <w:marRight w:val="0"/>
      <w:marTop w:val="0"/>
      <w:marBottom w:val="0"/>
      <w:divBdr>
        <w:top w:val="none" w:sz="0" w:space="0" w:color="auto"/>
        <w:left w:val="none" w:sz="0" w:space="0" w:color="auto"/>
        <w:bottom w:val="none" w:sz="0" w:space="0" w:color="auto"/>
        <w:right w:val="none" w:sz="0" w:space="0" w:color="auto"/>
      </w:divBdr>
    </w:div>
    <w:div w:id="578561422">
      <w:bodyDiv w:val="1"/>
      <w:marLeft w:val="0"/>
      <w:marRight w:val="0"/>
      <w:marTop w:val="0"/>
      <w:marBottom w:val="0"/>
      <w:divBdr>
        <w:top w:val="none" w:sz="0" w:space="0" w:color="auto"/>
        <w:left w:val="none" w:sz="0" w:space="0" w:color="auto"/>
        <w:bottom w:val="none" w:sz="0" w:space="0" w:color="auto"/>
        <w:right w:val="none" w:sz="0" w:space="0" w:color="auto"/>
      </w:divBdr>
    </w:div>
    <w:div w:id="579291738">
      <w:bodyDiv w:val="1"/>
      <w:marLeft w:val="0"/>
      <w:marRight w:val="0"/>
      <w:marTop w:val="0"/>
      <w:marBottom w:val="0"/>
      <w:divBdr>
        <w:top w:val="none" w:sz="0" w:space="0" w:color="auto"/>
        <w:left w:val="none" w:sz="0" w:space="0" w:color="auto"/>
        <w:bottom w:val="none" w:sz="0" w:space="0" w:color="auto"/>
        <w:right w:val="none" w:sz="0" w:space="0" w:color="auto"/>
      </w:divBdr>
    </w:div>
    <w:div w:id="579826667">
      <w:bodyDiv w:val="1"/>
      <w:marLeft w:val="0"/>
      <w:marRight w:val="0"/>
      <w:marTop w:val="0"/>
      <w:marBottom w:val="0"/>
      <w:divBdr>
        <w:top w:val="none" w:sz="0" w:space="0" w:color="auto"/>
        <w:left w:val="none" w:sz="0" w:space="0" w:color="auto"/>
        <w:bottom w:val="none" w:sz="0" w:space="0" w:color="auto"/>
        <w:right w:val="none" w:sz="0" w:space="0" w:color="auto"/>
      </w:divBdr>
    </w:div>
    <w:div w:id="581987445">
      <w:bodyDiv w:val="1"/>
      <w:marLeft w:val="0"/>
      <w:marRight w:val="0"/>
      <w:marTop w:val="0"/>
      <w:marBottom w:val="0"/>
      <w:divBdr>
        <w:top w:val="none" w:sz="0" w:space="0" w:color="auto"/>
        <w:left w:val="none" w:sz="0" w:space="0" w:color="auto"/>
        <w:bottom w:val="none" w:sz="0" w:space="0" w:color="auto"/>
        <w:right w:val="none" w:sz="0" w:space="0" w:color="auto"/>
      </w:divBdr>
    </w:div>
    <w:div w:id="582298978">
      <w:bodyDiv w:val="1"/>
      <w:marLeft w:val="0"/>
      <w:marRight w:val="0"/>
      <w:marTop w:val="0"/>
      <w:marBottom w:val="0"/>
      <w:divBdr>
        <w:top w:val="none" w:sz="0" w:space="0" w:color="auto"/>
        <w:left w:val="none" w:sz="0" w:space="0" w:color="auto"/>
        <w:bottom w:val="none" w:sz="0" w:space="0" w:color="auto"/>
        <w:right w:val="none" w:sz="0" w:space="0" w:color="auto"/>
      </w:divBdr>
    </w:div>
    <w:div w:id="582647351">
      <w:bodyDiv w:val="1"/>
      <w:marLeft w:val="0"/>
      <w:marRight w:val="0"/>
      <w:marTop w:val="0"/>
      <w:marBottom w:val="0"/>
      <w:divBdr>
        <w:top w:val="none" w:sz="0" w:space="0" w:color="auto"/>
        <w:left w:val="none" w:sz="0" w:space="0" w:color="auto"/>
        <w:bottom w:val="none" w:sz="0" w:space="0" w:color="auto"/>
        <w:right w:val="none" w:sz="0" w:space="0" w:color="auto"/>
      </w:divBdr>
    </w:div>
    <w:div w:id="582764171">
      <w:bodyDiv w:val="1"/>
      <w:marLeft w:val="0"/>
      <w:marRight w:val="0"/>
      <w:marTop w:val="0"/>
      <w:marBottom w:val="0"/>
      <w:divBdr>
        <w:top w:val="none" w:sz="0" w:space="0" w:color="auto"/>
        <w:left w:val="none" w:sz="0" w:space="0" w:color="auto"/>
        <w:bottom w:val="none" w:sz="0" w:space="0" w:color="auto"/>
        <w:right w:val="none" w:sz="0" w:space="0" w:color="auto"/>
      </w:divBdr>
    </w:div>
    <w:div w:id="583227259">
      <w:bodyDiv w:val="1"/>
      <w:marLeft w:val="0"/>
      <w:marRight w:val="0"/>
      <w:marTop w:val="0"/>
      <w:marBottom w:val="0"/>
      <w:divBdr>
        <w:top w:val="none" w:sz="0" w:space="0" w:color="auto"/>
        <w:left w:val="none" w:sz="0" w:space="0" w:color="auto"/>
        <w:bottom w:val="none" w:sz="0" w:space="0" w:color="auto"/>
        <w:right w:val="none" w:sz="0" w:space="0" w:color="auto"/>
      </w:divBdr>
    </w:div>
    <w:div w:id="583301992">
      <w:bodyDiv w:val="1"/>
      <w:marLeft w:val="0"/>
      <w:marRight w:val="0"/>
      <w:marTop w:val="0"/>
      <w:marBottom w:val="0"/>
      <w:divBdr>
        <w:top w:val="none" w:sz="0" w:space="0" w:color="auto"/>
        <w:left w:val="none" w:sz="0" w:space="0" w:color="auto"/>
        <w:bottom w:val="none" w:sz="0" w:space="0" w:color="auto"/>
        <w:right w:val="none" w:sz="0" w:space="0" w:color="auto"/>
      </w:divBdr>
    </w:div>
    <w:div w:id="585185576">
      <w:bodyDiv w:val="1"/>
      <w:marLeft w:val="0"/>
      <w:marRight w:val="0"/>
      <w:marTop w:val="0"/>
      <w:marBottom w:val="0"/>
      <w:divBdr>
        <w:top w:val="none" w:sz="0" w:space="0" w:color="auto"/>
        <w:left w:val="none" w:sz="0" w:space="0" w:color="auto"/>
        <w:bottom w:val="none" w:sz="0" w:space="0" w:color="auto"/>
        <w:right w:val="none" w:sz="0" w:space="0" w:color="auto"/>
      </w:divBdr>
    </w:div>
    <w:div w:id="585193628">
      <w:bodyDiv w:val="1"/>
      <w:marLeft w:val="0"/>
      <w:marRight w:val="0"/>
      <w:marTop w:val="0"/>
      <w:marBottom w:val="0"/>
      <w:divBdr>
        <w:top w:val="none" w:sz="0" w:space="0" w:color="auto"/>
        <w:left w:val="none" w:sz="0" w:space="0" w:color="auto"/>
        <w:bottom w:val="none" w:sz="0" w:space="0" w:color="auto"/>
        <w:right w:val="none" w:sz="0" w:space="0" w:color="auto"/>
      </w:divBdr>
    </w:div>
    <w:div w:id="586891160">
      <w:bodyDiv w:val="1"/>
      <w:marLeft w:val="0"/>
      <w:marRight w:val="0"/>
      <w:marTop w:val="0"/>
      <w:marBottom w:val="0"/>
      <w:divBdr>
        <w:top w:val="none" w:sz="0" w:space="0" w:color="auto"/>
        <w:left w:val="none" w:sz="0" w:space="0" w:color="auto"/>
        <w:bottom w:val="none" w:sz="0" w:space="0" w:color="auto"/>
        <w:right w:val="none" w:sz="0" w:space="0" w:color="auto"/>
      </w:divBdr>
    </w:div>
    <w:div w:id="588079429">
      <w:bodyDiv w:val="1"/>
      <w:marLeft w:val="0"/>
      <w:marRight w:val="0"/>
      <w:marTop w:val="0"/>
      <w:marBottom w:val="0"/>
      <w:divBdr>
        <w:top w:val="none" w:sz="0" w:space="0" w:color="auto"/>
        <w:left w:val="none" w:sz="0" w:space="0" w:color="auto"/>
        <w:bottom w:val="none" w:sz="0" w:space="0" w:color="auto"/>
        <w:right w:val="none" w:sz="0" w:space="0" w:color="auto"/>
      </w:divBdr>
    </w:div>
    <w:div w:id="588389368">
      <w:bodyDiv w:val="1"/>
      <w:marLeft w:val="0"/>
      <w:marRight w:val="0"/>
      <w:marTop w:val="0"/>
      <w:marBottom w:val="0"/>
      <w:divBdr>
        <w:top w:val="none" w:sz="0" w:space="0" w:color="auto"/>
        <w:left w:val="none" w:sz="0" w:space="0" w:color="auto"/>
        <w:bottom w:val="none" w:sz="0" w:space="0" w:color="auto"/>
        <w:right w:val="none" w:sz="0" w:space="0" w:color="auto"/>
      </w:divBdr>
    </w:div>
    <w:div w:id="589319621">
      <w:bodyDiv w:val="1"/>
      <w:marLeft w:val="0"/>
      <w:marRight w:val="0"/>
      <w:marTop w:val="0"/>
      <w:marBottom w:val="0"/>
      <w:divBdr>
        <w:top w:val="none" w:sz="0" w:space="0" w:color="auto"/>
        <w:left w:val="none" w:sz="0" w:space="0" w:color="auto"/>
        <w:bottom w:val="none" w:sz="0" w:space="0" w:color="auto"/>
        <w:right w:val="none" w:sz="0" w:space="0" w:color="auto"/>
      </w:divBdr>
    </w:div>
    <w:div w:id="593363947">
      <w:bodyDiv w:val="1"/>
      <w:marLeft w:val="0"/>
      <w:marRight w:val="0"/>
      <w:marTop w:val="0"/>
      <w:marBottom w:val="0"/>
      <w:divBdr>
        <w:top w:val="none" w:sz="0" w:space="0" w:color="auto"/>
        <w:left w:val="none" w:sz="0" w:space="0" w:color="auto"/>
        <w:bottom w:val="none" w:sz="0" w:space="0" w:color="auto"/>
        <w:right w:val="none" w:sz="0" w:space="0" w:color="auto"/>
      </w:divBdr>
    </w:div>
    <w:div w:id="593367318">
      <w:bodyDiv w:val="1"/>
      <w:marLeft w:val="0"/>
      <w:marRight w:val="0"/>
      <w:marTop w:val="0"/>
      <w:marBottom w:val="0"/>
      <w:divBdr>
        <w:top w:val="none" w:sz="0" w:space="0" w:color="auto"/>
        <w:left w:val="none" w:sz="0" w:space="0" w:color="auto"/>
        <w:bottom w:val="none" w:sz="0" w:space="0" w:color="auto"/>
        <w:right w:val="none" w:sz="0" w:space="0" w:color="auto"/>
      </w:divBdr>
    </w:div>
    <w:div w:id="595596558">
      <w:bodyDiv w:val="1"/>
      <w:marLeft w:val="0"/>
      <w:marRight w:val="0"/>
      <w:marTop w:val="0"/>
      <w:marBottom w:val="0"/>
      <w:divBdr>
        <w:top w:val="none" w:sz="0" w:space="0" w:color="auto"/>
        <w:left w:val="none" w:sz="0" w:space="0" w:color="auto"/>
        <w:bottom w:val="none" w:sz="0" w:space="0" w:color="auto"/>
        <w:right w:val="none" w:sz="0" w:space="0" w:color="auto"/>
      </w:divBdr>
    </w:div>
    <w:div w:id="596331848">
      <w:bodyDiv w:val="1"/>
      <w:marLeft w:val="0"/>
      <w:marRight w:val="0"/>
      <w:marTop w:val="0"/>
      <w:marBottom w:val="0"/>
      <w:divBdr>
        <w:top w:val="none" w:sz="0" w:space="0" w:color="auto"/>
        <w:left w:val="none" w:sz="0" w:space="0" w:color="auto"/>
        <w:bottom w:val="none" w:sz="0" w:space="0" w:color="auto"/>
        <w:right w:val="none" w:sz="0" w:space="0" w:color="auto"/>
      </w:divBdr>
    </w:div>
    <w:div w:id="597256268">
      <w:bodyDiv w:val="1"/>
      <w:marLeft w:val="0"/>
      <w:marRight w:val="0"/>
      <w:marTop w:val="0"/>
      <w:marBottom w:val="0"/>
      <w:divBdr>
        <w:top w:val="none" w:sz="0" w:space="0" w:color="auto"/>
        <w:left w:val="none" w:sz="0" w:space="0" w:color="auto"/>
        <w:bottom w:val="none" w:sz="0" w:space="0" w:color="auto"/>
        <w:right w:val="none" w:sz="0" w:space="0" w:color="auto"/>
      </w:divBdr>
    </w:div>
    <w:div w:id="597828552">
      <w:bodyDiv w:val="1"/>
      <w:marLeft w:val="0"/>
      <w:marRight w:val="0"/>
      <w:marTop w:val="0"/>
      <w:marBottom w:val="0"/>
      <w:divBdr>
        <w:top w:val="none" w:sz="0" w:space="0" w:color="auto"/>
        <w:left w:val="none" w:sz="0" w:space="0" w:color="auto"/>
        <w:bottom w:val="none" w:sz="0" w:space="0" w:color="auto"/>
        <w:right w:val="none" w:sz="0" w:space="0" w:color="auto"/>
      </w:divBdr>
    </w:div>
    <w:div w:id="599798080">
      <w:bodyDiv w:val="1"/>
      <w:marLeft w:val="0"/>
      <w:marRight w:val="0"/>
      <w:marTop w:val="0"/>
      <w:marBottom w:val="0"/>
      <w:divBdr>
        <w:top w:val="none" w:sz="0" w:space="0" w:color="auto"/>
        <w:left w:val="none" w:sz="0" w:space="0" w:color="auto"/>
        <w:bottom w:val="none" w:sz="0" w:space="0" w:color="auto"/>
        <w:right w:val="none" w:sz="0" w:space="0" w:color="auto"/>
      </w:divBdr>
    </w:div>
    <w:div w:id="600917063">
      <w:bodyDiv w:val="1"/>
      <w:marLeft w:val="0"/>
      <w:marRight w:val="0"/>
      <w:marTop w:val="0"/>
      <w:marBottom w:val="0"/>
      <w:divBdr>
        <w:top w:val="none" w:sz="0" w:space="0" w:color="auto"/>
        <w:left w:val="none" w:sz="0" w:space="0" w:color="auto"/>
        <w:bottom w:val="none" w:sz="0" w:space="0" w:color="auto"/>
        <w:right w:val="none" w:sz="0" w:space="0" w:color="auto"/>
      </w:divBdr>
    </w:div>
    <w:div w:id="602037712">
      <w:bodyDiv w:val="1"/>
      <w:marLeft w:val="0"/>
      <w:marRight w:val="0"/>
      <w:marTop w:val="0"/>
      <w:marBottom w:val="0"/>
      <w:divBdr>
        <w:top w:val="none" w:sz="0" w:space="0" w:color="auto"/>
        <w:left w:val="none" w:sz="0" w:space="0" w:color="auto"/>
        <w:bottom w:val="none" w:sz="0" w:space="0" w:color="auto"/>
        <w:right w:val="none" w:sz="0" w:space="0" w:color="auto"/>
      </w:divBdr>
    </w:div>
    <w:div w:id="603154608">
      <w:bodyDiv w:val="1"/>
      <w:marLeft w:val="0"/>
      <w:marRight w:val="0"/>
      <w:marTop w:val="0"/>
      <w:marBottom w:val="0"/>
      <w:divBdr>
        <w:top w:val="none" w:sz="0" w:space="0" w:color="auto"/>
        <w:left w:val="none" w:sz="0" w:space="0" w:color="auto"/>
        <w:bottom w:val="none" w:sz="0" w:space="0" w:color="auto"/>
        <w:right w:val="none" w:sz="0" w:space="0" w:color="auto"/>
      </w:divBdr>
    </w:div>
    <w:div w:id="603346850">
      <w:bodyDiv w:val="1"/>
      <w:marLeft w:val="0"/>
      <w:marRight w:val="0"/>
      <w:marTop w:val="0"/>
      <w:marBottom w:val="0"/>
      <w:divBdr>
        <w:top w:val="none" w:sz="0" w:space="0" w:color="auto"/>
        <w:left w:val="none" w:sz="0" w:space="0" w:color="auto"/>
        <w:bottom w:val="none" w:sz="0" w:space="0" w:color="auto"/>
        <w:right w:val="none" w:sz="0" w:space="0" w:color="auto"/>
      </w:divBdr>
    </w:div>
    <w:div w:id="603348002">
      <w:bodyDiv w:val="1"/>
      <w:marLeft w:val="0"/>
      <w:marRight w:val="0"/>
      <w:marTop w:val="0"/>
      <w:marBottom w:val="0"/>
      <w:divBdr>
        <w:top w:val="none" w:sz="0" w:space="0" w:color="auto"/>
        <w:left w:val="none" w:sz="0" w:space="0" w:color="auto"/>
        <w:bottom w:val="none" w:sz="0" w:space="0" w:color="auto"/>
        <w:right w:val="none" w:sz="0" w:space="0" w:color="auto"/>
      </w:divBdr>
    </w:div>
    <w:div w:id="606038656">
      <w:bodyDiv w:val="1"/>
      <w:marLeft w:val="0"/>
      <w:marRight w:val="0"/>
      <w:marTop w:val="0"/>
      <w:marBottom w:val="0"/>
      <w:divBdr>
        <w:top w:val="none" w:sz="0" w:space="0" w:color="auto"/>
        <w:left w:val="none" w:sz="0" w:space="0" w:color="auto"/>
        <w:bottom w:val="none" w:sz="0" w:space="0" w:color="auto"/>
        <w:right w:val="none" w:sz="0" w:space="0" w:color="auto"/>
      </w:divBdr>
    </w:div>
    <w:div w:id="606084381">
      <w:bodyDiv w:val="1"/>
      <w:marLeft w:val="0"/>
      <w:marRight w:val="0"/>
      <w:marTop w:val="0"/>
      <w:marBottom w:val="0"/>
      <w:divBdr>
        <w:top w:val="none" w:sz="0" w:space="0" w:color="auto"/>
        <w:left w:val="none" w:sz="0" w:space="0" w:color="auto"/>
        <w:bottom w:val="none" w:sz="0" w:space="0" w:color="auto"/>
        <w:right w:val="none" w:sz="0" w:space="0" w:color="auto"/>
      </w:divBdr>
    </w:div>
    <w:div w:id="606625419">
      <w:bodyDiv w:val="1"/>
      <w:marLeft w:val="0"/>
      <w:marRight w:val="0"/>
      <w:marTop w:val="0"/>
      <w:marBottom w:val="0"/>
      <w:divBdr>
        <w:top w:val="none" w:sz="0" w:space="0" w:color="auto"/>
        <w:left w:val="none" w:sz="0" w:space="0" w:color="auto"/>
        <w:bottom w:val="none" w:sz="0" w:space="0" w:color="auto"/>
        <w:right w:val="none" w:sz="0" w:space="0" w:color="auto"/>
      </w:divBdr>
    </w:div>
    <w:div w:id="606698273">
      <w:bodyDiv w:val="1"/>
      <w:marLeft w:val="0"/>
      <w:marRight w:val="0"/>
      <w:marTop w:val="0"/>
      <w:marBottom w:val="0"/>
      <w:divBdr>
        <w:top w:val="none" w:sz="0" w:space="0" w:color="auto"/>
        <w:left w:val="none" w:sz="0" w:space="0" w:color="auto"/>
        <w:bottom w:val="none" w:sz="0" w:space="0" w:color="auto"/>
        <w:right w:val="none" w:sz="0" w:space="0" w:color="auto"/>
      </w:divBdr>
    </w:div>
    <w:div w:id="607278237">
      <w:bodyDiv w:val="1"/>
      <w:marLeft w:val="0"/>
      <w:marRight w:val="0"/>
      <w:marTop w:val="0"/>
      <w:marBottom w:val="0"/>
      <w:divBdr>
        <w:top w:val="none" w:sz="0" w:space="0" w:color="auto"/>
        <w:left w:val="none" w:sz="0" w:space="0" w:color="auto"/>
        <w:bottom w:val="none" w:sz="0" w:space="0" w:color="auto"/>
        <w:right w:val="none" w:sz="0" w:space="0" w:color="auto"/>
      </w:divBdr>
    </w:div>
    <w:div w:id="608436282">
      <w:bodyDiv w:val="1"/>
      <w:marLeft w:val="0"/>
      <w:marRight w:val="0"/>
      <w:marTop w:val="0"/>
      <w:marBottom w:val="0"/>
      <w:divBdr>
        <w:top w:val="none" w:sz="0" w:space="0" w:color="auto"/>
        <w:left w:val="none" w:sz="0" w:space="0" w:color="auto"/>
        <w:bottom w:val="none" w:sz="0" w:space="0" w:color="auto"/>
        <w:right w:val="none" w:sz="0" w:space="0" w:color="auto"/>
      </w:divBdr>
    </w:div>
    <w:div w:id="608778893">
      <w:bodyDiv w:val="1"/>
      <w:marLeft w:val="0"/>
      <w:marRight w:val="0"/>
      <w:marTop w:val="0"/>
      <w:marBottom w:val="0"/>
      <w:divBdr>
        <w:top w:val="none" w:sz="0" w:space="0" w:color="auto"/>
        <w:left w:val="none" w:sz="0" w:space="0" w:color="auto"/>
        <w:bottom w:val="none" w:sz="0" w:space="0" w:color="auto"/>
        <w:right w:val="none" w:sz="0" w:space="0" w:color="auto"/>
      </w:divBdr>
    </w:div>
    <w:div w:id="609162811">
      <w:bodyDiv w:val="1"/>
      <w:marLeft w:val="0"/>
      <w:marRight w:val="0"/>
      <w:marTop w:val="0"/>
      <w:marBottom w:val="0"/>
      <w:divBdr>
        <w:top w:val="none" w:sz="0" w:space="0" w:color="auto"/>
        <w:left w:val="none" w:sz="0" w:space="0" w:color="auto"/>
        <w:bottom w:val="none" w:sz="0" w:space="0" w:color="auto"/>
        <w:right w:val="none" w:sz="0" w:space="0" w:color="auto"/>
      </w:divBdr>
    </w:div>
    <w:div w:id="609896356">
      <w:bodyDiv w:val="1"/>
      <w:marLeft w:val="0"/>
      <w:marRight w:val="0"/>
      <w:marTop w:val="0"/>
      <w:marBottom w:val="0"/>
      <w:divBdr>
        <w:top w:val="none" w:sz="0" w:space="0" w:color="auto"/>
        <w:left w:val="none" w:sz="0" w:space="0" w:color="auto"/>
        <w:bottom w:val="none" w:sz="0" w:space="0" w:color="auto"/>
        <w:right w:val="none" w:sz="0" w:space="0" w:color="auto"/>
      </w:divBdr>
    </w:div>
    <w:div w:id="612593338">
      <w:bodyDiv w:val="1"/>
      <w:marLeft w:val="0"/>
      <w:marRight w:val="0"/>
      <w:marTop w:val="0"/>
      <w:marBottom w:val="0"/>
      <w:divBdr>
        <w:top w:val="none" w:sz="0" w:space="0" w:color="auto"/>
        <w:left w:val="none" w:sz="0" w:space="0" w:color="auto"/>
        <w:bottom w:val="none" w:sz="0" w:space="0" w:color="auto"/>
        <w:right w:val="none" w:sz="0" w:space="0" w:color="auto"/>
      </w:divBdr>
    </w:div>
    <w:div w:id="612708736">
      <w:bodyDiv w:val="1"/>
      <w:marLeft w:val="0"/>
      <w:marRight w:val="0"/>
      <w:marTop w:val="0"/>
      <w:marBottom w:val="0"/>
      <w:divBdr>
        <w:top w:val="none" w:sz="0" w:space="0" w:color="auto"/>
        <w:left w:val="none" w:sz="0" w:space="0" w:color="auto"/>
        <w:bottom w:val="none" w:sz="0" w:space="0" w:color="auto"/>
        <w:right w:val="none" w:sz="0" w:space="0" w:color="auto"/>
      </w:divBdr>
    </w:div>
    <w:div w:id="612831760">
      <w:bodyDiv w:val="1"/>
      <w:marLeft w:val="0"/>
      <w:marRight w:val="0"/>
      <w:marTop w:val="0"/>
      <w:marBottom w:val="0"/>
      <w:divBdr>
        <w:top w:val="none" w:sz="0" w:space="0" w:color="auto"/>
        <w:left w:val="none" w:sz="0" w:space="0" w:color="auto"/>
        <w:bottom w:val="none" w:sz="0" w:space="0" w:color="auto"/>
        <w:right w:val="none" w:sz="0" w:space="0" w:color="auto"/>
      </w:divBdr>
    </w:div>
    <w:div w:id="612832102">
      <w:bodyDiv w:val="1"/>
      <w:marLeft w:val="0"/>
      <w:marRight w:val="0"/>
      <w:marTop w:val="0"/>
      <w:marBottom w:val="0"/>
      <w:divBdr>
        <w:top w:val="none" w:sz="0" w:space="0" w:color="auto"/>
        <w:left w:val="none" w:sz="0" w:space="0" w:color="auto"/>
        <w:bottom w:val="none" w:sz="0" w:space="0" w:color="auto"/>
        <w:right w:val="none" w:sz="0" w:space="0" w:color="auto"/>
      </w:divBdr>
    </w:div>
    <w:div w:id="614017769">
      <w:bodyDiv w:val="1"/>
      <w:marLeft w:val="0"/>
      <w:marRight w:val="0"/>
      <w:marTop w:val="0"/>
      <w:marBottom w:val="0"/>
      <w:divBdr>
        <w:top w:val="none" w:sz="0" w:space="0" w:color="auto"/>
        <w:left w:val="none" w:sz="0" w:space="0" w:color="auto"/>
        <w:bottom w:val="none" w:sz="0" w:space="0" w:color="auto"/>
        <w:right w:val="none" w:sz="0" w:space="0" w:color="auto"/>
      </w:divBdr>
    </w:div>
    <w:div w:id="614408660">
      <w:bodyDiv w:val="1"/>
      <w:marLeft w:val="0"/>
      <w:marRight w:val="0"/>
      <w:marTop w:val="0"/>
      <w:marBottom w:val="0"/>
      <w:divBdr>
        <w:top w:val="none" w:sz="0" w:space="0" w:color="auto"/>
        <w:left w:val="none" w:sz="0" w:space="0" w:color="auto"/>
        <w:bottom w:val="none" w:sz="0" w:space="0" w:color="auto"/>
        <w:right w:val="none" w:sz="0" w:space="0" w:color="auto"/>
      </w:divBdr>
    </w:div>
    <w:div w:id="614796395">
      <w:bodyDiv w:val="1"/>
      <w:marLeft w:val="0"/>
      <w:marRight w:val="0"/>
      <w:marTop w:val="0"/>
      <w:marBottom w:val="0"/>
      <w:divBdr>
        <w:top w:val="none" w:sz="0" w:space="0" w:color="auto"/>
        <w:left w:val="none" w:sz="0" w:space="0" w:color="auto"/>
        <w:bottom w:val="none" w:sz="0" w:space="0" w:color="auto"/>
        <w:right w:val="none" w:sz="0" w:space="0" w:color="auto"/>
      </w:divBdr>
    </w:div>
    <w:div w:id="616644325">
      <w:bodyDiv w:val="1"/>
      <w:marLeft w:val="0"/>
      <w:marRight w:val="0"/>
      <w:marTop w:val="0"/>
      <w:marBottom w:val="0"/>
      <w:divBdr>
        <w:top w:val="none" w:sz="0" w:space="0" w:color="auto"/>
        <w:left w:val="none" w:sz="0" w:space="0" w:color="auto"/>
        <w:bottom w:val="none" w:sz="0" w:space="0" w:color="auto"/>
        <w:right w:val="none" w:sz="0" w:space="0" w:color="auto"/>
      </w:divBdr>
    </w:div>
    <w:div w:id="617371976">
      <w:bodyDiv w:val="1"/>
      <w:marLeft w:val="0"/>
      <w:marRight w:val="0"/>
      <w:marTop w:val="0"/>
      <w:marBottom w:val="0"/>
      <w:divBdr>
        <w:top w:val="none" w:sz="0" w:space="0" w:color="auto"/>
        <w:left w:val="none" w:sz="0" w:space="0" w:color="auto"/>
        <w:bottom w:val="none" w:sz="0" w:space="0" w:color="auto"/>
        <w:right w:val="none" w:sz="0" w:space="0" w:color="auto"/>
      </w:divBdr>
    </w:div>
    <w:div w:id="617684330">
      <w:bodyDiv w:val="1"/>
      <w:marLeft w:val="0"/>
      <w:marRight w:val="0"/>
      <w:marTop w:val="0"/>
      <w:marBottom w:val="0"/>
      <w:divBdr>
        <w:top w:val="none" w:sz="0" w:space="0" w:color="auto"/>
        <w:left w:val="none" w:sz="0" w:space="0" w:color="auto"/>
        <w:bottom w:val="none" w:sz="0" w:space="0" w:color="auto"/>
        <w:right w:val="none" w:sz="0" w:space="0" w:color="auto"/>
      </w:divBdr>
    </w:div>
    <w:div w:id="618143468">
      <w:bodyDiv w:val="1"/>
      <w:marLeft w:val="0"/>
      <w:marRight w:val="0"/>
      <w:marTop w:val="0"/>
      <w:marBottom w:val="0"/>
      <w:divBdr>
        <w:top w:val="none" w:sz="0" w:space="0" w:color="auto"/>
        <w:left w:val="none" w:sz="0" w:space="0" w:color="auto"/>
        <w:bottom w:val="none" w:sz="0" w:space="0" w:color="auto"/>
        <w:right w:val="none" w:sz="0" w:space="0" w:color="auto"/>
      </w:divBdr>
    </w:div>
    <w:div w:id="620383907">
      <w:bodyDiv w:val="1"/>
      <w:marLeft w:val="0"/>
      <w:marRight w:val="0"/>
      <w:marTop w:val="0"/>
      <w:marBottom w:val="0"/>
      <w:divBdr>
        <w:top w:val="none" w:sz="0" w:space="0" w:color="auto"/>
        <w:left w:val="none" w:sz="0" w:space="0" w:color="auto"/>
        <w:bottom w:val="none" w:sz="0" w:space="0" w:color="auto"/>
        <w:right w:val="none" w:sz="0" w:space="0" w:color="auto"/>
      </w:divBdr>
    </w:div>
    <w:div w:id="621155239">
      <w:bodyDiv w:val="1"/>
      <w:marLeft w:val="0"/>
      <w:marRight w:val="0"/>
      <w:marTop w:val="0"/>
      <w:marBottom w:val="0"/>
      <w:divBdr>
        <w:top w:val="none" w:sz="0" w:space="0" w:color="auto"/>
        <w:left w:val="none" w:sz="0" w:space="0" w:color="auto"/>
        <w:bottom w:val="none" w:sz="0" w:space="0" w:color="auto"/>
        <w:right w:val="none" w:sz="0" w:space="0" w:color="auto"/>
      </w:divBdr>
    </w:div>
    <w:div w:id="621301166">
      <w:bodyDiv w:val="1"/>
      <w:marLeft w:val="0"/>
      <w:marRight w:val="0"/>
      <w:marTop w:val="0"/>
      <w:marBottom w:val="0"/>
      <w:divBdr>
        <w:top w:val="none" w:sz="0" w:space="0" w:color="auto"/>
        <w:left w:val="none" w:sz="0" w:space="0" w:color="auto"/>
        <w:bottom w:val="none" w:sz="0" w:space="0" w:color="auto"/>
        <w:right w:val="none" w:sz="0" w:space="0" w:color="auto"/>
      </w:divBdr>
    </w:div>
    <w:div w:id="621575451">
      <w:bodyDiv w:val="1"/>
      <w:marLeft w:val="0"/>
      <w:marRight w:val="0"/>
      <w:marTop w:val="0"/>
      <w:marBottom w:val="0"/>
      <w:divBdr>
        <w:top w:val="none" w:sz="0" w:space="0" w:color="auto"/>
        <w:left w:val="none" w:sz="0" w:space="0" w:color="auto"/>
        <w:bottom w:val="none" w:sz="0" w:space="0" w:color="auto"/>
        <w:right w:val="none" w:sz="0" w:space="0" w:color="auto"/>
      </w:divBdr>
    </w:div>
    <w:div w:id="622539732">
      <w:bodyDiv w:val="1"/>
      <w:marLeft w:val="0"/>
      <w:marRight w:val="0"/>
      <w:marTop w:val="0"/>
      <w:marBottom w:val="0"/>
      <w:divBdr>
        <w:top w:val="none" w:sz="0" w:space="0" w:color="auto"/>
        <w:left w:val="none" w:sz="0" w:space="0" w:color="auto"/>
        <w:bottom w:val="none" w:sz="0" w:space="0" w:color="auto"/>
        <w:right w:val="none" w:sz="0" w:space="0" w:color="auto"/>
      </w:divBdr>
    </w:div>
    <w:div w:id="623581333">
      <w:bodyDiv w:val="1"/>
      <w:marLeft w:val="0"/>
      <w:marRight w:val="0"/>
      <w:marTop w:val="0"/>
      <w:marBottom w:val="0"/>
      <w:divBdr>
        <w:top w:val="none" w:sz="0" w:space="0" w:color="auto"/>
        <w:left w:val="none" w:sz="0" w:space="0" w:color="auto"/>
        <w:bottom w:val="none" w:sz="0" w:space="0" w:color="auto"/>
        <w:right w:val="none" w:sz="0" w:space="0" w:color="auto"/>
      </w:divBdr>
    </w:div>
    <w:div w:id="623657775">
      <w:bodyDiv w:val="1"/>
      <w:marLeft w:val="0"/>
      <w:marRight w:val="0"/>
      <w:marTop w:val="0"/>
      <w:marBottom w:val="0"/>
      <w:divBdr>
        <w:top w:val="none" w:sz="0" w:space="0" w:color="auto"/>
        <w:left w:val="none" w:sz="0" w:space="0" w:color="auto"/>
        <w:bottom w:val="none" w:sz="0" w:space="0" w:color="auto"/>
        <w:right w:val="none" w:sz="0" w:space="0" w:color="auto"/>
      </w:divBdr>
    </w:div>
    <w:div w:id="623735145">
      <w:bodyDiv w:val="1"/>
      <w:marLeft w:val="0"/>
      <w:marRight w:val="0"/>
      <w:marTop w:val="0"/>
      <w:marBottom w:val="0"/>
      <w:divBdr>
        <w:top w:val="none" w:sz="0" w:space="0" w:color="auto"/>
        <w:left w:val="none" w:sz="0" w:space="0" w:color="auto"/>
        <w:bottom w:val="none" w:sz="0" w:space="0" w:color="auto"/>
        <w:right w:val="none" w:sz="0" w:space="0" w:color="auto"/>
      </w:divBdr>
    </w:div>
    <w:div w:id="624507876">
      <w:bodyDiv w:val="1"/>
      <w:marLeft w:val="0"/>
      <w:marRight w:val="0"/>
      <w:marTop w:val="0"/>
      <w:marBottom w:val="0"/>
      <w:divBdr>
        <w:top w:val="none" w:sz="0" w:space="0" w:color="auto"/>
        <w:left w:val="none" w:sz="0" w:space="0" w:color="auto"/>
        <w:bottom w:val="none" w:sz="0" w:space="0" w:color="auto"/>
        <w:right w:val="none" w:sz="0" w:space="0" w:color="auto"/>
      </w:divBdr>
    </w:div>
    <w:div w:id="624626347">
      <w:bodyDiv w:val="1"/>
      <w:marLeft w:val="0"/>
      <w:marRight w:val="0"/>
      <w:marTop w:val="0"/>
      <w:marBottom w:val="0"/>
      <w:divBdr>
        <w:top w:val="none" w:sz="0" w:space="0" w:color="auto"/>
        <w:left w:val="none" w:sz="0" w:space="0" w:color="auto"/>
        <w:bottom w:val="none" w:sz="0" w:space="0" w:color="auto"/>
        <w:right w:val="none" w:sz="0" w:space="0" w:color="auto"/>
      </w:divBdr>
    </w:div>
    <w:div w:id="624894911">
      <w:bodyDiv w:val="1"/>
      <w:marLeft w:val="0"/>
      <w:marRight w:val="0"/>
      <w:marTop w:val="0"/>
      <w:marBottom w:val="0"/>
      <w:divBdr>
        <w:top w:val="none" w:sz="0" w:space="0" w:color="auto"/>
        <w:left w:val="none" w:sz="0" w:space="0" w:color="auto"/>
        <w:bottom w:val="none" w:sz="0" w:space="0" w:color="auto"/>
        <w:right w:val="none" w:sz="0" w:space="0" w:color="auto"/>
      </w:divBdr>
    </w:div>
    <w:div w:id="625425300">
      <w:bodyDiv w:val="1"/>
      <w:marLeft w:val="0"/>
      <w:marRight w:val="0"/>
      <w:marTop w:val="0"/>
      <w:marBottom w:val="0"/>
      <w:divBdr>
        <w:top w:val="none" w:sz="0" w:space="0" w:color="auto"/>
        <w:left w:val="none" w:sz="0" w:space="0" w:color="auto"/>
        <w:bottom w:val="none" w:sz="0" w:space="0" w:color="auto"/>
        <w:right w:val="none" w:sz="0" w:space="0" w:color="auto"/>
      </w:divBdr>
    </w:div>
    <w:div w:id="625432810">
      <w:bodyDiv w:val="1"/>
      <w:marLeft w:val="0"/>
      <w:marRight w:val="0"/>
      <w:marTop w:val="0"/>
      <w:marBottom w:val="0"/>
      <w:divBdr>
        <w:top w:val="none" w:sz="0" w:space="0" w:color="auto"/>
        <w:left w:val="none" w:sz="0" w:space="0" w:color="auto"/>
        <w:bottom w:val="none" w:sz="0" w:space="0" w:color="auto"/>
        <w:right w:val="none" w:sz="0" w:space="0" w:color="auto"/>
      </w:divBdr>
    </w:div>
    <w:div w:id="626424474">
      <w:bodyDiv w:val="1"/>
      <w:marLeft w:val="0"/>
      <w:marRight w:val="0"/>
      <w:marTop w:val="0"/>
      <w:marBottom w:val="0"/>
      <w:divBdr>
        <w:top w:val="none" w:sz="0" w:space="0" w:color="auto"/>
        <w:left w:val="none" w:sz="0" w:space="0" w:color="auto"/>
        <w:bottom w:val="none" w:sz="0" w:space="0" w:color="auto"/>
        <w:right w:val="none" w:sz="0" w:space="0" w:color="auto"/>
      </w:divBdr>
    </w:div>
    <w:div w:id="627779079">
      <w:bodyDiv w:val="1"/>
      <w:marLeft w:val="0"/>
      <w:marRight w:val="0"/>
      <w:marTop w:val="0"/>
      <w:marBottom w:val="0"/>
      <w:divBdr>
        <w:top w:val="none" w:sz="0" w:space="0" w:color="auto"/>
        <w:left w:val="none" w:sz="0" w:space="0" w:color="auto"/>
        <w:bottom w:val="none" w:sz="0" w:space="0" w:color="auto"/>
        <w:right w:val="none" w:sz="0" w:space="0" w:color="auto"/>
      </w:divBdr>
    </w:div>
    <w:div w:id="627781369">
      <w:bodyDiv w:val="1"/>
      <w:marLeft w:val="0"/>
      <w:marRight w:val="0"/>
      <w:marTop w:val="0"/>
      <w:marBottom w:val="0"/>
      <w:divBdr>
        <w:top w:val="none" w:sz="0" w:space="0" w:color="auto"/>
        <w:left w:val="none" w:sz="0" w:space="0" w:color="auto"/>
        <w:bottom w:val="none" w:sz="0" w:space="0" w:color="auto"/>
        <w:right w:val="none" w:sz="0" w:space="0" w:color="auto"/>
      </w:divBdr>
    </w:div>
    <w:div w:id="628973786">
      <w:bodyDiv w:val="1"/>
      <w:marLeft w:val="0"/>
      <w:marRight w:val="0"/>
      <w:marTop w:val="0"/>
      <w:marBottom w:val="0"/>
      <w:divBdr>
        <w:top w:val="none" w:sz="0" w:space="0" w:color="auto"/>
        <w:left w:val="none" w:sz="0" w:space="0" w:color="auto"/>
        <w:bottom w:val="none" w:sz="0" w:space="0" w:color="auto"/>
        <w:right w:val="none" w:sz="0" w:space="0" w:color="auto"/>
      </w:divBdr>
    </w:div>
    <w:div w:id="629214383">
      <w:bodyDiv w:val="1"/>
      <w:marLeft w:val="0"/>
      <w:marRight w:val="0"/>
      <w:marTop w:val="0"/>
      <w:marBottom w:val="0"/>
      <w:divBdr>
        <w:top w:val="none" w:sz="0" w:space="0" w:color="auto"/>
        <w:left w:val="none" w:sz="0" w:space="0" w:color="auto"/>
        <w:bottom w:val="none" w:sz="0" w:space="0" w:color="auto"/>
        <w:right w:val="none" w:sz="0" w:space="0" w:color="auto"/>
      </w:divBdr>
    </w:div>
    <w:div w:id="629943899">
      <w:bodyDiv w:val="1"/>
      <w:marLeft w:val="0"/>
      <w:marRight w:val="0"/>
      <w:marTop w:val="0"/>
      <w:marBottom w:val="0"/>
      <w:divBdr>
        <w:top w:val="none" w:sz="0" w:space="0" w:color="auto"/>
        <w:left w:val="none" w:sz="0" w:space="0" w:color="auto"/>
        <w:bottom w:val="none" w:sz="0" w:space="0" w:color="auto"/>
        <w:right w:val="none" w:sz="0" w:space="0" w:color="auto"/>
      </w:divBdr>
    </w:div>
    <w:div w:id="631406249">
      <w:bodyDiv w:val="1"/>
      <w:marLeft w:val="0"/>
      <w:marRight w:val="0"/>
      <w:marTop w:val="0"/>
      <w:marBottom w:val="0"/>
      <w:divBdr>
        <w:top w:val="none" w:sz="0" w:space="0" w:color="auto"/>
        <w:left w:val="none" w:sz="0" w:space="0" w:color="auto"/>
        <w:bottom w:val="none" w:sz="0" w:space="0" w:color="auto"/>
        <w:right w:val="none" w:sz="0" w:space="0" w:color="auto"/>
      </w:divBdr>
    </w:div>
    <w:div w:id="631448373">
      <w:bodyDiv w:val="1"/>
      <w:marLeft w:val="0"/>
      <w:marRight w:val="0"/>
      <w:marTop w:val="0"/>
      <w:marBottom w:val="0"/>
      <w:divBdr>
        <w:top w:val="none" w:sz="0" w:space="0" w:color="auto"/>
        <w:left w:val="none" w:sz="0" w:space="0" w:color="auto"/>
        <w:bottom w:val="none" w:sz="0" w:space="0" w:color="auto"/>
        <w:right w:val="none" w:sz="0" w:space="0" w:color="auto"/>
      </w:divBdr>
    </w:div>
    <w:div w:id="631979418">
      <w:bodyDiv w:val="1"/>
      <w:marLeft w:val="0"/>
      <w:marRight w:val="0"/>
      <w:marTop w:val="0"/>
      <w:marBottom w:val="0"/>
      <w:divBdr>
        <w:top w:val="none" w:sz="0" w:space="0" w:color="auto"/>
        <w:left w:val="none" w:sz="0" w:space="0" w:color="auto"/>
        <w:bottom w:val="none" w:sz="0" w:space="0" w:color="auto"/>
        <w:right w:val="none" w:sz="0" w:space="0" w:color="auto"/>
      </w:divBdr>
    </w:div>
    <w:div w:id="633098604">
      <w:bodyDiv w:val="1"/>
      <w:marLeft w:val="0"/>
      <w:marRight w:val="0"/>
      <w:marTop w:val="0"/>
      <w:marBottom w:val="0"/>
      <w:divBdr>
        <w:top w:val="none" w:sz="0" w:space="0" w:color="auto"/>
        <w:left w:val="none" w:sz="0" w:space="0" w:color="auto"/>
        <w:bottom w:val="none" w:sz="0" w:space="0" w:color="auto"/>
        <w:right w:val="none" w:sz="0" w:space="0" w:color="auto"/>
      </w:divBdr>
    </w:div>
    <w:div w:id="633408912">
      <w:bodyDiv w:val="1"/>
      <w:marLeft w:val="0"/>
      <w:marRight w:val="0"/>
      <w:marTop w:val="0"/>
      <w:marBottom w:val="0"/>
      <w:divBdr>
        <w:top w:val="none" w:sz="0" w:space="0" w:color="auto"/>
        <w:left w:val="none" w:sz="0" w:space="0" w:color="auto"/>
        <w:bottom w:val="none" w:sz="0" w:space="0" w:color="auto"/>
        <w:right w:val="none" w:sz="0" w:space="0" w:color="auto"/>
      </w:divBdr>
    </w:div>
    <w:div w:id="633561141">
      <w:bodyDiv w:val="1"/>
      <w:marLeft w:val="0"/>
      <w:marRight w:val="0"/>
      <w:marTop w:val="0"/>
      <w:marBottom w:val="0"/>
      <w:divBdr>
        <w:top w:val="none" w:sz="0" w:space="0" w:color="auto"/>
        <w:left w:val="none" w:sz="0" w:space="0" w:color="auto"/>
        <w:bottom w:val="none" w:sz="0" w:space="0" w:color="auto"/>
        <w:right w:val="none" w:sz="0" w:space="0" w:color="auto"/>
      </w:divBdr>
    </w:div>
    <w:div w:id="633759867">
      <w:bodyDiv w:val="1"/>
      <w:marLeft w:val="0"/>
      <w:marRight w:val="0"/>
      <w:marTop w:val="0"/>
      <w:marBottom w:val="0"/>
      <w:divBdr>
        <w:top w:val="none" w:sz="0" w:space="0" w:color="auto"/>
        <w:left w:val="none" w:sz="0" w:space="0" w:color="auto"/>
        <w:bottom w:val="none" w:sz="0" w:space="0" w:color="auto"/>
        <w:right w:val="none" w:sz="0" w:space="0" w:color="auto"/>
      </w:divBdr>
    </w:div>
    <w:div w:id="634484705">
      <w:bodyDiv w:val="1"/>
      <w:marLeft w:val="0"/>
      <w:marRight w:val="0"/>
      <w:marTop w:val="0"/>
      <w:marBottom w:val="0"/>
      <w:divBdr>
        <w:top w:val="none" w:sz="0" w:space="0" w:color="auto"/>
        <w:left w:val="none" w:sz="0" w:space="0" w:color="auto"/>
        <w:bottom w:val="none" w:sz="0" w:space="0" w:color="auto"/>
        <w:right w:val="none" w:sz="0" w:space="0" w:color="auto"/>
      </w:divBdr>
    </w:div>
    <w:div w:id="636110585">
      <w:bodyDiv w:val="1"/>
      <w:marLeft w:val="0"/>
      <w:marRight w:val="0"/>
      <w:marTop w:val="0"/>
      <w:marBottom w:val="0"/>
      <w:divBdr>
        <w:top w:val="none" w:sz="0" w:space="0" w:color="auto"/>
        <w:left w:val="none" w:sz="0" w:space="0" w:color="auto"/>
        <w:bottom w:val="none" w:sz="0" w:space="0" w:color="auto"/>
        <w:right w:val="none" w:sz="0" w:space="0" w:color="auto"/>
      </w:divBdr>
    </w:div>
    <w:div w:id="637685053">
      <w:bodyDiv w:val="1"/>
      <w:marLeft w:val="0"/>
      <w:marRight w:val="0"/>
      <w:marTop w:val="0"/>
      <w:marBottom w:val="0"/>
      <w:divBdr>
        <w:top w:val="none" w:sz="0" w:space="0" w:color="auto"/>
        <w:left w:val="none" w:sz="0" w:space="0" w:color="auto"/>
        <w:bottom w:val="none" w:sz="0" w:space="0" w:color="auto"/>
        <w:right w:val="none" w:sz="0" w:space="0" w:color="auto"/>
      </w:divBdr>
    </w:div>
    <w:div w:id="638464233">
      <w:bodyDiv w:val="1"/>
      <w:marLeft w:val="0"/>
      <w:marRight w:val="0"/>
      <w:marTop w:val="0"/>
      <w:marBottom w:val="0"/>
      <w:divBdr>
        <w:top w:val="none" w:sz="0" w:space="0" w:color="auto"/>
        <w:left w:val="none" w:sz="0" w:space="0" w:color="auto"/>
        <w:bottom w:val="none" w:sz="0" w:space="0" w:color="auto"/>
        <w:right w:val="none" w:sz="0" w:space="0" w:color="auto"/>
      </w:divBdr>
    </w:div>
    <w:div w:id="638998650">
      <w:bodyDiv w:val="1"/>
      <w:marLeft w:val="0"/>
      <w:marRight w:val="0"/>
      <w:marTop w:val="0"/>
      <w:marBottom w:val="0"/>
      <w:divBdr>
        <w:top w:val="none" w:sz="0" w:space="0" w:color="auto"/>
        <w:left w:val="none" w:sz="0" w:space="0" w:color="auto"/>
        <w:bottom w:val="none" w:sz="0" w:space="0" w:color="auto"/>
        <w:right w:val="none" w:sz="0" w:space="0" w:color="auto"/>
      </w:divBdr>
    </w:div>
    <w:div w:id="639269032">
      <w:bodyDiv w:val="1"/>
      <w:marLeft w:val="0"/>
      <w:marRight w:val="0"/>
      <w:marTop w:val="0"/>
      <w:marBottom w:val="0"/>
      <w:divBdr>
        <w:top w:val="none" w:sz="0" w:space="0" w:color="auto"/>
        <w:left w:val="none" w:sz="0" w:space="0" w:color="auto"/>
        <w:bottom w:val="none" w:sz="0" w:space="0" w:color="auto"/>
        <w:right w:val="none" w:sz="0" w:space="0" w:color="auto"/>
      </w:divBdr>
    </w:div>
    <w:div w:id="639727684">
      <w:bodyDiv w:val="1"/>
      <w:marLeft w:val="0"/>
      <w:marRight w:val="0"/>
      <w:marTop w:val="0"/>
      <w:marBottom w:val="0"/>
      <w:divBdr>
        <w:top w:val="none" w:sz="0" w:space="0" w:color="auto"/>
        <w:left w:val="none" w:sz="0" w:space="0" w:color="auto"/>
        <w:bottom w:val="none" w:sz="0" w:space="0" w:color="auto"/>
        <w:right w:val="none" w:sz="0" w:space="0" w:color="auto"/>
      </w:divBdr>
    </w:div>
    <w:div w:id="640041210">
      <w:bodyDiv w:val="1"/>
      <w:marLeft w:val="0"/>
      <w:marRight w:val="0"/>
      <w:marTop w:val="0"/>
      <w:marBottom w:val="0"/>
      <w:divBdr>
        <w:top w:val="none" w:sz="0" w:space="0" w:color="auto"/>
        <w:left w:val="none" w:sz="0" w:space="0" w:color="auto"/>
        <w:bottom w:val="none" w:sz="0" w:space="0" w:color="auto"/>
        <w:right w:val="none" w:sz="0" w:space="0" w:color="auto"/>
      </w:divBdr>
    </w:div>
    <w:div w:id="641469413">
      <w:bodyDiv w:val="1"/>
      <w:marLeft w:val="0"/>
      <w:marRight w:val="0"/>
      <w:marTop w:val="0"/>
      <w:marBottom w:val="0"/>
      <w:divBdr>
        <w:top w:val="none" w:sz="0" w:space="0" w:color="auto"/>
        <w:left w:val="none" w:sz="0" w:space="0" w:color="auto"/>
        <w:bottom w:val="none" w:sz="0" w:space="0" w:color="auto"/>
        <w:right w:val="none" w:sz="0" w:space="0" w:color="auto"/>
      </w:divBdr>
    </w:div>
    <w:div w:id="641691985">
      <w:bodyDiv w:val="1"/>
      <w:marLeft w:val="0"/>
      <w:marRight w:val="0"/>
      <w:marTop w:val="0"/>
      <w:marBottom w:val="0"/>
      <w:divBdr>
        <w:top w:val="none" w:sz="0" w:space="0" w:color="auto"/>
        <w:left w:val="none" w:sz="0" w:space="0" w:color="auto"/>
        <w:bottom w:val="none" w:sz="0" w:space="0" w:color="auto"/>
        <w:right w:val="none" w:sz="0" w:space="0" w:color="auto"/>
      </w:divBdr>
    </w:div>
    <w:div w:id="641812108">
      <w:bodyDiv w:val="1"/>
      <w:marLeft w:val="0"/>
      <w:marRight w:val="0"/>
      <w:marTop w:val="0"/>
      <w:marBottom w:val="0"/>
      <w:divBdr>
        <w:top w:val="none" w:sz="0" w:space="0" w:color="auto"/>
        <w:left w:val="none" w:sz="0" w:space="0" w:color="auto"/>
        <w:bottom w:val="none" w:sz="0" w:space="0" w:color="auto"/>
        <w:right w:val="none" w:sz="0" w:space="0" w:color="auto"/>
      </w:divBdr>
    </w:div>
    <w:div w:id="642664703">
      <w:bodyDiv w:val="1"/>
      <w:marLeft w:val="0"/>
      <w:marRight w:val="0"/>
      <w:marTop w:val="0"/>
      <w:marBottom w:val="0"/>
      <w:divBdr>
        <w:top w:val="none" w:sz="0" w:space="0" w:color="auto"/>
        <w:left w:val="none" w:sz="0" w:space="0" w:color="auto"/>
        <w:bottom w:val="none" w:sz="0" w:space="0" w:color="auto"/>
        <w:right w:val="none" w:sz="0" w:space="0" w:color="auto"/>
      </w:divBdr>
    </w:div>
    <w:div w:id="642738191">
      <w:bodyDiv w:val="1"/>
      <w:marLeft w:val="0"/>
      <w:marRight w:val="0"/>
      <w:marTop w:val="0"/>
      <w:marBottom w:val="0"/>
      <w:divBdr>
        <w:top w:val="none" w:sz="0" w:space="0" w:color="auto"/>
        <w:left w:val="none" w:sz="0" w:space="0" w:color="auto"/>
        <w:bottom w:val="none" w:sz="0" w:space="0" w:color="auto"/>
        <w:right w:val="none" w:sz="0" w:space="0" w:color="auto"/>
      </w:divBdr>
    </w:div>
    <w:div w:id="642852965">
      <w:bodyDiv w:val="1"/>
      <w:marLeft w:val="0"/>
      <w:marRight w:val="0"/>
      <w:marTop w:val="0"/>
      <w:marBottom w:val="0"/>
      <w:divBdr>
        <w:top w:val="none" w:sz="0" w:space="0" w:color="auto"/>
        <w:left w:val="none" w:sz="0" w:space="0" w:color="auto"/>
        <w:bottom w:val="none" w:sz="0" w:space="0" w:color="auto"/>
        <w:right w:val="none" w:sz="0" w:space="0" w:color="auto"/>
      </w:divBdr>
    </w:div>
    <w:div w:id="643243990">
      <w:bodyDiv w:val="1"/>
      <w:marLeft w:val="0"/>
      <w:marRight w:val="0"/>
      <w:marTop w:val="0"/>
      <w:marBottom w:val="0"/>
      <w:divBdr>
        <w:top w:val="none" w:sz="0" w:space="0" w:color="auto"/>
        <w:left w:val="none" w:sz="0" w:space="0" w:color="auto"/>
        <w:bottom w:val="none" w:sz="0" w:space="0" w:color="auto"/>
        <w:right w:val="none" w:sz="0" w:space="0" w:color="auto"/>
      </w:divBdr>
    </w:div>
    <w:div w:id="643463931">
      <w:bodyDiv w:val="1"/>
      <w:marLeft w:val="0"/>
      <w:marRight w:val="0"/>
      <w:marTop w:val="0"/>
      <w:marBottom w:val="0"/>
      <w:divBdr>
        <w:top w:val="none" w:sz="0" w:space="0" w:color="auto"/>
        <w:left w:val="none" w:sz="0" w:space="0" w:color="auto"/>
        <w:bottom w:val="none" w:sz="0" w:space="0" w:color="auto"/>
        <w:right w:val="none" w:sz="0" w:space="0" w:color="auto"/>
      </w:divBdr>
    </w:div>
    <w:div w:id="643581654">
      <w:bodyDiv w:val="1"/>
      <w:marLeft w:val="0"/>
      <w:marRight w:val="0"/>
      <w:marTop w:val="0"/>
      <w:marBottom w:val="0"/>
      <w:divBdr>
        <w:top w:val="none" w:sz="0" w:space="0" w:color="auto"/>
        <w:left w:val="none" w:sz="0" w:space="0" w:color="auto"/>
        <w:bottom w:val="none" w:sz="0" w:space="0" w:color="auto"/>
        <w:right w:val="none" w:sz="0" w:space="0" w:color="auto"/>
      </w:divBdr>
    </w:div>
    <w:div w:id="643851736">
      <w:bodyDiv w:val="1"/>
      <w:marLeft w:val="0"/>
      <w:marRight w:val="0"/>
      <w:marTop w:val="0"/>
      <w:marBottom w:val="0"/>
      <w:divBdr>
        <w:top w:val="none" w:sz="0" w:space="0" w:color="auto"/>
        <w:left w:val="none" w:sz="0" w:space="0" w:color="auto"/>
        <w:bottom w:val="none" w:sz="0" w:space="0" w:color="auto"/>
        <w:right w:val="none" w:sz="0" w:space="0" w:color="auto"/>
      </w:divBdr>
    </w:div>
    <w:div w:id="644622816">
      <w:bodyDiv w:val="1"/>
      <w:marLeft w:val="0"/>
      <w:marRight w:val="0"/>
      <w:marTop w:val="0"/>
      <w:marBottom w:val="0"/>
      <w:divBdr>
        <w:top w:val="none" w:sz="0" w:space="0" w:color="auto"/>
        <w:left w:val="none" w:sz="0" w:space="0" w:color="auto"/>
        <w:bottom w:val="none" w:sz="0" w:space="0" w:color="auto"/>
        <w:right w:val="none" w:sz="0" w:space="0" w:color="auto"/>
      </w:divBdr>
    </w:div>
    <w:div w:id="645089401">
      <w:bodyDiv w:val="1"/>
      <w:marLeft w:val="0"/>
      <w:marRight w:val="0"/>
      <w:marTop w:val="0"/>
      <w:marBottom w:val="0"/>
      <w:divBdr>
        <w:top w:val="none" w:sz="0" w:space="0" w:color="auto"/>
        <w:left w:val="none" w:sz="0" w:space="0" w:color="auto"/>
        <w:bottom w:val="none" w:sz="0" w:space="0" w:color="auto"/>
        <w:right w:val="none" w:sz="0" w:space="0" w:color="auto"/>
      </w:divBdr>
    </w:div>
    <w:div w:id="645092016">
      <w:bodyDiv w:val="1"/>
      <w:marLeft w:val="0"/>
      <w:marRight w:val="0"/>
      <w:marTop w:val="0"/>
      <w:marBottom w:val="0"/>
      <w:divBdr>
        <w:top w:val="none" w:sz="0" w:space="0" w:color="auto"/>
        <w:left w:val="none" w:sz="0" w:space="0" w:color="auto"/>
        <w:bottom w:val="none" w:sz="0" w:space="0" w:color="auto"/>
        <w:right w:val="none" w:sz="0" w:space="0" w:color="auto"/>
      </w:divBdr>
    </w:div>
    <w:div w:id="645358043">
      <w:bodyDiv w:val="1"/>
      <w:marLeft w:val="0"/>
      <w:marRight w:val="0"/>
      <w:marTop w:val="0"/>
      <w:marBottom w:val="0"/>
      <w:divBdr>
        <w:top w:val="none" w:sz="0" w:space="0" w:color="auto"/>
        <w:left w:val="none" w:sz="0" w:space="0" w:color="auto"/>
        <w:bottom w:val="none" w:sz="0" w:space="0" w:color="auto"/>
        <w:right w:val="none" w:sz="0" w:space="0" w:color="auto"/>
      </w:divBdr>
    </w:div>
    <w:div w:id="645553649">
      <w:bodyDiv w:val="1"/>
      <w:marLeft w:val="0"/>
      <w:marRight w:val="0"/>
      <w:marTop w:val="0"/>
      <w:marBottom w:val="0"/>
      <w:divBdr>
        <w:top w:val="none" w:sz="0" w:space="0" w:color="auto"/>
        <w:left w:val="none" w:sz="0" w:space="0" w:color="auto"/>
        <w:bottom w:val="none" w:sz="0" w:space="0" w:color="auto"/>
        <w:right w:val="none" w:sz="0" w:space="0" w:color="auto"/>
      </w:divBdr>
    </w:div>
    <w:div w:id="645553960">
      <w:bodyDiv w:val="1"/>
      <w:marLeft w:val="0"/>
      <w:marRight w:val="0"/>
      <w:marTop w:val="0"/>
      <w:marBottom w:val="0"/>
      <w:divBdr>
        <w:top w:val="none" w:sz="0" w:space="0" w:color="auto"/>
        <w:left w:val="none" w:sz="0" w:space="0" w:color="auto"/>
        <w:bottom w:val="none" w:sz="0" w:space="0" w:color="auto"/>
        <w:right w:val="none" w:sz="0" w:space="0" w:color="auto"/>
      </w:divBdr>
    </w:div>
    <w:div w:id="646204214">
      <w:bodyDiv w:val="1"/>
      <w:marLeft w:val="0"/>
      <w:marRight w:val="0"/>
      <w:marTop w:val="0"/>
      <w:marBottom w:val="0"/>
      <w:divBdr>
        <w:top w:val="none" w:sz="0" w:space="0" w:color="auto"/>
        <w:left w:val="none" w:sz="0" w:space="0" w:color="auto"/>
        <w:bottom w:val="none" w:sz="0" w:space="0" w:color="auto"/>
        <w:right w:val="none" w:sz="0" w:space="0" w:color="auto"/>
      </w:divBdr>
    </w:div>
    <w:div w:id="647168591">
      <w:bodyDiv w:val="1"/>
      <w:marLeft w:val="0"/>
      <w:marRight w:val="0"/>
      <w:marTop w:val="0"/>
      <w:marBottom w:val="0"/>
      <w:divBdr>
        <w:top w:val="none" w:sz="0" w:space="0" w:color="auto"/>
        <w:left w:val="none" w:sz="0" w:space="0" w:color="auto"/>
        <w:bottom w:val="none" w:sz="0" w:space="0" w:color="auto"/>
        <w:right w:val="none" w:sz="0" w:space="0" w:color="auto"/>
      </w:divBdr>
    </w:div>
    <w:div w:id="647826445">
      <w:bodyDiv w:val="1"/>
      <w:marLeft w:val="0"/>
      <w:marRight w:val="0"/>
      <w:marTop w:val="0"/>
      <w:marBottom w:val="0"/>
      <w:divBdr>
        <w:top w:val="none" w:sz="0" w:space="0" w:color="auto"/>
        <w:left w:val="none" w:sz="0" w:space="0" w:color="auto"/>
        <w:bottom w:val="none" w:sz="0" w:space="0" w:color="auto"/>
        <w:right w:val="none" w:sz="0" w:space="0" w:color="auto"/>
      </w:divBdr>
    </w:div>
    <w:div w:id="648248674">
      <w:bodyDiv w:val="1"/>
      <w:marLeft w:val="0"/>
      <w:marRight w:val="0"/>
      <w:marTop w:val="0"/>
      <w:marBottom w:val="0"/>
      <w:divBdr>
        <w:top w:val="none" w:sz="0" w:space="0" w:color="auto"/>
        <w:left w:val="none" w:sz="0" w:space="0" w:color="auto"/>
        <w:bottom w:val="none" w:sz="0" w:space="0" w:color="auto"/>
        <w:right w:val="none" w:sz="0" w:space="0" w:color="auto"/>
      </w:divBdr>
    </w:div>
    <w:div w:id="648705992">
      <w:bodyDiv w:val="1"/>
      <w:marLeft w:val="0"/>
      <w:marRight w:val="0"/>
      <w:marTop w:val="0"/>
      <w:marBottom w:val="0"/>
      <w:divBdr>
        <w:top w:val="none" w:sz="0" w:space="0" w:color="auto"/>
        <w:left w:val="none" w:sz="0" w:space="0" w:color="auto"/>
        <w:bottom w:val="none" w:sz="0" w:space="0" w:color="auto"/>
        <w:right w:val="none" w:sz="0" w:space="0" w:color="auto"/>
      </w:divBdr>
    </w:div>
    <w:div w:id="649557884">
      <w:bodyDiv w:val="1"/>
      <w:marLeft w:val="0"/>
      <w:marRight w:val="0"/>
      <w:marTop w:val="0"/>
      <w:marBottom w:val="0"/>
      <w:divBdr>
        <w:top w:val="none" w:sz="0" w:space="0" w:color="auto"/>
        <w:left w:val="none" w:sz="0" w:space="0" w:color="auto"/>
        <w:bottom w:val="none" w:sz="0" w:space="0" w:color="auto"/>
        <w:right w:val="none" w:sz="0" w:space="0" w:color="auto"/>
      </w:divBdr>
    </w:div>
    <w:div w:id="650407263">
      <w:bodyDiv w:val="1"/>
      <w:marLeft w:val="0"/>
      <w:marRight w:val="0"/>
      <w:marTop w:val="0"/>
      <w:marBottom w:val="0"/>
      <w:divBdr>
        <w:top w:val="none" w:sz="0" w:space="0" w:color="auto"/>
        <w:left w:val="none" w:sz="0" w:space="0" w:color="auto"/>
        <w:bottom w:val="none" w:sz="0" w:space="0" w:color="auto"/>
        <w:right w:val="none" w:sz="0" w:space="0" w:color="auto"/>
      </w:divBdr>
    </w:div>
    <w:div w:id="651368689">
      <w:bodyDiv w:val="1"/>
      <w:marLeft w:val="0"/>
      <w:marRight w:val="0"/>
      <w:marTop w:val="0"/>
      <w:marBottom w:val="0"/>
      <w:divBdr>
        <w:top w:val="none" w:sz="0" w:space="0" w:color="auto"/>
        <w:left w:val="none" w:sz="0" w:space="0" w:color="auto"/>
        <w:bottom w:val="none" w:sz="0" w:space="0" w:color="auto"/>
        <w:right w:val="none" w:sz="0" w:space="0" w:color="auto"/>
      </w:divBdr>
    </w:div>
    <w:div w:id="652223141">
      <w:bodyDiv w:val="1"/>
      <w:marLeft w:val="0"/>
      <w:marRight w:val="0"/>
      <w:marTop w:val="0"/>
      <w:marBottom w:val="0"/>
      <w:divBdr>
        <w:top w:val="none" w:sz="0" w:space="0" w:color="auto"/>
        <w:left w:val="none" w:sz="0" w:space="0" w:color="auto"/>
        <w:bottom w:val="none" w:sz="0" w:space="0" w:color="auto"/>
        <w:right w:val="none" w:sz="0" w:space="0" w:color="auto"/>
      </w:divBdr>
    </w:div>
    <w:div w:id="653490099">
      <w:bodyDiv w:val="1"/>
      <w:marLeft w:val="0"/>
      <w:marRight w:val="0"/>
      <w:marTop w:val="0"/>
      <w:marBottom w:val="0"/>
      <w:divBdr>
        <w:top w:val="none" w:sz="0" w:space="0" w:color="auto"/>
        <w:left w:val="none" w:sz="0" w:space="0" w:color="auto"/>
        <w:bottom w:val="none" w:sz="0" w:space="0" w:color="auto"/>
        <w:right w:val="none" w:sz="0" w:space="0" w:color="auto"/>
      </w:divBdr>
    </w:div>
    <w:div w:id="653603125">
      <w:bodyDiv w:val="1"/>
      <w:marLeft w:val="0"/>
      <w:marRight w:val="0"/>
      <w:marTop w:val="0"/>
      <w:marBottom w:val="0"/>
      <w:divBdr>
        <w:top w:val="none" w:sz="0" w:space="0" w:color="auto"/>
        <w:left w:val="none" w:sz="0" w:space="0" w:color="auto"/>
        <w:bottom w:val="none" w:sz="0" w:space="0" w:color="auto"/>
        <w:right w:val="none" w:sz="0" w:space="0" w:color="auto"/>
      </w:divBdr>
    </w:div>
    <w:div w:id="653949760">
      <w:bodyDiv w:val="1"/>
      <w:marLeft w:val="0"/>
      <w:marRight w:val="0"/>
      <w:marTop w:val="0"/>
      <w:marBottom w:val="0"/>
      <w:divBdr>
        <w:top w:val="none" w:sz="0" w:space="0" w:color="auto"/>
        <w:left w:val="none" w:sz="0" w:space="0" w:color="auto"/>
        <w:bottom w:val="none" w:sz="0" w:space="0" w:color="auto"/>
        <w:right w:val="none" w:sz="0" w:space="0" w:color="auto"/>
      </w:divBdr>
    </w:div>
    <w:div w:id="654991229">
      <w:bodyDiv w:val="1"/>
      <w:marLeft w:val="0"/>
      <w:marRight w:val="0"/>
      <w:marTop w:val="0"/>
      <w:marBottom w:val="0"/>
      <w:divBdr>
        <w:top w:val="none" w:sz="0" w:space="0" w:color="auto"/>
        <w:left w:val="none" w:sz="0" w:space="0" w:color="auto"/>
        <w:bottom w:val="none" w:sz="0" w:space="0" w:color="auto"/>
        <w:right w:val="none" w:sz="0" w:space="0" w:color="auto"/>
      </w:divBdr>
    </w:div>
    <w:div w:id="655039252">
      <w:bodyDiv w:val="1"/>
      <w:marLeft w:val="0"/>
      <w:marRight w:val="0"/>
      <w:marTop w:val="0"/>
      <w:marBottom w:val="0"/>
      <w:divBdr>
        <w:top w:val="none" w:sz="0" w:space="0" w:color="auto"/>
        <w:left w:val="none" w:sz="0" w:space="0" w:color="auto"/>
        <w:bottom w:val="none" w:sz="0" w:space="0" w:color="auto"/>
        <w:right w:val="none" w:sz="0" w:space="0" w:color="auto"/>
      </w:divBdr>
    </w:div>
    <w:div w:id="657197655">
      <w:bodyDiv w:val="1"/>
      <w:marLeft w:val="0"/>
      <w:marRight w:val="0"/>
      <w:marTop w:val="0"/>
      <w:marBottom w:val="0"/>
      <w:divBdr>
        <w:top w:val="none" w:sz="0" w:space="0" w:color="auto"/>
        <w:left w:val="none" w:sz="0" w:space="0" w:color="auto"/>
        <w:bottom w:val="none" w:sz="0" w:space="0" w:color="auto"/>
        <w:right w:val="none" w:sz="0" w:space="0" w:color="auto"/>
      </w:divBdr>
    </w:div>
    <w:div w:id="657347792">
      <w:bodyDiv w:val="1"/>
      <w:marLeft w:val="0"/>
      <w:marRight w:val="0"/>
      <w:marTop w:val="0"/>
      <w:marBottom w:val="0"/>
      <w:divBdr>
        <w:top w:val="none" w:sz="0" w:space="0" w:color="auto"/>
        <w:left w:val="none" w:sz="0" w:space="0" w:color="auto"/>
        <w:bottom w:val="none" w:sz="0" w:space="0" w:color="auto"/>
        <w:right w:val="none" w:sz="0" w:space="0" w:color="auto"/>
      </w:divBdr>
    </w:div>
    <w:div w:id="657534401">
      <w:bodyDiv w:val="1"/>
      <w:marLeft w:val="0"/>
      <w:marRight w:val="0"/>
      <w:marTop w:val="0"/>
      <w:marBottom w:val="0"/>
      <w:divBdr>
        <w:top w:val="none" w:sz="0" w:space="0" w:color="auto"/>
        <w:left w:val="none" w:sz="0" w:space="0" w:color="auto"/>
        <w:bottom w:val="none" w:sz="0" w:space="0" w:color="auto"/>
        <w:right w:val="none" w:sz="0" w:space="0" w:color="auto"/>
      </w:divBdr>
    </w:div>
    <w:div w:id="658578856">
      <w:bodyDiv w:val="1"/>
      <w:marLeft w:val="0"/>
      <w:marRight w:val="0"/>
      <w:marTop w:val="0"/>
      <w:marBottom w:val="0"/>
      <w:divBdr>
        <w:top w:val="none" w:sz="0" w:space="0" w:color="auto"/>
        <w:left w:val="none" w:sz="0" w:space="0" w:color="auto"/>
        <w:bottom w:val="none" w:sz="0" w:space="0" w:color="auto"/>
        <w:right w:val="none" w:sz="0" w:space="0" w:color="auto"/>
      </w:divBdr>
    </w:div>
    <w:div w:id="658730355">
      <w:bodyDiv w:val="1"/>
      <w:marLeft w:val="0"/>
      <w:marRight w:val="0"/>
      <w:marTop w:val="0"/>
      <w:marBottom w:val="0"/>
      <w:divBdr>
        <w:top w:val="none" w:sz="0" w:space="0" w:color="auto"/>
        <w:left w:val="none" w:sz="0" w:space="0" w:color="auto"/>
        <w:bottom w:val="none" w:sz="0" w:space="0" w:color="auto"/>
        <w:right w:val="none" w:sz="0" w:space="0" w:color="auto"/>
      </w:divBdr>
    </w:div>
    <w:div w:id="659385288">
      <w:bodyDiv w:val="1"/>
      <w:marLeft w:val="0"/>
      <w:marRight w:val="0"/>
      <w:marTop w:val="0"/>
      <w:marBottom w:val="0"/>
      <w:divBdr>
        <w:top w:val="none" w:sz="0" w:space="0" w:color="auto"/>
        <w:left w:val="none" w:sz="0" w:space="0" w:color="auto"/>
        <w:bottom w:val="none" w:sz="0" w:space="0" w:color="auto"/>
        <w:right w:val="none" w:sz="0" w:space="0" w:color="auto"/>
      </w:divBdr>
    </w:div>
    <w:div w:id="659966698">
      <w:bodyDiv w:val="1"/>
      <w:marLeft w:val="0"/>
      <w:marRight w:val="0"/>
      <w:marTop w:val="0"/>
      <w:marBottom w:val="0"/>
      <w:divBdr>
        <w:top w:val="none" w:sz="0" w:space="0" w:color="auto"/>
        <w:left w:val="none" w:sz="0" w:space="0" w:color="auto"/>
        <w:bottom w:val="none" w:sz="0" w:space="0" w:color="auto"/>
        <w:right w:val="none" w:sz="0" w:space="0" w:color="auto"/>
      </w:divBdr>
    </w:div>
    <w:div w:id="660549739">
      <w:bodyDiv w:val="1"/>
      <w:marLeft w:val="0"/>
      <w:marRight w:val="0"/>
      <w:marTop w:val="0"/>
      <w:marBottom w:val="0"/>
      <w:divBdr>
        <w:top w:val="none" w:sz="0" w:space="0" w:color="auto"/>
        <w:left w:val="none" w:sz="0" w:space="0" w:color="auto"/>
        <w:bottom w:val="none" w:sz="0" w:space="0" w:color="auto"/>
        <w:right w:val="none" w:sz="0" w:space="0" w:color="auto"/>
      </w:divBdr>
    </w:div>
    <w:div w:id="661590807">
      <w:bodyDiv w:val="1"/>
      <w:marLeft w:val="0"/>
      <w:marRight w:val="0"/>
      <w:marTop w:val="0"/>
      <w:marBottom w:val="0"/>
      <w:divBdr>
        <w:top w:val="none" w:sz="0" w:space="0" w:color="auto"/>
        <w:left w:val="none" w:sz="0" w:space="0" w:color="auto"/>
        <w:bottom w:val="none" w:sz="0" w:space="0" w:color="auto"/>
        <w:right w:val="none" w:sz="0" w:space="0" w:color="auto"/>
      </w:divBdr>
    </w:div>
    <w:div w:id="662244476">
      <w:bodyDiv w:val="1"/>
      <w:marLeft w:val="0"/>
      <w:marRight w:val="0"/>
      <w:marTop w:val="0"/>
      <w:marBottom w:val="0"/>
      <w:divBdr>
        <w:top w:val="none" w:sz="0" w:space="0" w:color="auto"/>
        <w:left w:val="none" w:sz="0" w:space="0" w:color="auto"/>
        <w:bottom w:val="none" w:sz="0" w:space="0" w:color="auto"/>
        <w:right w:val="none" w:sz="0" w:space="0" w:color="auto"/>
      </w:divBdr>
    </w:div>
    <w:div w:id="662899872">
      <w:bodyDiv w:val="1"/>
      <w:marLeft w:val="0"/>
      <w:marRight w:val="0"/>
      <w:marTop w:val="0"/>
      <w:marBottom w:val="0"/>
      <w:divBdr>
        <w:top w:val="none" w:sz="0" w:space="0" w:color="auto"/>
        <w:left w:val="none" w:sz="0" w:space="0" w:color="auto"/>
        <w:bottom w:val="none" w:sz="0" w:space="0" w:color="auto"/>
        <w:right w:val="none" w:sz="0" w:space="0" w:color="auto"/>
      </w:divBdr>
    </w:div>
    <w:div w:id="663321480">
      <w:bodyDiv w:val="1"/>
      <w:marLeft w:val="0"/>
      <w:marRight w:val="0"/>
      <w:marTop w:val="0"/>
      <w:marBottom w:val="0"/>
      <w:divBdr>
        <w:top w:val="none" w:sz="0" w:space="0" w:color="auto"/>
        <w:left w:val="none" w:sz="0" w:space="0" w:color="auto"/>
        <w:bottom w:val="none" w:sz="0" w:space="0" w:color="auto"/>
        <w:right w:val="none" w:sz="0" w:space="0" w:color="auto"/>
      </w:divBdr>
    </w:div>
    <w:div w:id="663970157">
      <w:bodyDiv w:val="1"/>
      <w:marLeft w:val="0"/>
      <w:marRight w:val="0"/>
      <w:marTop w:val="0"/>
      <w:marBottom w:val="0"/>
      <w:divBdr>
        <w:top w:val="none" w:sz="0" w:space="0" w:color="auto"/>
        <w:left w:val="none" w:sz="0" w:space="0" w:color="auto"/>
        <w:bottom w:val="none" w:sz="0" w:space="0" w:color="auto"/>
        <w:right w:val="none" w:sz="0" w:space="0" w:color="auto"/>
      </w:divBdr>
    </w:div>
    <w:div w:id="664162746">
      <w:bodyDiv w:val="1"/>
      <w:marLeft w:val="0"/>
      <w:marRight w:val="0"/>
      <w:marTop w:val="0"/>
      <w:marBottom w:val="0"/>
      <w:divBdr>
        <w:top w:val="none" w:sz="0" w:space="0" w:color="auto"/>
        <w:left w:val="none" w:sz="0" w:space="0" w:color="auto"/>
        <w:bottom w:val="none" w:sz="0" w:space="0" w:color="auto"/>
        <w:right w:val="none" w:sz="0" w:space="0" w:color="auto"/>
      </w:divBdr>
    </w:div>
    <w:div w:id="664745662">
      <w:bodyDiv w:val="1"/>
      <w:marLeft w:val="0"/>
      <w:marRight w:val="0"/>
      <w:marTop w:val="0"/>
      <w:marBottom w:val="0"/>
      <w:divBdr>
        <w:top w:val="none" w:sz="0" w:space="0" w:color="auto"/>
        <w:left w:val="none" w:sz="0" w:space="0" w:color="auto"/>
        <w:bottom w:val="none" w:sz="0" w:space="0" w:color="auto"/>
        <w:right w:val="none" w:sz="0" w:space="0" w:color="auto"/>
      </w:divBdr>
    </w:div>
    <w:div w:id="665592378">
      <w:bodyDiv w:val="1"/>
      <w:marLeft w:val="0"/>
      <w:marRight w:val="0"/>
      <w:marTop w:val="0"/>
      <w:marBottom w:val="0"/>
      <w:divBdr>
        <w:top w:val="none" w:sz="0" w:space="0" w:color="auto"/>
        <w:left w:val="none" w:sz="0" w:space="0" w:color="auto"/>
        <w:bottom w:val="none" w:sz="0" w:space="0" w:color="auto"/>
        <w:right w:val="none" w:sz="0" w:space="0" w:color="auto"/>
      </w:divBdr>
    </w:div>
    <w:div w:id="668678101">
      <w:bodyDiv w:val="1"/>
      <w:marLeft w:val="0"/>
      <w:marRight w:val="0"/>
      <w:marTop w:val="0"/>
      <w:marBottom w:val="0"/>
      <w:divBdr>
        <w:top w:val="none" w:sz="0" w:space="0" w:color="auto"/>
        <w:left w:val="none" w:sz="0" w:space="0" w:color="auto"/>
        <w:bottom w:val="none" w:sz="0" w:space="0" w:color="auto"/>
        <w:right w:val="none" w:sz="0" w:space="0" w:color="auto"/>
      </w:divBdr>
    </w:div>
    <w:div w:id="668755745">
      <w:bodyDiv w:val="1"/>
      <w:marLeft w:val="0"/>
      <w:marRight w:val="0"/>
      <w:marTop w:val="0"/>
      <w:marBottom w:val="0"/>
      <w:divBdr>
        <w:top w:val="none" w:sz="0" w:space="0" w:color="auto"/>
        <w:left w:val="none" w:sz="0" w:space="0" w:color="auto"/>
        <w:bottom w:val="none" w:sz="0" w:space="0" w:color="auto"/>
        <w:right w:val="none" w:sz="0" w:space="0" w:color="auto"/>
      </w:divBdr>
    </w:div>
    <w:div w:id="668826689">
      <w:bodyDiv w:val="1"/>
      <w:marLeft w:val="0"/>
      <w:marRight w:val="0"/>
      <w:marTop w:val="0"/>
      <w:marBottom w:val="0"/>
      <w:divBdr>
        <w:top w:val="none" w:sz="0" w:space="0" w:color="auto"/>
        <w:left w:val="none" w:sz="0" w:space="0" w:color="auto"/>
        <w:bottom w:val="none" w:sz="0" w:space="0" w:color="auto"/>
        <w:right w:val="none" w:sz="0" w:space="0" w:color="auto"/>
      </w:divBdr>
    </w:div>
    <w:div w:id="669218807">
      <w:bodyDiv w:val="1"/>
      <w:marLeft w:val="0"/>
      <w:marRight w:val="0"/>
      <w:marTop w:val="0"/>
      <w:marBottom w:val="0"/>
      <w:divBdr>
        <w:top w:val="none" w:sz="0" w:space="0" w:color="auto"/>
        <w:left w:val="none" w:sz="0" w:space="0" w:color="auto"/>
        <w:bottom w:val="none" w:sz="0" w:space="0" w:color="auto"/>
        <w:right w:val="none" w:sz="0" w:space="0" w:color="auto"/>
      </w:divBdr>
    </w:div>
    <w:div w:id="669408517">
      <w:bodyDiv w:val="1"/>
      <w:marLeft w:val="0"/>
      <w:marRight w:val="0"/>
      <w:marTop w:val="0"/>
      <w:marBottom w:val="0"/>
      <w:divBdr>
        <w:top w:val="none" w:sz="0" w:space="0" w:color="auto"/>
        <w:left w:val="none" w:sz="0" w:space="0" w:color="auto"/>
        <w:bottom w:val="none" w:sz="0" w:space="0" w:color="auto"/>
        <w:right w:val="none" w:sz="0" w:space="0" w:color="auto"/>
      </w:divBdr>
    </w:div>
    <w:div w:id="669716974">
      <w:bodyDiv w:val="1"/>
      <w:marLeft w:val="0"/>
      <w:marRight w:val="0"/>
      <w:marTop w:val="0"/>
      <w:marBottom w:val="0"/>
      <w:divBdr>
        <w:top w:val="none" w:sz="0" w:space="0" w:color="auto"/>
        <w:left w:val="none" w:sz="0" w:space="0" w:color="auto"/>
        <w:bottom w:val="none" w:sz="0" w:space="0" w:color="auto"/>
        <w:right w:val="none" w:sz="0" w:space="0" w:color="auto"/>
      </w:divBdr>
    </w:div>
    <w:div w:id="670527862">
      <w:bodyDiv w:val="1"/>
      <w:marLeft w:val="0"/>
      <w:marRight w:val="0"/>
      <w:marTop w:val="0"/>
      <w:marBottom w:val="0"/>
      <w:divBdr>
        <w:top w:val="none" w:sz="0" w:space="0" w:color="auto"/>
        <w:left w:val="none" w:sz="0" w:space="0" w:color="auto"/>
        <w:bottom w:val="none" w:sz="0" w:space="0" w:color="auto"/>
        <w:right w:val="none" w:sz="0" w:space="0" w:color="auto"/>
      </w:divBdr>
    </w:div>
    <w:div w:id="670645645">
      <w:bodyDiv w:val="1"/>
      <w:marLeft w:val="0"/>
      <w:marRight w:val="0"/>
      <w:marTop w:val="0"/>
      <w:marBottom w:val="0"/>
      <w:divBdr>
        <w:top w:val="none" w:sz="0" w:space="0" w:color="auto"/>
        <w:left w:val="none" w:sz="0" w:space="0" w:color="auto"/>
        <w:bottom w:val="none" w:sz="0" w:space="0" w:color="auto"/>
        <w:right w:val="none" w:sz="0" w:space="0" w:color="auto"/>
      </w:divBdr>
    </w:div>
    <w:div w:id="672227356">
      <w:bodyDiv w:val="1"/>
      <w:marLeft w:val="0"/>
      <w:marRight w:val="0"/>
      <w:marTop w:val="0"/>
      <w:marBottom w:val="0"/>
      <w:divBdr>
        <w:top w:val="none" w:sz="0" w:space="0" w:color="auto"/>
        <w:left w:val="none" w:sz="0" w:space="0" w:color="auto"/>
        <w:bottom w:val="none" w:sz="0" w:space="0" w:color="auto"/>
        <w:right w:val="none" w:sz="0" w:space="0" w:color="auto"/>
      </w:divBdr>
    </w:div>
    <w:div w:id="672340997">
      <w:bodyDiv w:val="1"/>
      <w:marLeft w:val="0"/>
      <w:marRight w:val="0"/>
      <w:marTop w:val="0"/>
      <w:marBottom w:val="0"/>
      <w:divBdr>
        <w:top w:val="none" w:sz="0" w:space="0" w:color="auto"/>
        <w:left w:val="none" w:sz="0" w:space="0" w:color="auto"/>
        <w:bottom w:val="none" w:sz="0" w:space="0" w:color="auto"/>
        <w:right w:val="none" w:sz="0" w:space="0" w:color="auto"/>
      </w:divBdr>
    </w:div>
    <w:div w:id="673000887">
      <w:bodyDiv w:val="1"/>
      <w:marLeft w:val="0"/>
      <w:marRight w:val="0"/>
      <w:marTop w:val="0"/>
      <w:marBottom w:val="0"/>
      <w:divBdr>
        <w:top w:val="none" w:sz="0" w:space="0" w:color="auto"/>
        <w:left w:val="none" w:sz="0" w:space="0" w:color="auto"/>
        <w:bottom w:val="none" w:sz="0" w:space="0" w:color="auto"/>
        <w:right w:val="none" w:sz="0" w:space="0" w:color="auto"/>
      </w:divBdr>
    </w:div>
    <w:div w:id="673387523">
      <w:bodyDiv w:val="1"/>
      <w:marLeft w:val="0"/>
      <w:marRight w:val="0"/>
      <w:marTop w:val="0"/>
      <w:marBottom w:val="0"/>
      <w:divBdr>
        <w:top w:val="none" w:sz="0" w:space="0" w:color="auto"/>
        <w:left w:val="none" w:sz="0" w:space="0" w:color="auto"/>
        <w:bottom w:val="none" w:sz="0" w:space="0" w:color="auto"/>
        <w:right w:val="none" w:sz="0" w:space="0" w:color="auto"/>
      </w:divBdr>
    </w:div>
    <w:div w:id="673461772">
      <w:bodyDiv w:val="1"/>
      <w:marLeft w:val="0"/>
      <w:marRight w:val="0"/>
      <w:marTop w:val="0"/>
      <w:marBottom w:val="0"/>
      <w:divBdr>
        <w:top w:val="none" w:sz="0" w:space="0" w:color="auto"/>
        <w:left w:val="none" w:sz="0" w:space="0" w:color="auto"/>
        <w:bottom w:val="none" w:sz="0" w:space="0" w:color="auto"/>
        <w:right w:val="none" w:sz="0" w:space="0" w:color="auto"/>
      </w:divBdr>
    </w:div>
    <w:div w:id="674000061">
      <w:bodyDiv w:val="1"/>
      <w:marLeft w:val="0"/>
      <w:marRight w:val="0"/>
      <w:marTop w:val="0"/>
      <w:marBottom w:val="0"/>
      <w:divBdr>
        <w:top w:val="none" w:sz="0" w:space="0" w:color="auto"/>
        <w:left w:val="none" w:sz="0" w:space="0" w:color="auto"/>
        <w:bottom w:val="none" w:sz="0" w:space="0" w:color="auto"/>
        <w:right w:val="none" w:sz="0" w:space="0" w:color="auto"/>
      </w:divBdr>
    </w:div>
    <w:div w:id="674112371">
      <w:bodyDiv w:val="1"/>
      <w:marLeft w:val="0"/>
      <w:marRight w:val="0"/>
      <w:marTop w:val="0"/>
      <w:marBottom w:val="0"/>
      <w:divBdr>
        <w:top w:val="none" w:sz="0" w:space="0" w:color="auto"/>
        <w:left w:val="none" w:sz="0" w:space="0" w:color="auto"/>
        <w:bottom w:val="none" w:sz="0" w:space="0" w:color="auto"/>
        <w:right w:val="none" w:sz="0" w:space="0" w:color="auto"/>
      </w:divBdr>
    </w:div>
    <w:div w:id="674310010">
      <w:bodyDiv w:val="1"/>
      <w:marLeft w:val="0"/>
      <w:marRight w:val="0"/>
      <w:marTop w:val="0"/>
      <w:marBottom w:val="0"/>
      <w:divBdr>
        <w:top w:val="none" w:sz="0" w:space="0" w:color="auto"/>
        <w:left w:val="none" w:sz="0" w:space="0" w:color="auto"/>
        <w:bottom w:val="none" w:sz="0" w:space="0" w:color="auto"/>
        <w:right w:val="none" w:sz="0" w:space="0" w:color="auto"/>
      </w:divBdr>
    </w:div>
    <w:div w:id="674652557">
      <w:bodyDiv w:val="1"/>
      <w:marLeft w:val="0"/>
      <w:marRight w:val="0"/>
      <w:marTop w:val="0"/>
      <w:marBottom w:val="0"/>
      <w:divBdr>
        <w:top w:val="none" w:sz="0" w:space="0" w:color="auto"/>
        <w:left w:val="none" w:sz="0" w:space="0" w:color="auto"/>
        <w:bottom w:val="none" w:sz="0" w:space="0" w:color="auto"/>
        <w:right w:val="none" w:sz="0" w:space="0" w:color="auto"/>
      </w:divBdr>
    </w:div>
    <w:div w:id="674963330">
      <w:bodyDiv w:val="1"/>
      <w:marLeft w:val="0"/>
      <w:marRight w:val="0"/>
      <w:marTop w:val="0"/>
      <w:marBottom w:val="0"/>
      <w:divBdr>
        <w:top w:val="none" w:sz="0" w:space="0" w:color="auto"/>
        <w:left w:val="none" w:sz="0" w:space="0" w:color="auto"/>
        <w:bottom w:val="none" w:sz="0" w:space="0" w:color="auto"/>
        <w:right w:val="none" w:sz="0" w:space="0" w:color="auto"/>
      </w:divBdr>
    </w:div>
    <w:div w:id="675114912">
      <w:bodyDiv w:val="1"/>
      <w:marLeft w:val="0"/>
      <w:marRight w:val="0"/>
      <w:marTop w:val="0"/>
      <w:marBottom w:val="0"/>
      <w:divBdr>
        <w:top w:val="none" w:sz="0" w:space="0" w:color="auto"/>
        <w:left w:val="none" w:sz="0" w:space="0" w:color="auto"/>
        <w:bottom w:val="none" w:sz="0" w:space="0" w:color="auto"/>
        <w:right w:val="none" w:sz="0" w:space="0" w:color="auto"/>
      </w:divBdr>
    </w:div>
    <w:div w:id="675570058">
      <w:bodyDiv w:val="1"/>
      <w:marLeft w:val="0"/>
      <w:marRight w:val="0"/>
      <w:marTop w:val="0"/>
      <w:marBottom w:val="0"/>
      <w:divBdr>
        <w:top w:val="none" w:sz="0" w:space="0" w:color="auto"/>
        <w:left w:val="none" w:sz="0" w:space="0" w:color="auto"/>
        <w:bottom w:val="none" w:sz="0" w:space="0" w:color="auto"/>
        <w:right w:val="none" w:sz="0" w:space="0" w:color="auto"/>
      </w:divBdr>
    </w:div>
    <w:div w:id="677930916">
      <w:bodyDiv w:val="1"/>
      <w:marLeft w:val="0"/>
      <w:marRight w:val="0"/>
      <w:marTop w:val="0"/>
      <w:marBottom w:val="0"/>
      <w:divBdr>
        <w:top w:val="none" w:sz="0" w:space="0" w:color="auto"/>
        <w:left w:val="none" w:sz="0" w:space="0" w:color="auto"/>
        <w:bottom w:val="none" w:sz="0" w:space="0" w:color="auto"/>
        <w:right w:val="none" w:sz="0" w:space="0" w:color="auto"/>
      </w:divBdr>
    </w:div>
    <w:div w:id="678194368">
      <w:bodyDiv w:val="1"/>
      <w:marLeft w:val="0"/>
      <w:marRight w:val="0"/>
      <w:marTop w:val="0"/>
      <w:marBottom w:val="0"/>
      <w:divBdr>
        <w:top w:val="none" w:sz="0" w:space="0" w:color="auto"/>
        <w:left w:val="none" w:sz="0" w:space="0" w:color="auto"/>
        <w:bottom w:val="none" w:sz="0" w:space="0" w:color="auto"/>
        <w:right w:val="none" w:sz="0" w:space="0" w:color="auto"/>
      </w:divBdr>
    </w:div>
    <w:div w:id="678583072">
      <w:bodyDiv w:val="1"/>
      <w:marLeft w:val="0"/>
      <w:marRight w:val="0"/>
      <w:marTop w:val="0"/>
      <w:marBottom w:val="0"/>
      <w:divBdr>
        <w:top w:val="none" w:sz="0" w:space="0" w:color="auto"/>
        <w:left w:val="none" w:sz="0" w:space="0" w:color="auto"/>
        <w:bottom w:val="none" w:sz="0" w:space="0" w:color="auto"/>
        <w:right w:val="none" w:sz="0" w:space="0" w:color="auto"/>
      </w:divBdr>
    </w:div>
    <w:div w:id="679937937">
      <w:bodyDiv w:val="1"/>
      <w:marLeft w:val="0"/>
      <w:marRight w:val="0"/>
      <w:marTop w:val="0"/>
      <w:marBottom w:val="0"/>
      <w:divBdr>
        <w:top w:val="none" w:sz="0" w:space="0" w:color="auto"/>
        <w:left w:val="none" w:sz="0" w:space="0" w:color="auto"/>
        <w:bottom w:val="none" w:sz="0" w:space="0" w:color="auto"/>
        <w:right w:val="none" w:sz="0" w:space="0" w:color="auto"/>
      </w:divBdr>
    </w:div>
    <w:div w:id="681208099">
      <w:bodyDiv w:val="1"/>
      <w:marLeft w:val="0"/>
      <w:marRight w:val="0"/>
      <w:marTop w:val="0"/>
      <w:marBottom w:val="0"/>
      <w:divBdr>
        <w:top w:val="none" w:sz="0" w:space="0" w:color="auto"/>
        <w:left w:val="none" w:sz="0" w:space="0" w:color="auto"/>
        <w:bottom w:val="none" w:sz="0" w:space="0" w:color="auto"/>
        <w:right w:val="none" w:sz="0" w:space="0" w:color="auto"/>
      </w:divBdr>
    </w:div>
    <w:div w:id="681318397">
      <w:bodyDiv w:val="1"/>
      <w:marLeft w:val="0"/>
      <w:marRight w:val="0"/>
      <w:marTop w:val="0"/>
      <w:marBottom w:val="0"/>
      <w:divBdr>
        <w:top w:val="none" w:sz="0" w:space="0" w:color="auto"/>
        <w:left w:val="none" w:sz="0" w:space="0" w:color="auto"/>
        <w:bottom w:val="none" w:sz="0" w:space="0" w:color="auto"/>
        <w:right w:val="none" w:sz="0" w:space="0" w:color="auto"/>
      </w:divBdr>
    </w:div>
    <w:div w:id="681395717">
      <w:bodyDiv w:val="1"/>
      <w:marLeft w:val="0"/>
      <w:marRight w:val="0"/>
      <w:marTop w:val="0"/>
      <w:marBottom w:val="0"/>
      <w:divBdr>
        <w:top w:val="none" w:sz="0" w:space="0" w:color="auto"/>
        <w:left w:val="none" w:sz="0" w:space="0" w:color="auto"/>
        <w:bottom w:val="none" w:sz="0" w:space="0" w:color="auto"/>
        <w:right w:val="none" w:sz="0" w:space="0" w:color="auto"/>
      </w:divBdr>
    </w:div>
    <w:div w:id="683751037">
      <w:bodyDiv w:val="1"/>
      <w:marLeft w:val="0"/>
      <w:marRight w:val="0"/>
      <w:marTop w:val="0"/>
      <w:marBottom w:val="0"/>
      <w:divBdr>
        <w:top w:val="none" w:sz="0" w:space="0" w:color="auto"/>
        <w:left w:val="none" w:sz="0" w:space="0" w:color="auto"/>
        <w:bottom w:val="none" w:sz="0" w:space="0" w:color="auto"/>
        <w:right w:val="none" w:sz="0" w:space="0" w:color="auto"/>
      </w:divBdr>
    </w:div>
    <w:div w:id="684479524">
      <w:bodyDiv w:val="1"/>
      <w:marLeft w:val="0"/>
      <w:marRight w:val="0"/>
      <w:marTop w:val="0"/>
      <w:marBottom w:val="0"/>
      <w:divBdr>
        <w:top w:val="none" w:sz="0" w:space="0" w:color="auto"/>
        <w:left w:val="none" w:sz="0" w:space="0" w:color="auto"/>
        <w:bottom w:val="none" w:sz="0" w:space="0" w:color="auto"/>
        <w:right w:val="none" w:sz="0" w:space="0" w:color="auto"/>
      </w:divBdr>
    </w:div>
    <w:div w:id="684525292">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5520014">
      <w:bodyDiv w:val="1"/>
      <w:marLeft w:val="0"/>
      <w:marRight w:val="0"/>
      <w:marTop w:val="0"/>
      <w:marBottom w:val="0"/>
      <w:divBdr>
        <w:top w:val="none" w:sz="0" w:space="0" w:color="auto"/>
        <w:left w:val="none" w:sz="0" w:space="0" w:color="auto"/>
        <w:bottom w:val="none" w:sz="0" w:space="0" w:color="auto"/>
        <w:right w:val="none" w:sz="0" w:space="0" w:color="auto"/>
      </w:divBdr>
    </w:div>
    <w:div w:id="685668136">
      <w:bodyDiv w:val="1"/>
      <w:marLeft w:val="0"/>
      <w:marRight w:val="0"/>
      <w:marTop w:val="0"/>
      <w:marBottom w:val="0"/>
      <w:divBdr>
        <w:top w:val="none" w:sz="0" w:space="0" w:color="auto"/>
        <w:left w:val="none" w:sz="0" w:space="0" w:color="auto"/>
        <w:bottom w:val="none" w:sz="0" w:space="0" w:color="auto"/>
        <w:right w:val="none" w:sz="0" w:space="0" w:color="auto"/>
      </w:divBdr>
    </w:div>
    <w:div w:id="685862098">
      <w:bodyDiv w:val="1"/>
      <w:marLeft w:val="0"/>
      <w:marRight w:val="0"/>
      <w:marTop w:val="0"/>
      <w:marBottom w:val="0"/>
      <w:divBdr>
        <w:top w:val="none" w:sz="0" w:space="0" w:color="auto"/>
        <w:left w:val="none" w:sz="0" w:space="0" w:color="auto"/>
        <w:bottom w:val="none" w:sz="0" w:space="0" w:color="auto"/>
        <w:right w:val="none" w:sz="0" w:space="0" w:color="auto"/>
      </w:divBdr>
    </w:div>
    <w:div w:id="686249900">
      <w:bodyDiv w:val="1"/>
      <w:marLeft w:val="0"/>
      <w:marRight w:val="0"/>
      <w:marTop w:val="0"/>
      <w:marBottom w:val="0"/>
      <w:divBdr>
        <w:top w:val="none" w:sz="0" w:space="0" w:color="auto"/>
        <w:left w:val="none" w:sz="0" w:space="0" w:color="auto"/>
        <w:bottom w:val="none" w:sz="0" w:space="0" w:color="auto"/>
        <w:right w:val="none" w:sz="0" w:space="0" w:color="auto"/>
      </w:divBdr>
    </w:div>
    <w:div w:id="688029148">
      <w:bodyDiv w:val="1"/>
      <w:marLeft w:val="0"/>
      <w:marRight w:val="0"/>
      <w:marTop w:val="0"/>
      <w:marBottom w:val="0"/>
      <w:divBdr>
        <w:top w:val="none" w:sz="0" w:space="0" w:color="auto"/>
        <w:left w:val="none" w:sz="0" w:space="0" w:color="auto"/>
        <w:bottom w:val="none" w:sz="0" w:space="0" w:color="auto"/>
        <w:right w:val="none" w:sz="0" w:space="0" w:color="auto"/>
      </w:divBdr>
    </w:div>
    <w:div w:id="689723094">
      <w:bodyDiv w:val="1"/>
      <w:marLeft w:val="0"/>
      <w:marRight w:val="0"/>
      <w:marTop w:val="0"/>
      <w:marBottom w:val="0"/>
      <w:divBdr>
        <w:top w:val="none" w:sz="0" w:space="0" w:color="auto"/>
        <w:left w:val="none" w:sz="0" w:space="0" w:color="auto"/>
        <w:bottom w:val="none" w:sz="0" w:space="0" w:color="auto"/>
        <w:right w:val="none" w:sz="0" w:space="0" w:color="auto"/>
      </w:divBdr>
    </w:div>
    <w:div w:id="691223898">
      <w:bodyDiv w:val="1"/>
      <w:marLeft w:val="0"/>
      <w:marRight w:val="0"/>
      <w:marTop w:val="0"/>
      <w:marBottom w:val="0"/>
      <w:divBdr>
        <w:top w:val="none" w:sz="0" w:space="0" w:color="auto"/>
        <w:left w:val="none" w:sz="0" w:space="0" w:color="auto"/>
        <w:bottom w:val="none" w:sz="0" w:space="0" w:color="auto"/>
        <w:right w:val="none" w:sz="0" w:space="0" w:color="auto"/>
      </w:divBdr>
    </w:div>
    <w:div w:id="692731747">
      <w:bodyDiv w:val="1"/>
      <w:marLeft w:val="0"/>
      <w:marRight w:val="0"/>
      <w:marTop w:val="0"/>
      <w:marBottom w:val="0"/>
      <w:divBdr>
        <w:top w:val="none" w:sz="0" w:space="0" w:color="auto"/>
        <w:left w:val="none" w:sz="0" w:space="0" w:color="auto"/>
        <w:bottom w:val="none" w:sz="0" w:space="0" w:color="auto"/>
        <w:right w:val="none" w:sz="0" w:space="0" w:color="auto"/>
      </w:divBdr>
    </w:div>
    <w:div w:id="693312504">
      <w:bodyDiv w:val="1"/>
      <w:marLeft w:val="0"/>
      <w:marRight w:val="0"/>
      <w:marTop w:val="0"/>
      <w:marBottom w:val="0"/>
      <w:divBdr>
        <w:top w:val="none" w:sz="0" w:space="0" w:color="auto"/>
        <w:left w:val="none" w:sz="0" w:space="0" w:color="auto"/>
        <w:bottom w:val="none" w:sz="0" w:space="0" w:color="auto"/>
        <w:right w:val="none" w:sz="0" w:space="0" w:color="auto"/>
      </w:divBdr>
    </w:div>
    <w:div w:id="693729243">
      <w:bodyDiv w:val="1"/>
      <w:marLeft w:val="0"/>
      <w:marRight w:val="0"/>
      <w:marTop w:val="0"/>
      <w:marBottom w:val="0"/>
      <w:divBdr>
        <w:top w:val="none" w:sz="0" w:space="0" w:color="auto"/>
        <w:left w:val="none" w:sz="0" w:space="0" w:color="auto"/>
        <w:bottom w:val="none" w:sz="0" w:space="0" w:color="auto"/>
        <w:right w:val="none" w:sz="0" w:space="0" w:color="auto"/>
      </w:divBdr>
    </w:div>
    <w:div w:id="693921504">
      <w:bodyDiv w:val="1"/>
      <w:marLeft w:val="0"/>
      <w:marRight w:val="0"/>
      <w:marTop w:val="0"/>
      <w:marBottom w:val="0"/>
      <w:divBdr>
        <w:top w:val="none" w:sz="0" w:space="0" w:color="auto"/>
        <w:left w:val="none" w:sz="0" w:space="0" w:color="auto"/>
        <w:bottom w:val="none" w:sz="0" w:space="0" w:color="auto"/>
        <w:right w:val="none" w:sz="0" w:space="0" w:color="auto"/>
      </w:divBdr>
    </w:div>
    <w:div w:id="694354545">
      <w:bodyDiv w:val="1"/>
      <w:marLeft w:val="0"/>
      <w:marRight w:val="0"/>
      <w:marTop w:val="0"/>
      <w:marBottom w:val="0"/>
      <w:divBdr>
        <w:top w:val="none" w:sz="0" w:space="0" w:color="auto"/>
        <w:left w:val="none" w:sz="0" w:space="0" w:color="auto"/>
        <w:bottom w:val="none" w:sz="0" w:space="0" w:color="auto"/>
        <w:right w:val="none" w:sz="0" w:space="0" w:color="auto"/>
      </w:divBdr>
    </w:div>
    <w:div w:id="694578107">
      <w:bodyDiv w:val="1"/>
      <w:marLeft w:val="0"/>
      <w:marRight w:val="0"/>
      <w:marTop w:val="0"/>
      <w:marBottom w:val="0"/>
      <w:divBdr>
        <w:top w:val="none" w:sz="0" w:space="0" w:color="auto"/>
        <w:left w:val="none" w:sz="0" w:space="0" w:color="auto"/>
        <w:bottom w:val="none" w:sz="0" w:space="0" w:color="auto"/>
        <w:right w:val="none" w:sz="0" w:space="0" w:color="auto"/>
      </w:divBdr>
    </w:div>
    <w:div w:id="694695357">
      <w:bodyDiv w:val="1"/>
      <w:marLeft w:val="0"/>
      <w:marRight w:val="0"/>
      <w:marTop w:val="0"/>
      <w:marBottom w:val="0"/>
      <w:divBdr>
        <w:top w:val="none" w:sz="0" w:space="0" w:color="auto"/>
        <w:left w:val="none" w:sz="0" w:space="0" w:color="auto"/>
        <w:bottom w:val="none" w:sz="0" w:space="0" w:color="auto"/>
        <w:right w:val="none" w:sz="0" w:space="0" w:color="auto"/>
      </w:divBdr>
    </w:div>
    <w:div w:id="694961951">
      <w:bodyDiv w:val="1"/>
      <w:marLeft w:val="0"/>
      <w:marRight w:val="0"/>
      <w:marTop w:val="0"/>
      <w:marBottom w:val="0"/>
      <w:divBdr>
        <w:top w:val="none" w:sz="0" w:space="0" w:color="auto"/>
        <w:left w:val="none" w:sz="0" w:space="0" w:color="auto"/>
        <w:bottom w:val="none" w:sz="0" w:space="0" w:color="auto"/>
        <w:right w:val="none" w:sz="0" w:space="0" w:color="auto"/>
      </w:divBdr>
    </w:div>
    <w:div w:id="696004032">
      <w:bodyDiv w:val="1"/>
      <w:marLeft w:val="0"/>
      <w:marRight w:val="0"/>
      <w:marTop w:val="0"/>
      <w:marBottom w:val="0"/>
      <w:divBdr>
        <w:top w:val="none" w:sz="0" w:space="0" w:color="auto"/>
        <w:left w:val="none" w:sz="0" w:space="0" w:color="auto"/>
        <w:bottom w:val="none" w:sz="0" w:space="0" w:color="auto"/>
        <w:right w:val="none" w:sz="0" w:space="0" w:color="auto"/>
      </w:divBdr>
    </w:div>
    <w:div w:id="696732346">
      <w:bodyDiv w:val="1"/>
      <w:marLeft w:val="0"/>
      <w:marRight w:val="0"/>
      <w:marTop w:val="0"/>
      <w:marBottom w:val="0"/>
      <w:divBdr>
        <w:top w:val="none" w:sz="0" w:space="0" w:color="auto"/>
        <w:left w:val="none" w:sz="0" w:space="0" w:color="auto"/>
        <w:bottom w:val="none" w:sz="0" w:space="0" w:color="auto"/>
        <w:right w:val="none" w:sz="0" w:space="0" w:color="auto"/>
      </w:divBdr>
    </w:div>
    <w:div w:id="697050070">
      <w:bodyDiv w:val="1"/>
      <w:marLeft w:val="0"/>
      <w:marRight w:val="0"/>
      <w:marTop w:val="0"/>
      <w:marBottom w:val="0"/>
      <w:divBdr>
        <w:top w:val="none" w:sz="0" w:space="0" w:color="auto"/>
        <w:left w:val="none" w:sz="0" w:space="0" w:color="auto"/>
        <w:bottom w:val="none" w:sz="0" w:space="0" w:color="auto"/>
        <w:right w:val="none" w:sz="0" w:space="0" w:color="auto"/>
      </w:divBdr>
    </w:div>
    <w:div w:id="697465276">
      <w:bodyDiv w:val="1"/>
      <w:marLeft w:val="0"/>
      <w:marRight w:val="0"/>
      <w:marTop w:val="0"/>
      <w:marBottom w:val="0"/>
      <w:divBdr>
        <w:top w:val="none" w:sz="0" w:space="0" w:color="auto"/>
        <w:left w:val="none" w:sz="0" w:space="0" w:color="auto"/>
        <w:bottom w:val="none" w:sz="0" w:space="0" w:color="auto"/>
        <w:right w:val="none" w:sz="0" w:space="0" w:color="auto"/>
      </w:divBdr>
    </w:div>
    <w:div w:id="698092973">
      <w:bodyDiv w:val="1"/>
      <w:marLeft w:val="0"/>
      <w:marRight w:val="0"/>
      <w:marTop w:val="0"/>
      <w:marBottom w:val="0"/>
      <w:divBdr>
        <w:top w:val="none" w:sz="0" w:space="0" w:color="auto"/>
        <w:left w:val="none" w:sz="0" w:space="0" w:color="auto"/>
        <w:bottom w:val="none" w:sz="0" w:space="0" w:color="auto"/>
        <w:right w:val="none" w:sz="0" w:space="0" w:color="auto"/>
      </w:divBdr>
    </w:div>
    <w:div w:id="698631412">
      <w:bodyDiv w:val="1"/>
      <w:marLeft w:val="0"/>
      <w:marRight w:val="0"/>
      <w:marTop w:val="0"/>
      <w:marBottom w:val="0"/>
      <w:divBdr>
        <w:top w:val="none" w:sz="0" w:space="0" w:color="auto"/>
        <w:left w:val="none" w:sz="0" w:space="0" w:color="auto"/>
        <w:bottom w:val="none" w:sz="0" w:space="0" w:color="auto"/>
        <w:right w:val="none" w:sz="0" w:space="0" w:color="auto"/>
      </w:divBdr>
    </w:div>
    <w:div w:id="698698870">
      <w:bodyDiv w:val="1"/>
      <w:marLeft w:val="0"/>
      <w:marRight w:val="0"/>
      <w:marTop w:val="0"/>
      <w:marBottom w:val="0"/>
      <w:divBdr>
        <w:top w:val="none" w:sz="0" w:space="0" w:color="auto"/>
        <w:left w:val="none" w:sz="0" w:space="0" w:color="auto"/>
        <w:bottom w:val="none" w:sz="0" w:space="0" w:color="auto"/>
        <w:right w:val="none" w:sz="0" w:space="0" w:color="auto"/>
      </w:divBdr>
    </w:div>
    <w:div w:id="700522052">
      <w:bodyDiv w:val="1"/>
      <w:marLeft w:val="0"/>
      <w:marRight w:val="0"/>
      <w:marTop w:val="0"/>
      <w:marBottom w:val="0"/>
      <w:divBdr>
        <w:top w:val="none" w:sz="0" w:space="0" w:color="auto"/>
        <w:left w:val="none" w:sz="0" w:space="0" w:color="auto"/>
        <w:bottom w:val="none" w:sz="0" w:space="0" w:color="auto"/>
        <w:right w:val="none" w:sz="0" w:space="0" w:color="auto"/>
      </w:divBdr>
    </w:div>
    <w:div w:id="701057785">
      <w:bodyDiv w:val="1"/>
      <w:marLeft w:val="0"/>
      <w:marRight w:val="0"/>
      <w:marTop w:val="0"/>
      <w:marBottom w:val="0"/>
      <w:divBdr>
        <w:top w:val="none" w:sz="0" w:space="0" w:color="auto"/>
        <w:left w:val="none" w:sz="0" w:space="0" w:color="auto"/>
        <w:bottom w:val="none" w:sz="0" w:space="0" w:color="auto"/>
        <w:right w:val="none" w:sz="0" w:space="0" w:color="auto"/>
      </w:divBdr>
    </w:div>
    <w:div w:id="701593175">
      <w:bodyDiv w:val="1"/>
      <w:marLeft w:val="0"/>
      <w:marRight w:val="0"/>
      <w:marTop w:val="0"/>
      <w:marBottom w:val="0"/>
      <w:divBdr>
        <w:top w:val="none" w:sz="0" w:space="0" w:color="auto"/>
        <w:left w:val="none" w:sz="0" w:space="0" w:color="auto"/>
        <w:bottom w:val="none" w:sz="0" w:space="0" w:color="auto"/>
        <w:right w:val="none" w:sz="0" w:space="0" w:color="auto"/>
      </w:divBdr>
    </w:div>
    <w:div w:id="701638840">
      <w:bodyDiv w:val="1"/>
      <w:marLeft w:val="0"/>
      <w:marRight w:val="0"/>
      <w:marTop w:val="0"/>
      <w:marBottom w:val="0"/>
      <w:divBdr>
        <w:top w:val="none" w:sz="0" w:space="0" w:color="auto"/>
        <w:left w:val="none" w:sz="0" w:space="0" w:color="auto"/>
        <w:bottom w:val="none" w:sz="0" w:space="0" w:color="auto"/>
        <w:right w:val="none" w:sz="0" w:space="0" w:color="auto"/>
      </w:divBdr>
    </w:div>
    <w:div w:id="702091784">
      <w:bodyDiv w:val="1"/>
      <w:marLeft w:val="0"/>
      <w:marRight w:val="0"/>
      <w:marTop w:val="0"/>
      <w:marBottom w:val="0"/>
      <w:divBdr>
        <w:top w:val="none" w:sz="0" w:space="0" w:color="auto"/>
        <w:left w:val="none" w:sz="0" w:space="0" w:color="auto"/>
        <w:bottom w:val="none" w:sz="0" w:space="0" w:color="auto"/>
        <w:right w:val="none" w:sz="0" w:space="0" w:color="auto"/>
      </w:divBdr>
    </w:div>
    <w:div w:id="702633914">
      <w:bodyDiv w:val="1"/>
      <w:marLeft w:val="0"/>
      <w:marRight w:val="0"/>
      <w:marTop w:val="0"/>
      <w:marBottom w:val="0"/>
      <w:divBdr>
        <w:top w:val="none" w:sz="0" w:space="0" w:color="auto"/>
        <w:left w:val="none" w:sz="0" w:space="0" w:color="auto"/>
        <w:bottom w:val="none" w:sz="0" w:space="0" w:color="auto"/>
        <w:right w:val="none" w:sz="0" w:space="0" w:color="auto"/>
      </w:divBdr>
    </w:div>
    <w:div w:id="702827628">
      <w:bodyDiv w:val="1"/>
      <w:marLeft w:val="0"/>
      <w:marRight w:val="0"/>
      <w:marTop w:val="0"/>
      <w:marBottom w:val="0"/>
      <w:divBdr>
        <w:top w:val="none" w:sz="0" w:space="0" w:color="auto"/>
        <w:left w:val="none" w:sz="0" w:space="0" w:color="auto"/>
        <w:bottom w:val="none" w:sz="0" w:space="0" w:color="auto"/>
        <w:right w:val="none" w:sz="0" w:space="0" w:color="auto"/>
      </w:divBdr>
    </w:div>
    <w:div w:id="702830251">
      <w:bodyDiv w:val="1"/>
      <w:marLeft w:val="0"/>
      <w:marRight w:val="0"/>
      <w:marTop w:val="0"/>
      <w:marBottom w:val="0"/>
      <w:divBdr>
        <w:top w:val="none" w:sz="0" w:space="0" w:color="auto"/>
        <w:left w:val="none" w:sz="0" w:space="0" w:color="auto"/>
        <w:bottom w:val="none" w:sz="0" w:space="0" w:color="auto"/>
        <w:right w:val="none" w:sz="0" w:space="0" w:color="auto"/>
      </w:divBdr>
    </w:div>
    <w:div w:id="704019115">
      <w:bodyDiv w:val="1"/>
      <w:marLeft w:val="0"/>
      <w:marRight w:val="0"/>
      <w:marTop w:val="0"/>
      <w:marBottom w:val="0"/>
      <w:divBdr>
        <w:top w:val="none" w:sz="0" w:space="0" w:color="auto"/>
        <w:left w:val="none" w:sz="0" w:space="0" w:color="auto"/>
        <w:bottom w:val="none" w:sz="0" w:space="0" w:color="auto"/>
        <w:right w:val="none" w:sz="0" w:space="0" w:color="auto"/>
      </w:divBdr>
    </w:div>
    <w:div w:id="704600299">
      <w:bodyDiv w:val="1"/>
      <w:marLeft w:val="0"/>
      <w:marRight w:val="0"/>
      <w:marTop w:val="0"/>
      <w:marBottom w:val="0"/>
      <w:divBdr>
        <w:top w:val="none" w:sz="0" w:space="0" w:color="auto"/>
        <w:left w:val="none" w:sz="0" w:space="0" w:color="auto"/>
        <w:bottom w:val="none" w:sz="0" w:space="0" w:color="auto"/>
        <w:right w:val="none" w:sz="0" w:space="0" w:color="auto"/>
      </w:divBdr>
    </w:div>
    <w:div w:id="704914936">
      <w:bodyDiv w:val="1"/>
      <w:marLeft w:val="0"/>
      <w:marRight w:val="0"/>
      <w:marTop w:val="0"/>
      <w:marBottom w:val="0"/>
      <w:divBdr>
        <w:top w:val="none" w:sz="0" w:space="0" w:color="auto"/>
        <w:left w:val="none" w:sz="0" w:space="0" w:color="auto"/>
        <w:bottom w:val="none" w:sz="0" w:space="0" w:color="auto"/>
        <w:right w:val="none" w:sz="0" w:space="0" w:color="auto"/>
      </w:divBdr>
    </w:div>
    <w:div w:id="705444475">
      <w:bodyDiv w:val="1"/>
      <w:marLeft w:val="0"/>
      <w:marRight w:val="0"/>
      <w:marTop w:val="0"/>
      <w:marBottom w:val="0"/>
      <w:divBdr>
        <w:top w:val="none" w:sz="0" w:space="0" w:color="auto"/>
        <w:left w:val="none" w:sz="0" w:space="0" w:color="auto"/>
        <w:bottom w:val="none" w:sz="0" w:space="0" w:color="auto"/>
        <w:right w:val="none" w:sz="0" w:space="0" w:color="auto"/>
      </w:divBdr>
    </w:div>
    <w:div w:id="705907833">
      <w:bodyDiv w:val="1"/>
      <w:marLeft w:val="0"/>
      <w:marRight w:val="0"/>
      <w:marTop w:val="0"/>
      <w:marBottom w:val="0"/>
      <w:divBdr>
        <w:top w:val="none" w:sz="0" w:space="0" w:color="auto"/>
        <w:left w:val="none" w:sz="0" w:space="0" w:color="auto"/>
        <w:bottom w:val="none" w:sz="0" w:space="0" w:color="auto"/>
        <w:right w:val="none" w:sz="0" w:space="0" w:color="auto"/>
      </w:divBdr>
    </w:div>
    <w:div w:id="706106031">
      <w:bodyDiv w:val="1"/>
      <w:marLeft w:val="0"/>
      <w:marRight w:val="0"/>
      <w:marTop w:val="0"/>
      <w:marBottom w:val="0"/>
      <w:divBdr>
        <w:top w:val="none" w:sz="0" w:space="0" w:color="auto"/>
        <w:left w:val="none" w:sz="0" w:space="0" w:color="auto"/>
        <w:bottom w:val="none" w:sz="0" w:space="0" w:color="auto"/>
        <w:right w:val="none" w:sz="0" w:space="0" w:color="auto"/>
      </w:divBdr>
    </w:div>
    <w:div w:id="707490114">
      <w:bodyDiv w:val="1"/>
      <w:marLeft w:val="0"/>
      <w:marRight w:val="0"/>
      <w:marTop w:val="0"/>
      <w:marBottom w:val="0"/>
      <w:divBdr>
        <w:top w:val="none" w:sz="0" w:space="0" w:color="auto"/>
        <w:left w:val="none" w:sz="0" w:space="0" w:color="auto"/>
        <w:bottom w:val="none" w:sz="0" w:space="0" w:color="auto"/>
        <w:right w:val="none" w:sz="0" w:space="0" w:color="auto"/>
      </w:divBdr>
    </w:div>
    <w:div w:id="707994123">
      <w:bodyDiv w:val="1"/>
      <w:marLeft w:val="0"/>
      <w:marRight w:val="0"/>
      <w:marTop w:val="0"/>
      <w:marBottom w:val="0"/>
      <w:divBdr>
        <w:top w:val="none" w:sz="0" w:space="0" w:color="auto"/>
        <w:left w:val="none" w:sz="0" w:space="0" w:color="auto"/>
        <w:bottom w:val="none" w:sz="0" w:space="0" w:color="auto"/>
        <w:right w:val="none" w:sz="0" w:space="0" w:color="auto"/>
      </w:divBdr>
    </w:div>
    <w:div w:id="708647663">
      <w:bodyDiv w:val="1"/>
      <w:marLeft w:val="0"/>
      <w:marRight w:val="0"/>
      <w:marTop w:val="0"/>
      <w:marBottom w:val="0"/>
      <w:divBdr>
        <w:top w:val="none" w:sz="0" w:space="0" w:color="auto"/>
        <w:left w:val="none" w:sz="0" w:space="0" w:color="auto"/>
        <w:bottom w:val="none" w:sz="0" w:space="0" w:color="auto"/>
        <w:right w:val="none" w:sz="0" w:space="0" w:color="auto"/>
      </w:divBdr>
    </w:div>
    <w:div w:id="710567881">
      <w:bodyDiv w:val="1"/>
      <w:marLeft w:val="0"/>
      <w:marRight w:val="0"/>
      <w:marTop w:val="0"/>
      <w:marBottom w:val="0"/>
      <w:divBdr>
        <w:top w:val="none" w:sz="0" w:space="0" w:color="auto"/>
        <w:left w:val="none" w:sz="0" w:space="0" w:color="auto"/>
        <w:bottom w:val="none" w:sz="0" w:space="0" w:color="auto"/>
        <w:right w:val="none" w:sz="0" w:space="0" w:color="auto"/>
      </w:divBdr>
    </w:div>
    <w:div w:id="710882407">
      <w:bodyDiv w:val="1"/>
      <w:marLeft w:val="0"/>
      <w:marRight w:val="0"/>
      <w:marTop w:val="0"/>
      <w:marBottom w:val="0"/>
      <w:divBdr>
        <w:top w:val="none" w:sz="0" w:space="0" w:color="auto"/>
        <w:left w:val="none" w:sz="0" w:space="0" w:color="auto"/>
        <w:bottom w:val="none" w:sz="0" w:space="0" w:color="auto"/>
        <w:right w:val="none" w:sz="0" w:space="0" w:color="auto"/>
      </w:divBdr>
    </w:div>
    <w:div w:id="712004456">
      <w:bodyDiv w:val="1"/>
      <w:marLeft w:val="0"/>
      <w:marRight w:val="0"/>
      <w:marTop w:val="0"/>
      <w:marBottom w:val="0"/>
      <w:divBdr>
        <w:top w:val="none" w:sz="0" w:space="0" w:color="auto"/>
        <w:left w:val="none" w:sz="0" w:space="0" w:color="auto"/>
        <w:bottom w:val="none" w:sz="0" w:space="0" w:color="auto"/>
        <w:right w:val="none" w:sz="0" w:space="0" w:color="auto"/>
      </w:divBdr>
    </w:div>
    <w:div w:id="712384901">
      <w:bodyDiv w:val="1"/>
      <w:marLeft w:val="0"/>
      <w:marRight w:val="0"/>
      <w:marTop w:val="0"/>
      <w:marBottom w:val="0"/>
      <w:divBdr>
        <w:top w:val="none" w:sz="0" w:space="0" w:color="auto"/>
        <w:left w:val="none" w:sz="0" w:space="0" w:color="auto"/>
        <w:bottom w:val="none" w:sz="0" w:space="0" w:color="auto"/>
        <w:right w:val="none" w:sz="0" w:space="0" w:color="auto"/>
      </w:divBdr>
    </w:div>
    <w:div w:id="714230785">
      <w:bodyDiv w:val="1"/>
      <w:marLeft w:val="0"/>
      <w:marRight w:val="0"/>
      <w:marTop w:val="0"/>
      <w:marBottom w:val="0"/>
      <w:divBdr>
        <w:top w:val="none" w:sz="0" w:space="0" w:color="auto"/>
        <w:left w:val="none" w:sz="0" w:space="0" w:color="auto"/>
        <w:bottom w:val="none" w:sz="0" w:space="0" w:color="auto"/>
        <w:right w:val="none" w:sz="0" w:space="0" w:color="auto"/>
      </w:divBdr>
    </w:div>
    <w:div w:id="717316662">
      <w:bodyDiv w:val="1"/>
      <w:marLeft w:val="0"/>
      <w:marRight w:val="0"/>
      <w:marTop w:val="0"/>
      <w:marBottom w:val="0"/>
      <w:divBdr>
        <w:top w:val="none" w:sz="0" w:space="0" w:color="auto"/>
        <w:left w:val="none" w:sz="0" w:space="0" w:color="auto"/>
        <w:bottom w:val="none" w:sz="0" w:space="0" w:color="auto"/>
        <w:right w:val="none" w:sz="0" w:space="0" w:color="auto"/>
      </w:divBdr>
    </w:div>
    <w:div w:id="717358971">
      <w:bodyDiv w:val="1"/>
      <w:marLeft w:val="0"/>
      <w:marRight w:val="0"/>
      <w:marTop w:val="0"/>
      <w:marBottom w:val="0"/>
      <w:divBdr>
        <w:top w:val="none" w:sz="0" w:space="0" w:color="auto"/>
        <w:left w:val="none" w:sz="0" w:space="0" w:color="auto"/>
        <w:bottom w:val="none" w:sz="0" w:space="0" w:color="auto"/>
        <w:right w:val="none" w:sz="0" w:space="0" w:color="auto"/>
      </w:divBdr>
    </w:div>
    <w:div w:id="717895480">
      <w:bodyDiv w:val="1"/>
      <w:marLeft w:val="0"/>
      <w:marRight w:val="0"/>
      <w:marTop w:val="0"/>
      <w:marBottom w:val="0"/>
      <w:divBdr>
        <w:top w:val="none" w:sz="0" w:space="0" w:color="auto"/>
        <w:left w:val="none" w:sz="0" w:space="0" w:color="auto"/>
        <w:bottom w:val="none" w:sz="0" w:space="0" w:color="auto"/>
        <w:right w:val="none" w:sz="0" w:space="0" w:color="auto"/>
      </w:divBdr>
    </w:div>
    <w:div w:id="718013003">
      <w:bodyDiv w:val="1"/>
      <w:marLeft w:val="0"/>
      <w:marRight w:val="0"/>
      <w:marTop w:val="0"/>
      <w:marBottom w:val="0"/>
      <w:divBdr>
        <w:top w:val="none" w:sz="0" w:space="0" w:color="auto"/>
        <w:left w:val="none" w:sz="0" w:space="0" w:color="auto"/>
        <w:bottom w:val="none" w:sz="0" w:space="0" w:color="auto"/>
        <w:right w:val="none" w:sz="0" w:space="0" w:color="auto"/>
      </w:divBdr>
    </w:div>
    <w:div w:id="718364655">
      <w:bodyDiv w:val="1"/>
      <w:marLeft w:val="0"/>
      <w:marRight w:val="0"/>
      <w:marTop w:val="0"/>
      <w:marBottom w:val="0"/>
      <w:divBdr>
        <w:top w:val="none" w:sz="0" w:space="0" w:color="auto"/>
        <w:left w:val="none" w:sz="0" w:space="0" w:color="auto"/>
        <w:bottom w:val="none" w:sz="0" w:space="0" w:color="auto"/>
        <w:right w:val="none" w:sz="0" w:space="0" w:color="auto"/>
      </w:divBdr>
    </w:div>
    <w:div w:id="719477494">
      <w:bodyDiv w:val="1"/>
      <w:marLeft w:val="0"/>
      <w:marRight w:val="0"/>
      <w:marTop w:val="0"/>
      <w:marBottom w:val="0"/>
      <w:divBdr>
        <w:top w:val="none" w:sz="0" w:space="0" w:color="auto"/>
        <w:left w:val="none" w:sz="0" w:space="0" w:color="auto"/>
        <w:bottom w:val="none" w:sz="0" w:space="0" w:color="auto"/>
        <w:right w:val="none" w:sz="0" w:space="0" w:color="auto"/>
      </w:divBdr>
    </w:div>
    <w:div w:id="720403008">
      <w:bodyDiv w:val="1"/>
      <w:marLeft w:val="0"/>
      <w:marRight w:val="0"/>
      <w:marTop w:val="0"/>
      <w:marBottom w:val="0"/>
      <w:divBdr>
        <w:top w:val="none" w:sz="0" w:space="0" w:color="auto"/>
        <w:left w:val="none" w:sz="0" w:space="0" w:color="auto"/>
        <w:bottom w:val="none" w:sz="0" w:space="0" w:color="auto"/>
        <w:right w:val="none" w:sz="0" w:space="0" w:color="auto"/>
      </w:divBdr>
    </w:div>
    <w:div w:id="720403846">
      <w:bodyDiv w:val="1"/>
      <w:marLeft w:val="0"/>
      <w:marRight w:val="0"/>
      <w:marTop w:val="0"/>
      <w:marBottom w:val="0"/>
      <w:divBdr>
        <w:top w:val="none" w:sz="0" w:space="0" w:color="auto"/>
        <w:left w:val="none" w:sz="0" w:space="0" w:color="auto"/>
        <w:bottom w:val="none" w:sz="0" w:space="0" w:color="auto"/>
        <w:right w:val="none" w:sz="0" w:space="0" w:color="auto"/>
      </w:divBdr>
    </w:div>
    <w:div w:id="721290183">
      <w:bodyDiv w:val="1"/>
      <w:marLeft w:val="0"/>
      <w:marRight w:val="0"/>
      <w:marTop w:val="0"/>
      <w:marBottom w:val="0"/>
      <w:divBdr>
        <w:top w:val="none" w:sz="0" w:space="0" w:color="auto"/>
        <w:left w:val="none" w:sz="0" w:space="0" w:color="auto"/>
        <w:bottom w:val="none" w:sz="0" w:space="0" w:color="auto"/>
        <w:right w:val="none" w:sz="0" w:space="0" w:color="auto"/>
      </w:divBdr>
    </w:div>
    <w:div w:id="722411281">
      <w:bodyDiv w:val="1"/>
      <w:marLeft w:val="0"/>
      <w:marRight w:val="0"/>
      <w:marTop w:val="0"/>
      <w:marBottom w:val="0"/>
      <w:divBdr>
        <w:top w:val="none" w:sz="0" w:space="0" w:color="auto"/>
        <w:left w:val="none" w:sz="0" w:space="0" w:color="auto"/>
        <w:bottom w:val="none" w:sz="0" w:space="0" w:color="auto"/>
        <w:right w:val="none" w:sz="0" w:space="0" w:color="auto"/>
      </w:divBdr>
    </w:div>
    <w:div w:id="722676263">
      <w:bodyDiv w:val="1"/>
      <w:marLeft w:val="0"/>
      <w:marRight w:val="0"/>
      <w:marTop w:val="0"/>
      <w:marBottom w:val="0"/>
      <w:divBdr>
        <w:top w:val="none" w:sz="0" w:space="0" w:color="auto"/>
        <w:left w:val="none" w:sz="0" w:space="0" w:color="auto"/>
        <w:bottom w:val="none" w:sz="0" w:space="0" w:color="auto"/>
        <w:right w:val="none" w:sz="0" w:space="0" w:color="auto"/>
      </w:divBdr>
    </w:div>
    <w:div w:id="723142550">
      <w:bodyDiv w:val="1"/>
      <w:marLeft w:val="0"/>
      <w:marRight w:val="0"/>
      <w:marTop w:val="0"/>
      <w:marBottom w:val="0"/>
      <w:divBdr>
        <w:top w:val="none" w:sz="0" w:space="0" w:color="auto"/>
        <w:left w:val="none" w:sz="0" w:space="0" w:color="auto"/>
        <w:bottom w:val="none" w:sz="0" w:space="0" w:color="auto"/>
        <w:right w:val="none" w:sz="0" w:space="0" w:color="auto"/>
      </w:divBdr>
    </w:div>
    <w:div w:id="724258294">
      <w:bodyDiv w:val="1"/>
      <w:marLeft w:val="0"/>
      <w:marRight w:val="0"/>
      <w:marTop w:val="0"/>
      <w:marBottom w:val="0"/>
      <w:divBdr>
        <w:top w:val="none" w:sz="0" w:space="0" w:color="auto"/>
        <w:left w:val="none" w:sz="0" w:space="0" w:color="auto"/>
        <w:bottom w:val="none" w:sz="0" w:space="0" w:color="auto"/>
        <w:right w:val="none" w:sz="0" w:space="0" w:color="auto"/>
      </w:divBdr>
    </w:div>
    <w:div w:id="724527376">
      <w:bodyDiv w:val="1"/>
      <w:marLeft w:val="0"/>
      <w:marRight w:val="0"/>
      <w:marTop w:val="0"/>
      <w:marBottom w:val="0"/>
      <w:divBdr>
        <w:top w:val="none" w:sz="0" w:space="0" w:color="auto"/>
        <w:left w:val="none" w:sz="0" w:space="0" w:color="auto"/>
        <w:bottom w:val="none" w:sz="0" w:space="0" w:color="auto"/>
        <w:right w:val="none" w:sz="0" w:space="0" w:color="auto"/>
      </w:divBdr>
    </w:div>
    <w:div w:id="725109195">
      <w:bodyDiv w:val="1"/>
      <w:marLeft w:val="0"/>
      <w:marRight w:val="0"/>
      <w:marTop w:val="0"/>
      <w:marBottom w:val="0"/>
      <w:divBdr>
        <w:top w:val="none" w:sz="0" w:space="0" w:color="auto"/>
        <w:left w:val="none" w:sz="0" w:space="0" w:color="auto"/>
        <w:bottom w:val="none" w:sz="0" w:space="0" w:color="auto"/>
        <w:right w:val="none" w:sz="0" w:space="0" w:color="auto"/>
      </w:divBdr>
    </w:div>
    <w:div w:id="725959174">
      <w:bodyDiv w:val="1"/>
      <w:marLeft w:val="0"/>
      <w:marRight w:val="0"/>
      <w:marTop w:val="0"/>
      <w:marBottom w:val="0"/>
      <w:divBdr>
        <w:top w:val="none" w:sz="0" w:space="0" w:color="auto"/>
        <w:left w:val="none" w:sz="0" w:space="0" w:color="auto"/>
        <w:bottom w:val="none" w:sz="0" w:space="0" w:color="auto"/>
        <w:right w:val="none" w:sz="0" w:space="0" w:color="auto"/>
      </w:divBdr>
    </w:div>
    <w:div w:id="726150336">
      <w:bodyDiv w:val="1"/>
      <w:marLeft w:val="0"/>
      <w:marRight w:val="0"/>
      <w:marTop w:val="0"/>
      <w:marBottom w:val="0"/>
      <w:divBdr>
        <w:top w:val="none" w:sz="0" w:space="0" w:color="auto"/>
        <w:left w:val="none" w:sz="0" w:space="0" w:color="auto"/>
        <w:bottom w:val="none" w:sz="0" w:space="0" w:color="auto"/>
        <w:right w:val="none" w:sz="0" w:space="0" w:color="auto"/>
      </w:divBdr>
    </w:div>
    <w:div w:id="727530232">
      <w:bodyDiv w:val="1"/>
      <w:marLeft w:val="0"/>
      <w:marRight w:val="0"/>
      <w:marTop w:val="0"/>
      <w:marBottom w:val="0"/>
      <w:divBdr>
        <w:top w:val="none" w:sz="0" w:space="0" w:color="auto"/>
        <w:left w:val="none" w:sz="0" w:space="0" w:color="auto"/>
        <w:bottom w:val="none" w:sz="0" w:space="0" w:color="auto"/>
        <w:right w:val="none" w:sz="0" w:space="0" w:color="auto"/>
      </w:divBdr>
    </w:div>
    <w:div w:id="727608916">
      <w:bodyDiv w:val="1"/>
      <w:marLeft w:val="0"/>
      <w:marRight w:val="0"/>
      <w:marTop w:val="0"/>
      <w:marBottom w:val="0"/>
      <w:divBdr>
        <w:top w:val="none" w:sz="0" w:space="0" w:color="auto"/>
        <w:left w:val="none" w:sz="0" w:space="0" w:color="auto"/>
        <w:bottom w:val="none" w:sz="0" w:space="0" w:color="auto"/>
        <w:right w:val="none" w:sz="0" w:space="0" w:color="auto"/>
      </w:divBdr>
    </w:div>
    <w:div w:id="727731527">
      <w:bodyDiv w:val="1"/>
      <w:marLeft w:val="0"/>
      <w:marRight w:val="0"/>
      <w:marTop w:val="0"/>
      <w:marBottom w:val="0"/>
      <w:divBdr>
        <w:top w:val="none" w:sz="0" w:space="0" w:color="auto"/>
        <w:left w:val="none" w:sz="0" w:space="0" w:color="auto"/>
        <w:bottom w:val="none" w:sz="0" w:space="0" w:color="auto"/>
        <w:right w:val="none" w:sz="0" w:space="0" w:color="auto"/>
      </w:divBdr>
    </w:div>
    <w:div w:id="729773110">
      <w:bodyDiv w:val="1"/>
      <w:marLeft w:val="0"/>
      <w:marRight w:val="0"/>
      <w:marTop w:val="0"/>
      <w:marBottom w:val="0"/>
      <w:divBdr>
        <w:top w:val="none" w:sz="0" w:space="0" w:color="auto"/>
        <w:left w:val="none" w:sz="0" w:space="0" w:color="auto"/>
        <w:bottom w:val="none" w:sz="0" w:space="0" w:color="auto"/>
        <w:right w:val="none" w:sz="0" w:space="0" w:color="auto"/>
      </w:divBdr>
    </w:div>
    <w:div w:id="729890984">
      <w:bodyDiv w:val="1"/>
      <w:marLeft w:val="0"/>
      <w:marRight w:val="0"/>
      <w:marTop w:val="0"/>
      <w:marBottom w:val="0"/>
      <w:divBdr>
        <w:top w:val="none" w:sz="0" w:space="0" w:color="auto"/>
        <w:left w:val="none" w:sz="0" w:space="0" w:color="auto"/>
        <w:bottom w:val="none" w:sz="0" w:space="0" w:color="auto"/>
        <w:right w:val="none" w:sz="0" w:space="0" w:color="auto"/>
      </w:divBdr>
    </w:div>
    <w:div w:id="730542051">
      <w:bodyDiv w:val="1"/>
      <w:marLeft w:val="0"/>
      <w:marRight w:val="0"/>
      <w:marTop w:val="0"/>
      <w:marBottom w:val="0"/>
      <w:divBdr>
        <w:top w:val="none" w:sz="0" w:space="0" w:color="auto"/>
        <w:left w:val="none" w:sz="0" w:space="0" w:color="auto"/>
        <w:bottom w:val="none" w:sz="0" w:space="0" w:color="auto"/>
        <w:right w:val="none" w:sz="0" w:space="0" w:color="auto"/>
      </w:divBdr>
    </w:div>
    <w:div w:id="731658772">
      <w:bodyDiv w:val="1"/>
      <w:marLeft w:val="0"/>
      <w:marRight w:val="0"/>
      <w:marTop w:val="0"/>
      <w:marBottom w:val="0"/>
      <w:divBdr>
        <w:top w:val="none" w:sz="0" w:space="0" w:color="auto"/>
        <w:left w:val="none" w:sz="0" w:space="0" w:color="auto"/>
        <w:bottom w:val="none" w:sz="0" w:space="0" w:color="auto"/>
        <w:right w:val="none" w:sz="0" w:space="0" w:color="auto"/>
      </w:divBdr>
    </w:div>
    <w:div w:id="731856350">
      <w:bodyDiv w:val="1"/>
      <w:marLeft w:val="0"/>
      <w:marRight w:val="0"/>
      <w:marTop w:val="0"/>
      <w:marBottom w:val="0"/>
      <w:divBdr>
        <w:top w:val="none" w:sz="0" w:space="0" w:color="auto"/>
        <w:left w:val="none" w:sz="0" w:space="0" w:color="auto"/>
        <w:bottom w:val="none" w:sz="0" w:space="0" w:color="auto"/>
        <w:right w:val="none" w:sz="0" w:space="0" w:color="auto"/>
      </w:divBdr>
    </w:div>
    <w:div w:id="733898153">
      <w:bodyDiv w:val="1"/>
      <w:marLeft w:val="0"/>
      <w:marRight w:val="0"/>
      <w:marTop w:val="0"/>
      <w:marBottom w:val="0"/>
      <w:divBdr>
        <w:top w:val="none" w:sz="0" w:space="0" w:color="auto"/>
        <w:left w:val="none" w:sz="0" w:space="0" w:color="auto"/>
        <w:bottom w:val="none" w:sz="0" w:space="0" w:color="auto"/>
        <w:right w:val="none" w:sz="0" w:space="0" w:color="auto"/>
      </w:divBdr>
    </w:div>
    <w:div w:id="736363483">
      <w:bodyDiv w:val="1"/>
      <w:marLeft w:val="0"/>
      <w:marRight w:val="0"/>
      <w:marTop w:val="0"/>
      <w:marBottom w:val="0"/>
      <w:divBdr>
        <w:top w:val="none" w:sz="0" w:space="0" w:color="auto"/>
        <w:left w:val="none" w:sz="0" w:space="0" w:color="auto"/>
        <w:bottom w:val="none" w:sz="0" w:space="0" w:color="auto"/>
        <w:right w:val="none" w:sz="0" w:space="0" w:color="auto"/>
      </w:divBdr>
    </w:div>
    <w:div w:id="736516609">
      <w:bodyDiv w:val="1"/>
      <w:marLeft w:val="0"/>
      <w:marRight w:val="0"/>
      <w:marTop w:val="0"/>
      <w:marBottom w:val="0"/>
      <w:divBdr>
        <w:top w:val="none" w:sz="0" w:space="0" w:color="auto"/>
        <w:left w:val="none" w:sz="0" w:space="0" w:color="auto"/>
        <w:bottom w:val="none" w:sz="0" w:space="0" w:color="auto"/>
        <w:right w:val="none" w:sz="0" w:space="0" w:color="auto"/>
      </w:divBdr>
    </w:div>
    <w:div w:id="737705389">
      <w:bodyDiv w:val="1"/>
      <w:marLeft w:val="0"/>
      <w:marRight w:val="0"/>
      <w:marTop w:val="0"/>
      <w:marBottom w:val="0"/>
      <w:divBdr>
        <w:top w:val="none" w:sz="0" w:space="0" w:color="auto"/>
        <w:left w:val="none" w:sz="0" w:space="0" w:color="auto"/>
        <w:bottom w:val="none" w:sz="0" w:space="0" w:color="auto"/>
        <w:right w:val="none" w:sz="0" w:space="0" w:color="auto"/>
      </w:divBdr>
    </w:div>
    <w:div w:id="737945471">
      <w:bodyDiv w:val="1"/>
      <w:marLeft w:val="0"/>
      <w:marRight w:val="0"/>
      <w:marTop w:val="0"/>
      <w:marBottom w:val="0"/>
      <w:divBdr>
        <w:top w:val="none" w:sz="0" w:space="0" w:color="auto"/>
        <w:left w:val="none" w:sz="0" w:space="0" w:color="auto"/>
        <w:bottom w:val="none" w:sz="0" w:space="0" w:color="auto"/>
        <w:right w:val="none" w:sz="0" w:space="0" w:color="auto"/>
      </w:divBdr>
    </w:div>
    <w:div w:id="738022878">
      <w:bodyDiv w:val="1"/>
      <w:marLeft w:val="0"/>
      <w:marRight w:val="0"/>
      <w:marTop w:val="0"/>
      <w:marBottom w:val="0"/>
      <w:divBdr>
        <w:top w:val="none" w:sz="0" w:space="0" w:color="auto"/>
        <w:left w:val="none" w:sz="0" w:space="0" w:color="auto"/>
        <w:bottom w:val="none" w:sz="0" w:space="0" w:color="auto"/>
        <w:right w:val="none" w:sz="0" w:space="0" w:color="auto"/>
      </w:divBdr>
    </w:div>
    <w:div w:id="738357795">
      <w:bodyDiv w:val="1"/>
      <w:marLeft w:val="0"/>
      <w:marRight w:val="0"/>
      <w:marTop w:val="0"/>
      <w:marBottom w:val="0"/>
      <w:divBdr>
        <w:top w:val="none" w:sz="0" w:space="0" w:color="auto"/>
        <w:left w:val="none" w:sz="0" w:space="0" w:color="auto"/>
        <w:bottom w:val="none" w:sz="0" w:space="0" w:color="auto"/>
        <w:right w:val="none" w:sz="0" w:space="0" w:color="auto"/>
      </w:divBdr>
    </w:div>
    <w:div w:id="738553709">
      <w:bodyDiv w:val="1"/>
      <w:marLeft w:val="0"/>
      <w:marRight w:val="0"/>
      <w:marTop w:val="0"/>
      <w:marBottom w:val="0"/>
      <w:divBdr>
        <w:top w:val="none" w:sz="0" w:space="0" w:color="auto"/>
        <w:left w:val="none" w:sz="0" w:space="0" w:color="auto"/>
        <w:bottom w:val="none" w:sz="0" w:space="0" w:color="auto"/>
        <w:right w:val="none" w:sz="0" w:space="0" w:color="auto"/>
      </w:divBdr>
    </w:div>
    <w:div w:id="738985650">
      <w:bodyDiv w:val="1"/>
      <w:marLeft w:val="0"/>
      <w:marRight w:val="0"/>
      <w:marTop w:val="0"/>
      <w:marBottom w:val="0"/>
      <w:divBdr>
        <w:top w:val="none" w:sz="0" w:space="0" w:color="auto"/>
        <w:left w:val="none" w:sz="0" w:space="0" w:color="auto"/>
        <w:bottom w:val="none" w:sz="0" w:space="0" w:color="auto"/>
        <w:right w:val="none" w:sz="0" w:space="0" w:color="auto"/>
      </w:divBdr>
    </w:div>
    <w:div w:id="739015797">
      <w:bodyDiv w:val="1"/>
      <w:marLeft w:val="0"/>
      <w:marRight w:val="0"/>
      <w:marTop w:val="0"/>
      <w:marBottom w:val="0"/>
      <w:divBdr>
        <w:top w:val="none" w:sz="0" w:space="0" w:color="auto"/>
        <w:left w:val="none" w:sz="0" w:space="0" w:color="auto"/>
        <w:bottom w:val="none" w:sz="0" w:space="0" w:color="auto"/>
        <w:right w:val="none" w:sz="0" w:space="0" w:color="auto"/>
      </w:divBdr>
    </w:div>
    <w:div w:id="739062963">
      <w:bodyDiv w:val="1"/>
      <w:marLeft w:val="0"/>
      <w:marRight w:val="0"/>
      <w:marTop w:val="0"/>
      <w:marBottom w:val="0"/>
      <w:divBdr>
        <w:top w:val="none" w:sz="0" w:space="0" w:color="auto"/>
        <w:left w:val="none" w:sz="0" w:space="0" w:color="auto"/>
        <w:bottom w:val="none" w:sz="0" w:space="0" w:color="auto"/>
        <w:right w:val="none" w:sz="0" w:space="0" w:color="auto"/>
      </w:divBdr>
    </w:div>
    <w:div w:id="739910983">
      <w:bodyDiv w:val="1"/>
      <w:marLeft w:val="0"/>
      <w:marRight w:val="0"/>
      <w:marTop w:val="0"/>
      <w:marBottom w:val="0"/>
      <w:divBdr>
        <w:top w:val="none" w:sz="0" w:space="0" w:color="auto"/>
        <w:left w:val="none" w:sz="0" w:space="0" w:color="auto"/>
        <w:bottom w:val="none" w:sz="0" w:space="0" w:color="auto"/>
        <w:right w:val="none" w:sz="0" w:space="0" w:color="auto"/>
      </w:divBdr>
    </w:div>
    <w:div w:id="740180531">
      <w:bodyDiv w:val="1"/>
      <w:marLeft w:val="0"/>
      <w:marRight w:val="0"/>
      <w:marTop w:val="0"/>
      <w:marBottom w:val="0"/>
      <w:divBdr>
        <w:top w:val="none" w:sz="0" w:space="0" w:color="auto"/>
        <w:left w:val="none" w:sz="0" w:space="0" w:color="auto"/>
        <w:bottom w:val="none" w:sz="0" w:space="0" w:color="auto"/>
        <w:right w:val="none" w:sz="0" w:space="0" w:color="auto"/>
      </w:divBdr>
    </w:div>
    <w:div w:id="740644326">
      <w:bodyDiv w:val="1"/>
      <w:marLeft w:val="0"/>
      <w:marRight w:val="0"/>
      <w:marTop w:val="0"/>
      <w:marBottom w:val="0"/>
      <w:divBdr>
        <w:top w:val="none" w:sz="0" w:space="0" w:color="auto"/>
        <w:left w:val="none" w:sz="0" w:space="0" w:color="auto"/>
        <w:bottom w:val="none" w:sz="0" w:space="0" w:color="auto"/>
        <w:right w:val="none" w:sz="0" w:space="0" w:color="auto"/>
      </w:divBdr>
    </w:div>
    <w:div w:id="743181712">
      <w:bodyDiv w:val="1"/>
      <w:marLeft w:val="0"/>
      <w:marRight w:val="0"/>
      <w:marTop w:val="0"/>
      <w:marBottom w:val="0"/>
      <w:divBdr>
        <w:top w:val="none" w:sz="0" w:space="0" w:color="auto"/>
        <w:left w:val="none" w:sz="0" w:space="0" w:color="auto"/>
        <w:bottom w:val="none" w:sz="0" w:space="0" w:color="auto"/>
        <w:right w:val="none" w:sz="0" w:space="0" w:color="auto"/>
      </w:divBdr>
    </w:div>
    <w:div w:id="743455528">
      <w:bodyDiv w:val="1"/>
      <w:marLeft w:val="0"/>
      <w:marRight w:val="0"/>
      <w:marTop w:val="0"/>
      <w:marBottom w:val="0"/>
      <w:divBdr>
        <w:top w:val="none" w:sz="0" w:space="0" w:color="auto"/>
        <w:left w:val="none" w:sz="0" w:space="0" w:color="auto"/>
        <w:bottom w:val="none" w:sz="0" w:space="0" w:color="auto"/>
        <w:right w:val="none" w:sz="0" w:space="0" w:color="auto"/>
      </w:divBdr>
    </w:div>
    <w:div w:id="744765627">
      <w:bodyDiv w:val="1"/>
      <w:marLeft w:val="0"/>
      <w:marRight w:val="0"/>
      <w:marTop w:val="0"/>
      <w:marBottom w:val="0"/>
      <w:divBdr>
        <w:top w:val="none" w:sz="0" w:space="0" w:color="auto"/>
        <w:left w:val="none" w:sz="0" w:space="0" w:color="auto"/>
        <w:bottom w:val="none" w:sz="0" w:space="0" w:color="auto"/>
        <w:right w:val="none" w:sz="0" w:space="0" w:color="auto"/>
      </w:divBdr>
    </w:div>
    <w:div w:id="747192065">
      <w:bodyDiv w:val="1"/>
      <w:marLeft w:val="0"/>
      <w:marRight w:val="0"/>
      <w:marTop w:val="0"/>
      <w:marBottom w:val="0"/>
      <w:divBdr>
        <w:top w:val="none" w:sz="0" w:space="0" w:color="auto"/>
        <w:left w:val="none" w:sz="0" w:space="0" w:color="auto"/>
        <w:bottom w:val="none" w:sz="0" w:space="0" w:color="auto"/>
        <w:right w:val="none" w:sz="0" w:space="0" w:color="auto"/>
      </w:divBdr>
    </w:div>
    <w:div w:id="748040971">
      <w:bodyDiv w:val="1"/>
      <w:marLeft w:val="0"/>
      <w:marRight w:val="0"/>
      <w:marTop w:val="0"/>
      <w:marBottom w:val="0"/>
      <w:divBdr>
        <w:top w:val="none" w:sz="0" w:space="0" w:color="auto"/>
        <w:left w:val="none" w:sz="0" w:space="0" w:color="auto"/>
        <w:bottom w:val="none" w:sz="0" w:space="0" w:color="auto"/>
        <w:right w:val="none" w:sz="0" w:space="0" w:color="auto"/>
      </w:divBdr>
    </w:div>
    <w:div w:id="748574144">
      <w:bodyDiv w:val="1"/>
      <w:marLeft w:val="0"/>
      <w:marRight w:val="0"/>
      <w:marTop w:val="0"/>
      <w:marBottom w:val="0"/>
      <w:divBdr>
        <w:top w:val="none" w:sz="0" w:space="0" w:color="auto"/>
        <w:left w:val="none" w:sz="0" w:space="0" w:color="auto"/>
        <w:bottom w:val="none" w:sz="0" w:space="0" w:color="auto"/>
        <w:right w:val="none" w:sz="0" w:space="0" w:color="auto"/>
      </w:divBdr>
    </w:div>
    <w:div w:id="748768887">
      <w:bodyDiv w:val="1"/>
      <w:marLeft w:val="0"/>
      <w:marRight w:val="0"/>
      <w:marTop w:val="0"/>
      <w:marBottom w:val="0"/>
      <w:divBdr>
        <w:top w:val="none" w:sz="0" w:space="0" w:color="auto"/>
        <w:left w:val="none" w:sz="0" w:space="0" w:color="auto"/>
        <w:bottom w:val="none" w:sz="0" w:space="0" w:color="auto"/>
        <w:right w:val="none" w:sz="0" w:space="0" w:color="auto"/>
      </w:divBdr>
    </w:div>
    <w:div w:id="748889917">
      <w:bodyDiv w:val="1"/>
      <w:marLeft w:val="0"/>
      <w:marRight w:val="0"/>
      <w:marTop w:val="0"/>
      <w:marBottom w:val="0"/>
      <w:divBdr>
        <w:top w:val="none" w:sz="0" w:space="0" w:color="auto"/>
        <w:left w:val="none" w:sz="0" w:space="0" w:color="auto"/>
        <w:bottom w:val="none" w:sz="0" w:space="0" w:color="auto"/>
        <w:right w:val="none" w:sz="0" w:space="0" w:color="auto"/>
      </w:divBdr>
    </w:div>
    <w:div w:id="750081706">
      <w:bodyDiv w:val="1"/>
      <w:marLeft w:val="0"/>
      <w:marRight w:val="0"/>
      <w:marTop w:val="0"/>
      <w:marBottom w:val="0"/>
      <w:divBdr>
        <w:top w:val="none" w:sz="0" w:space="0" w:color="auto"/>
        <w:left w:val="none" w:sz="0" w:space="0" w:color="auto"/>
        <w:bottom w:val="none" w:sz="0" w:space="0" w:color="auto"/>
        <w:right w:val="none" w:sz="0" w:space="0" w:color="auto"/>
      </w:divBdr>
    </w:div>
    <w:div w:id="751126843">
      <w:bodyDiv w:val="1"/>
      <w:marLeft w:val="0"/>
      <w:marRight w:val="0"/>
      <w:marTop w:val="0"/>
      <w:marBottom w:val="0"/>
      <w:divBdr>
        <w:top w:val="none" w:sz="0" w:space="0" w:color="auto"/>
        <w:left w:val="none" w:sz="0" w:space="0" w:color="auto"/>
        <w:bottom w:val="none" w:sz="0" w:space="0" w:color="auto"/>
        <w:right w:val="none" w:sz="0" w:space="0" w:color="auto"/>
      </w:divBdr>
    </w:div>
    <w:div w:id="751390559">
      <w:bodyDiv w:val="1"/>
      <w:marLeft w:val="0"/>
      <w:marRight w:val="0"/>
      <w:marTop w:val="0"/>
      <w:marBottom w:val="0"/>
      <w:divBdr>
        <w:top w:val="none" w:sz="0" w:space="0" w:color="auto"/>
        <w:left w:val="none" w:sz="0" w:space="0" w:color="auto"/>
        <w:bottom w:val="none" w:sz="0" w:space="0" w:color="auto"/>
        <w:right w:val="none" w:sz="0" w:space="0" w:color="auto"/>
      </w:divBdr>
    </w:div>
    <w:div w:id="751437360">
      <w:bodyDiv w:val="1"/>
      <w:marLeft w:val="0"/>
      <w:marRight w:val="0"/>
      <w:marTop w:val="0"/>
      <w:marBottom w:val="0"/>
      <w:divBdr>
        <w:top w:val="none" w:sz="0" w:space="0" w:color="auto"/>
        <w:left w:val="none" w:sz="0" w:space="0" w:color="auto"/>
        <w:bottom w:val="none" w:sz="0" w:space="0" w:color="auto"/>
        <w:right w:val="none" w:sz="0" w:space="0" w:color="auto"/>
      </w:divBdr>
    </w:div>
    <w:div w:id="751975090">
      <w:bodyDiv w:val="1"/>
      <w:marLeft w:val="0"/>
      <w:marRight w:val="0"/>
      <w:marTop w:val="0"/>
      <w:marBottom w:val="0"/>
      <w:divBdr>
        <w:top w:val="none" w:sz="0" w:space="0" w:color="auto"/>
        <w:left w:val="none" w:sz="0" w:space="0" w:color="auto"/>
        <w:bottom w:val="none" w:sz="0" w:space="0" w:color="auto"/>
        <w:right w:val="none" w:sz="0" w:space="0" w:color="auto"/>
      </w:divBdr>
    </w:div>
    <w:div w:id="752121249">
      <w:bodyDiv w:val="1"/>
      <w:marLeft w:val="0"/>
      <w:marRight w:val="0"/>
      <w:marTop w:val="0"/>
      <w:marBottom w:val="0"/>
      <w:divBdr>
        <w:top w:val="none" w:sz="0" w:space="0" w:color="auto"/>
        <w:left w:val="none" w:sz="0" w:space="0" w:color="auto"/>
        <w:bottom w:val="none" w:sz="0" w:space="0" w:color="auto"/>
        <w:right w:val="none" w:sz="0" w:space="0" w:color="auto"/>
      </w:divBdr>
    </w:div>
    <w:div w:id="753664751">
      <w:bodyDiv w:val="1"/>
      <w:marLeft w:val="0"/>
      <w:marRight w:val="0"/>
      <w:marTop w:val="0"/>
      <w:marBottom w:val="0"/>
      <w:divBdr>
        <w:top w:val="none" w:sz="0" w:space="0" w:color="auto"/>
        <w:left w:val="none" w:sz="0" w:space="0" w:color="auto"/>
        <w:bottom w:val="none" w:sz="0" w:space="0" w:color="auto"/>
        <w:right w:val="none" w:sz="0" w:space="0" w:color="auto"/>
      </w:divBdr>
    </w:div>
    <w:div w:id="754472931">
      <w:bodyDiv w:val="1"/>
      <w:marLeft w:val="0"/>
      <w:marRight w:val="0"/>
      <w:marTop w:val="0"/>
      <w:marBottom w:val="0"/>
      <w:divBdr>
        <w:top w:val="none" w:sz="0" w:space="0" w:color="auto"/>
        <w:left w:val="none" w:sz="0" w:space="0" w:color="auto"/>
        <w:bottom w:val="none" w:sz="0" w:space="0" w:color="auto"/>
        <w:right w:val="none" w:sz="0" w:space="0" w:color="auto"/>
      </w:divBdr>
    </w:div>
    <w:div w:id="755245805">
      <w:bodyDiv w:val="1"/>
      <w:marLeft w:val="0"/>
      <w:marRight w:val="0"/>
      <w:marTop w:val="0"/>
      <w:marBottom w:val="0"/>
      <w:divBdr>
        <w:top w:val="none" w:sz="0" w:space="0" w:color="auto"/>
        <w:left w:val="none" w:sz="0" w:space="0" w:color="auto"/>
        <w:bottom w:val="none" w:sz="0" w:space="0" w:color="auto"/>
        <w:right w:val="none" w:sz="0" w:space="0" w:color="auto"/>
      </w:divBdr>
    </w:div>
    <w:div w:id="755905188">
      <w:bodyDiv w:val="1"/>
      <w:marLeft w:val="0"/>
      <w:marRight w:val="0"/>
      <w:marTop w:val="0"/>
      <w:marBottom w:val="0"/>
      <w:divBdr>
        <w:top w:val="none" w:sz="0" w:space="0" w:color="auto"/>
        <w:left w:val="none" w:sz="0" w:space="0" w:color="auto"/>
        <w:bottom w:val="none" w:sz="0" w:space="0" w:color="auto"/>
        <w:right w:val="none" w:sz="0" w:space="0" w:color="auto"/>
      </w:divBdr>
    </w:div>
    <w:div w:id="756441683">
      <w:bodyDiv w:val="1"/>
      <w:marLeft w:val="0"/>
      <w:marRight w:val="0"/>
      <w:marTop w:val="0"/>
      <w:marBottom w:val="0"/>
      <w:divBdr>
        <w:top w:val="none" w:sz="0" w:space="0" w:color="auto"/>
        <w:left w:val="none" w:sz="0" w:space="0" w:color="auto"/>
        <w:bottom w:val="none" w:sz="0" w:space="0" w:color="auto"/>
        <w:right w:val="none" w:sz="0" w:space="0" w:color="auto"/>
      </w:divBdr>
    </w:div>
    <w:div w:id="756710808">
      <w:bodyDiv w:val="1"/>
      <w:marLeft w:val="0"/>
      <w:marRight w:val="0"/>
      <w:marTop w:val="0"/>
      <w:marBottom w:val="0"/>
      <w:divBdr>
        <w:top w:val="none" w:sz="0" w:space="0" w:color="auto"/>
        <w:left w:val="none" w:sz="0" w:space="0" w:color="auto"/>
        <w:bottom w:val="none" w:sz="0" w:space="0" w:color="auto"/>
        <w:right w:val="none" w:sz="0" w:space="0" w:color="auto"/>
      </w:divBdr>
    </w:div>
    <w:div w:id="756827696">
      <w:bodyDiv w:val="1"/>
      <w:marLeft w:val="0"/>
      <w:marRight w:val="0"/>
      <w:marTop w:val="0"/>
      <w:marBottom w:val="0"/>
      <w:divBdr>
        <w:top w:val="none" w:sz="0" w:space="0" w:color="auto"/>
        <w:left w:val="none" w:sz="0" w:space="0" w:color="auto"/>
        <w:bottom w:val="none" w:sz="0" w:space="0" w:color="auto"/>
        <w:right w:val="none" w:sz="0" w:space="0" w:color="auto"/>
      </w:divBdr>
    </w:div>
    <w:div w:id="757336097">
      <w:bodyDiv w:val="1"/>
      <w:marLeft w:val="0"/>
      <w:marRight w:val="0"/>
      <w:marTop w:val="0"/>
      <w:marBottom w:val="0"/>
      <w:divBdr>
        <w:top w:val="none" w:sz="0" w:space="0" w:color="auto"/>
        <w:left w:val="none" w:sz="0" w:space="0" w:color="auto"/>
        <w:bottom w:val="none" w:sz="0" w:space="0" w:color="auto"/>
        <w:right w:val="none" w:sz="0" w:space="0" w:color="auto"/>
      </w:divBdr>
    </w:div>
    <w:div w:id="758253283">
      <w:bodyDiv w:val="1"/>
      <w:marLeft w:val="0"/>
      <w:marRight w:val="0"/>
      <w:marTop w:val="0"/>
      <w:marBottom w:val="0"/>
      <w:divBdr>
        <w:top w:val="none" w:sz="0" w:space="0" w:color="auto"/>
        <w:left w:val="none" w:sz="0" w:space="0" w:color="auto"/>
        <w:bottom w:val="none" w:sz="0" w:space="0" w:color="auto"/>
        <w:right w:val="none" w:sz="0" w:space="0" w:color="auto"/>
      </w:divBdr>
    </w:div>
    <w:div w:id="758335252">
      <w:bodyDiv w:val="1"/>
      <w:marLeft w:val="0"/>
      <w:marRight w:val="0"/>
      <w:marTop w:val="0"/>
      <w:marBottom w:val="0"/>
      <w:divBdr>
        <w:top w:val="none" w:sz="0" w:space="0" w:color="auto"/>
        <w:left w:val="none" w:sz="0" w:space="0" w:color="auto"/>
        <w:bottom w:val="none" w:sz="0" w:space="0" w:color="auto"/>
        <w:right w:val="none" w:sz="0" w:space="0" w:color="auto"/>
      </w:divBdr>
    </w:div>
    <w:div w:id="758991467">
      <w:bodyDiv w:val="1"/>
      <w:marLeft w:val="0"/>
      <w:marRight w:val="0"/>
      <w:marTop w:val="0"/>
      <w:marBottom w:val="0"/>
      <w:divBdr>
        <w:top w:val="none" w:sz="0" w:space="0" w:color="auto"/>
        <w:left w:val="none" w:sz="0" w:space="0" w:color="auto"/>
        <w:bottom w:val="none" w:sz="0" w:space="0" w:color="auto"/>
        <w:right w:val="none" w:sz="0" w:space="0" w:color="auto"/>
      </w:divBdr>
    </w:div>
    <w:div w:id="759135660">
      <w:bodyDiv w:val="1"/>
      <w:marLeft w:val="0"/>
      <w:marRight w:val="0"/>
      <w:marTop w:val="0"/>
      <w:marBottom w:val="0"/>
      <w:divBdr>
        <w:top w:val="none" w:sz="0" w:space="0" w:color="auto"/>
        <w:left w:val="none" w:sz="0" w:space="0" w:color="auto"/>
        <w:bottom w:val="none" w:sz="0" w:space="0" w:color="auto"/>
        <w:right w:val="none" w:sz="0" w:space="0" w:color="auto"/>
      </w:divBdr>
    </w:div>
    <w:div w:id="759258783">
      <w:bodyDiv w:val="1"/>
      <w:marLeft w:val="0"/>
      <w:marRight w:val="0"/>
      <w:marTop w:val="0"/>
      <w:marBottom w:val="0"/>
      <w:divBdr>
        <w:top w:val="none" w:sz="0" w:space="0" w:color="auto"/>
        <w:left w:val="none" w:sz="0" w:space="0" w:color="auto"/>
        <w:bottom w:val="none" w:sz="0" w:space="0" w:color="auto"/>
        <w:right w:val="none" w:sz="0" w:space="0" w:color="auto"/>
      </w:divBdr>
    </w:div>
    <w:div w:id="759638103">
      <w:bodyDiv w:val="1"/>
      <w:marLeft w:val="0"/>
      <w:marRight w:val="0"/>
      <w:marTop w:val="0"/>
      <w:marBottom w:val="0"/>
      <w:divBdr>
        <w:top w:val="none" w:sz="0" w:space="0" w:color="auto"/>
        <w:left w:val="none" w:sz="0" w:space="0" w:color="auto"/>
        <w:bottom w:val="none" w:sz="0" w:space="0" w:color="auto"/>
        <w:right w:val="none" w:sz="0" w:space="0" w:color="auto"/>
      </w:divBdr>
    </w:div>
    <w:div w:id="759760850">
      <w:bodyDiv w:val="1"/>
      <w:marLeft w:val="0"/>
      <w:marRight w:val="0"/>
      <w:marTop w:val="0"/>
      <w:marBottom w:val="0"/>
      <w:divBdr>
        <w:top w:val="none" w:sz="0" w:space="0" w:color="auto"/>
        <w:left w:val="none" w:sz="0" w:space="0" w:color="auto"/>
        <w:bottom w:val="none" w:sz="0" w:space="0" w:color="auto"/>
        <w:right w:val="none" w:sz="0" w:space="0" w:color="auto"/>
      </w:divBdr>
    </w:div>
    <w:div w:id="762798415">
      <w:bodyDiv w:val="1"/>
      <w:marLeft w:val="0"/>
      <w:marRight w:val="0"/>
      <w:marTop w:val="0"/>
      <w:marBottom w:val="0"/>
      <w:divBdr>
        <w:top w:val="none" w:sz="0" w:space="0" w:color="auto"/>
        <w:left w:val="none" w:sz="0" w:space="0" w:color="auto"/>
        <w:bottom w:val="none" w:sz="0" w:space="0" w:color="auto"/>
        <w:right w:val="none" w:sz="0" w:space="0" w:color="auto"/>
      </w:divBdr>
    </w:div>
    <w:div w:id="763653285">
      <w:bodyDiv w:val="1"/>
      <w:marLeft w:val="0"/>
      <w:marRight w:val="0"/>
      <w:marTop w:val="0"/>
      <w:marBottom w:val="0"/>
      <w:divBdr>
        <w:top w:val="none" w:sz="0" w:space="0" w:color="auto"/>
        <w:left w:val="none" w:sz="0" w:space="0" w:color="auto"/>
        <w:bottom w:val="none" w:sz="0" w:space="0" w:color="auto"/>
        <w:right w:val="none" w:sz="0" w:space="0" w:color="auto"/>
      </w:divBdr>
    </w:div>
    <w:div w:id="763765776">
      <w:bodyDiv w:val="1"/>
      <w:marLeft w:val="0"/>
      <w:marRight w:val="0"/>
      <w:marTop w:val="0"/>
      <w:marBottom w:val="0"/>
      <w:divBdr>
        <w:top w:val="none" w:sz="0" w:space="0" w:color="auto"/>
        <w:left w:val="none" w:sz="0" w:space="0" w:color="auto"/>
        <w:bottom w:val="none" w:sz="0" w:space="0" w:color="auto"/>
        <w:right w:val="none" w:sz="0" w:space="0" w:color="auto"/>
      </w:divBdr>
    </w:div>
    <w:div w:id="764615975">
      <w:bodyDiv w:val="1"/>
      <w:marLeft w:val="0"/>
      <w:marRight w:val="0"/>
      <w:marTop w:val="0"/>
      <w:marBottom w:val="0"/>
      <w:divBdr>
        <w:top w:val="none" w:sz="0" w:space="0" w:color="auto"/>
        <w:left w:val="none" w:sz="0" w:space="0" w:color="auto"/>
        <w:bottom w:val="none" w:sz="0" w:space="0" w:color="auto"/>
        <w:right w:val="none" w:sz="0" w:space="0" w:color="auto"/>
      </w:divBdr>
    </w:div>
    <w:div w:id="764959916">
      <w:bodyDiv w:val="1"/>
      <w:marLeft w:val="0"/>
      <w:marRight w:val="0"/>
      <w:marTop w:val="0"/>
      <w:marBottom w:val="0"/>
      <w:divBdr>
        <w:top w:val="none" w:sz="0" w:space="0" w:color="auto"/>
        <w:left w:val="none" w:sz="0" w:space="0" w:color="auto"/>
        <w:bottom w:val="none" w:sz="0" w:space="0" w:color="auto"/>
        <w:right w:val="none" w:sz="0" w:space="0" w:color="auto"/>
      </w:divBdr>
    </w:div>
    <w:div w:id="766148208">
      <w:bodyDiv w:val="1"/>
      <w:marLeft w:val="0"/>
      <w:marRight w:val="0"/>
      <w:marTop w:val="0"/>
      <w:marBottom w:val="0"/>
      <w:divBdr>
        <w:top w:val="none" w:sz="0" w:space="0" w:color="auto"/>
        <w:left w:val="none" w:sz="0" w:space="0" w:color="auto"/>
        <w:bottom w:val="none" w:sz="0" w:space="0" w:color="auto"/>
        <w:right w:val="none" w:sz="0" w:space="0" w:color="auto"/>
      </w:divBdr>
    </w:div>
    <w:div w:id="766198545">
      <w:bodyDiv w:val="1"/>
      <w:marLeft w:val="0"/>
      <w:marRight w:val="0"/>
      <w:marTop w:val="0"/>
      <w:marBottom w:val="0"/>
      <w:divBdr>
        <w:top w:val="none" w:sz="0" w:space="0" w:color="auto"/>
        <w:left w:val="none" w:sz="0" w:space="0" w:color="auto"/>
        <w:bottom w:val="none" w:sz="0" w:space="0" w:color="auto"/>
        <w:right w:val="none" w:sz="0" w:space="0" w:color="auto"/>
      </w:divBdr>
    </w:div>
    <w:div w:id="766771779">
      <w:bodyDiv w:val="1"/>
      <w:marLeft w:val="0"/>
      <w:marRight w:val="0"/>
      <w:marTop w:val="0"/>
      <w:marBottom w:val="0"/>
      <w:divBdr>
        <w:top w:val="none" w:sz="0" w:space="0" w:color="auto"/>
        <w:left w:val="none" w:sz="0" w:space="0" w:color="auto"/>
        <w:bottom w:val="none" w:sz="0" w:space="0" w:color="auto"/>
        <w:right w:val="none" w:sz="0" w:space="0" w:color="auto"/>
      </w:divBdr>
    </w:div>
    <w:div w:id="766969840">
      <w:bodyDiv w:val="1"/>
      <w:marLeft w:val="0"/>
      <w:marRight w:val="0"/>
      <w:marTop w:val="0"/>
      <w:marBottom w:val="0"/>
      <w:divBdr>
        <w:top w:val="none" w:sz="0" w:space="0" w:color="auto"/>
        <w:left w:val="none" w:sz="0" w:space="0" w:color="auto"/>
        <w:bottom w:val="none" w:sz="0" w:space="0" w:color="auto"/>
        <w:right w:val="none" w:sz="0" w:space="0" w:color="auto"/>
      </w:divBdr>
    </w:div>
    <w:div w:id="767427764">
      <w:bodyDiv w:val="1"/>
      <w:marLeft w:val="0"/>
      <w:marRight w:val="0"/>
      <w:marTop w:val="0"/>
      <w:marBottom w:val="0"/>
      <w:divBdr>
        <w:top w:val="none" w:sz="0" w:space="0" w:color="auto"/>
        <w:left w:val="none" w:sz="0" w:space="0" w:color="auto"/>
        <w:bottom w:val="none" w:sz="0" w:space="0" w:color="auto"/>
        <w:right w:val="none" w:sz="0" w:space="0" w:color="auto"/>
      </w:divBdr>
    </w:div>
    <w:div w:id="767702650">
      <w:bodyDiv w:val="1"/>
      <w:marLeft w:val="0"/>
      <w:marRight w:val="0"/>
      <w:marTop w:val="0"/>
      <w:marBottom w:val="0"/>
      <w:divBdr>
        <w:top w:val="none" w:sz="0" w:space="0" w:color="auto"/>
        <w:left w:val="none" w:sz="0" w:space="0" w:color="auto"/>
        <w:bottom w:val="none" w:sz="0" w:space="0" w:color="auto"/>
        <w:right w:val="none" w:sz="0" w:space="0" w:color="auto"/>
      </w:divBdr>
    </w:div>
    <w:div w:id="768047183">
      <w:bodyDiv w:val="1"/>
      <w:marLeft w:val="0"/>
      <w:marRight w:val="0"/>
      <w:marTop w:val="0"/>
      <w:marBottom w:val="0"/>
      <w:divBdr>
        <w:top w:val="none" w:sz="0" w:space="0" w:color="auto"/>
        <w:left w:val="none" w:sz="0" w:space="0" w:color="auto"/>
        <w:bottom w:val="none" w:sz="0" w:space="0" w:color="auto"/>
        <w:right w:val="none" w:sz="0" w:space="0" w:color="auto"/>
      </w:divBdr>
    </w:div>
    <w:div w:id="769160225">
      <w:bodyDiv w:val="1"/>
      <w:marLeft w:val="0"/>
      <w:marRight w:val="0"/>
      <w:marTop w:val="0"/>
      <w:marBottom w:val="0"/>
      <w:divBdr>
        <w:top w:val="none" w:sz="0" w:space="0" w:color="auto"/>
        <w:left w:val="none" w:sz="0" w:space="0" w:color="auto"/>
        <w:bottom w:val="none" w:sz="0" w:space="0" w:color="auto"/>
        <w:right w:val="none" w:sz="0" w:space="0" w:color="auto"/>
      </w:divBdr>
    </w:div>
    <w:div w:id="770583969">
      <w:bodyDiv w:val="1"/>
      <w:marLeft w:val="0"/>
      <w:marRight w:val="0"/>
      <w:marTop w:val="0"/>
      <w:marBottom w:val="0"/>
      <w:divBdr>
        <w:top w:val="none" w:sz="0" w:space="0" w:color="auto"/>
        <w:left w:val="none" w:sz="0" w:space="0" w:color="auto"/>
        <w:bottom w:val="none" w:sz="0" w:space="0" w:color="auto"/>
        <w:right w:val="none" w:sz="0" w:space="0" w:color="auto"/>
      </w:divBdr>
    </w:div>
    <w:div w:id="770900871">
      <w:bodyDiv w:val="1"/>
      <w:marLeft w:val="0"/>
      <w:marRight w:val="0"/>
      <w:marTop w:val="0"/>
      <w:marBottom w:val="0"/>
      <w:divBdr>
        <w:top w:val="none" w:sz="0" w:space="0" w:color="auto"/>
        <w:left w:val="none" w:sz="0" w:space="0" w:color="auto"/>
        <w:bottom w:val="none" w:sz="0" w:space="0" w:color="auto"/>
        <w:right w:val="none" w:sz="0" w:space="0" w:color="auto"/>
      </w:divBdr>
    </w:div>
    <w:div w:id="771587269">
      <w:bodyDiv w:val="1"/>
      <w:marLeft w:val="0"/>
      <w:marRight w:val="0"/>
      <w:marTop w:val="0"/>
      <w:marBottom w:val="0"/>
      <w:divBdr>
        <w:top w:val="none" w:sz="0" w:space="0" w:color="auto"/>
        <w:left w:val="none" w:sz="0" w:space="0" w:color="auto"/>
        <w:bottom w:val="none" w:sz="0" w:space="0" w:color="auto"/>
        <w:right w:val="none" w:sz="0" w:space="0" w:color="auto"/>
      </w:divBdr>
    </w:div>
    <w:div w:id="771828324">
      <w:bodyDiv w:val="1"/>
      <w:marLeft w:val="0"/>
      <w:marRight w:val="0"/>
      <w:marTop w:val="0"/>
      <w:marBottom w:val="0"/>
      <w:divBdr>
        <w:top w:val="none" w:sz="0" w:space="0" w:color="auto"/>
        <w:left w:val="none" w:sz="0" w:space="0" w:color="auto"/>
        <w:bottom w:val="none" w:sz="0" w:space="0" w:color="auto"/>
        <w:right w:val="none" w:sz="0" w:space="0" w:color="auto"/>
      </w:divBdr>
    </w:div>
    <w:div w:id="772167143">
      <w:bodyDiv w:val="1"/>
      <w:marLeft w:val="0"/>
      <w:marRight w:val="0"/>
      <w:marTop w:val="0"/>
      <w:marBottom w:val="0"/>
      <w:divBdr>
        <w:top w:val="none" w:sz="0" w:space="0" w:color="auto"/>
        <w:left w:val="none" w:sz="0" w:space="0" w:color="auto"/>
        <w:bottom w:val="none" w:sz="0" w:space="0" w:color="auto"/>
        <w:right w:val="none" w:sz="0" w:space="0" w:color="auto"/>
      </w:divBdr>
    </w:div>
    <w:div w:id="772212122">
      <w:bodyDiv w:val="1"/>
      <w:marLeft w:val="0"/>
      <w:marRight w:val="0"/>
      <w:marTop w:val="0"/>
      <w:marBottom w:val="0"/>
      <w:divBdr>
        <w:top w:val="none" w:sz="0" w:space="0" w:color="auto"/>
        <w:left w:val="none" w:sz="0" w:space="0" w:color="auto"/>
        <w:bottom w:val="none" w:sz="0" w:space="0" w:color="auto"/>
        <w:right w:val="none" w:sz="0" w:space="0" w:color="auto"/>
      </w:divBdr>
    </w:div>
    <w:div w:id="772478419">
      <w:bodyDiv w:val="1"/>
      <w:marLeft w:val="0"/>
      <w:marRight w:val="0"/>
      <w:marTop w:val="0"/>
      <w:marBottom w:val="0"/>
      <w:divBdr>
        <w:top w:val="none" w:sz="0" w:space="0" w:color="auto"/>
        <w:left w:val="none" w:sz="0" w:space="0" w:color="auto"/>
        <w:bottom w:val="none" w:sz="0" w:space="0" w:color="auto"/>
        <w:right w:val="none" w:sz="0" w:space="0" w:color="auto"/>
      </w:divBdr>
    </w:div>
    <w:div w:id="772479389">
      <w:bodyDiv w:val="1"/>
      <w:marLeft w:val="0"/>
      <w:marRight w:val="0"/>
      <w:marTop w:val="0"/>
      <w:marBottom w:val="0"/>
      <w:divBdr>
        <w:top w:val="none" w:sz="0" w:space="0" w:color="auto"/>
        <w:left w:val="none" w:sz="0" w:space="0" w:color="auto"/>
        <w:bottom w:val="none" w:sz="0" w:space="0" w:color="auto"/>
        <w:right w:val="none" w:sz="0" w:space="0" w:color="auto"/>
      </w:divBdr>
    </w:div>
    <w:div w:id="772750037">
      <w:bodyDiv w:val="1"/>
      <w:marLeft w:val="0"/>
      <w:marRight w:val="0"/>
      <w:marTop w:val="0"/>
      <w:marBottom w:val="0"/>
      <w:divBdr>
        <w:top w:val="none" w:sz="0" w:space="0" w:color="auto"/>
        <w:left w:val="none" w:sz="0" w:space="0" w:color="auto"/>
        <w:bottom w:val="none" w:sz="0" w:space="0" w:color="auto"/>
        <w:right w:val="none" w:sz="0" w:space="0" w:color="auto"/>
      </w:divBdr>
    </w:div>
    <w:div w:id="773407652">
      <w:bodyDiv w:val="1"/>
      <w:marLeft w:val="0"/>
      <w:marRight w:val="0"/>
      <w:marTop w:val="0"/>
      <w:marBottom w:val="0"/>
      <w:divBdr>
        <w:top w:val="none" w:sz="0" w:space="0" w:color="auto"/>
        <w:left w:val="none" w:sz="0" w:space="0" w:color="auto"/>
        <w:bottom w:val="none" w:sz="0" w:space="0" w:color="auto"/>
        <w:right w:val="none" w:sz="0" w:space="0" w:color="auto"/>
      </w:divBdr>
    </w:div>
    <w:div w:id="773935878">
      <w:bodyDiv w:val="1"/>
      <w:marLeft w:val="0"/>
      <w:marRight w:val="0"/>
      <w:marTop w:val="0"/>
      <w:marBottom w:val="0"/>
      <w:divBdr>
        <w:top w:val="none" w:sz="0" w:space="0" w:color="auto"/>
        <w:left w:val="none" w:sz="0" w:space="0" w:color="auto"/>
        <w:bottom w:val="none" w:sz="0" w:space="0" w:color="auto"/>
        <w:right w:val="none" w:sz="0" w:space="0" w:color="auto"/>
      </w:divBdr>
    </w:div>
    <w:div w:id="774255330">
      <w:bodyDiv w:val="1"/>
      <w:marLeft w:val="0"/>
      <w:marRight w:val="0"/>
      <w:marTop w:val="0"/>
      <w:marBottom w:val="0"/>
      <w:divBdr>
        <w:top w:val="none" w:sz="0" w:space="0" w:color="auto"/>
        <w:left w:val="none" w:sz="0" w:space="0" w:color="auto"/>
        <w:bottom w:val="none" w:sz="0" w:space="0" w:color="auto"/>
        <w:right w:val="none" w:sz="0" w:space="0" w:color="auto"/>
      </w:divBdr>
    </w:div>
    <w:div w:id="774635672">
      <w:bodyDiv w:val="1"/>
      <w:marLeft w:val="0"/>
      <w:marRight w:val="0"/>
      <w:marTop w:val="0"/>
      <w:marBottom w:val="0"/>
      <w:divBdr>
        <w:top w:val="none" w:sz="0" w:space="0" w:color="auto"/>
        <w:left w:val="none" w:sz="0" w:space="0" w:color="auto"/>
        <w:bottom w:val="none" w:sz="0" w:space="0" w:color="auto"/>
        <w:right w:val="none" w:sz="0" w:space="0" w:color="auto"/>
      </w:divBdr>
    </w:div>
    <w:div w:id="774667081">
      <w:bodyDiv w:val="1"/>
      <w:marLeft w:val="0"/>
      <w:marRight w:val="0"/>
      <w:marTop w:val="0"/>
      <w:marBottom w:val="0"/>
      <w:divBdr>
        <w:top w:val="none" w:sz="0" w:space="0" w:color="auto"/>
        <w:left w:val="none" w:sz="0" w:space="0" w:color="auto"/>
        <w:bottom w:val="none" w:sz="0" w:space="0" w:color="auto"/>
        <w:right w:val="none" w:sz="0" w:space="0" w:color="auto"/>
      </w:divBdr>
    </w:div>
    <w:div w:id="774984978">
      <w:bodyDiv w:val="1"/>
      <w:marLeft w:val="0"/>
      <w:marRight w:val="0"/>
      <w:marTop w:val="0"/>
      <w:marBottom w:val="0"/>
      <w:divBdr>
        <w:top w:val="none" w:sz="0" w:space="0" w:color="auto"/>
        <w:left w:val="none" w:sz="0" w:space="0" w:color="auto"/>
        <w:bottom w:val="none" w:sz="0" w:space="0" w:color="auto"/>
        <w:right w:val="none" w:sz="0" w:space="0" w:color="auto"/>
      </w:divBdr>
    </w:div>
    <w:div w:id="775369624">
      <w:bodyDiv w:val="1"/>
      <w:marLeft w:val="0"/>
      <w:marRight w:val="0"/>
      <w:marTop w:val="0"/>
      <w:marBottom w:val="0"/>
      <w:divBdr>
        <w:top w:val="none" w:sz="0" w:space="0" w:color="auto"/>
        <w:left w:val="none" w:sz="0" w:space="0" w:color="auto"/>
        <w:bottom w:val="none" w:sz="0" w:space="0" w:color="auto"/>
        <w:right w:val="none" w:sz="0" w:space="0" w:color="auto"/>
      </w:divBdr>
    </w:div>
    <w:div w:id="776021263">
      <w:bodyDiv w:val="1"/>
      <w:marLeft w:val="0"/>
      <w:marRight w:val="0"/>
      <w:marTop w:val="0"/>
      <w:marBottom w:val="0"/>
      <w:divBdr>
        <w:top w:val="none" w:sz="0" w:space="0" w:color="auto"/>
        <w:left w:val="none" w:sz="0" w:space="0" w:color="auto"/>
        <w:bottom w:val="none" w:sz="0" w:space="0" w:color="auto"/>
        <w:right w:val="none" w:sz="0" w:space="0" w:color="auto"/>
      </w:divBdr>
    </w:div>
    <w:div w:id="777917432">
      <w:bodyDiv w:val="1"/>
      <w:marLeft w:val="0"/>
      <w:marRight w:val="0"/>
      <w:marTop w:val="0"/>
      <w:marBottom w:val="0"/>
      <w:divBdr>
        <w:top w:val="none" w:sz="0" w:space="0" w:color="auto"/>
        <w:left w:val="none" w:sz="0" w:space="0" w:color="auto"/>
        <w:bottom w:val="none" w:sz="0" w:space="0" w:color="auto"/>
        <w:right w:val="none" w:sz="0" w:space="0" w:color="auto"/>
      </w:divBdr>
    </w:div>
    <w:div w:id="778061799">
      <w:bodyDiv w:val="1"/>
      <w:marLeft w:val="0"/>
      <w:marRight w:val="0"/>
      <w:marTop w:val="0"/>
      <w:marBottom w:val="0"/>
      <w:divBdr>
        <w:top w:val="none" w:sz="0" w:space="0" w:color="auto"/>
        <w:left w:val="none" w:sz="0" w:space="0" w:color="auto"/>
        <w:bottom w:val="none" w:sz="0" w:space="0" w:color="auto"/>
        <w:right w:val="none" w:sz="0" w:space="0" w:color="auto"/>
      </w:divBdr>
    </w:div>
    <w:div w:id="779110513">
      <w:bodyDiv w:val="1"/>
      <w:marLeft w:val="0"/>
      <w:marRight w:val="0"/>
      <w:marTop w:val="0"/>
      <w:marBottom w:val="0"/>
      <w:divBdr>
        <w:top w:val="none" w:sz="0" w:space="0" w:color="auto"/>
        <w:left w:val="none" w:sz="0" w:space="0" w:color="auto"/>
        <w:bottom w:val="none" w:sz="0" w:space="0" w:color="auto"/>
        <w:right w:val="none" w:sz="0" w:space="0" w:color="auto"/>
      </w:divBdr>
    </w:div>
    <w:div w:id="779573190">
      <w:bodyDiv w:val="1"/>
      <w:marLeft w:val="0"/>
      <w:marRight w:val="0"/>
      <w:marTop w:val="0"/>
      <w:marBottom w:val="0"/>
      <w:divBdr>
        <w:top w:val="none" w:sz="0" w:space="0" w:color="auto"/>
        <w:left w:val="none" w:sz="0" w:space="0" w:color="auto"/>
        <w:bottom w:val="none" w:sz="0" w:space="0" w:color="auto"/>
        <w:right w:val="none" w:sz="0" w:space="0" w:color="auto"/>
      </w:divBdr>
    </w:div>
    <w:div w:id="780495876">
      <w:bodyDiv w:val="1"/>
      <w:marLeft w:val="0"/>
      <w:marRight w:val="0"/>
      <w:marTop w:val="0"/>
      <w:marBottom w:val="0"/>
      <w:divBdr>
        <w:top w:val="none" w:sz="0" w:space="0" w:color="auto"/>
        <w:left w:val="none" w:sz="0" w:space="0" w:color="auto"/>
        <w:bottom w:val="none" w:sz="0" w:space="0" w:color="auto"/>
        <w:right w:val="none" w:sz="0" w:space="0" w:color="auto"/>
      </w:divBdr>
    </w:div>
    <w:div w:id="780994787">
      <w:bodyDiv w:val="1"/>
      <w:marLeft w:val="0"/>
      <w:marRight w:val="0"/>
      <w:marTop w:val="0"/>
      <w:marBottom w:val="0"/>
      <w:divBdr>
        <w:top w:val="none" w:sz="0" w:space="0" w:color="auto"/>
        <w:left w:val="none" w:sz="0" w:space="0" w:color="auto"/>
        <w:bottom w:val="none" w:sz="0" w:space="0" w:color="auto"/>
        <w:right w:val="none" w:sz="0" w:space="0" w:color="auto"/>
      </w:divBdr>
    </w:div>
    <w:div w:id="781194934">
      <w:bodyDiv w:val="1"/>
      <w:marLeft w:val="0"/>
      <w:marRight w:val="0"/>
      <w:marTop w:val="0"/>
      <w:marBottom w:val="0"/>
      <w:divBdr>
        <w:top w:val="none" w:sz="0" w:space="0" w:color="auto"/>
        <w:left w:val="none" w:sz="0" w:space="0" w:color="auto"/>
        <w:bottom w:val="none" w:sz="0" w:space="0" w:color="auto"/>
        <w:right w:val="none" w:sz="0" w:space="0" w:color="auto"/>
      </w:divBdr>
    </w:div>
    <w:div w:id="781262420">
      <w:bodyDiv w:val="1"/>
      <w:marLeft w:val="0"/>
      <w:marRight w:val="0"/>
      <w:marTop w:val="0"/>
      <w:marBottom w:val="0"/>
      <w:divBdr>
        <w:top w:val="none" w:sz="0" w:space="0" w:color="auto"/>
        <w:left w:val="none" w:sz="0" w:space="0" w:color="auto"/>
        <w:bottom w:val="none" w:sz="0" w:space="0" w:color="auto"/>
        <w:right w:val="none" w:sz="0" w:space="0" w:color="auto"/>
      </w:divBdr>
    </w:div>
    <w:div w:id="781456536">
      <w:bodyDiv w:val="1"/>
      <w:marLeft w:val="0"/>
      <w:marRight w:val="0"/>
      <w:marTop w:val="0"/>
      <w:marBottom w:val="0"/>
      <w:divBdr>
        <w:top w:val="none" w:sz="0" w:space="0" w:color="auto"/>
        <w:left w:val="none" w:sz="0" w:space="0" w:color="auto"/>
        <w:bottom w:val="none" w:sz="0" w:space="0" w:color="auto"/>
        <w:right w:val="none" w:sz="0" w:space="0" w:color="auto"/>
      </w:divBdr>
    </w:div>
    <w:div w:id="781537931">
      <w:bodyDiv w:val="1"/>
      <w:marLeft w:val="0"/>
      <w:marRight w:val="0"/>
      <w:marTop w:val="0"/>
      <w:marBottom w:val="0"/>
      <w:divBdr>
        <w:top w:val="none" w:sz="0" w:space="0" w:color="auto"/>
        <w:left w:val="none" w:sz="0" w:space="0" w:color="auto"/>
        <w:bottom w:val="none" w:sz="0" w:space="0" w:color="auto"/>
        <w:right w:val="none" w:sz="0" w:space="0" w:color="auto"/>
      </w:divBdr>
    </w:div>
    <w:div w:id="782267939">
      <w:bodyDiv w:val="1"/>
      <w:marLeft w:val="0"/>
      <w:marRight w:val="0"/>
      <w:marTop w:val="0"/>
      <w:marBottom w:val="0"/>
      <w:divBdr>
        <w:top w:val="none" w:sz="0" w:space="0" w:color="auto"/>
        <w:left w:val="none" w:sz="0" w:space="0" w:color="auto"/>
        <w:bottom w:val="none" w:sz="0" w:space="0" w:color="auto"/>
        <w:right w:val="none" w:sz="0" w:space="0" w:color="auto"/>
      </w:divBdr>
    </w:div>
    <w:div w:id="782456305">
      <w:bodyDiv w:val="1"/>
      <w:marLeft w:val="0"/>
      <w:marRight w:val="0"/>
      <w:marTop w:val="0"/>
      <w:marBottom w:val="0"/>
      <w:divBdr>
        <w:top w:val="none" w:sz="0" w:space="0" w:color="auto"/>
        <w:left w:val="none" w:sz="0" w:space="0" w:color="auto"/>
        <w:bottom w:val="none" w:sz="0" w:space="0" w:color="auto"/>
        <w:right w:val="none" w:sz="0" w:space="0" w:color="auto"/>
      </w:divBdr>
    </w:div>
    <w:div w:id="782456569">
      <w:bodyDiv w:val="1"/>
      <w:marLeft w:val="0"/>
      <w:marRight w:val="0"/>
      <w:marTop w:val="0"/>
      <w:marBottom w:val="0"/>
      <w:divBdr>
        <w:top w:val="none" w:sz="0" w:space="0" w:color="auto"/>
        <w:left w:val="none" w:sz="0" w:space="0" w:color="auto"/>
        <w:bottom w:val="none" w:sz="0" w:space="0" w:color="auto"/>
        <w:right w:val="none" w:sz="0" w:space="0" w:color="auto"/>
      </w:divBdr>
    </w:div>
    <w:div w:id="785580095">
      <w:bodyDiv w:val="1"/>
      <w:marLeft w:val="0"/>
      <w:marRight w:val="0"/>
      <w:marTop w:val="0"/>
      <w:marBottom w:val="0"/>
      <w:divBdr>
        <w:top w:val="none" w:sz="0" w:space="0" w:color="auto"/>
        <w:left w:val="none" w:sz="0" w:space="0" w:color="auto"/>
        <w:bottom w:val="none" w:sz="0" w:space="0" w:color="auto"/>
        <w:right w:val="none" w:sz="0" w:space="0" w:color="auto"/>
      </w:divBdr>
    </w:div>
    <w:div w:id="785664177">
      <w:bodyDiv w:val="1"/>
      <w:marLeft w:val="0"/>
      <w:marRight w:val="0"/>
      <w:marTop w:val="0"/>
      <w:marBottom w:val="0"/>
      <w:divBdr>
        <w:top w:val="none" w:sz="0" w:space="0" w:color="auto"/>
        <w:left w:val="none" w:sz="0" w:space="0" w:color="auto"/>
        <w:bottom w:val="none" w:sz="0" w:space="0" w:color="auto"/>
        <w:right w:val="none" w:sz="0" w:space="0" w:color="auto"/>
      </w:divBdr>
    </w:div>
    <w:div w:id="785734575">
      <w:bodyDiv w:val="1"/>
      <w:marLeft w:val="0"/>
      <w:marRight w:val="0"/>
      <w:marTop w:val="0"/>
      <w:marBottom w:val="0"/>
      <w:divBdr>
        <w:top w:val="none" w:sz="0" w:space="0" w:color="auto"/>
        <w:left w:val="none" w:sz="0" w:space="0" w:color="auto"/>
        <w:bottom w:val="none" w:sz="0" w:space="0" w:color="auto"/>
        <w:right w:val="none" w:sz="0" w:space="0" w:color="auto"/>
      </w:divBdr>
    </w:div>
    <w:div w:id="786435245">
      <w:bodyDiv w:val="1"/>
      <w:marLeft w:val="0"/>
      <w:marRight w:val="0"/>
      <w:marTop w:val="0"/>
      <w:marBottom w:val="0"/>
      <w:divBdr>
        <w:top w:val="none" w:sz="0" w:space="0" w:color="auto"/>
        <w:left w:val="none" w:sz="0" w:space="0" w:color="auto"/>
        <w:bottom w:val="none" w:sz="0" w:space="0" w:color="auto"/>
        <w:right w:val="none" w:sz="0" w:space="0" w:color="auto"/>
      </w:divBdr>
    </w:div>
    <w:div w:id="787554397">
      <w:bodyDiv w:val="1"/>
      <w:marLeft w:val="0"/>
      <w:marRight w:val="0"/>
      <w:marTop w:val="0"/>
      <w:marBottom w:val="0"/>
      <w:divBdr>
        <w:top w:val="none" w:sz="0" w:space="0" w:color="auto"/>
        <w:left w:val="none" w:sz="0" w:space="0" w:color="auto"/>
        <w:bottom w:val="none" w:sz="0" w:space="0" w:color="auto"/>
        <w:right w:val="none" w:sz="0" w:space="0" w:color="auto"/>
      </w:divBdr>
    </w:div>
    <w:div w:id="789058439">
      <w:bodyDiv w:val="1"/>
      <w:marLeft w:val="0"/>
      <w:marRight w:val="0"/>
      <w:marTop w:val="0"/>
      <w:marBottom w:val="0"/>
      <w:divBdr>
        <w:top w:val="none" w:sz="0" w:space="0" w:color="auto"/>
        <w:left w:val="none" w:sz="0" w:space="0" w:color="auto"/>
        <w:bottom w:val="none" w:sz="0" w:space="0" w:color="auto"/>
        <w:right w:val="none" w:sz="0" w:space="0" w:color="auto"/>
      </w:divBdr>
    </w:div>
    <w:div w:id="789514634">
      <w:bodyDiv w:val="1"/>
      <w:marLeft w:val="0"/>
      <w:marRight w:val="0"/>
      <w:marTop w:val="0"/>
      <w:marBottom w:val="0"/>
      <w:divBdr>
        <w:top w:val="none" w:sz="0" w:space="0" w:color="auto"/>
        <w:left w:val="none" w:sz="0" w:space="0" w:color="auto"/>
        <w:bottom w:val="none" w:sz="0" w:space="0" w:color="auto"/>
        <w:right w:val="none" w:sz="0" w:space="0" w:color="auto"/>
      </w:divBdr>
    </w:div>
    <w:div w:id="790054260">
      <w:bodyDiv w:val="1"/>
      <w:marLeft w:val="0"/>
      <w:marRight w:val="0"/>
      <w:marTop w:val="0"/>
      <w:marBottom w:val="0"/>
      <w:divBdr>
        <w:top w:val="none" w:sz="0" w:space="0" w:color="auto"/>
        <w:left w:val="none" w:sz="0" w:space="0" w:color="auto"/>
        <w:bottom w:val="none" w:sz="0" w:space="0" w:color="auto"/>
        <w:right w:val="none" w:sz="0" w:space="0" w:color="auto"/>
      </w:divBdr>
    </w:div>
    <w:div w:id="791364673">
      <w:bodyDiv w:val="1"/>
      <w:marLeft w:val="0"/>
      <w:marRight w:val="0"/>
      <w:marTop w:val="0"/>
      <w:marBottom w:val="0"/>
      <w:divBdr>
        <w:top w:val="none" w:sz="0" w:space="0" w:color="auto"/>
        <w:left w:val="none" w:sz="0" w:space="0" w:color="auto"/>
        <w:bottom w:val="none" w:sz="0" w:space="0" w:color="auto"/>
        <w:right w:val="none" w:sz="0" w:space="0" w:color="auto"/>
      </w:divBdr>
    </w:div>
    <w:div w:id="791368495">
      <w:bodyDiv w:val="1"/>
      <w:marLeft w:val="0"/>
      <w:marRight w:val="0"/>
      <w:marTop w:val="0"/>
      <w:marBottom w:val="0"/>
      <w:divBdr>
        <w:top w:val="none" w:sz="0" w:space="0" w:color="auto"/>
        <w:left w:val="none" w:sz="0" w:space="0" w:color="auto"/>
        <w:bottom w:val="none" w:sz="0" w:space="0" w:color="auto"/>
        <w:right w:val="none" w:sz="0" w:space="0" w:color="auto"/>
      </w:divBdr>
    </w:div>
    <w:div w:id="791443796">
      <w:bodyDiv w:val="1"/>
      <w:marLeft w:val="0"/>
      <w:marRight w:val="0"/>
      <w:marTop w:val="0"/>
      <w:marBottom w:val="0"/>
      <w:divBdr>
        <w:top w:val="none" w:sz="0" w:space="0" w:color="auto"/>
        <w:left w:val="none" w:sz="0" w:space="0" w:color="auto"/>
        <w:bottom w:val="none" w:sz="0" w:space="0" w:color="auto"/>
        <w:right w:val="none" w:sz="0" w:space="0" w:color="auto"/>
      </w:divBdr>
    </w:div>
    <w:div w:id="791630712">
      <w:bodyDiv w:val="1"/>
      <w:marLeft w:val="0"/>
      <w:marRight w:val="0"/>
      <w:marTop w:val="0"/>
      <w:marBottom w:val="0"/>
      <w:divBdr>
        <w:top w:val="none" w:sz="0" w:space="0" w:color="auto"/>
        <w:left w:val="none" w:sz="0" w:space="0" w:color="auto"/>
        <w:bottom w:val="none" w:sz="0" w:space="0" w:color="auto"/>
        <w:right w:val="none" w:sz="0" w:space="0" w:color="auto"/>
      </w:divBdr>
    </w:div>
    <w:div w:id="792020344">
      <w:bodyDiv w:val="1"/>
      <w:marLeft w:val="0"/>
      <w:marRight w:val="0"/>
      <w:marTop w:val="0"/>
      <w:marBottom w:val="0"/>
      <w:divBdr>
        <w:top w:val="none" w:sz="0" w:space="0" w:color="auto"/>
        <w:left w:val="none" w:sz="0" w:space="0" w:color="auto"/>
        <w:bottom w:val="none" w:sz="0" w:space="0" w:color="auto"/>
        <w:right w:val="none" w:sz="0" w:space="0" w:color="auto"/>
      </w:divBdr>
    </w:div>
    <w:div w:id="792165490">
      <w:bodyDiv w:val="1"/>
      <w:marLeft w:val="0"/>
      <w:marRight w:val="0"/>
      <w:marTop w:val="0"/>
      <w:marBottom w:val="0"/>
      <w:divBdr>
        <w:top w:val="none" w:sz="0" w:space="0" w:color="auto"/>
        <w:left w:val="none" w:sz="0" w:space="0" w:color="auto"/>
        <w:bottom w:val="none" w:sz="0" w:space="0" w:color="auto"/>
        <w:right w:val="none" w:sz="0" w:space="0" w:color="auto"/>
      </w:divBdr>
    </w:div>
    <w:div w:id="793594385">
      <w:bodyDiv w:val="1"/>
      <w:marLeft w:val="0"/>
      <w:marRight w:val="0"/>
      <w:marTop w:val="0"/>
      <w:marBottom w:val="0"/>
      <w:divBdr>
        <w:top w:val="none" w:sz="0" w:space="0" w:color="auto"/>
        <w:left w:val="none" w:sz="0" w:space="0" w:color="auto"/>
        <w:bottom w:val="none" w:sz="0" w:space="0" w:color="auto"/>
        <w:right w:val="none" w:sz="0" w:space="0" w:color="auto"/>
      </w:divBdr>
    </w:div>
    <w:div w:id="794060389">
      <w:bodyDiv w:val="1"/>
      <w:marLeft w:val="0"/>
      <w:marRight w:val="0"/>
      <w:marTop w:val="0"/>
      <w:marBottom w:val="0"/>
      <w:divBdr>
        <w:top w:val="none" w:sz="0" w:space="0" w:color="auto"/>
        <w:left w:val="none" w:sz="0" w:space="0" w:color="auto"/>
        <w:bottom w:val="none" w:sz="0" w:space="0" w:color="auto"/>
        <w:right w:val="none" w:sz="0" w:space="0" w:color="auto"/>
      </w:divBdr>
    </w:div>
    <w:div w:id="794176590">
      <w:bodyDiv w:val="1"/>
      <w:marLeft w:val="0"/>
      <w:marRight w:val="0"/>
      <w:marTop w:val="0"/>
      <w:marBottom w:val="0"/>
      <w:divBdr>
        <w:top w:val="none" w:sz="0" w:space="0" w:color="auto"/>
        <w:left w:val="none" w:sz="0" w:space="0" w:color="auto"/>
        <w:bottom w:val="none" w:sz="0" w:space="0" w:color="auto"/>
        <w:right w:val="none" w:sz="0" w:space="0" w:color="auto"/>
      </w:divBdr>
    </w:div>
    <w:div w:id="795101928">
      <w:bodyDiv w:val="1"/>
      <w:marLeft w:val="0"/>
      <w:marRight w:val="0"/>
      <w:marTop w:val="0"/>
      <w:marBottom w:val="0"/>
      <w:divBdr>
        <w:top w:val="none" w:sz="0" w:space="0" w:color="auto"/>
        <w:left w:val="none" w:sz="0" w:space="0" w:color="auto"/>
        <w:bottom w:val="none" w:sz="0" w:space="0" w:color="auto"/>
        <w:right w:val="none" w:sz="0" w:space="0" w:color="auto"/>
      </w:divBdr>
    </w:div>
    <w:div w:id="795105010">
      <w:bodyDiv w:val="1"/>
      <w:marLeft w:val="0"/>
      <w:marRight w:val="0"/>
      <w:marTop w:val="0"/>
      <w:marBottom w:val="0"/>
      <w:divBdr>
        <w:top w:val="none" w:sz="0" w:space="0" w:color="auto"/>
        <w:left w:val="none" w:sz="0" w:space="0" w:color="auto"/>
        <w:bottom w:val="none" w:sz="0" w:space="0" w:color="auto"/>
        <w:right w:val="none" w:sz="0" w:space="0" w:color="auto"/>
      </w:divBdr>
    </w:div>
    <w:div w:id="795608727">
      <w:bodyDiv w:val="1"/>
      <w:marLeft w:val="0"/>
      <w:marRight w:val="0"/>
      <w:marTop w:val="0"/>
      <w:marBottom w:val="0"/>
      <w:divBdr>
        <w:top w:val="none" w:sz="0" w:space="0" w:color="auto"/>
        <w:left w:val="none" w:sz="0" w:space="0" w:color="auto"/>
        <w:bottom w:val="none" w:sz="0" w:space="0" w:color="auto"/>
        <w:right w:val="none" w:sz="0" w:space="0" w:color="auto"/>
      </w:divBdr>
    </w:div>
    <w:div w:id="795636217">
      <w:bodyDiv w:val="1"/>
      <w:marLeft w:val="0"/>
      <w:marRight w:val="0"/>
      <w:marTop w:val="0"/>
      <w:marBottom w:val="0"/>
      <w:divBdr>
        <w:top w:val="none" w:sz="0" w:space="0" w:color="auto"/>
        <w:left w:val="none" w:sz="0" w:space="0" w:color="auto"/>
        <w:bottom w:val="none" w:sz="0" w:space="0" w:color="auto"/>
        <w:right w:val="none" w:sz="0" w:space="0" w:color="auto"/>
      </w:divBdr>
    </w:div>
    <w:div w:id="797574471">
      <w:bodyDiv w:val="1"/>
      <w:marLeft w:val="0"/>
      <w:marRight w:val="0"/>
      <w:marTop w:val="0"/>
      <w:marBottom w:val="0"/>
      <w:divBdr>
        <w:top w:val="none" w:sz="0" w:space="0" w:color="auto"/>
        <w:left w:val="none" w:sz="0" w:space="0" w:color="auto"/>
        <w:bottom w:val="none" w:sz="0" w:space="0" w:color="auto"/>
        <w:right w:val="none" w:sz="0" w:space="0" w:color="auto"/>
      </w:divBdr>
    </w:div>
    <w:div w:id="797843820">
      <w:bodyDiv w:val="1"/>
      <w:marLeft w:val="0"/>
      <w:marRight w:val="0"/>
      <w:marTop w:val="0"/>
      <w:marBottom w:val="0"/>
      <w:divBdr>
        <w:top w:val="none" w:sz="0" w:space="0" w:color="auto"/>
        <w:left w:val="none" w:sz="0" w:space="0" w:color="auto"/>
        <w:bottom w:val="none" w:sz="0" w:space="0" w:color="auto"/>
        <w:right w:val="none" w:sz="0" w:space="0" w:color="auto"/>
      </w:divBdr>
    </w:div>
    <w:div w:id="797995576">
      <w:bodyDiv w:val="1"/>
      <w:marLeft w:val="0"/>
      <w:marRight w:val="0"/>
      <w:marTop w:val="0"/>
      <w:marBottom w:val="0"/>
      <w:divBdr>
        <w:top w:val="none" w:sz="0" w:space="0" w:color="auto"/>
        <w:left w:val="none" w:sz="0" w:space="0" w:color="auto"/>
        <w:bottom w:val="none" w:sz="0" w:space="0" w:color="auto"/>
        <w:right w:val="none" w:sz="0" w:space="0" w:color="auto"/>
      </w:divBdr>
    </w:div>
    <w:div w:id="798036415">
      <w:bodyDiv w:val="1"/>
      <w:marLeft w:val="0"/>
      <w:marRight w:val="0"/>
      <w:marTop w:val="0"/>
      <w:marBottom w:val="0"/>
      <w:divBdr>
        <w:top w:val="none" w:sz="0" w:space="0" w:color="auto"/>
        <w:left w:val="none" w:sz="0" w:space="0" w:color="auto"/>
        <w:bottom w:val="none" w:sz="0" w:space="0" w:color="auto"/>
        <w:right w:val="none" w:sz="0" w:space="0" w:color="auto"/>
      </w:divBdr>
    </w:div>
    <w:div w:id="799808026">
      <w:bodyDiv w:val="1"/>
      <w:marLeft w:val="0"/>
      <w:marRight w:val="0"/>
      <w:marTop w:val="0"/>
      <w:marBottom w:val="0"/>
      <w:divBdr>
        <w:top w:val="none" w:sz="0" w:space="0" w:color="auto"/>
        <w:left w:val="none" w:sz="0" w:space="0" w:color="auto"/>
        <w:bottom w:val="none" w:sz="0" w:space="0" w:color="auto"/>
        <w:right w:val="none" w:sz="0" w:space="0" w:color="auto"/>
      </w:divBdr>
    </w:div>
    <w:div w:id="800340570">
      <w:bodyDiv w:val="1"/>
      <w:marLeft w:val="0"/>
      <w:marRight w:val="0"/>
      <w:marTop w:val="0"/>
      <w:marBottom w:val="0"/>
      <w:divBdr>
        <w:top w:val="none" w:sz="0" w:space="0" w:color="auto"/>
        <w:left w:val="none" w:sz="0" w:space="0" w:color="auto"/>
        <w:bottom w:val="none" w:sz="0" w:space="0" w:color="auto"/>
        <w:right w:val="none" w:sz="0" w:space="0" w:color="auto"/>
      </w:divBdr>
    </w:div>
    <w:div w:id="800538137">
      <w:bodyDiv w:val="1"/>
      <w:marLeft w:val="0"/>
      <w:marRight w:val="0"/>
      <w:marTop w:val="0"/>
      <w:marBottom w:val="0"/>
      <w:divBdr>
        <w:top w:val="none" w:sz="0" w:space="0" w:color="auto"/>
        <w:left w:val="none" w:sz="0" w:space="0" w:color="auto"/>
        <w:bottom w:val="none" w:sz="0" w:space="0" w:color="auto"/>
        <w:right w:val="none" w:sz="0" w:space="0" w:color="auto"/>
      </w:divBdr>
    </w:div>
    <w:div w:id="800610563">
      <w:bodyDiv w:val="1"/>
      <w:marLeft w:val="0"/>
      <w:marRight w:val="0"/>
      <w:marTop w:val="0"/>
      <w:marBottom w:val="0"/>
      <w:divBdr>
        <w:top w:val="none" w:sz="0" w:space="0" w:color="auto"/>
        <w:left w:val="none" w:sz="0" w:space="0" w:color="auto"/>
        <w:bottom w:val="none" w:sz="0" w:space="0" w:color="auto"/>
        <w:right w:val="none" w:sz="0" w:space="0" w:color="auto"/>
      </w:divBdr>
    </w:div>
    <w:div w:id="801576218">
      <w:bodyDiv w:val="1"/>
      <w:marLeft w:val="0"/>
      <w:marRight w:val="0"/>
      <w:marTop w:val="0"/>
      <w:marBottom w:val="0"/>
      <w:divBdr>
        <w:top w:val="none" w:sz="0" w:space="0" w:color="auto"/>
        <w:left w:val="none" w:sz="0" w:space="0" w:color="auto"/>
        <w:bottom w:val="none" w:sz="0" w:space="0" w:color="auto"/>
        <w:right w:val="none" w:sz="0" w:space="0" w:color="auto"/>
      </w:divBdr>
    </w:div>
    <w:div w:id="802769083">
      <w:bodyDiv w:val="1"/>
      <w:marLeft w:val="0"/>
      <w:marRight w:val="0"/>
      <w:marTop w:val="0"/>
      <w:marBottom w:val="0"/>
      <w:divBdr>
        <w:top w:val="none" w:sz="0" w:space="0" w:color="auto"/>
        <w:left w:val="none" w:sz="0" w:space="0" w:color="auto"/>
        <w:bottom w:val="none" w:sz="0" w:space="0" w:color="auto"/>
        <w:right w:val="none" w:sz="0" w:space="0" w:color="auto"/>
      </w:divBdr>
    </w:div>
    <w:div w:id="802965781">
      <w:bodyDiv w:val="1"/>
      <w:marLeft w:val="0"/>
      <w:marRight w:val="0"/>
      <w:marTop w:val="0"/>
      <w:marBottom w:val="0"/>
      <w:divBdr>
        <w:top w:val="none" w:sz="0" w:space="0" w:color="auto"/>
        <w:left w:val="none" w:sz="0" w:space="0" w:color="auto"/>
        <w:bottom w:val="none" w:sz="0" w:space="0" w:color="auto"/>
        <w:right w:val="none" w:sz="0" w:space="0" w:color="auto"/>
      </w:divBdr>
    </w:div>
    <w:div w:id="804658186">
      <w:bodyDiv w:val="1"/>
      <w:marLeft w:val="0"/>
      <w:marRight w:val="0"/>
      <w:marTop w:val="0"/>
      <w:marBottom w:val="0"/>
      <w:divBdr>
        <w:top w:val="none" w:sz="0" w:space="0" w:color="auto"/>
        <w:left w:val="none" w:sz="0" w:space="0" w:color="auto"/>
        <w:bottom w:val="none" w:sz="0" w:space="0" w:color="auto"/>
        <w:right w:val="none" w:sz="0" w:space="0" w:color="auto"/>
      </w:divBdr>
    </w:div>
    <w:div w:id="805972808">
      <w:bodyDiv w:val="1"/>
      <w:marLeft w:val="0"/>
      <w:marRight w:val="0"/>
      <w:marTop w:val="0"/>
      <w:marBottom w:val="0"/>
      <w:divBdr>
        <w:top w:val="none" w:sz="0" w:space="0" w:color="auto"/>
        <w:left w:val="none" w:sz="0" w:space="0" w:color="auto"/>
        <w:bottom w:val="none" w:sz="0" w:space="0" w:color="auto"/>
        <w:right w:val="none" w:sz="0" w:space="0" w:color="auto"/>
      </w:divBdr>
    </w:div>
    <w:div w:id="805977604">
      <w:bodyDiv w:val="1"/>
      <w:marLeft w:val="0"/>
      <w:marRight w:val="0"/>
      <w:marTop w:val="0"/>
      <w:marBottom w:val="0"/>
      <w:divBdr>
        <w:top w:val="none" w:sz="0" w:space="0" w:color="auto"/>
        <w:left w:val="none" w:sz="0" w:space="0" w:color="auto"/>
        <w:bottom w:val="none" w:sz="0" w:space="0" w:color="auto"/>
        <w:right w:val="none" w:sz="0" w:space="0" w:color="auto"/>
      </w:divBdr>
    </w:div>
    <w:div w:id="806047266">
      <w:bodyDiv w:val="1"/>
      <w:marLeft w:val="0"/>
      <w:marRight w:val="0"/>
      <w:marTop w:val="0"/>
      <w:marBottom w:val="0"/>
      <w:divBdr>
        <w:top w:val="none" w:sz="0" w:space="0" w:color="auto"/>
        <w:left w:val="none" w:sz="0" w:space="0" w:color="auto"/>
        <w:bottom w:val="none" w:sz="0" w:space="0" w:color="auto"/>
        <w:right w:val="none" w:sz="0" w:space="0" w:color="auto"/>
      </w:divBdr>
    </w:div>
    <w:div w:id="806123413">
      <w:bodyDiv w:val="1"/>
      <w:marLeft w:val="0"/>
      <w:marRight w:val="0"/>
      <w:marTop w:val="0"/>
      <w:marBottom w:val="0"/>
      <w:divBdr>
        <w:top w:val="none" w:sz="0" w:space="0" w:color="auto"/>
        <w:left w:val="none" w:sz="0" w:space="0" w:color="auto"/>
        <w:bottom w:val="none" w:sz="0" w:space="0" w:color="auto"/>
        <w:right w:val="none" w:sz="0" w:space="0" w:color="auto"/>
      </w:divBdr>
    </w:div>
    <w:div w:id="806163326">
      <w:bodyDiv w:val="1"/>
      <w:marLeft w:val="0"/>
      <w:marRight w:val="0"/>
      <w:marTop w:val="0"/>
      <w:marBottom w:val="0"/>
      <w:divBdr>
        <w:top w:val="none" w:sz="0" w:space="0" w:color="auto"/>
        <w:left w:val="none" w:sz="0" w:space="0" w:color="auto"/>
        <w:bottom w:val="none" w:sz="0" w:space="0" w:color="auto"/>
        <w:right w:val="none" w:sz="0" w:space="0" w:color="auto"/>
      </w:divBdr>
    </w:div>
    <w:div w:id="806241286">
      <w:bodyDiv w:val="1"/>
      <w:marLeft w:val="0"/>
      <w:marRight w:val="0"/>
      <w:marTop w:val="0"/>
      <w:marBottom w:val="0"/>
      <w:divBdr>
        <w:top w:val="none" w:sz="0" w:space="0" w:color="auto"/>
        <w:left w:val="none" w:sz="0" w:space="0" w:color="auto"/>
        <w:bottom w:val="none" w:sz="0" w:space="0" w:color="auto"/>
        <w:right w:val="none" w:sz="0" w:space="0" w:color="auto"/>
      </w:divBdr>
    </w:div>
    <w:div w:id="807472624">
      <w:bodyDiv w:val="1"/>
      <w:marLeft w:val="0"/>
      <w:marRight w:val="0"/>
      <w:marTop w:val="0"/>
      <w:marBottom w:val="0"/>
      <w:divBdr>
        <w:top w:val="none" w:sz="0" w:space="0" w:color="auto"/>
        <w:left w:val="none" w:sz="0" w:space="0" w:color="auto"/>
        <w:bottom w:val="none" w:sz="0" w:space="0" w:color="auto"/>
        <w:right w:val="none" w:sz="0" w:space="0" w:color="auto"/>
      </w:divBdr>
    </w:div>
    <w:div w:id="808131633">
      <w:bodyDiv w:val="1"/>
      <w:marLeft w:val="0"/>
      <w:marRight w:val="0"/>
      <w:marTop w:val="0"/>
      <w:marBottom w:val="0"/>
      <w:divBdr>
        <w:top w:val="none" w:sz="0" w:space="0" w:color="auto"/>
        <w:left w:val="none" w:sz="0" w:space="0" w:color="auto"/>
        <w:bottom w:val="none" w:sz="0" w:space="0" w:color="auto"/>
        <w:right w:val="none" w:sz="0" w:space="0" w:color="auto"/>
      </w:divBdr>
    </w:div>
    <w:div w:id="808327794">
      <w:bodyDiv w:val="1"/>
      <w:marLeft w:val="0"/>
      <w:marRight w:val="0"/>
      <w:marTop w:val="0"/>
      <w:marBottom w:val="0"/>
      <w:divBdr>
        <w:top w:val="none" w:sz="0" w:space="0" w:color="auto"/>
        <w:left w:val="none" w:sz="0" w:space="0" w:color="auto"/>
        <w:bottom w:val="none" w:sz="0" w:space="0" w:color="auto"/>
        <w:right w:val="none" w:sz="0" w:space="0" w:color="auto"/>
      </w:divBdr>
    </w:div>
    <w:div w:id="810975093">
      <w:bodyDiv w:val="1"/>
      <w:marLeft w:val="0"/>
      <w:marRight w:val="0"/>
      <w:marTop w:val="0"/>
      <w:marBottom w:val="0"/>
      <w:divBdr>
        <w:top w:val="none" w:sz="0" w:space="0" w:color="auto"/>
        <w:left w:val="none" w:sz="0" w:space="0" w:color="auto"/>
        <w:bottom w:val="none" w:sz="0" w:space="0" w:color="auto"/>
        <w:right w:val="none" w:sz="0" w:space="0" w:color="auto"/>
      </w:divBdr>
    </w:div>
    <w:div w:id="811480708">
      <w:bodyDiv w:val="1"/>
      <w:marLeft w:val="0"/>
      <w:marRight w:val="0"/>
      <w:marTop w:val="0"/>
      <w:marBottom w:val="0"/>
      <w:divBdr>
        <w:top w:val="none" w:sz="0" w:space="0" w:color="auto"/>
        <w:left w:val="none" w:sz="0" w:space="0" w:color="auto"/>
        <w:bottom w:val="none" w:sz="0" w:space="0" w:color="auto"/>
        <w:right w:val="none" w:sz="0" w:space="0" w:color="auto"/>
      </w:divBdr>
    </w:div>
    <w:div w:id="812673851">
      <w:bodyDiv w:val="1"/>
      <w:marLeft w:val="0"/>
      <w:marRight w:val="0"/>
      <w:marTop w:val="0"/>
      <w:marBottom w:val="0"/>
      <w:divBdr>
        <w:top w:val="none" w:sz="0" w:space="0" w:color="auto"/>
        <w:left w:val="none" w:sz="0" w:space="0" w:color="auto"/>
        <w:bottom w:val="none" w:sz="0" w:space="0" w:color="auto"/>
        <w:right w:val="none" w:sz="0" w:space="0" w:color="auto"/>
      </w:divBdr>
    </w:div>
    <w:div w:id="813446168">
      <w:bodyDiv w:val="1"/>
      <w:marLeft w:val="0"/>
      <w:marRight w:val="0"/>
      <w:marTop w:val="0"/>
      <w:marBottom w:val="0"/>
      <w:divBdr>
        <w:top w:val="none" w:sz="0" w:space="0" w:color="auto"/>
        <w:left w:val="none" w:sz="0" w:space="0" w:color="auto"/>
        <w:bottom w:val="none" w:sz="0" w:space="0" w:color="auto"/>
        <w:right w:val="none" w:sz="0" w:space="0" w:color="auto"/>
      </w:divBdr>
    </w:div>
    <w:div w:id="814684049">
      <w:bodyDiv w:val="1"/>
      <w:marLeft w:val="0"/>
      <w:marRight w:val="0"/>
      <w:marTop w:val="0"/>
      <w:marBottom w:val="0"/>
      <w:divBdr>
        <w:top w:val="none" w:sz="0" w:space="0" w:color="auto"/>
        <w:left w:val="none" w:sz="0" w:space="0" w:color="auto"/>
        <w:bottom w:val="none" w:sz="0" w:space="0" w:color="auto"/>
        <w:right w:val="none" w:sz="0" w:space="0" w:color="auto"/>
      </w:divBdr>
    </w:div>
    <w:div w:id="814954422">
      <w:bodyDiv w:val="1"/>
      <w:marLeft w:val="0"/>
      <w:marRight w:val="0"/>
      <w:marTop w:val="0"/>
      <w:marBottom w:val="0"/>
      <w:divBdr>
        <w:top w:val="none" w:sz="0" w:space="0" w:color="auto"/>
        <w:left w:val="none" w:sz="0" w:space="0" w:color="auto"/>
        <w:bottom w:val="none" w:sz="0" w:space="0" w:color="auto"/>
        <w:right w:val="none" w:sz="0" w:space="0" w:color="auto"/>
      </w:divBdr>
    </w:div>
    <w:div w:id="816217357">
      <w:bodyDiv w:val="1"/>
      <w:marLeft w:val="0"/>
      <w:marRight w:val="0"/>
      <w:marTop w:val="0"/>
      <w:marBottom w:val="0"/>
      <w:divBdr>
        <w:top w:val="none" w:sz="0" w:space="0" w:color="auto"/>
        <w:left w:val="none" w:sz="0" w:space="0" w:color="auto"/>
        <w:bottom w:val="none" w:sz="0" w:space="0" w:color="auto"/>
        <w:right w:val="none" w:sz="0" w:space="0" w:color="auto"/>
      </w:divBdr>
    </w:div>
    <w:div w:id="816411125">
      <w:bodyDiv w:val="1"/>
      <w:marLeft w:val="0"/>
      <w:marRight w:val="0"/>
      <w:marTop w:val="0"/>
      <w:marBottom w:val="0"/>
      <w:divBdr>
        <w:top w:val="none" w:sz="0" w:space="0" w:color="auto"/>
        <w:left w:val="none" w:sz="0" w:space="0" w:color="auto"/>
        <w:bottom w:val="none" w:sz="0" w:space="0" w:color="auto"/>
        <w:right w:val="none" w:sz="0" w:space="0" w:color="auto"/>
      </w:divBdr>
    </w:div>
    <w:div w:id="816455769">
      <w:bodyDiv w:val="1"/>
      <w:marLeft w:val="0"/>
      <w:marRight w:val="0"/>
      <w:marTop w:val="0"/>
      <w:marBottom w:val="0"/>
      <w:divBdr>
        <w:top w:val="none" w:sz="0" w:space="0" w:color="auto"/>
        <w:left w:val="none" w:sz="0" w:space="0" w:color="auto"/>
        <w:bottom w:val="none" w:sz="0" w:space="0" w:color="auto"/>
        <w:right w:val="none" w:sz="0" w:space="0" w:color="auto"/>
      </w:divBdr>
    </w:div>
    <w:div w:id="817919013">
      <w:bodyDiv w:val="1"/>
      <w:marLeft w:val="0"/>
      <w:marRight w:val="0"/>
      <w:marTop w:val="0"/>
      <w:marBottom w:val="0"/>
      <w:divBdr>
        <w:top w:val="none" w:sz="0" w:space="0" w:color="auto"/>
        <w:left w:val="none" w:sz="0" w:space="0" w:color="auto"/>
        <w:bottom w:val="none" w:sz="0" w:space="0" w:color="auto"/>
        <w:right w:val="none" w:sz="0" w:space="0" w:color="auto"/>
      </w:divBdr>
    </w:div>
    <w:div w:id="818570311">
      <w:bodyDiv w:val="1"/>
      <w:marLeft w:val="0"/>
      <w:marRight w:val="0"/>
      <w:marTop w:val="0"/>
      <w:marBottom w:val="0"/>
      <w:divBdr>
        <w:top w:val="none" w:sz="0" w:space="0" w:color="auto"/>
        <w:left w:val="none" w:sz="0" w:space="0" w:color="auto"/>
        <w:bottom w:val="none" w:sz="0" w:space="0" w:color="auto"/>
        <w:right w:val="none" w:sz="0" w:space="0" w:color="auto"/>
      </w:divBdr>
    </w:div>
    <w:div w:id="818960423">
      <w:bodyDiv w:val="1"/>
      <w:marLeft w:val="0"/>
      <w:marRight w:val="0"/>
      <w:marTop w:val="0"/>
      <w:marBottom w:val="0"/>
      <w:divBdr>
        <w:top w:val="none" w:sz="0" w:space="0" w:color="auto"/>
        <w:left w:val="none" w:sz="0" w:space="0" w:color="auto"/>
        <w:bottom w:val="none" w:sz="0" w:space="0" w:color="auto"/>
        <w:right w:val="none" w:sz="0" w:space="0" w:color="auto"/>
      </w:divBdr>
    </w:div>
    <w:div w:id="819270009">
      <w:bodyDiv w:val="1"/>
      <w:marLeft w:val="0"/>
      <w:marRight w:val="0"/>
      <w:marTop w:val="0"/>
      <w:marBottom w:val="0"/>
      <w:divBdr>
        <w:top w:val="none" w:sz="0" w:space="0" w:color="auto"/>
        <w:left w:val="none" w:sz="0" w:space="0" w:color="auto"/>
        <w:bottom w:val="none" w:sz="0" w:space="0" w:color="auto"/>
        <w:right w:val="none" w:sz="0" w:space="0" w:color="auto"/>
      </w:divBdr>
    </w:div>
    <w:div w:id="819270346">
      <w:bodyDiv w:val="1"/>
      <w:marLeft w:val="0"/>
      <w:marRight w:val="0"/>
      <w:marTop w:val="0"/>
      <w:marBottom w:val="0"/>
      <w:divBdr>
        <w:top w:val="none" w:sz="0" w:space="0" w:color="auto"/>
        <w:left w:val="none" w:sz="0" w:space="0" w:color="auto"/>
        <w:bottom w:val="none" w:sz="0" w:space="0" w:color="auto"/>
        <w:right w:val="none" w:sz="0" w:space="0" w:color="auto"/>
      </w:divBdr>
    </w:div>
    <w:div w:id="819463603">
      <w:bodyDiv w:val="1"/>
      <w:marLeft w:val="0"/>
      <w:marRight w:val="0"/>
      <w:marTop w:val="0"/>
      <w:marBottom w:val="0"/>
      <w:divBdr>
        <w:top w:val="none" w:sz="0" w:space="0" w:color="auto"/>
        <w:left w:val="none" w:sz="0" w:space="0" w:color="auto"/>
        <w:bottom w:val="none" w:sz="0" w:space="0" w:color="auto"/>
        <w:right w:val="none" w:sz="0" w:space="0" w:color="auto"/>
      </w:divBdr>
    </w:div>
    <w:div w:id="819465501">
      <w:bodyDiv w:val="1"/>
      <w:marLeft w:val="0"/>
      <w:marRight w:val="0"/>
      <w:marTop w:val="0"/>
      <w:marBottom w:val="0"/>
      <w:divBdr>
        <w:top w:val="none" w:sz="0" w:space="0" w:color="auto"/>
        <w:left w:val="none" w:sz="0" w:space="0" w:color="auto"/>
        <w:bottom w:val="none" w:sz="0" w:space="0" w:color="auto"/>
        <w:right w:val="none" w:sz="0" w:space="0" w:color="auto"/>
      </w:divBdr>
    </w:div>
    <w:div w:id="819539254">
      <w:bodyDiv w:val="1"/>
      <w:marLeft w:val="0"/>
      <w:marRight w:val="0"/>
      <w:marTop w:val="0"/>
      <w:marBottom w:val="0"/>
      <w:divBdr>
        <w:top w:val="none" w:sz="0" w:space="0" w:color="auto"/>
        <w:left w:val="none" w:sz="0" w:space="0" w:color="auto"/>
        <w:bottom w:val="none" w:sz="0" w:space="0" w:color="auto"/>
        <w:right w:val="none" w:sz="0" w:space="0" w:color="auto"/>
      </w:divBdr>
    </w:div>
    <w:div w:id="819812596">
      <w:bodyDiv w:val="1"/>
      <w:marLeft w:val="0"/>
      <w:marRight w:val="0"/>
      <w:marTop w:val="0"/>
      <w:marBottom w:val="0"/>
      <w:divBdr>
        <w:top w:val="none" w:sz="0" w:space="0" w:color="auto"/>
        <w:left w:val="none" w:sz="0" w:space="0" w:color="auto"/>
        <w:bottom w:val="none" w:sz="0" w:space="0" w:color="auto"/>
        <w:right w:val="none" w:sz="0" w:space="0" w:color="auto"/>
      </w:divBdr>
    </w:div>
    <w:div w:id="820078130">
      <w:bodyDiv w:val="1"/>
      <w:marLeft w:val="0"/>
      <w:marRight w:val="0"/>
      <w:marTop w:val="0"/>
      <w:marBottom w:val="0"/>
      <w:divBdr>
        <w:top w:val="none" w:sz="0" w:space="0" w:color="auto"/>
        <w:left w:val="none" w:sz="0" w:space="0" w:color="auto"/>
        <w:bottom w:val="none" w:sz="0" w:space="0" w:color="auto"/>
        <w:right w:val="none" w:sz="0" w:space="0" w:color="auto"/>
      </w:divBdr>
    </w:div>
    <w:div w:id="820536418">
      <w:bodyDiv w:val="1"/>
      <w:marLeft w:val="0"/>
      <w:marRight w:val="0"/>
      <w:marTop w:val="0"/>
      <w:marBottom w:val="0"/>
      <w:divBdr>
        <w:top w:val="none" w:sz="0" w:space="0" w:color="auto"/>
        <w:left w:val="none" w:sz="0" w:space="0" w:color="auto"/>
        <w:bottom w:val="none" w:sz="0" w:space="0" w:color="auto"/>
        <w:right w:val="none" w:sz="0" w:space="0" w:color="auto"/>
      </w:divBdr>
    </w:div>
    <w:div w:id="821124483">
      <w:bodyDiv w:val="1"/>
      <w:marLeft w:val="0"/>
      <w:marRight w:val="0"/>
      <w:marTop w:val="0"/>
      <w:marBottom w:val="0"/>
      <w:divBdr>
        <w:top w:val="none" w:sz="0" w:space="0" w:color="auto"/>
        <w:left w:val="none" w:sz="0" w:space="0" w:color="auto"/>
        <w:bottom w:val="none" w:sz="0" w:space="0" w:color="auto"/>
        <w:right w:val="none" w:sz="0" w:space="0" w:color="auto"/>
      </w:divBdr>
    </w:div>
    <w:div w:id="821893752">
      <w:bodyDiv w:val="1"/>
      <w:marLeft w:val="0"/>
      <w:marRight w:val="0"/>
      <w:marTop w:val="0"/>
      <w:marBottom w:val="0"/>
      <w:divBdr>
        <w:top w:val="none" w:sz="0" w:space="0" w:color="auto"/>
        <w:left w:val="none" w:sz="0" w:space="0" w:color="auto"/>
        <w:bottom w:val="none" w:sz="0" w:space="0" w:color="auto"/>
        <w:right w:val="none" w:sz="0" w:space="0" w:color="auto"/>
      </w:divBdr>
    </w:div>
    <w:div w:id="822239762">
      <w:bodyDiv w:val="1"/>
      <w:marLeft w:val="0"/>
      <w:marRight w:val="0"/>
      <w:marTop w:val="0"/>
      <w:marBottom w:val="0"/>
      <w:divBdr>
        <w:top w:val="none" w:sz="0" w:space="0" w:color="auto"/>
        <w:left w:val="none" w:sz="0" w:space="0" w:color="auto"/>
        <w:bottom w:val="none" w:sz="0" w:space="0" w:color="auto"/>
        <w:right w:val="none" w:sz="0" w:space="0" w:color="auto"/>
      </w:divBdr>
    </w:div>
    <w:div w:id="822357177">
      <w:bodyDiv w:val="1"/>
      <w:marLeft w:val="0"/>
      <w:marRight w:val="0"/>
      <w:marTop w:val="0"/>
      <w:marBottom w:val="0"/>
      <w:divBdr>
        <w:top w:val="none" w:sz="0" w:space="0" w:color="auto"/>
        <w:left w:val="none" w:sz="0" w:space="0" w:color="auto"/>
        <w:bottom w:val="none" w:sz="0" w:space="0" w:color="auto"/>
        <w:right w:val="none" w:sz="0" w:space="0" w:color="auto"/>
      </w:divBdr>
    </w:div>
    <w:div w:id="822819907">
      <w:bodyDiv w:val="1"/>
      <w:marLeft w:val="0"/>
      <w:marRight w:val="0"/>
      <w:marTop w:val="0"/>
      <w:marBottom w:val="0"/>
      <w:divBdr>
        <w:top w:val="none" w:sz="0" w:space="0" w:color="auto"/>
        <w:left w:val="none" w:sz="0" w:space="0" w:color="auto"/>
        <w:bottom w:val="none" w:sz="0" w:space="0" w:color="auto"/>
        <w:right w:val="none" w:sz="0" w:space="0" w:color="auto"/>
      </w:divBdr>
    </w:div>
    <w:div w:id="822893728">
      <w:bodyDiv w:val="1"/>
      <w:marLeft w:val="0"/>
      <w:marRight w:val="0"/>
      <w:marTop w:val="0"/>
      <w:marBottom w:val="0"/>
      <w:divBdr>
        <w:top w:val="none" w:sz="0" w:space="0" w:color="auto"/>
        <w:left w:val="none" w:sz="0" w:space="0" w:color="auto"/>
        <w:bottom w:val="none" w:sz="0" w:space="0" w:color="auto"/>
        <w:right w:val="none" w:sz="0" w:space="0" w:color="auto"/>
      </w:divBdr>
    </w:div>
    <w:div w:id="823012280">
      <w:bodyDiv w:val="1"/>
      <w:marLeft w:val="0"/>
      <w:marRight w:val="0"/>
      <w:marTop w:val="0"/>
      <w:marBottom w:val="0"/>
      <w:divBdr>
        <w:top w:val="none" w:sz="0" w:space="0" w:color="auto"/>
        <w:left w:val="none" w:sz="0" w:space="0" w:color="auto"/>
        <w:bottom w:val="none" w:sz="0" w:space="0" w:color="auto"/>
        <w:right w:val="none" w:sz="0" w:space="0" w:color="auto"/>
      </w:divBdr>
    </w:div>
    <w:div w:id="823203328">
      <w:bodyDiv w:val="1"/>
      <w:marLeft w:val="0"/>
      <w:marRight w:val="0"/>
      <w:marTop w:val="0"/>
      <w:marBottom w:val="0"/>
      <w:divBdr>
        <w:top w:val="none" w:sz="0" w:space="0" w:color="auto"/>
        <w:left w:val="none" w:sz="0" w:space="0" w:color="auto"/>
        <w:bottom w:val="none" w:sz="0" w:space="0" w:color="auto"/>
        <w:right w:val="none" w:sz="0" w:space="0" w:color="auto"/>
      </w:divBdr>
    </w:div>
    <w:div w:id="823207218">
      <w:bodyDiv w:val="1"/>
      <w:marLeft w:val="0"/>
      <w:marRight w:val="0"/>
      <w:marTop w:val="0"/>
      <w:marBottom w:val="0"/>
      <w:divBdr>
        <w:top w:val="none" w:sz="0" w:space="0" w:color="auto"/>
        <w:left w:val="none" w:sz="0" w:space="0" w:color="auto"/>
        <w:bottom w:val="none" w:sz="0" w:space="0" w:color="auto"/>
        <w:right w:val="none" w:sz="0" w:space="0" w:color="auto"/>
      </w:divBdr>
    </w:div>
    <w:div w:id="824706425">
      <w:bodyDiv w:val="1"/>
      <w:marLeft w:val="0"/>
      <w:marRight w:val="0"/>
      <w:marTop w:val="0"/>
      <w:marBottom w:val="0"/>
      <w:divBdr>
        <w:top w:val="none" w:sz="0" w:space="0" w:color="auto"/>
        <w:left w:val="none" w:sz="0" w:space="0" w:color="auto"/>
        <w:bottom w:val="none" w:sz="0" w:space="0" w:color="auto"/>
        <w:right w:val="none" w:sz="0" w:space="0" w:color="auto"/>
      </w:divBdr>
    </w:div>
    <w:div w:id="825123913">
      <w:bodyDiv w:val="1"/>
      <w:marLeft w:val="0"/>
      <w:marRight w:val="0"/>
      <w:marTop w:val="0"/>
      <w:marBottom w:val="0"/>
      <w:divBdr>
        <w:top w:val="none" w:sz="0" w:space="0" w:color="auto"/>
        <w:left w:val="none" w:sz="0" w:space="0" w:color="auto"/>
        <w:bottom w:val="none" w:sz="0" w:space="0" w:color="auto"/>
        <w:right w:val="none" w:sz="0" w:space="0" w:color="auto"/>
      </w:divBdr>
    </w:div>
    <w:div w:id="826702362">
      <w:bodyDiv w:val="1"/>
      <w:marLeft w:val="0"/>
      <w:marRight w:val="0"/>
      <w:marTop w:val="0"/>
      <w:marBottom w:val="0"/>
      <w:divBdr>
        <w:top w:val="none" w:sz="0" w:space="0" w:color="auto"/>
        <w:left w:val="none" w:sz="0" w:space="0" w:color="auto"/>
        <w:bottom w:val="none" w:sz="0" w:space="0" w:color="auto"/>
        <w:right w:val="none" w:sz="0" w:space="0" w:color="auto"/>
      </w:divBdr>
    </w:div>
    <w:div w:id="827595708">
      <w:bodyDiv w:val="1"/>
      <w:marLeft w:val="0"/>
      <w:marRight w:val="0"/>
      <w:marTop w:val="0"/>
      <w:marBottom w:val="0"/>
      <w:divBdr>
        <w:top w:val="none" w:sz="0" w:space="0" w:color="auto"/>
        <w:left w:val="none" w:sz="0" w:space="0" w:color="auto"/>
        <w:bottom w:val="none" w:sz="0" w:space="0" w:color="auto"/>
        <w:right w:val="none" w:sz="0" w:space="0" w:color="auto"/>
      </w:divBdr>
    </w:div>
    <w:div w:id="827866954">
      <w:bodyDiv w:val="1"/>
      <w:marLeft w:val="0"/>
      <w:marRight w:val="0"/>
      <w:marTop w:val="0"/>
      <w:marBottom w:val="0"/>
      <w:divBdr>
        <w:top w:val="none" w:sz="0" w:space="0" w:color="auto"/>
        <w:left w:val="none" w:sz="0" w:space="0" w:color="auto"/>
        <w:bottom w:val="none" w:sz="0" w:space="0" w:color="auto"/>
        <w:right w:val="none" w:sz="0" w:space="0" w:color="auto"/>
      </w:divBdr>
    </w:div>
    <w:div w:id="828516621">
      <w:bodyDiv w:val="1"/>
      <w:marLeft w:val="0"/>
      <w:marRight w:val="0"/>
      <w:marTop w:val="0"/>
      <w:marBottom w:val="0"/>
      <w:divBdr>
        <w:top w:val="none" w:sz="0" w:space="0" w:color="auto"/>
        <w:left w:val="none" w:sz="0" w:space="0" w:color="auto"/>
        <w:bottom w:val="none" w:sz="0" w:space="0" w:color="auto"/>
        <w:right w:val="none" w:sz="0" w:space="0" w:color="auto"/>
      </w:divBdr>
    </w:div>
    <w:div w:id="828601059">
      <w:bodyDiv w:val="1"/>
      <w:marLeft w:val="0"/>
      <w:marRight w:val="0"/>
      <w:marTop w:val="0"/>
      <w:marBottom w:val="0"/>
      <w:divBdr>
        <w:top w:val="none" w:sz="0" w:space="0" w:color="auto"/>
        <w:left w:val="none" w:sz="0" w:space="0" w:color="auto"/>
        <w:bottom w:val="none" w:sz="0" w:space="0" w:color="auto"/>
        <w:right w:val="none" w:sz="0" w:space="0" w:color="auto"/>
      </w:divBdr>
    </w:div>
    <w:div w:id="829752993">
      <w:bodyDiv w:val="1"/>
      <w:marLeft w:val="0"/>
      <w:marRight w:val="0"/>
      <w:marTop w:val="0"/>
      <w:marBottom w:val="0"/>
      <w:divBdr>
        <w:top w:val="none" w:sz="0" w:space="0" w:color="auto"/>
        <w:left w:val="none" w:sz="0" w:space="0" w:color="auto"/>
        <w:bottom w:val="none" w:sz="0" w:space="0" w:color="auto"/>
        <w:right w:val="none" w:sz="0" w:space="0" w:color="auto"/>
      </w:divBdr>
    </w:div>
    <w:div w:id="830172355">
      <w:bodyDiv w:val="1"/>
      <w:marLeft w:val="0"/>
      <w:marRight w:val="0"/>
      <w:marTop w:val="0"/>
      <w:marBottom w:val="0"/>
      <w:divBdr>
        <w:top w:val="none" w:sz="0" w:space="0" w:color="auto"/>
        <w:left w:val="none" w:sz="0" w:space="0" w:color="auto"/>
        <w:bottom w:val="none" w:sz="0" w:space="0" w:color="auto"/>
        <w:right w:val="none" w:sz="0" w:space="0" w:color="auto"/>
      </w:divBdr>
    </w:div>
    <w:div w:id="830220880">
      <w:bodyDiv w:val="1"/>
      <w:marLeft w:val="0"/>
      <w:marRight w:val="0"/>
      <w:marTop w:val="0"/>
      <w:marBottom w:val="0"/>
      <w:divBdr>
        <w:top w:val="none" w:sz="0" w:space="0" w:color="auto"/>
        <w:left w:val="none" w:sz="0" w:space="0" w:color="auto"/>
        <w:bottom w:val="none" w:sz="0" w:space="0" w:color="auto"/>
        <w:right w:val="none" w:sz="0" w:space="0" w:color="auto"/>
      </w:divBdr>
    </w:div>
    <w:div w:id="830408654">
      <w:bodyDiv w:val="1"/>
      <w:marLeft w:val="0"/>
      <w:marRight w:val="0"/>
      <w:marTop w:val="0"/>
      <w:marBottom w:val="0"/>
      <w:divBdr>
        <w:top w:val="none" w:sz="0" w:space="0" w:color="auto"/>
        <w:left w:val="none" w:sz="0" w:space="0" w:color="auto"/>
        <w:bottom w:val="none" w:sz="0" w:space="0" w:color="auto"/>
        <w:right w:val="none" w:sz="0" w:space="0" w:color="auto"/>
      </w:divBdr>
    </w:div>
    <w:div w:id="831021652">
      <w:bodyDiv w:val="1"/>
      <w:marLeft w:val="0"/>
      <w:marRight w:val="0"/>
      <w:marTop w:val="0"/>
      <w:marBottom w:val="0"/>
      <w:divBdr>
        <w:top w:val="none" w:sz="0" w:space="0" w:color="auto"/>
        <w:left w:val="none" w:sz="0" w:space="0" w:color="auto"/>
        <w:bottom w:val="none" w:sz="0" w:space="0" w:color="auto"/>
        <w:right w:val="none" w:sz="0" w:space="0" w:color="auto"/>
      </w:divBdr>
    </w:div>
    <w:div w:id="831919673">
      <w:bodyDiv w:val="1"/>
      <w:marLeft w:val="0"/>
      <w:marRight w:val="0"/>
      <w:marTop w:val="0"/>
      <w:marBottom w:val="0"/>
      <w:divBdr>
        <w:top w:val="none" w:sz="0" w:space="0" w:color="auto"/>
        <w:left w:val="none" w:sz="0" w:space="0" w:color="auto"/>
        <w:bottom w:val="none" w:sz="0" w:space="0" w:color="auto"/>
        <w:right w:val="none" w:sz="0" w:space="0" w:color="auto"/>
      </w:divBdr>
    </w:div>
    <w:div w:id="832720548">
      <w:bodyDiv w:val="1"/>
      <w:marLeft w:val="0"/>
      <w:marRight w:val="0"/>
      <w:marTop w:val="0"/>
      <w:marBottom w:val="0"/>
      <w:divBdr>
        <w:top w:val="none" w:sz="0" w:space="0" w:color="auto"/>
        <w:left w:val="none" w:sz="0" w:space="0" w:color="auto"/>
        <w:bottom w:val="none" w:sz="0" w:space="0" w:color="auto"/>
        <w:right w:val="none" w:sz="0" w:space="0" w:color="auto"/>
      </w:divBdr>
    </w:div>
    <w:div w:id="832835436">
      <w:bodyDiv w:val="1"/>
      <w:marLeft w:val="0"/>
      <w:marRight w:val="0"/>
      <w:marTop w:val="0"/>
      <w:marBottom w:val="0"/>
      <w:divBdr>
        <w:top w:val="none" w:sz="0" w:space="0" w:color="auto"/>
        <w:left w:val="none" w:sz="0" w:space="0" w:color="auto"/>
        <w:bottom w:val="none" w:sz="0" w:space="0" w:color="auto"/>
        <w:right w:val="none" w:sz="0" w:space="0" w:color="auto"/>
      </w:divBdr>
    </w:div>
    <w:div w:id="833033083">
      <w:bodyDiv w:val="1"/>
      <w:marLeft w:val="0"/>
      <w:marRight w:val="0"/>
      <w:marTop w:val="0"/>
      <w:marBottom w:val="0"/>
      <w:divBdr>
        <w:top w:val="none" w:sz="0" w:space="0" w:color="auto"/>
        <w:left w:val="none" w:sz="0" w:space="0" w:color="auto"/>
        <w:bottom w:val="none" w:sz="0" w:space="0" w:color="auto"/>
        <w:right w:val="none" w:sz="0" w:space="0" w:color="auto"/>
      </w:divBdr>
    </w:div>
    <w:div w:id="833034548">
      <w:bodyDiv w:val="1"/>
      <w:marLeft w:val="0"/>
      <w:marRight w:val="0"/>
      <w:marTop w:val="0"/>
      <w:marBottom w:val="0"/>
      <w:divBdr>
        <w:top w:val="none" w:sz="0" w:space="0" w:color="auto"/>
        <w:left w:val="none" w:sz="0" w:space="0" w:color="auto"/>
        <w:bottom w:val="none" w:sz="0" w:space="0" w:color="auto"/>
        <w:right w:val="none" w:sz="0" w:space="0" w:color="auto"/>
      </w:divBdr>
    </w:div>
    <w:div w:id="833447796">
      <w:bodyDiv w:val="1"/>
      <w:marLeft w:val="0"/>
      <w:marRight w:val="0"/>
      <w:marTop w:val="0"/>
      <w:marBottom w:val="0"/>
      <w:divBdr>
        <w:top w:val="none" w:sz="0" w:space="0" w:color="auto"/>
        <w:left w:val="none" w:sz="0" w:space="0" w:color="auto"/>
        <w:bottom w:val="none" w:sz="0" w:space="0" w:color="auto"/>
        <w:right w:val="none" w:sz="0" w:space="0" w:color="auto"/>
      </w:divBdr>
    </w:div>
    <w:div w:id="833761946">
      <w:bodyDiv w:val="1"/>
      <w:marLeft w:val="0"/>
      <w:marRight w:val="0"/>
      <w:marTop w:val="0"/>
      <w:marBottom w:val="0"/>
      <w:divBdr>
        <w:top w:val="none" w:sz="0" w:space="0" w:color="auto"/>
        <w:left w:val="none" w:sz="0" w:space="0" w:color="auto"/>
        <w:bottom w:val="none" w:sz="0" w:space="0" w:color="auto"/>
        <w:right w:val="none" w:sz="0" w:space="0" w:color="auto"/>
      </w:divBdr>
    </w:div>
    <w:div w:id="834803881">
      <w:bodyDiv w:val="1"/>
      <w:marLeft w:val="0"/>
      <w:marRight w:val="0"/>
      <w:marTop w:val="0"/>
      <w:marBottom w:val="0"/>
      <w:divBdr>
        <w:top w:val="none" w:sz="0" w:space="0" w:color="auto"/>
        <w:left w:val="none" w:sz="0" w:space="0" w:color="auto"/>
        <w:bottom w:val="none" w:sz="0" w:space="0" w:color="auto"/>
        <w:right w:val="none" w:sz="0" w:space="0" w:color="auto"/>
      </w:divBdr>
    </w:div>
    <w:div w:id="834995635">
      <w:bodyDiv w:val="1"/>
      <w:marLeft w:val="0"/>
      <w:marRight w:val="0"/>
      <w:marTop w:val="0"/>
      <w:marBottom w:val="0"/>
      <w:divBdr>
        <w:top w:val="none" w:sz="0" w:space="0" w:color="auto"/>
        <w:left w:val="none" w:sz="0" w:space="0" w:color="auto"/>
        <w:bottom w:val="none" w:sz="0" w:space="0" w:color="auto"/>
        <w:right w:val="none" w:sz="0" w:space="0" w:color="auto"/>
      </w:divBdr>
    </w:div>
    <w:div w:id="835532756">
      <w:bodyDiv w:val="1"/>
      <w:marLeft w:val="0"/>
      <w:marRight w:val="0"/>
      <w:marTop w:val="0"/>
      <w:marBottom w:val="0"/>
      <w:divBdr>
        <w:top w:val="none" w:sz="0" w:space="0" w:color="auto"/>
        <w:left w:val="none" w:sz="0" w:space="0" w:color="auto"/>
        <w:bottom w:val="none" w:sz="0" w:space="0" w:color="auto"/>
        <w:right w:val="none" w:sz="0" w:space="0" w:color="auto"/>
      </w:divBdr>
    </w:div>
    <w:div w:id="835725701">
      <w:bodyDiv w:val="1"/>
      <w:marLeft w:val="0"/>
      <w:marRight w:val="0"/>
      <w:marTop w:val="0"/>
      <w:marBottom w:val="0"/>
      <w:divBdr>
        <w:top w:val="none" w:sz="0" w:space="0" w:color="auto"/>
        <w:left w:val="none" w:sz="0" w:space="0" w:color="auto"/>
        <w:bottom w:val="none" w:sz="0" w:space="0" w:color="auto"/>
        <w:right w:val="none" w:sz="0" w:space="0" w:color="auto"/>
      </w:divBdr>
    </w:div>
    <w:div w:id="835725758">
      <w:bodyDiv w:val="1"/>
      <w:marLeft w:val="0"/>
      <w:marRight w:val="0"/>
      <w:marTop w:val="0"/>
      <w:marBottom w:val="0"/>
      <w:divBdr>
        <w:top w:val="none" w:sz="0" w:space="0" w:color="auto"/>
        <w:left w:val="none" w:sz="0" w:space="0" w:color="auto"/>
        <w:bottom w:val="none" w:sz="0" w:space="0" w:color="auto"/>
        <w:right w:val="none" w:sz="0" w:space="0" w:color="auto"/>
      </w:divBdr>
    </w:div>
    <w:div w:id="836042877">
      <w:bodyDiv w:val="1"/>
      <w:marLeft w:val="0"/>
      <w:marRight w:val="0"/>
      <w:marTop w:val="0"/>
      <w:marBottom w:val="0"/>
      <w:divBdr>
        <w:top w:val="none" w:sz="0" w:space="0" w:color="auto"/>
        <w:left w:val="none" w:sz="0" w:space="0" w:color="auto"/>
        <w:bottom w:val="none" w:sz="0" w:space="0" w:color="auto"/>
        <w:right w:val="none" w:sz="0" w:space="0" w:color="auto"/>
      </w:divBdr>
    </w:div>
    <w:div w:id="836071867">
      <w:bodyDiv w:val="1"/>
      <w:marLeft w:val="0"/>
      <w:marRight w:val="0"/>
      <w:marTop w:val="0"/>
      <w:marBottom w:val="0"/>
      <w:divBdr>
        <w:top w:val="none" w:sz="0" w:space="0" w:color="auto"/>
        <w:left w:val="none" w:sz="0" w:space="0" w:color="auto"/>
        <w:bottom w:val="none" w:sz="0" w:space="0" w:color="auto"/>
        <w:right w:val="none" w:sz="0" w:space="0" w:color="auto"/>
      </w:divBdr>
    </w:div>
    <w:div w:id="837424773">
      <w:bodyDiv w:val="1"/>
      <w:marLeft w:val="0"/>
      <w:marRight w:val="0"/>
      <w:marTop w:val="0"/>
      <w:marBottom w:val="0"/>
      <w:divBdr>
        <w:top w:val="none" w:sz="0" w:space="0" w:color="auto"/>
        <w:left w:val="none" w:sz="0" w:space="0" w:color="auto"/>
        <w:bottom w:val="none" w:sz="0" w:space="0" w:color="auto"/>
        <w:right w:val="none" w:sz="0" w:space="0" w:color="auto"/>
      </w:divBdr>
    </w:div>
    <w:div w:id="837647369">
      <w:bodyDiv w:val="1"/>
      <w:marLeft w:val="0"/>
      <w:marRight w:val="0"/>
      <w:marTop w:val="0"/>
      <w:marBottom w:val="0"/>
      <w:divBdr>
        <w:top w:val="none" w:sz="0" w:space="0" w:color="auto"/>
        <w:left w:val="none" w:sz="0" w:space="0" w:color="auto"/>
        <w:bottom w:val="none" w:sz="0" w:space="0" w:color="auto"/>
        <w:right w:val="none" w:sz="0" w:space="0" w:color="auto"/>
      </w:divBdr>
    </w:div>
    <w:div w:id="838272202">
      <w:bodyDiv w:val="1"/>
      <w:marLeft w:val="0"/>
      <w:marRight w:val="0"/>
      <w:marTop w:val="0"/>
      <w:marBottom w:val="0"/>
      <w:divBdr>
        <w:top w:val="none" w:sz="0" w:space="0" w:color="auto"/>
        <w:left w:val="none" w:sz="0" w:space="0" w:color="auto"/>
        <w:bottom w:val="none" w:sz="0" w:space="0" w:color="auto"/>
        <w:right w:val="none" w:sz="0" w:space="0" w:color="auto"/>
      </w:divBdr>
    </w:div>
    <w:div w:id="838883036">
      <w:bodyDiv w:val="1"/>
      <w:marLeft w:val="0"/>
      <w:marRight w:val="0"/>
      <w:marTop w:val="0"/>
      <w:marBottom w:val="0"/>
      <w:divBdr>
        <w:top w:val="none" w:sz="0" w:space="0" w:color="auto"/>
        <w:left w:val="none" w:sz="0" w:space="0" w:color="auto"/>
        <w:bottom w:val="none" w:sz="0" w:space="0" w:color="auto"/>
        <w:right w:val="none" w:sz="0" w:space="0" w:color="auto"/>
      </w:divBdr>
    </w:div>
    <w:div w:id="839351714">
      <w:bodyDiv w:val="1"/>
      <w:marLeft w:val="0"/>
      <w:marRight w:val="0"/>
      <w:marTop w:val="0"/>
      <w:marBottom w:val="0"/>
      <w:divBdr>
        <w:top w:val="none" w:sz="0" w:space="0" w:color="auto"/>
        <w:left w:val="none" w:sz="0" w:space="0" w:color="auto"/>
        <w:bottom w:val="none" w:sz="0" w:space="0" w:color="auto"/>
        <w:right w:val="none" w:sz="0" w:space="0" w:color="auto"/>
      </w:divBdr>
    </w:div>
    <w:div w:id="839658946">
      <w:bodyDiv w:val="1"/>
      <w:marLeft w:val="0"/>
      <w:marRight w:val="0"/>
      <w:marTop w:val="0"/>
      <w:marBottom w:val="0"/>
      <w:divBdr>
        <w:top w:val="none" w:sz="0" w:space="0" w:color="auto"/>
        <w:left w:val="none" w:sz="0" w:space="0" w:color="auto"/>
        <w:bottom w:val="none" w:sz="0" w:space="0" w:color="auto"/>
        <w:right w:val="none" w:sz="0" w:space="0" w:color="auto"/>
      </w:divBdr>
    </w:div>
    <w:div w:id="840658375">
      <w:bodyDiv w:val="1"/>
      <w:marLeft w:val="0"/>
      <w:marRight w:val="0"/>
      <w:marTop w:val="0"/>
      <w:marBottom w:val="0"/>
      <w:divBdr>
        <w:top w:val="none" w:sz="0" w:space="0" w:color="auto"/>
        <w:left w:val="none" w:sz="0" w:space="0" w:color="auto"/>
        <w:bottom w:val="none" w:sz="0" w:space="0" w:color="auto"/>
        <w:right w:val="none" w:sz="0" w:space="0" w:color="auto"/>
      </w:divBdr>
    </w:div>
    <w:div w:id="840775389">
      <w:bodyDiv w:val="1"/>
      <w:marLeft w:val="0"/>
      <w:marRight w:val="0"/>
      <w:marTop w:val="0"/>
      <w:marBottom w:val="0"/>
      <w:divBdr>
        <w:top w:val="none" w:sz="0" w:space="0" w:color="auto"/>
        <w:left w:val="none" w:sz="0" w:space="0" w:color="auto"/>
        <w:bottom w:val="none" w:sz="0" w:space="0" w:color="auto"/>
        <w:right w:val="none" w:sz="0" w:space="0" w:color="auto"/>
      </w:divBdr>
    </w:div>
    <w:div w:id="841242115">
      <w:bodyDiv w:val="1"/>
      <w:marLeft w:val="0"/>
      <w:marRight w:val="0"/>
      <w:marTop w:val="0"/>
      <w:marBottom w:val="0"/>
      <w:divBdr>
        <w:top w:val="none" w:sz="0" w:space="0" w:color="auto"/>
        <w:left w:val="none" w:sz="0" w:space="0" w:color="auto"/>
        <w:bottom w:val="none" w:sz="0" w:space="0" w:color="auto"/>
        <w:right w:val="none" w:sz="0" w:space="0" w:color="auto"/>
      </w:divBdr>
    </w:div>
    <w:div w:id="841551823">
      <w:bodyDiv w:val="1"/>
      <w:marLeft w:val="0"/>
      <w:marRight w:val="0"/>
      <w:marTop w:val="0"/>
      <w:marBottom w:val="0"/>
      <w:divBdr>
        <w:top w:val="none" w:sz="0" w:space="0" w:color="auto"/>
        <w:left w:val="none" w:sz="0" w:space="0" w:color="auto"/>
        <w:bottom w:val="none" w:sz="0" w:space="0" w:color="auto"/>
        <w:right w:val="none" w:sz="0" w:space="0" w:color="auto"/>
      </w:divBdr>
    </w:div>
    <w:div w:id="841965896">
      <w:bodyDiv w:val="1"/>
      <w:marLeft w:val="0"/>
      <w:marRight w:val="0"/>
      <w:marTop w:val="0"/>
      <w:marBottom w:val="0"/>
      <w:divBdr>
        <w:top w:val="none" w:sz="0" w:space="0" w:color="auto"/>
        <w:left w:val="none" w:sz="0" w:space="0" w:color="auto"/>
        <w:bottom w:val="none" w:sz="0" w:space="0" w:color="auto"/>
        <w:right w:val="none" w:sz="0" w:space="0" w:color="auto"/>
      </w:divBdr>
    </w:div>
    <w:div w:id="842352083">
      <w:bodyDiv w:val="1"/>
      <w:marLeft w:val="0"/>
      <w:marRight w:val="0"/>
      <w:marTop w:val="0"/>
      <w:marBottom w:val="0"/>
      <w:divBdr>
        <w:top w:val="none" w:sz="0" w:space="0" w:color="auto"/>
        <w:left w:val="none" w:sz="0" w:space="0" w:color="auto"/>
        <w:bottom w:val="none" w:sz="0" w:space="0" w:color="auto"/>
        <w:right w:val="none" w:sz="0" w:space="0" w:color="auto"/>
      </w:divBdr>
    </w:div>
    <w:div w:id="842473510">
      <w:bodyDiv w:val="1"/>
      <w:marLeft w:val="0"/>
      <w:marRight w:val="0"/>
      <w:marTop w:val="0"/>
      <w:marBottom w:val="0"/>
      <w:divBdr>
        <w:top w:val="none" w:sz="0" w:space="0" w:color="auto"/>
        <w:left w:val="none" w:sz="0" w:space="0" w:color="auto"/>
        <w:bottom w:val="none" w:sz="0" w:space="0" w:color="auto"/>
        <w:right w:val="none" w:sz="0" w:space="0" w:color="auto"/>
      </w:divBdr>
    </w:div>
    <w:div w:id="842863878">
      <w:bodyDiv w:val="1"/>
      <w:marLeft w:val="0"/>
      <w:marRight w:val="0"/>
      <w:marTop w:val="0"/>
      <w:marBottom w:val="0"/>
      <w:divBdr>
        <w:top w:val="none" w:sz="0" w:space="0" w:color="auto"/>
        <w:left w:val="none" w:sz="0" w:space="0" w:color="auto"/>
        <w:bottom w:val="none" w:sz="0" w:space="0" w:color="auto"/>
        <w:right w:val="none" w:sz="0" w:space="0" w:color="auto"/>
      </w:divBdr>
    </w:div>
    <w:div w:id="843662875">
      <w:bodyDiv w:val="1"/>
      <w:marLeft w:val="0"/>
      <w:marRight w:val="0"/>
      <w:marTop w:val="0"/>
      <w:marBottom w:val="0"/>
      <w:divBdr>
        <w:top w:val="none" w:sz="0" w:space="0" w:color="auto"/>
        <w:left w:val="none" w:sz="0" w:space="0" w:color="auto"/>
        <w:bottom w:val="none" w:sz="0" w:space="0" w:color="auto"/>
        <w:right w:val="none" w:sz="0" w:space="0" w:color="auto"/>
      </w:divBdr>
    </w:div>
    <w:div w:id="844979949">
      <w:bodyDiv w:val="1"/>
      <w:marLeft w:val="0"/>
      <w:marRight w:val="0"/>
      <w:marTop w:val="0"/>
      <w:marBottom w:val="0"/>
      <w:divBdr>
        <w:top w:val="none" w:sz="0" w:space="0" w:color="auto"/>
        <w:left w:val="none" w:sz="0" w:space="0" w:color="auto"/>
        <w:bottom w:val="none" w:sz="0" w:space="0" w:color="auto"/>
        <w:right w:val="none" w:sz="0" w:space="0" w:color="auto"/>
      </w:divBdr>
    </w:div>
    <w:div w:id="845480756">
      <w:bodyDiv w:val="1"/>
      <w:marLeft w:val="0"/>
      <w:marRight w:val="0"/>
      <w:marTop w:val="0"/>
      <w:marBottom w:val="0"/>
      <w:divBdr>
        <w:top w:val="none" w:sz="0" w:space="0" w:color="auto"/>
        <w:left w:val="none" w:sz="0" w:space="0" w:color="auto"/>
        <w:bottom w:val="none" w:sz="0" w:space="0" w:color="auto"/>
        <w:right w:val="none" w:sz="0" w:space="0" w:color="auto"/>
      </w:divBdr>
    </w:div>
    <w:div w:id="846555861">
      <w:bodyDiv w:val="1"/>
      <w:marLeft w:val="0"/>
      <w:marRight w:val="0"/>
      <w:marTop w:val="0"/>
      <w:marBottom w:val="0"/>
      <w:divBdr>
        <w:top w:val="none" w:sz="0" w:space="0" w:color="auto"/>
        <w:left w:val="none" w:sz="0" w:space="0" w:color="auto"/>
        <w:bottom w:val="none" w:sz="0" w:space="0" w:color="auto"/>
        <w:right w:val="none" w:sz="0" w:space="0" w:color="auto"/>
      </w:divBdr>
    </w:div>
    <w:div w:id="846671628">
      <w:bodyDiv w:val="1"/>
      <w:marLeft w:val="0"/>
      <w:marRight w:val="0"/>
      <w:marTop w:val="0"/>
      <w:marBottom w:val="0"/>
      <w:divBdr>
        <w:top w:val="none" w:sz="0" w:space="0" w:color="auto"/>
        <w:left w:val="none" w:sz="0" w:space="0" w:color="auto"/>
        <w:bottom w:val="none" w:sz="0" w:space="0" w:color="auto"/>
        <w:right w:val="none" w:sz="0" w:space="0" w:color="auto"/>
      </w:divBdr>
    </w:div>
    <w:div w:id="846747545">
      <w:bodyDiv w:val="1"/>
      <w:marLeft w:val="0"/>
      <w:marRight w:val="0"/>
      <w:marTop w:val="0"/>
      <w:marBottom w:val="0"/>
      <w:divBdr>
        <w:top w:val="none" w:sz="0" w:space="0" w:color="auto"/>
        <w:left w:val="none" w:sz="0" w:space="0" w:color="auto"/>
        <w:bottom w:val="none" w:sz="0" w:space="0" w:color="auto"/>
        <w:right w:val="none" w:sz="0" w:space="0" w:color="auto"/>
      </w:divBdr>
    </w:div>
    <w:div w:id="847213156">
      <w:bodyDiv w:val="1"/>
      <w:marLeft w:val="0"/>
      <w:marRight w:val="0"/>
      <w:marTop w:val="0"/>
      <w:marBottom w:val="0"/>
      <w:divBdr>
        <w:top w:val="none" w:sz="0" w:space="0" w:color="auto"/>
        <w:left w:val="none" w:sz="0" w:space="0" w:color="auto"/>
        <w:bottom w:val="none" w:sz="0" w:space="0" w:color="auto"/>
        <w:right w:val="none" w:sz="0" w:space="0" w:color="auto"/>
      </w:divBdr>
    </w:div>
    <w:div w:id="847329816">
      <w:bodyDiv w:val="1"/>
      <w:marLeft w:val="0"/>
      <w:marRight w:val="0"/>
      <w:marTop w:val="0"/>
      <w:marBottom w:val="0"/>
      <w:divBdr>
        <w:top w:val="none" w:sz="0" w:space="0" w:color="auto"/>
        <w:left w:val="none" w:sz="0" w:space="0" w:color="auto"/>
        <w:bottom w:val="none" w:sz="0" w:space="0" w:color="auto"/>
        <w:right w:val="none" w:sz="0" w:space="0" w:color="auto"/>
      </w:divBdr>
    </w:div>
    <w:div w:id="848064966">
      <w:bodyDiv w:val="1"/>
      <w:marLeft w:val="0"/>
      <w:marRight w:val="0"/>
      <w:marTop w:val="0"/>
      <w:marBottom w:val="0"/>
      <w:divBdr>
        <w:top w:val="none" w:sz="0" w:space="0" w:color="auto"/>
        <w:left w:val="none" w:sz="0" w:space="0" w:color="auto"/>
        <w:bottom w:val="none" w:sz="0" w:space="0" w:color="auto"/>
        <w:right w:val="none" w:sz="0" w:space="0" w:color="auto"/>
      </w:divBdr>
    </w:div>
    <w:div w:id="848103174">
      <w:bodyDiv w:val="1"/>
      <w:marLeft w:val="0"/>
      <w:marRight w:val="0"/>
      <w:marTop w:val="0"/>
      <w:marBottom w:val="0"/>
      <w:divBdr>
        <w:top w:val="none" w:sz="0" w:space="0" w:color="auto"/>
        <w:left w:val="none" w:sz="0" w:space="0" w:color="auto"/>
        <w:bottom w:val="none" w:sz="0" w:space="0" w:color="auto"/>
        <w:right w:val="none" w:sz="0" w:space="0" w:color="auto"/>
      </w:divBdr>
    </w:div>
    <w:div w:id="848327538">
      <w:bodyDiv w:val="1"/>
      <w:marLeft w:val="0"/>
      <w:marRight w:val="0"/>
      <w:marTop w:val="0"/>
      <w:marBottom w:val="0"/>
      <w:divBdr>
        <w:top w:val="none" w:sz="0" w:space="0" w:color="auto"/>
        <w:left w:val="none" w:sz="0" w:space="0" w:color="auto"/>
        <w:bottom w:val="none" w:sz="0" w:space="0" w:color="auto"/>
        <w:right w:val="none" w:sz="0" w:space="0" w:color="auto"/>
      </w:divBdr>
    </w:div>
    <w:div w:id="848981929">
      <w:bodyDiv w:val="1"/>
      <w:marLeft w:val="0"/>
      <w:marRight w:val="0"/>
      <w:marTop w:val="0"/>
      <w:marBottom w:val="0"/>
      <w:divBdr>
        <w:top w:val="none" w:sz="0" w:space="0" w:color="auto"/>
        <w:left w:val="none" w:sz="0" w:space="0" w:color="auto"/>
        <w:bottom w:val="none" w:sz="0" w:space="0" w:color="auto"/>
        <w:right w:val="none" w:sz="0" w:space="0" w:color="auto"/>
      </w:divBdr>
    </w:div>
    <w:div w:id="849489797">
      <w:bodyDiv w:val="1"/>
      <w:marLeft w:val="0"/>
      <w:marRight w:val="0"/>
      <w:marTop w:val="0"/>
      <w:marBottom w:val="0"/>
      <w:divBdr>
        <w:top w:val="none" w:sz="0" w:space="0" w:color="auto"/>
        <w:left w:val="none" w:sz="0" w:space="0" w:color="auto"/>
        <w:bottom w:val="none" w:sz="0" w:space="0" w:color="auto"/>
        <w:right w:val="none" w:sz="0" w:space="0" w:color="auto"/>
      </w:divBdr>
    </w:div>
    <w:div w:id="849872877">
      <w:bodyDiv w:val="1"/>
      <w:marLeft w:val="0"/>
      <w:marRight w:val="0"/>
      <w:marTop w:val="0"/>
      <w:marBottom w:val="0"/>
      <w:divBdr>
        <w:top w:val="none" w:sz="0" w:space="0" w:color="auto"/>
        <w:left w:val="none" w:sz="0" w:space="0" w:color="auto"/>
        <w:bottom w:val="none" w:sz="0" w:space="0" w:color="auto"/>
        <w:right w:val="none" w:sz="0" w:space="0" w:color="auto"/>
      </w:divBdr>
    </w:div>
    <w:div w:id="851797770">
      <w:bodyDiv w:val="1"/>
      <w:marLeft w:val="0"/>
      <w:marRight w:val="0"/>
      <w:marTop w:val="0"/>
      <w:marBottom w:val="0"/>
      <w:divBdr>
        <w:top w:val="none" w:sz="0" w:space="0" w:color="auto"/>
        <w:left w:val="none" w:sz="0" w:space="0" w:color="auto"/>
        <w:bottom w:val="none" w:sz="0" w:space="0" w:color="auto"/>
        <w:right w:val="none" w:sz="0" w:space="0" w:color="auto"/>
      </w:divBdr>
    </w:div>
    <w:div w:id="851845071">
      <w:bodyDiv w:val="1"/>
      <w:marLeft w:val="0"/>
      <w:marRight w:val="0"/>
      <w:marTop w:val="0"/>
      <w:marBottom w:val="0"/>
      <w:divBdr>
        <w:top w:val="none" w:sz="0" w:space="0" w:color="auto"/>
        <w:left w:val="none" w:sz="0" w:space="0" w:color="auto"/>
        <w:bottom w:val="none" w:sz="0" w:space="0" w:color="auto"/>
        <w:right w:val="none" w:sz="0" w:space="0" w:color="auto"/>
      </w:divBdr>
    </w:div>
    <w:div w:id="852033735">
      <w:bodyDiv w:val="1"/>
      <w:marLeft w:val="0"/>
      <w:marRight w:val="0"/>
      <w:marTop w:val="0"/>
      <w:marBottom w:val="0"/>
      <w:divBdr>
        <w:top w:val="none" w:sz="0" w:space="0" w:color="auto"/>
        <w:left w:val="none" w:sz="0" w:space="0" w:color="auto"/>
        <w:bottom w:val="none" w:sz="0" w:space="0" w:color="auto"/>
        <w:right w:val="none" w:sz="0" w:space="0" w:color="auto"/>
      </w:divBdr>
    </w:div>
    <w:div w:id="852186054">
      <w:bodyDiv w:val="1"/>
      <w:marLeft w:val="0"/>
      <w:marRight w:val="0"/>
      <w:marTop w:val="0"/>
      <w:marBottom w:val="0"/>
      <w:divBdr>
        <w:top w:val="none" w:sz="0" w:space="0" w:color="auto"/>
        <w:left w:val="none" w:sz="0" w:space="0" w:color="auto"/>
        <w:bottom w:val="none" w:sz="0" w:space="0" w:color="auto"/>
        <w:right w:val="none" w:sz="0" w:space="0" w:color="auto"/>
      </w:divBdr>
    </w:div>
    <w:div w:id="852261049">
      <w:bodyDiv w:val="1"/>
      <w:marLeft w:val="0"/>
      <w:marRight w:val="0"/>
      <w:marTop w:val="0"/>
      <w:marBottom w:val="0"/>
      <w:divBdr>
        <w:top w:val="none" w:sz="0" w:space="0" w:color="auto"/>
        <w:left w:val="none" w:sz="0" w:space="0" w:color="auto"/>
        <w:bottom w:val="none" w:sz="0" w:space="0" w:color="auto"/>
        <w:right w:val="none" w:sz="0" w:space="0" w:color="auto"/>
      </w:divBdr>
    </w:div>
    <w:div w:id="853811430">
      <w:bodyDiv w:val="1"/>
      <w:marLeft w:val="0"/>
      <w:marRight w:val="0"/>
      <w:marTop w:val="0"/>
      <w:marBottom w:val="0"/>
      <w:divBdr>
        <w:top w:val="none" w:sz="0" w:space="0" w:color="auto"/>
        <w:left w:val="none" w:sz="0" w:space="0" w:color="auto"/>
        <w:bottom w:val="none" w:sz="0" w:space="0" w:color="auto"/>
        <w:right w:val="none" w:sz="0" w:space="0" w:color="auto"/>
      </w:divBdr>
    </w:div>
    <w:div w:id="854418023">
      <w:bodyDiv w:val="1"/>
      <w:marLeft w:val="0"/>
      <w:marRight w:val="0"/>
      <w:marTop w:val="0"/>
      <w:marBottom w:val="0"/>
      <w:divBdr>
        <w:top w:val="none" w:sz="0" w:space="0" w:color="auto"/>
        <w:left w:val="none" w:sz="0" w:space="0" w:color="auto"/>
        <w:bottom w:val="none" w:sz="0" w:space="0" w:color="auto"/>
        <w:right w:val="none" w:sz="0" w:space="0" w:color="auto"/>
      </w:divBdr>
    </w:div>
    <w:div w:id="854533474">
      <w:bodyDiv w:val="1"/>
      <w:marLeft w:val="0"/>
      <w:marRight w:val="0"/>
      <w:marTop w:val="0"/>
      <w:marBottom w:val="0"/>
      <w:divBdr>
        <w:top w:val="none" w:sz="0" w:space="0" w:color="auto"/>
        <w:left w:val="none" w:sz="0" w:space="0" w:color="auto"/>
        <w:bottom w:val="none" w:sz="0" w:space="0" w:color="auto"/>
        <w:right w:val="none" w:sz="0" w:space="0" w:color="auto"/>
      </w:divBdr>
    </w:div>
    <w:div w:id="854882894">
      <w:bodyDiv w:val="1"/>
      <w:marLeft w:val="0"/>
      <w:marRight w:val="0"/>
      <w:marTop w:val="0"/>
      <w:marBottom w:val="0"/>
      <w:divBdr>
        <w:top w:val="none" w:sz="0" w:space="0" w:color="auto"/>
        <w:left w:val="none" w:sz="0" w:space="0" w:color="auto"/>
        <w:bottom w:val="none" w:sz="0" w:space="0" w:color="auto"/>
        <w:right w:val="none" w:sz="0" w:space="0" w:color="auto"/>
      </w:divBdr>
    </w:div>
    <w:div w:id="855114495">
      <w:bodyDiv w:val="1"/>
      <w:marLeft w:val="0"/>
      <w:marRight w:val="0"/>
      <w:marTop w:val="0"/>
      <w:marBottom w:val="0"/>
      <w:divBdr>
        <w:top w:val="none" w:sz="0" w:space="0" w:color="auto"/>
        <w:left w:val="none" w:sz="0" w:space="0" w:color="auto"/>
        <w:bottom w:val="none" w:sz="0" w:space="0" w:color="auto"/>
        <w:right w:val="none" w:sz="0" w:space="0" w:color="auto"/>
      </w:divBdr>
    </w:div>
    <w:div w:id="855801666">
      <w:bodyDiv w:val="1"/>
      <w:marLeft w:val="0"/>
      <w:marRight w:val="0"/>
      <w:marTop w:val="0"/>
      <w:marBottom w:val="0"/>
      <w:divBdr>
        <w:top w:val="none" w:sz="0" w:space="0" w:color="auto"/>
        <w:left w:val="none" w:sz="0" w:space="0" w:color="auto"/>
        <w:bottom w:val="none" w:sz="0" w:space="0" w:color="auto"/>
        <w:right w:val="none" w:sz="0" w:space="0" w:color="auto"/>
      </w:divBdr>
    </w:div>
    <w:div w:id="857541596">
      <w:bodyDiv w:val="1"/>
      <w:marLeft w:val="0"/>
      <w:marRight w:val="0"/>
      <w:marTop w:val="0"/>
      <w:marBottom w:val="0"/>
      <w:divBdr>
        <w:top w:val="none" w:sz="0" w:space="0" w:color="auto"/>
        <w:left w:val="none" w:sz="0" w:space="0" w:color="auto"/>
        <w:bottom w:val="none" w:sz="0" w:space="0" w:color="auto"/>
        <w:right w:val="none" w:sz="0" w:space="0" w:color="auto"/>
      </w:divBdr>
    </w:div>
    <w:div w:id="857700754">
      <w:bodyDiv w:val="1"/>
      <w:marLeft w:val="0"/>
      <w:marRight w:val="0"/>
      <w:marTop w:val="0"/>
      <w:marBottom w:val="0"/>
      <w:divBdr>
        <w:top w:val="none" w:sz="0" w:space="0" w:color="auto"/>
        <w:left w:val="none" w:sz="0" w:space="0" w:color="auto"/>
        <w:bottom w:val="none" w:sz="0" w:space="0" w:color="auto"/>
        <w:right w:val="none" w:sz="0" w:space="0" w:color="auto"/>
      </w:divBdr>
    </w:div>
    <w:div w:id="859507898">
      <w:bodyDiv w:val="1"/>
      <w:marLeft w:val="0"/>
      <w:marRight w:val="0"/>
      <w:marTop w:val="0"/>
      <w:marBottom w:val="0"/>
      <w:divBdr>
        <w:top w:val="none" w:sz="0" w:space="0" w:color="auto"/>
        <w:left w:val="none" w:sz="0" w:space="0" w:color="auto"/>
        <w:bottom w:val="none" w:sz="0" w:space="0" w:color="auto"/>
        <w:right w:val="none" w:sz="0" w:space="0" w:color="auto"/>
      </w:divBdr>
    </w:div>
    <w:div w:id="860508031">
      <w:bodyDiv w:val="1"/>
      <w:marLeft w:val="0"/>
      <w:marRight w:val="0"/>
      <w:marTop w:val="0"/>
      <w:marBottom w:val="0"/>
      <w:divBdr>
        <w:top w:val="none" w:sz="0" w:space="0" w:color="auto"/>
        <w:left w:val="none" w:sz="0" w:space="0" w:color="auto"/>
        <w:bottom w:val="none" w:sz="0" w:space="0" w:color="auto"/>
        <w:right w:val="none" w:sz="0" w:space="0" w:color="auto"/>
      </w:divBdr>
    </w:div>
    <w:div w:id="862016523">
      <w:bodyDiv w:val="1"/>
      <w:marLeft w:val="0"/>
      <w:marRight w:val="0"/>
      <w:marTop w:val="0"/>
      <w:marBottom w:val="0"/>
      <w:divBdr>
        <w:top w:val="none" w:sz="0" w:space="0" w:color="auto"/>
        <w:left w:val="none" w:sz="0" w:space="0" w:color="auto"/>
        <w:bottom w:val="none" w:sz="0" w:space="0" w:color="auto"/>
        <w:right w:val="none" w:sz="0" w:space="0" w:color="auto"/>
      </w:divBdr>
    </w:div>
    <w:div w:id="862279811">
      <w:bodyDiv w:val="1"/>
      <w:marLeft w:val="0"/>
      <w:marRight w:val="0"/>
      <w:marTop w:val="0"/>
      <w:marBottom w:val="0"/>
      <w:divBdr>
        <w:top w:val="none" w:sz="0" w:space="0" w:color="auto"/>
        <w:left w:val="none" w:sz="0" w:space="0" w:color="auto"/>
        <w:bottom w:val="none" w:sz="0" w:space="0" w:color="auto"/>
        <w:right w:val="none" w:sz="0" w:space="0" w:color="auto"/>
      </w:divBdr>
    </w:div>
    <w:div w:id="862475149">
      <w:bodyDiv w:val="1"/>
      <w:marLeft w:val="0"/>
      <w:marRight w:val="0"/>
      <w:marTop w:val="0"/>
      <w:marBottom w:val="0"/>
      <w:divBdr>
        <w:top w:val="none" w:sz="0" w:space="0" w:color="auto"/>
        <w:left w:val="none" w:sz="0" w:space="0" w:color="auto"/>
        <w:bottom w:val="none" w:sz="0" w:space="0" w:color="auto"/>
        <w:right w:val="none" w:sz="0" w:space="0" w:color="auto"/>
      </w:divBdr>
    </w:div>
    <w:div w:id="862741050">
      <w:bodyDiv w:val="1"/>
      <w:marLeft w:val="0"/>
      <w:marRight w:val="0"/>
      <w:marTop w:val="0"/>
      <w:marBottom w:val="0"/>
      <w:divBdr>
        <w:top w:val="none" w:sz="0" w:space="0" w:color="auto"/>
        <w:left w:val="none" w:sz="0" w:space="0" w:color="auto"/>
        <w:bottom w:val="none" w:sz="0" w:space="0" w:color="auto"/>
        <w:right w:val="none" w:sz="0" w:space="0" w:color="auto"/>
      </w:divBdr>
    </w:div>
    <w:div w:id="862788485">
      <w:bodyDiv w:val="1"/>
      <w:marLeft w:val="0"/>
      <w:marRight w:val="0"/>
      <w:marTop w:val="0"/>
      <w:marBottom w:val="0"/>
      <w:divBdr>
        <w:top w:val="none" w:sz="0" w:space="0" w:color="auto"/>
        <w:left w:val="none" w:sz="0" w:space="0" w:color="auto"/>
        <w:bottom w:val="none" w:sz="0" w:space="0" w:color="auto"/>
        <w:right w:val="none" w:sz="0" w:space="0" w:color="auto"/>
      </w:divBdr>
    </w:div>
    <w:div w:id="863638462">
      <w:bodyDiv w:val="1"/>
      <w:marLeft w:val="0"/>
      <w:marRight w:val="0"/>
      <w:marTop w:val="0"/>
      <w:marBottom w:val="0"/>
      <w:divBdr>
        <w:top w:val="none" w:sz="0" w:space="0" w:color="auto"/>
        <w:left w:val="none" w:sz="0" w:space="0" w:color="auto"/>
        <w:bottom w:val="none" w:sz="0" w:space="0" w:color="auto"/>
        <w:right w:val="none" w:sz="0" w:space="0" w:color="auto"/>
      </w:divBdr>
    </w:div>
    <w:div w:id="863832531">
      <w:bodyDiv w:val="1"/>
      <w:marLeft w:val="0"/>
      <w:marRight w:val="0"/>
      <w:marTop w:val="0"/>
      <w:marBottom w:val="0"/>
      <w:divBdr>
        <w:top w:val="none" w:sz="0" w:space="0" w:color="auto"/>
        <w:left w:val="none" w:sz="0" w:space="0" w:color="auto"/>
        <w:bottom w:val="none" w:sz="0" w:space="0" w:color="auto"/>
        <w:right w:val="none" w:sz="0" w:space="0" w:color="auto"/>
      </w:divBdr>
    </w:div>
    <w:div w:id="864249464">
      <w:bodyDiv w:val="1"/>
      <w:marLeft w:val="0"/>
      <w:marRight w:val="0"/>
      <w:marTop w:val="0"/>
      <w:marBottom w:val="0"/>
      <w:divBdr>
        <w:top w:val="none" w:sz="0" w:space="0" w:color="auto"/>
        <w:left w:val="none" w:sz="0" w:space="0" w:color="auto"/>
        <w:bottom w:val="none" w:sz="0" w:space="0" w:color="auto"/>
        <w:right w:val="none" w:sz="0" w:space="0" w:color="auto"/>
      </w:divBdr>
    </w:div>
    <w:div w:id="864443116">
      <w:bodyDiv w:val="1"/>
      <w:marLeft w:val="0"/>
      <w:marRight w:val="0"/>
      <w:marTop w:val="0"/>
      <w:marBottom w:val="0"/>
      <w:divBdr>
        <w:top w:val="none" w:sz="0" w:space="0" w:color="auto"/>
        <w:left w:val="none" w:sz="0" w:space="0" w:color="auto"/>
        <w:bottom w:val="none" w:sz="0" w:space="0" w:color="auto"/>
        <w:right w:val="none" w:sz="0" w:space="0" w:color="auto"/>
      </w:divBdr>
    </w:div>
    <w:div w:id="865824415">
      <w:bodyDiv w:val="1"/>
      <w:marLeft w:val="0"/>
      <w:marRight w:val="0"/>
      <w:marTop w:val="0"/>
      <w:marBottom w:val="0"/>
      <w:divBdr>
        <w:top w:val="none" w:sz="0" w:space="0" w:color="auto"/>
        <w:left w:val="none" w:sz="0" w:space="0" w:color="auto"/>
        <w:bottom w:val="none" w:sz="0" w:space="0" w:color="auto"/>
        <w:right w:val="none" w:sz="0" w:space="0" w:color="auto"/>
      </w:divBdr>
    </w:div>
    <w:div w:id="866406653">
      <w:bodyDiv w:val="1"/>
      <w:marLeft w:val="0"/>
      <w:marRight w:val="0"/>
      <w:marTop w:val="0"/>
      <w:marBottom w:val="0"/>
      <w:divBdr>
        <w:top w:val="none" w:sz="0" w:space="0" w:color="auto"/>
        <w:left w:val="none" w:sz="0" w:space="0" w:color="auto"/>
        <w:bottom w:val="none" w:sz="0" w:space="0" w:color="auto"/>
        <w:right w:val="none" w:sz="0" w:space="0" w:color="auto"/>
      </w:divBdr>
    </w:div>
    <w:div w:id="868879962">
      <w:bodyDiv w:val="1"/>
      <w:marLeft w:val="0"/>
      <w:marRight w:val="0"/>
      <w:marTop w:val="0"/>
      <w:marBottom w:val="0"/>
      <w:divBdr>
        <w:top w:val="none" w:sz="0" w:space="0" w:color="auto"/>
        <w:left w:val="none" w:sz="0" w:space="0" w:color="auto"/>
        <w:bottom w:val="none" w:sz="0" w:space="0" w:color="auto"/>
        <w:right w:val="none" w:sz="0" w:space="0" w:color="auto"/>
      </w:divBdr>
    </w:div>
    <w:div w:id="869029196">
      <w:bodyDiv w:val="1"/>
      <w:marLeft w:val="0"/>
      <w:marRight w:val="0"/>
      <w:marTop w:val="0"/>
      <w:marBottom w:val="0"/>
      <w:divBdr>
        <w:top w:val="none" w:sz="0" w:space="0" w:color="auto"/>
        <w:left w:val="none" w:sz="0" w:space="0" w:color="auto"/>
        <w:bottom w:val="none" w:sz="0" w:space="0" w:color="auto"/>
        <w:right w:val="none" w:sz="0" w:space="0" w:color="auto"/>
      </w:divBdr>
    </w:div>
    <w:div w:id="869685798">
      <w:bodyDiv w:val="1"/>
      <w:marLeft w:val="0"/>
      <w:marRight w:val="0"/>
      <w:marTop w:val="0"/>
      <w:marBottom w:val="0"/>
      <w:divBdr>
        <w:top w:val="none" w:sz="0" w:space="0" w:color="auto"/>
        <w:left w:val="none" w:sz="0" w:space="0" w:color="auto"/>
        <w:bottom w:val="none" w:sz="0" w:space="0" w:color="auto"/>
        <w:right w:val="none" w:sz="0" w:space="0" w:color="auto"/>
      </w:divBdr>
    </w:div>
    <w:div w:id="869994689">
      <w:bodyDiv w:val="1"/>
      <w:marLeft w:val="0"/>
      <w:marRight w:val="0"/>
      <w:marTop w:val="0"/>
      <w:marBottom w:val="0"/>
      <w:divBdr>
        <w:top w:val="none" w:sz="0" w:space="0" w:color="auto"/>
        <w:left w:val="none" w:sz="0" w:space="0" w:color="auto"/>
        <w:bottom w:val="none" w:sz="0" w:space="0" w:color="auto"/>
        <w:right w:val="none" w:sz="0" w:space="0" w:color="auto"/>
      </w:divBdr>
    </w:div>
    <w:div w:id="870534558">
      <w:bodyDiv w:val="1"/>
      <w:marLeft w:val="0"/>
      <w:marRight w:val="0"/>
      <w:marTop w:val="0"/>
      <w:marBottom w:val="0"/>
      <w:divBdr>
        <w:top w:val="none" w:sz="0" w:space="0" w:color="auto"/>
        <w:left w:val="none" w:sz="0" w:space="0" w:color="auto"/>
        <w:bottom w:val="none" w:sz="0" w:space="0" w:color="auto"/>
        <w:right w:val="none" w:sz="0" w:space="0" w:color="auto"/>
      </w:divBdr>
    </w:div>
    <w:div w:id="872115378">
      <w:bodyDiv w:val="1"/>
      <w:marLeft w:val="0"/>
      <w:marRight w:val="0"/>
      <w:marTop w:val="0"/>
      <w:marBottom w:val="0"/>
      <w:divBdr>
        <w:top w:val="none" w:sz="0" w:space="0" w:color="auto"/>
        <w:left w:val="none" w:sz="0" w:space="0" w:color="auto"/>
        <w:bottom w:val="none" w:sz="0" w:space="0" w:color="auto"/>
        <w:right w:val="none" w:sz="0" w:space="0" w:color="auto"/>
      </w:divBdr>
    </w:div>
    <w:div w:id="872382196">
      <w:bodyDiv w:val="1"/>
      <w:marLeft w:val="0"/>
      <w:marRight w:val="0"/>
      <w:marTop w:val="0"/>
      <w:marBottom w:val="0"/>
      <w:divBdr>
        <w:top w:val="none" w:sz="0" w:space="0" w:color="auto"/>
        <w:left w:val="none" w:sz="0" w:space="0" w:color="auto"/>
        <w:bottom w:val="none" w:sz="0" w:space="0" w:color="auto"/>
        <w:right w:val="none" w:sz="0" w:space="0" w:color="auto"/>
      </w:divBdr>
    </w:div>
    <w:div w:id="874923902">
      <w:bodyDiv w:val="1"/>
      <w:marLeft w:val="0"/>
      <w:marRight w:val="0"/>
      <w:marTop w:val="0"/>
      <w:marBottom w:val="0"/>
      <w:divBdr>
        <w:top w:val="none" w:sz="0" w:space="0" w:color="auto"/>
        <w:left w:val="none" w:sz="0" w:space="0" w:color="auto"/>
        <w:bottom w:val="none" w:sz="0" w:space="0" w:color="auto"/>
        <w:right w:val="none" w:sz="0" w:space="0" w:color="auto"/>
      </w:divBdr>
    </w:div>
    <w:div w:id="875432826">
      <w:bodyDiv w:val="1"/>
      <w:marLeft w:val="0"/>
      <w:marRight w:val="0"/>
      <w:marTop w:val="0"/>
      <w:marBottom w:val="0"/>
      <w:divBdr>
        <w:top w:val="none" w:sz="0" w:space="0" w:color="auto"/>
        <w:left w:val="none" w:sz="0" w:space="0" w:color="auto"/>
        <w:bottom w:val="none" w:sz="0" w:space="0" w:color="auto"/>
        <w:right w:val="none" w:sz="0" w:space="0" w:color="auto"/>
      </w:divBdr>
    </w:div>
    <w:div w:id="875704251">
      <w:bodyDiv w:val="1"/>
      <w:marLeft w:val="0"/>
      <w:marRight w:val="0"/>
      <w:marTop w:val="0"/>
      <w:marBottom w:val="0"/>
      <w:divBdr>
        <w:top w:val="none" w:sz="0" w:space="0" w:color="auto"/>
        <w:left w:val="none" w:sz="0" w:space="0" w:color="auto"/>
        <w:bottom w:val="none" w:sz="0" w:space="0" w:color="auto"/>
        <w:right w:val="none" w:sz="0" w:space="0" w:color="auto"/>
      </w:divBdr>
    </w:div>
    <w:div w:id="876086101">
      <w:bodyDiv w:val="1"/>
      <w:marLeft w:val="0"/>
      <w:marRight w:val="0"/>
      <w:marTop w:val="0"/>
      <w:marBottom w:val="0"/>
      <w:divBdr>
        <w:top w:val="none" w:sz="0" w:space="0" w:color="auto"/>
        <w:left w:val="none" w:sz="0" w:space="0" w:color="auto"/>
        <w:bottom w:val="none" w:sz="0" w:space="0" w:color="auto"/>
        <w:right w:val="none" w:sz="0" w:space="0" w:color="auto"/>
      </w:divBdr>
    </w:div>
    <w:div w:id="876741669">
      <w:bodyDiv w:val="1"/>
      <w:marLeft w:val="0"/>
      <w:marRight w:val="0"/>
      <w:marTop w:val="0"/>
      <w:marBottom w:val="0"/>
      <w:divBdr>
        <w:top w:val="none" w:sz="0" w:space="0" w:color="auto"/>
        <w:left w:val="none" w:sz="0" w:space="0" w:color="auto"/>
        <w:bottom w:val="none" w:sz="0" w:space="0" w:color="auto"/>
        <w:right w:val="none" w:sz="0" w:space="0" w:color="auto"/>
      </w:divBdr>
    </w:div>
    <w:div w:id="876894377">
      <w:bodyDiv w:val="1"/>
      <w:marLeft w:val="0"/>
      <w:marRight w:val="0"/>
      <w:marTop w:val="0"/>
      <w:marBottom w:val="0"/>
      <w:divBdr>
        <w:top w:val="none" w:sz="0" w:space="0" w:color="auto"/>
        <w:left w:val="none" w:sz="0" w:space="0" w:color="auto"/>
        <w:bottom w:val="none" w:sz="0" w:space="0" w:color="auto"/>
        <w:right w:val="none" w:sz="0" w:space="0" w:color="auto"/>
      </w:divBdr>
    </w:div>
    <w:div w:id="878010160">
      <w:bodyDiv w:val="1"/>
      <w:marLeft w:val="0"/>
      <w:marRight w:val="0"/>
      <w:marTop w:val="0"/>
      <w:marBottom w:val="0"/>
      <w:divBdr>
        <w:top w:val="none" w:sz="0" w:space="0" w:color="auto"/>
        <w:left w:val="none" w:sz="0" w:space="0" w:color="auto"/>
        <w:bottom w:val="none" w:sz="0" w:space="0" w:color="auto"/>
        <w:right w:val="none" w:sz="0" w:space="0" w:color="auto"/>
      </w:divBdr>
    </w:div>
    <w:div w:id="878051482">
      <w:bodyDiv w:val="1"/>
      <w:marLeft w:val="0"/>
      <w:marRight w:val="0"/>
      <w:marTop w:val="0"/>
      <w:marBottom w:val="0"/>
      <w:divBdr>
        <w:top w:val="none" w:sz="0" w:space="0" w:color="auto"/>
        <w:left w:val="none" w:sz="0" w:space="0" w:color="auto"/>
        <w:bottom w:val="none" w:sz="0" w:space="0" w:color="auto"/>
        <w:right w:val="none" w:sz="0" w:space="0" w:color="auto"/>
      </w:divBdr>
    </w:div>
    <w:div w:id="878476839">
      <w:bodyDiv w:val="1"/>
      <w:marLeft w:val="0"/>
      <w:marRight w:val="0"/>
      <w:marTop w:val="0"/>
      <w:marBottom w:val="0"/>
      <w:divBdr>
        <w:top w:val="none" w:sz="0" w:space="0" w:color="auto"/>
        <w:left w:val="none" w:sz="0" w:space="0" w:color="auto"/>
        <w:bottom w:val="none" w:sz="0" w:space="0" w:color="auto"/>
        <w:right w:val="none" w:sz="0" w:space="0" w:color="auto"/>
      </w:divBdr>
    </w:div>
    <w:div w:id="878934866">
      <w:bodyDiv w:val="1"/>
      <w:marLeft w:val="0"/>
      <w:marRight w:val="0"/>
      <w:marTop w:val="0"/>
      <w:marBottom w:val="0"/>
      <w:divBdr>
        <w:top w:val="none" w:sz="0" w:space="0" w:color="auto"/>
        <w:left w:val="none" w:sz="0" w:space="0" w:color="auto"/>
        <w:bottom w:val="none" w:sz="0" w:space="0" w:color="auto"/>
        <w:right w:val="none" w:sz="0" w:space="0" w:color="auto"/>
      </w:divBdr>
    </w:div>
    <w:div w:id="879439381">
      <w:bodyDiv w:val="1"/>
      <w:marLeft w:val="0"/>
      <w:marRight w:val="0"/>
      <w:marTop w:val="0"/>
      <w:marBottom w:val="0"/>
      <w:divBdr>
        <w:top w:val="none" w:sz="0" w:space="0" w:color="auto"/>
        <w:left w:val="none" w:sz="0" w:space="0" w:color="auto"/>
        <w:bottom w:val="none" w:sz="0" w:space="0" w:color="auto"/>
        <w:right w:val="none" w:sz="0" w:space="0" w:color="auto"/>
      </w:divBdr>
    </w:div>
    <w:div w:id="879780884">
      <w:bodyDiv w:val="1"/>
      <w:marLeft w:val="0"/>
      <w:marRight w:val="0"/>
      <w:marTop w:val="0"/>
      <w:marBottom w:val="0"/>
      <w:divBdr>
        <w:top w:val="none" w:sz="0" w:space="0" w:color="auto"/>
        <w:left w:val="none" w:sz="0" w:space="0" w:color="auto"/>
        <w:bottom w:val="none" w:sz="0" w:space="0" w:color="auto"/>
        <w:right w:val="none" w:sz="0" w:space="0" w:color="auto"/>
      </w:divBdr>
    </w:div>
    <w:div w:id="881403359">
      <w:bodyDiv w:val="1"/>
      <w:marLeft w:val="0"/>
      <w:marRight w:val="0"/>
      <w:marTop w:val="0"/>
      <w:marBottom w:val="0"/>
      <w:divBdr>
        <w:top w:val="none" w:sz="0" w:space="0" w:color="auto"/>
        <w:left w:val="none" w:sz="0" w:space="0" w:color="auto"/>
        <w:bottom w:val="none" w:sz="0" w:space="0" w:color="auto"/>
        <w:right w:val="none" w:sz="0" w:space="0" w:color="auto"/>
      </w:divBdr>
    </w:div>
    <w:div w:id="882208542">
      <w:bodyDiv w:val="1"/>
      <w:marLeft w:val="0"/>
      <w:marRight w:val="0"/>
      <w:marTop w:val="0"/>
      <w:marBottom w:val="0"/>
      <w:divBdr>
        <w:top w:val="none" w:sz="0" w:space="0" w:color="auto"/>
        <w:left w:val="none" w:sz="0" w:space="0" w:color="auto"/>
        <w:bottom w:val="none" w:sz="0" w:space="0" w:color="auto"/>
        <w:right w:val="none" w:sz="0" w:space="0" w:color="auto"/>
      </w:divBdr>
    </w:div>
    <w:div w:id="882211882">
      <w:bodyDiv w:val="1"/>
      <w:marLeft w:val="0"/>
      <w:marRight w:val="0"/>
      <w:marTop w:val="0"/>
      <w:marBottom w:val="0"/>
      <w:divBdr>
        <w:top w:val="none" w:sz="0" w:space="0" w:color="auto"/>
        <w:left w:val="none" w:sz="0" w:space="0" w:color="auto"/>
        <w:bottom w:val="none" w:sz="0" w:space="0" w:color="auto"/>
        <w:right w:val="none" w:sz="0" w:space="0" w:color="auto"/>
      </w:divBdr>
    </w:div>
    <w:div w:id="882403585">
      <w:bodyDiv w:val="1"/>
      <w:marLeft w:val="0"/>
      <w:marRight w:val="0"/>
      <w:marTop w:val="0"/>
      <w:marBottom w:val="0"/>
      <w:divBdr>
        <w:top w:val="none" w:sz="0" w:space="0" w:color="auto"/>
        <w:left w:val="none" w:sz="0" w:space="0" w:color="auto"/>
        <w:bottom w:val="none" w:sz="0" w:space="0" w:color="auto"/>
        <w:right w:val="none" w:sz="0" w:space="0" w:color="auto"/>
      </w:divBdr>
    </w:div>
    <w:div w:id="882595742">
      <w:bodyDiv w:val="1"/>
      <w:marLeft w:val="0"/>
      <w:marRight w:val="0"/>
      <w:marTop w:val="0"/>
      <w:marBottom w:val="0"/>
      <w:divBdr>
        <w:top w:val="none" w:sz="0" w:space="0" w:color="auto"/>
        <w:left w:val="none" w:sz="0" w:space="0" w:color="auto"/>
        <w:bottom w:val="none" w:sz="0" w:space="0" w:color="auto"/>
        <w:right w:val="none" w:sz="0" w:space="0" w:color="auto"/>
      </w:divBdr>
    </w:div>
    <w:div w:id="883251635">
      <w:bodyDiv w:val="1"/>
      <w:marLeft w:val="0"/>
      <w:marRight w:val="0"/>
      <w:marTop w:val="0"/>
      <w:marBottom w:val="0"/>
      <w:divBdr>
        <w:top w:val="none" w:sz="0" w:space="0" w:color="auto"/>
        <w:left w:val="none" w:sz="0" w:space="0" w:color="auto"/>
        <w:bottom w:val="none" w:sz="0" w:space="0" w:color="auto"/>
        <w:right w:val="none" w:sz="0" w:space="0" w:color="auto"/>
      </w:divBdr>
    </w:div>
    <w:div w:id="884829268">
      <w:bodyDiv w:val="1"/>
      <w:marLeft w:val="0"/>
      <w:marRight w:val="0"/>
      <w:marTop w:val="0"/>
      <w:marBottom w:val="0"/>
      <w:divBdr>
        <w:top w:val="none" w:sz="0" w:space="0" w:color="auto"/>
        <w:left w:val="none" w:sz="0" w:space="0" w:color="auto"/>
        <w:bottom w:val="none" w:sz="0" w:space="0" w:color="auto"/>
        <w:right w:val="none" w:sz="0" w:space="0" w:color="auto"/>
      </w:divBdr>
    </w:div>
    <w:div w:id="887688021">
      <w:bodyDiv w:val="1"/>
      <w:marLeft w:val="0"/>
      <w:marRight w:val="0"/>
      <w:marTop w:val="0"/>
      <w:marBottom w:val="0"/>
      <w:divBdr>
        <w:top w:val="none" w:sz="0" w:space="0" w:color="auto"/>
        <w:left w:val="none" w:sz="0" w:space="0" w:color="auto"/>
        <w:bottom w:val="none" w:sz="0" w:space="0" w:color="auto"/>
        <w:right w:val="none" w:sz="0" w:space="0" w:color="auto"/>
      </w:divBdr>
    </w:div>
    <w:div w:id="888108711">
      <w:bodyDiv w:val="1"/>
      <w:marLeft w:val="0"/>
      <w:marRight w:val="0"/>
      <w:marTop w:val="0"/>
      <w:marBottom w:val="0"/>
      <w:divBdr>
        <w:top w:val="none" w:sz="0" w:space="0" w:color="auto"/>
        <w:left w:val="none" w:sz="0" w:space="0" w:color="auto"/>
        <w:bottom w:val="none" w:sz="0" w:space="0" w:color="auto"/>
        <w:right w:val="none" w:sz="0" w:space="0" w:color="auto"/>
      </w:divBdr>
    </w:div>
    <w:div w:id="889192577">
      <w:bodyDiv w:val="1"/>
      <w:marLeft w:val="0"/>
      <w:marRight w:val="0"/>
      <w:marTop w:val="0"/>
      <w:marBottom w:val="0"/>
      <w:divBdr>
        <w:top w:val="none" w:sz="0" w:space="0" w:color="auto"/>
        <w:left w:val="none" w:sz="0" w:space="0" w:color="auto"/>
        <w:bottom w:val="none" w:sz="0" w:space="0" w:color="auto"/>
        <w:right w:val="none" w:sz="0" w:space="0" w:color="auto"/>
      </w:divBdr>
    </w:div>
    <w:div w:id="889264908">
      <w:bodyDiv w:val="1"/>
      <w:marLeft w:val="0"/>
      <w:marRight w:val="0"/>
      <w:marTop w:val="0"/>
      <w:marBottom w:val="0"/>
      <w:divBdr>
        <w:top w:val="none" w:sz="0" w:space="0" w:color="auto"/>
        <w:left w:val="none" w:sz="0" w:space="0" w:color="auto"/>
        <w:bottom w:val="none" w:sz="0" w:space="0" w:color="auto"/>
        <w:right w:val="none" w:sz="0" w:space="0" w:color="auto"/>
      </w:divBdr>
    </w:div>
    <w:div w:id="889804122">
      <w:bodyDiv w:val="1"/>
      <w:marLeft w:val="0"/>
      <w:marRight w:val="0"/>
      <w:marTop w:val="0"/>
      <w:marBottom w:val="0"/>
      <w:divBdr>
        <w:top w:val="none" w:sz="0" w:space="0" w:color="auto"/>
        <w:left w:val="none" w:sz="0" w:space="0" w:color="auto"/>
        <w:bottom w:val="none" w:sz="0" w:space="0" w:color="auto"/>
        <w:right w:val="none" w:sz="0" w:space="0" w:color="auto"/>
      </w:divBdr>
    </w:div>
    <w:div w:id="890771790">
      <w:bodyDiv w:val="1"/>
      <w:marLeft w:val="0"/>
      <w:marRight w:val="0"/>
      <w:marTop w:val="0"/>
      <w:marBottom w:val="0"/>
      <w:divBdr>
        <w:top w:val="none" w:sz="0" w:space="0" w:color="auto"/>
        <w:left w:val="none" w:sz="0" w:space="0" w:color="auto"/>
        <w:bottom w:val="none" w:sz="0" w:space="0" w:color="auto"/>
        <w:right w:val="none" w:sz="0" w:space="0" w:color="auto"/>
      </w:divBdr>
    </w:div>
    <w:div w:id="891190122">
      <w:bodyDiv w:val="1"/>
      <w:marLeft w:val="0"/>
      <w:marRight w:val="0"/>
      <w:marTop w:val="0"/>
      <w:marBottom w:val="0"/>
      <w:divBdr>
        <w:top w:val="none" w:sz="0" w:space="0" w:color="auto"/>
        <w:left w:val="none" w:sz="0" w:space="0" w:color="auto"/>
        <w:bottom w:val="none" w:sz="0" w:space="0" w:color="auto"/>
        <w:right w:val="none" w:sz="0" w:space="0" w:color="auto"/>
      </w:divBdr>
    </w:div>
    <w:div w:id="891648589">
      <w:bodyDiv w:val="1"/>
      <w:marLeft w:val="0"/>
      <w:marRight w:val="0"/>
      <w:marTop w:val="0"/>
      <w:marBottom w:val="0"/>
      <w:divBdr>
        <w:top w:val="none" w:sz="0" w:space="0" w:color="auto"/>
        <w:left w:val="none" w:sz="0" w:space="0" w:color="auto"/>
        <w:bottom w:val="none" w:sz="0" w:space="0" w:color="auto"/>
        <w:right w:val="none" w:sz="0" w:space="0" w:color="auto"/>
      </w:divBdr>
    </w:div>
    <w:div w:id="892078512">
      <w:bodyDiv w:val="1"/>
      <w:marLeft w:val="0"/>
      <w:marRight w:val="0"/>
      <w:marTop w:val="0"/>
      <w:marBottom w:val="0"/>
      <w:divBdr>
        <w:top w:val="none" w:sz="0" w:space="0" w:color="auto"/>
        <w:left w:val="none" w:sz="0" w:space="0" w:color="auto"/>
        <w:bottom w:val="none" w:sz="0" w:space="0" w:color="auto"/>
        <w:right w:val="none" w:sz="0" w:space="0" w:color="auto"/>
      </w:divBdr>
    </w:div>
    <w:div w:id="893196467">
      <w:bodyDiv w:val="1"/>
      <w:marLeft w:val="0"/>
      <w:marRight w:val="0"/>
      <w:marTop w:val="0"/>
      <w:marBottom w:val="0"/>
      <w:divBdr>
        <w:top w:val="none" w:sz="0" w:space="0" w:color="auto"/>
        <w:left w:val="none" w:sz="0" w:space="0" w:color="auto"/>
        <w:bottom w:val="none" w:sz="0" w:space="0" w:color="auto"/>
        <w:right w:val="none" w:sz="0" w:space="0" w:color="auto"/>
      </w:divBdr>
    </w:div>
    <w:div w:id="894312055">
      <w:bodyDiv w:val="1"/>
      <w:marLeft w:val="0"/>
      <w:marRight w:val="0"/>
      <w:marTop w:val="0"/>
      <w:marBottom w:val="0"/>
      <w:divBdr>
        <w:top w:val="none" w:sz="0" w:space="0" w:color="auto"/>
        <w:left w:val="none" w:sz="0" w:space="0" w:color="auto"/>
        <w:bottom w:val="none" w:sz="0" w:space="0" w:color="auto"/>
        <w:right w:val="none" w:sz="0" w:space="0" w:color="auto"/>
      </w:divBdr>
    </w:div>
    <w:div w:id="894701874">
      <w:bodyDiv w:val="1"/>
      <w:marLeft w:val="0"/>
      <w:marRight w:val="0"/>
      <w:marTop w:val="0"/>
      <w:marBottom w:val="0"/>
      <w:divBdr>
        <w:top w:val="none" w:sz="0" w:space="0" w:color="auto"/>
        <w:left w:val="none" w:sz="0" w:space="0" w:color="auto"/>
        <w:bottom w:val="none" w:sz="0" w:space="0" w:color="auto"/>
        <w:right w:val="none" w:sz="0" w:space="0" w:color="auto"/>
      </w:divBdr>
    </w:div>
    <w:div w:id="894775700">
      <w:bodyDiv w:val="1"/>
      <w:marLeft w:val="0"/>
      <w:marRight w:val="0"/>
      <w:marTop w:val="0"/>
      <w:marBottom w:val="0"/>
      <w:divBdr>
        <w:top w:val="none" w:sz="0" w:space="0" w:color="auto"/>
        <w:left w:val="none" w:sz="0" w:space="0" w:color="auto"/>
        <w:bottom w:val="none" w:sz="0" w:space="0" w:color="auto"/>
        <w:right w:val="none" w:sz="0" w:space="0" w:color="auto"/>
      </w:divBdr>
    </w:div>
    <w:div w:id="895045791">
      <w:bodyDiv w:val="1"/>
      <w:marLeft w:val="0"/>
      <w:marRight w:val="0"/>
      <w:marTop w:val="0"/>
      <w:marBottom w:val="0"/>
      <w:divBdr>
        <w:top w:val="none" w:sz="0" w:space="0" w:color="auto"/>
        <w:left w:val="none" w:sz="0" w:space="0" w:color="auto"/>
        <w:bottom w:val="none" w:sz="0" w:space="0" w:color="auto"/>
        <w:right w:val="none" w:sz="0" w:space="0" w:color="auto"/>
      </w:divBdr>
    </w:div>
    <w:div w:id="895700638">
      <w:bodyDiv w:val="1"/>
      <w:marLeft w:val="0"/>
      <w:marRight w:val="0"/>
      <w:marTop w:val="0"/>
      <w:marBottom w:val="0"/>
      <w:divBdr>
        <w:top w:val="none" w:sz="0" w:space="0" w:color="auto"/>
        <w:left w:val="none" w:sz="0" w:space="0" w:color="auto"/>
        <w:bottom w:val="none" w:sz="0" w:space="0" w:color="auto"/>
        <w:right w:val="none" w:sz="0" w:space="0" w:color="auto"/>
      </w:divBdr>
    </w:div>
    <w:div w:id="896009717">
      <w:bodyDiv w:val="1"/>
      <w:marLeft w:val="0"/>
      <w:marRight w:val="0"/>
      <w:marTop w:val="0"/>
      <w:marBottom w:val="0"/>
      <w:divBdr>
        <w:top w:val="none" w:sz="0" w:space="0" w:color="auto"/>
        <w:left w:val="none" w:sz="0" w:space="0" w:color="auto"/>
        <w:bottom w:val="none" w:sz="0" w:space="0" w:color="auto"/>
        <w:right w:val="none" w:sz="0" w:space="0" w:color="auto"/>
      </w:divBdr>
    </w:div>
    <w:div w:id="897402532">
      <w:bodyDiv w:val="1"/>
      <w:marLeft w:val="0"/>
      <w:marRight w:val="0"/>
      <w:marTop w:val="0"/>
      <w:marBottom w:val="0"/>
      <w:divBdr>
        <w:top w:val="none" w:sz="0" w:space="0" w:color="auto"/>
        <w:left w:val="none" w:sz="0" w:space="0" w:color="auto"/>
        <w:bottom w:val="none" w:sz="0" w:space="0" w:color="auto"/>
        <w:right w:val="none" w:sz="0" w:space="0" w:color="auto"/>
      </w:divBdr>
    </w:div>
    <w:div w:id="898596469">
      <w:bodyDiv w:val="1"/>
      <w:marLeft w:val="0"/>
      <w:marRight w:val="0"/>
      <w:marTop w:val="0"/>
      <w:marBottom w:val="0"/>
      <w:divBdr>
        <w:top w:val="none" w:sz="0" w:space="0" w:color="auto"/>
        <w:left w:val="none" w:sz="0" w:space="0" w:color="auto"/>
        <w:bottom w:val="none" w:sz="0" w:space="0" w:color="auto"/>
        <w:right w:val="none" w:sz="0" w:space="0" w:color="auto"/>
      </w:divBdr>
    </w:div>
    <w:div w:id="899249202">
      <w:bodyDiv w:val="1"/>
      <w:marLeft w:val="0"/>
      <w:marRight w:val="0"/>
      <w:marTop w:val="0"/>
      <w:marBottom w:val="0"/>
      <w:divBdr>
        <w:top w:val="none" w:sz="0" w:space="0" w:color="auto"/>
        <w:left w:val="none" w:sz="0" w:space="0" w:color="auto"/>
        <w:bottom w:val="none" w:sz="0" w:space="0" w:color="auto"/>
        <w:right w:val="none" w:sz="0" w:space="0" w:color="auto"/>
      </w:divBdr>
    </w:div>
    <w:div w:id="899249545">
      <w:bodyDiv w:val="1"/>
      <w:marLeft w:val="0"/>
      <w:marRight w:val="0"/>
      <w:marTop w:val="0"/>
      <w:marBottom w:val="0"/>
      <w:divBdr>
        <w:top w:val="none" w:sz="0" w:space="0" w:color="auto"/>
        <w:left w:val="none" w:sz="0" w:space="0" w:color="auto"/>
        <w:bottom w:val="none" w:sz="0" w:space="0" w:color="auto"/>
        <w:right w:val="none" w:sz="0" w:space="0" w:color="auto"/>
      </w:divBdr>
    </w:div>
    <w:div w:id="899292165">
      <w:bodyDiv w:val="1"/>
      <w:marLeft w:val="0"/>
      <w:marRight w:val="0"/>
      <w:marTop w:val="0"/>
      <w:marBottom w:val="0"/>
      <w:divBdr>
        <w:top w:val="none" w:sz="0" w:space="0" w:color="auto"/>
        <w:left w:val="none" w:sz="0" w:space="0" w:color="auto"/>
        <w:bottom w:val="none" w:sz="0" w:space="0" w:color="auto"/>
        <w:right w:val="none" w:sz="0" w:space="0" w:color="auto"/>
      </w:divBdr>
    </w:div>
    <w:div w:id="900141647">
      <w:bodyDiv w:val="1"/>
      <w:marLeft w:val="0"/>
      <w:marRight w:val="0"/>
      <w:marTop w:val="0"/>
      <w:marBottom w:val="0"/>
      <w:divBdr>
        <w:top w:val="none" w:sz="0" w:space="0" w:color="auto"/>
        <w:left w:val="none" w:sz="0" w:space="0" w:color="auto"/>
        <w:bottom w:val="none" w:sz="0" w:space="0" w:color="auto"/>
        <w:right w:val="none" w:sz="0" w:space="0" w:color="auto"/>
      </w:divBdr>
    </w:div>
    <w:div w:id="900287942">
      <w:bodyDiv w:val="1"/>
      <w:marLeft w:val="0"/>
      <w:marRight w:val="0"/>
      <w:marTop w:val="0"/>
      <w:marBottom w:val="0"/>
      <w:divBdr>
        <w:top w:val="none" w:sz="0" w:space="0" w:color="auto"/>
        <w:left w:val="none" w:sz="0" w:space="0" w:color="auto"/>
        <w:bottom w:val="none" w:sz="0" w:space="0" w:color="auto"/>
        <w:right w:val="none" w:sz="0" w:space="0" w:color="auto"/>
      </w:divBdr>
    </w:div>
    <w:div w:id="900872391">
      <w:bodyDiv w:val="1"/>
      <w:marLeft w:val="0"/>
      <w:marRight w:val="0"/>
      <w:marTop w:val="0"/>
      <w:marBottom w:val="0"/>
      <w:divBdr>
        <w:top w:val="none" w:sz="0" w:space="0" w:color="auto"/>
        <w:left w:val="none" w:sz="0" w:space="0" w:color="auto"/>
        <w:bottom w:val="none" w:sz="0" w:space="0" w:color="auto"/>
        <w:right w:val="none" w:sz="0" w:space="0" w:color="auto"/>
      </w:divBdr>
    </w:div>
    <w:div w:id="900945553">
      <w:bodyDiv w:val="1"/>
      <w:marLeft w:val="0"/>
      <w:marRight w:val="0"/>
      <w:marTop w:val="0"/>
      <w:marBottom w:val="0"/>
      <w:divBdr>
        <w:top w:val="none" w:sz="0" w:space="0" w:color="auto"/>
        <w:left w:val="none" w:sz="0" w:space="0" w:color="auto"/>
        <w:bottom w:val="none" w:sz="0" w:space="0" w:color="auto"/>
        <w:right w:val="none" w:sz="0" w:space="0" w:color="auto"/>
      </w:divBdr>
    </w:div>
    <w:div w:id="901252422">
      <w:bodyDiv w:val="1"/>
      <w:marLeft w:val="0"/>
      <w:marRight w:val="0"/>
      <w:marTop w:val="0"/>
      <w:marBottom w:val="0"/>
      <w:divBdr>
        <w:top w:val="none" w:sz="0" w:space="0" w:color="auto"/>
        <w:left w:val="none" w:sz="0" w:space="0" w:color="auto"/>
        <w:bottom w:val="none" w:sz="0" w:space="0" w:color="auto"/>
        <w:right w:val="none" w:sz="0" w:space="0" w:color="auto"/>
      </w:divBdr>
    </w:div>
    <w:div w:id="903099437">
      <w:bodyDiv w:val="1"/>
      <w:marLeft w:val="0"/>
      <w:marRight w:val="0"/>
      <w:marTop w:val="0"/>
      <w:marBottom w:val="0"/>
      <w:divBdr>
        <w:top w:val="none" w:sz="0" w:space="0" w:color="auto"/>
        <w:left w:val="none" w:sz="0" w:space="0" w:color="auto"/>
        <w:bottom w:val="none" w:sz="0" w:space="0" w:color="auto"/>
        <w:right w:val="none" w:sz="0" w:space="0" w:color="auto"/>
      </w:divBdr>
    </w:div>
    <w:div w:id="903568235">
      <w:bodyDiv w:val="1"/>
      <w:marLeft w:val="0"/>
      <w:marRight w:val="0"/>
      <w:marTop w:val="0"/>
      <w:marBottom w:val="0"/>
      <w:divBdr>
        <w:top w:val="none" w:sz="0" w:space="0" w:color="auto"/>
        <w:left w:val="none" w:sz="0" w:space="0" w:color="auto"/>
        <w:bottom w:val="none" w:sz="0" w:space="0" w:color="auto"/>
        <w:right w:val="none" w:sz="0" w:space="0" w:color="auto"/>
      </w:divBdr>
    </w:div>
    <w:div w:id="903874437">
      <w:bodyDiv w:val="1"/>
      <w:marLeft w:val="0"/>
      <w:marRight w:val="0"/>
      <w:marTop w:val="0"/>
      <w:marBottom w:val="0"/>
      <w:divBdr>
        <w:top w:val="none" w:sz="0" w:space="0" w:color="auto"/>
        <w:left w:val="none" w:sz="0" w:space="0" w:color="auto"/>
        <w:bottom w:val="none" w:sz="0" w:space="0" w:color="auto"/>
        <w:right w:val="none" w:sz="0" w:space="0" w:color="auto"/>
      </w:divBdr>
    </w:div>
    <w:div w:id="904141815">
      <w:bodyDiv w:val="1"/>
      <w:marLeft w:val="0"/>
      <w:marRight w:val="0"/>
      <w:marTop w:val="0"/>
      <w:marBottom w:val="0"/>
      <w:divBdr>
        <w:top w:val="none" w:sz="0" w:space="0" w:color="auto"/>
        <w:left w:val="none" w:sz="0" w:space="0" w:color="auto"/>
        <w:bottom w:val="none" w:sz="0" w:space="0" w:color="auto"/>
        <w:right w:val="none" w:sz="0" w:space="0" w:color="auto"/>
      </w:divBdr>
    </w:div>
    <w:div w:id="904756736">
      <w:bodyDiv w:val="1"/>
      <w:marLeft w:val="0"/>
      <w:marRight w:val="0"/>
      <w:marTop w:val="0"/>
      <w:marBottom w:val="0"/>
      <w:divBdr>
        <w:top w:val="none" w:sz="0" w:space="0" w:color="auto"/>
        <w:left w:val="none" w:sz="0" w:space="0" w:color="auto"/>
        <w:bottom w:val="none" w:sz="0" w:space="0" w:color="auto"/>
        <w:right w:val="none" w:sz="0" w:space="0" w:color="auto"/>
      </w:divBdr>
    </w:div>
    <w:div w:id="904996770">
      <w:bodyDiv w:val="1"/>
      <w:marLeft w:val="0"/>
      <w:marRight w:val="0"/>
      <w:marTop w:val="0"/>
      <w:marBottom w:val="0"/>
      <w:divBdr>
        <w:top w:val="none" w:sz="0" w:space="0" w:color="auto"/>
        <w:left w:val="none" w:sz="0" w:space="0" w:color="auto"/>
        <w:bottom w:val="none" w:sz="0" w:space="0" w:color="auto"/>
        <w:right w:val="none" w:sz="0" w:space="0" w:color="auto"/>
      </w:divBdr>
    </w:div>
    <w:div w:id="905411832">
      <w:bodyDiv w:val="1"/>
      <w:marLeft w:val="0"/>
      <w:marRight w:val="0"/>
      <w:marTop w:val="0"/>
      <w:marBottom w:val="0"/>
      <w:divBdr>
        <w:top w:val="none" w:sz="0" w:space="0" w:color="auto"/>
        <w:left w:val="none" w:sz="0" w:space="0" w:color="auto"/>
        <w:bottom w:val="none" w:sz="0" w:space="0" w:color="auto"/>
        <w:right w:val="none" w:sz="0" w:space="0" w:color="auto"/>
      </w:divBdr>
    </w:div>
    <w:div w:id="905724897">
      <w:bodyDiv w:val="1"/>
      <w:marLeft w:val="0"/>
      <w:marRight w:val="0"/>
      <w:marTop w:val="0"/>
      <w:marBottom w:val="0"/>
      <w:divBdr>
        <w:top w:val="none" w:sz="0" w:space="0" w:color="auto"/>
        <w:left w:val="none" w:sz="0" w:space="0" w:color="auto"/>
        <w:bottom w:val="none" w:sz="0" w:space="0" w:color="auto"/>
        <w:right w:val="none" w:sz="0" w:space="0" w:color="auto"/>
      </w:divBdr>
    </w:div>
    <w:div w:id="906956210">
      <w:bodyDiv w:val="1"/>
      <w:marLeft w:val="0"/>
      <w:marRight w:val="0"/>
      <w:marTop w:val="0"/>
      <w:marBottom w:val="0"/>
      <w:divBdr>
        <w:top w:val="none" w:sz="0" w:space="0" w:color="auto"/>
        <w:left w:val="none" w:sz="0" w:space="0" w:color="auto"/>
        <w:bottom w:val="none" w:sz="0" w:space="0" w:color="auto"/>
        <w:right w:val="none" w:sz="0" w:space="0" w:color="auto"/>
      </w:divBdr>
    </w:div>
    <w:div w:id="907106497">
      <w:bodyDiv w:val="1"/>
      <w:marLeft w:val="0"/>
      <w:marRight w:val="0"/>
      <w:marTop w:val="0"/>
      <w:marBottom w:val="0"/>
      <w:divBdr>
        <w:top w:val="none" w:sz="0" w:space="0" w:color="auto"/>
        <w:left w:val="none" w:sz="0" w:space="0" w:color="auto"/>
        <w:bottom w:val="none" w:sz="0" w:space="0" w:color="auto"/>
        <w:right w:val="none" w:sz="0" w:space="0" w:color="auto"/>
      </w:divBdr>
    </w:div>
    <w:div w:id="907571193">
      <w:bodyDiv w:val="1"/>
      <w:marLeft w:val="0"/>
      <w:marRight w:val="0"/>
      <w:marTop w:val="0"/>
      <w:marBottom w:val="0"/>
      <w:divBdr>
        <w:top w:val="none" w:sz="0" w:space="0" w:color="auto"/>
        <w:left w:val="none" w:sz="0" w:space="0" w:color="auto"/>
        <w:bottom w:val="none" w:sz="0" w:space="0" w:color="auto"/>
        <w:right w:val="none" w:sz="0" w:space="0" w:color="auto"/>
      </w:divBdr>
    </w:div>
    <w:div w:id="908229099">
      <w:bodyDiv w:val="1"/>
      <w:marLeft w:val="0"/>
      <w:marRight w:val="0"/>
      <w:marTop w:val="0"/>
      <w:marBottom w:val="0"/>
      <w:divBdr>
        <w:top w:val="none" w:sz="0" w:space="0" w:color="auto"/>
        <w:left w:val="none" w:sz="0" w:space="0" w:color="auto"/>
        <w:bottom w:val="none" w:sz="0" w:space="0" w:color="auto"/>
        <w:right w:val="none" w:sz="0" w:space="0" w:color="auto"/>
      </w:divBdr>
    </w:div>
    <w:div w:id="909540608">
      <w:bodyDiv w:val="1"/>
      <w:marLeft w:val="0"/>
      <w:marRight w:val="0"/>
      <w:marTop w:val="0"/>
      <w:marBottom w:val="0"/>
      <w:divBdr>
        <w:top w:val="none" w:sz="0" w:space="0" w:color="auto"/>
        <w:left w:val="none" w:sz="0" w:space="0" w:color="auto"/>
        <w:bottom w:val="none" w:sz="0" w:space="0" w:color="auto"/>
        <w:right w:val="none" w:sz="0" w:space="0" w:color="auto"/>
      </w:divBdr>
    </w:div>
    <w:div w:id="909728908">
      <w:bodyDiv w:val="1"/>
      <w:marLeft w:val="0"/>
      <w:marRight w:val="0"/>
      <w:marTop w:val="0"/>
      <w:marBottom w:val="0"/>
      <w:divBdr>
        <w:top w:val="none" w:sz="0" w:space="0" w:color="auto"/>
        <w:left w:val="none" w:sz="0" w:space="0" w:color="auto"/>
        <w:bottom w:val="none" w:sz="0" w:space="0" w:color="auto"/>
        <w:right w:val="none" w:sz="0" w:space="0" w:color="auto"/>
      </w:divBdr>
    </w:div>
    <w:div w:id="909923792">
      <w:bodyDiv w:val="1"/>
      <w:marLeft w:val="0"/>
      <w:marRight w:val="0"/>
      <w:marTop w:val="0"/>
      <w:marBottom w:val="0"/>
      <w:divBdr>
        <w:top w:val="none" w:sz="0" w:space="0" w:color="auto"/>
        <w:left w:val="none" w:sz="0" w:space="0" w:color="auto"/>
        <w:bottom w:val="none" w:sz="0" w:space="0" w:color="auto"/>
        <w:right w:val="none" w:sz="0" w:space="0" w:color="auto"/>
      </w:divBdr>
    </w:div>
    <w:div w:id="910164460">
      <w:bodyDiv w:val="1"/>
      <w:marLeft w:val="0"/>
      <w:marRight w:val="0"/>
      <w:marTop w:val="0"/>
      <w:marBottom w:val="0"/>
      <w:divBdr>
        <w:top w:val="none" w:sz="0" w:space="0" w:color="auto"/>
        <w:left w:val="none" w:sz="0" w:space="0" w:color="auto"/>
        <w:bottom w:val="none" w:sz="0" w:space="0" w:color="auto"/>
        <w:right w:val="none" w:sz="0" w:space="0" w:color="auto"/>
      </w:divBdr>
    </w:div>
    <w:div w:id="911501874">
      <w:bodyDiv w:val="1"/>
      <w:marLeft w:val="0"/>
      <w:marRight w:val="0"/>
      <w:marTop w:val="0"/>
      <w:marBottom w:val="0"/>
      <w:divBdr>
        <w:top w:val="none" w:sz="0" w:space="0" w:color="auto"/>
        <w:left w:val="none" w:sz="0" w:space="0" w:color="auto"/>
        <w:bottom w:val="none" w:sz="0" w:space="0" w:color="auto"/>
        <w:right w:val="none" w:sz="0" w:space="0" w:color="auto"/>
      </w:divBdr>
    </w:div>
    <w:div w:id="912931788">
      <w:bodyDiv w:val="1"/>
      <w:marLeft w:val="0"/>
      <w:marRight w:val="0"/>
      <w:marTop w:val="0"/>
      <w:marBottom w:val="0"/>
      <w:divBdr>
        <w:top w:val="none" w:sz="0" w:space="0" w:color="auto"/>
        <w:left w:val="none" w:sz="0" w:space="0" w:color="auto"/>
        <w:bottom w:val="none" w:sz="0" w:space="0" w:color="auto"/>
        <w:right w:val="none" w:sz="0" w:space="0" w:color="auto"/>
      </w:divBdr>
    </w:div>
    <w:div w:id="913052914">
      <w:bodyDiv w:val="1"/>
      <w:marLeft w:val="0"/>
      <w:marRight w:val="0"/>
      <w:marTop w:val="0"/>
      <w:marBottom w:val="0"/>
      <w:divBdr>
        <w:top w:val="none" w:sz="0" w:space="0" w:color="auto"/>
        <w:left w:val="none" w:sz="0" w:space="0" w:color="auto"/>
        <w:bottom w:val="none" w:sz="0" w:space="0" w:color="auto"/>
        <w:right w:val="none" w:sz="0" w:space="0" w:color="auto"/>
      </w:divBdr>
    </w:div>
    <w:div w:id="913397596">
      <w:bodyDiv w:val="1"/>
      <w:marLeft w:val="0"/>
      <w:marRight w:val="0"/>
      <w:marTop w:val="0"/>
      <w:marBottom w:val="0"/>
      <w:divBdr>
        <w:top w:val="none" w:sz="0" w:space="0" w:color="auto"/>
        <w:left w:val="none" w:sz="0" w:space="0" w:color="auto"/>
        <w:bottom w:val="none" w:sz="0" w:space="0" w:color="auto"/>
        <w:right w:val="none" w:sz="0" w:space="0" w:color="auto"/>
      </w:divBdr>
    </w:div>
    <w:div w:id="913467053">
      <w:bodyDiv w:val="1"/>
      <w:marLeft w:val="0"/>
      <w:marRight w:val="0"/>
      <w:marTop w:val="0"/>
      <w:marBottom w:val="0"/>
      <w:divBdr>
        <w:top w:val="none" w:sz="0" w:space="0" w:color="auto"/>
        <w:left w:val="none" w:sz="0" w:space="0" w:color="auto"/>
        <w:bottom w:val="none" w:sz="0" w:space="0" w:color="auto"/>
        <w:right w:val="none" w:sz="0" w:space="0" w:color="auto"/>
      </w:divBdr>
    </w:div>
    <w:div w:id="914240143">
      <w:bodyDiv w:val="1"/>
      <w:marLeft w:val="0"/>
      <w:marRight w:val="0"/>
      <w:marTop w:val="0"/>
      <w:marBottom w:val="0"/>
      <w:divBdr>
        <w:top w:val="none" w:sz="0" w:space="0" w:color="auto"/>
        <w:left w:val="none" w:sz="0" w:space="0" w:color="auto"/>
        <w:bottom w:val="none" w:sz="0" w:space="0" w:color="auto"/>
        <w:right w:val="none" w:sz="0" w:space="0" w:color="auto"/>
      </w:divBdr>
    </w:div>
    <w:div w:id="914822869">
      <w:bodyDiv w:val="1"/>
      <w:marLeft w:val="0"/>
      <w:marRight w:val="0"/>
      <w:marTop w:val="0"/>
      <w:marBottom w:val="0"/>
      <w:divBdr>
        <w:top w:val="none" w:sz="0" w:space="0" w:color="auto"/>
        <w:left w:val="none" w:sz="0" w:space="0" w:color="auto"/>
        <w:bottom w:val="none" w:sz="0" w:space="0" w:color="auto"/>
        <w:right w:val="none" w:sz="0" w:space="0" w:color="auto"/>
      </w:divBdr>
    </w:div>
    <w:div w:id="914826266">
      <w:bodyDiv w:val="1"/>
      <w:marLeft w:val="0"/>
      <w:marRight w:val="0"/>
      <w:marTop w:val="0"/>
      <w:marBottom w:val="0"/>
      <w:divBdr>
        <w:top w:val="none" w:sz="0" w:space="0" w:color="auto"/>
        <w:left w:val="none" w:sz="0" w:space="0" w:color="auto"/>
        <w:bottom w:val="none" w:sz="0" w:space="0" w:color="auto"/>
        <w:right w:val="none" w:sz="0" w:space="0" w:color="auto"/>
      </w:divBdr>
    </w:div>
    <w:div w:id="915242462">
      <w:bodyDiv w:val="1"/>
      <w:marLeft w:val="0"/>
      <w:marRight w:val="0"/>
      <w:marTop w:val="0"/>
      <w:marBottom w:val="0"/>
      <w:divBdr>
        <w:top w:val="none" w:sz="0" w:space="0" w:color="auto"/>
        <w:left w:val="none" w:sz="0" w:space="0" w:color="auto"/>
        <w:bottom w:val="none" w:sz="0" w:space="0" w:color="auto"/>
        <w:right w:val="none" w:sz="0" w:space="0" w:color="auto"/>
      </w:divBdr>
    </w:div>
    <w:div w:id="915438034">
      <w:bodyDiv w:val="1"/>
      <w:marLeft w:val="0"/>
      <w:marRight w:val="0"/>
      <w:marTop w:val="0"/>
      <w:marBottom w:val="0"/>
      <w:divBdr>
        <w:top w:val="none" w:sz="0" w:space="0" w:color="auto"/>
        <w:left w:val="none" w:sz="0" w:space="0" w:color="auto"/>
        <w:bottom w:val="none" w:sz="0" w:space="0" w:color="auto"/>
        <w:right w:val="none" w:sz="0" w:space="0" w:color="auto"/>
      </w:divBdr>
    </w:div>
    <w:div w:id="916208195">
      <w:bodyDiv w:val="1"/>
      <w:marLeft w:val="0"/>
      <w:marRight w:val="0"/>
      <w:marTop w:val="0"/>
      <w:marBottom w:val="0"/>
      <w:divBdr>
        <w:top w:val="none" w:sz="0" w:space="0" w:color="auto"/>
        <w:left w:val="none" w:sz="0" w:space="0" w:color="auto"/>
        <w:bottom w:val="none" w:sz="0" w:space="0" w:color="auto"/>
        <w:right w:val="none" w:sz="0" w:space="0" w:color="auto"/>
      </w:divBdr>
    </w:div>
    <w:div w:id="916279872">
      <w:bodyDiv w:val="1"/>
      <w:marLeft w:val="0"/>
      <w:marRight w:val="0"/>
      <w:marTop w:val="0"/>
      <w:marBottom w:val="0"/>
      <w:divBdr>
        <w:top w:val="none" w:sz="0" w:space="0" w:color="auto"/>
        <w:left w:val="none" w:sz="0" w:space="0" w:color="auto"/>
        <w:bottom w:val="none" w:sz="0" w:space="0" w:color="auto"/>
        <w:right w:val="none" w:sz="0" w:space="0" w:color="auto"/>
      </w:divBdr>
    </w:div>
    <w:div w:id="916398998">
      <w:bodyDiv w:val="1"/>
      <w:marLeft w:val="0"/>
      <w:marRight w:val="0"/>
      <w:marTop w:val="0"/>
      <w:marBottom w:val="0"/>
      <w:divBdr>
        <w:top w:val="none" w:sz="0" w:space="0" w:color="auto"/>
        <w:left w:val="none" w:sz="0" w:space="0" w:color="auto"/>
        <w:bottom w:val="none" w:sz="0" w:space="0" w:color="auto"/>
        <w:right w:val="none" w:sz="0" w:space="0" w:color="auto"/>
      </w:divBdr>
    </w:div>
    <w:div w:id="916400999">
      <w:bodyDiv w:val="1"/>
      <w:marLeft w:val="0"/>
      <w:marRight w:val="0"/>
      <w:marTop w:val="0"/>
      <w:marBottom w:val="0"/>
      <w:divBdr>
        <w:top w:val="none" w:sz="0" w:space="0" w:color="auto"/>
        <w:left w:val="none" w:sz="0" w:space="0" w:color="auto"/>
        <w:bottom w:val="none" w:sz="0" w:space="0" w:color="auto"/>
        <w:right w:val="none" w:sz="0" w:space="0" w:color="auto"/>
      </w:divBdr>
    </w:div>
    <w:div w:id="917056559">
      <w:bodyDiv w:val="1"/>
      <w:marLeft w:val="0"/>
      <w:marRight w:val="0"/>
      <w:marTop w:val="0"/>
      <w:marBottom w:val="0"/>
      <w:divBdr>
        <w:top w:val="none" w:sz="0" w:space="0" w:color="auto"/>
        <w:left w:val="none" w:sz="0" w:space="0" w:color="auto"/>
        <w:bottom w:val="none" w:sz="0" w:space="0" w:color="auto"/>
        <w:right w:val="none" w:sz="0" w:space="0" w:color="auto"/>
      </w:divBdr>
    </w:div>
    <w:div w:id="917326747">
      <w:bodyDiv w:val="1"/>
      <w:marLeft w:val="0"/>
      <w:marRight w:val="0"/>
      <w:marTop w:val="0"/>
      <w:marBottom w:val="0"/>
      <w:divBdr>
        <w:top w:val="none" w:sz="0" w:space="0" w:color="auto"/>
        <w:left w:val="none" w:sz="0" w:space="0" w:color="auto"/>
        <w:bottom w:val="none" w:sz="0" w:space="0" w:color="auto"/>
        <w:right w:val="none" w:sz="0" w:space="0" w:color="auto"/>
      </w:divBdr>
    </w:div>
    <w:div w:id="917982971">
      <w:bodyDiv w:val="1"/>
      <w:marLeft w:val="0"/>
      <w:marRight w:val="0"/>
      <w:marTop w:val="0"/>
      <w:marBottom w:val="0"/>
      <w:divBdr>
        <w:top w:val="none" w:sz="0" w:space="0" w:color="auto"/>
        <w:left w:val="none" w:sz="0" w:space="0" w:color="auto"/>
        <w:bottom w:val="none" w:sz="0" w:space="0" w:color="auto"/>
        <w:right w:val="none" w:sz="0" w:space="0" w:color="auto"/>
      </w:divBdr>
    </w:div>
    <w:div w:id="919874990">
      <w:bodyDiv w:val="1"/>
      <w:marLeft w:val="0"/>
      <w:marRight w:val="0"/>
      <w:marTop w:val="0"/>
      <w:marBottom w:val="0"/>
      <w:divBdr>
        <w:top w:val="none" w:sz="0" w:space="0" w:color="auto"/>
        <w:left w:val="none" w:sz="0" w:space="0" w:color="auto"/>
        <w:bottom w:val="none" w:sz="0" w:space="0" w:color="auto"/>
        <w:right w:val="none" w:sz="0" w:space="0" w:color="auto"/>
      </w:divBdr>
    </w:div>
    <w:div w:id="920023661">
      <w:bodyDiv w:val="1"/>
      <w:marLeft w:val="0"/>
      <w:marRight w:val="0"/>
      <w:marTop w:val="0"/>
      <w:marBottom w:val="0"/>
      <w:divBdr>
        <w:top w:val="none" w:sz="0" w:space="0" w:color="auto"/>
        <w:left w:val="none" w:sz="0" w:space="0" w:color="auto"/>
        <w:bottom w:val="none" w:sz="0" w:space="0" w:color="auto"/>
        <w:right w:val="none" w:sz="0" w:space="0" w:color="auto"/>
      </w:divBdr>
    </w:div>
    <w:div w:id="921523145">
      <w:bodyDiv w:val="1"/>
      <w:marLeft w:val="0"/>
      <w:marRight w:val="0"/>
      <w:marTop w:val="0"/>
      <w:marBottom w:val="0"/>
      <w:divBdr>
        <w:top w:val="none" w:sz="0" w:space="0" w:color="auto"/>
        <w:left w:val="none" w:sz="0" w:space="0" w:color="auto"/>
        <w:bottom w:val="none" w:sz="0" w:space="0" w:color="auto"/>
        <w:right w:val="none" w:sz="0" w:space="0" w:color="auto"/>
      </w:divBdr>
    </w:div>
    <w:div w:id="921989125">
      <w:bodyDiv w:val="1"/>
      <w:marLeft w:val="0"/>
      <w:marRight w:val="0"/>
      <w:marTop w:val="0"/>
      <w:marBottom w:val="0"/>
      <w:divBdr>
        <w:top w:val="none" w:sz="0" w:space="0" w:color="auto"/>
        <w:left w:val="none" w:sz="0" w:space="0" w:color="auto"/>
        <w:bottom w:val="none" w:sz="0" w:space="0" w:color="auto"/>
        <w:right w:val="none" w:sz="0" w:space="0" w:color="auto"/>
      </w:divBdr>
    </w:div>
    <w:div w:id="922571754">
      <w:bodyDiv w:val="1"/>
      <w:marLeft w:val="0"/>
      <w:marRight w:val="0"/>
      <w:marTop w:val="0"/>
      <w:marBottom w:val="0"/>
      <w:divBdr>
        <w:top w:val="none" w:sz="0" w:space="0" w:color="auto"/>
        <w:left w:val="none" w:sz="0" w:space="0" w:color="auto"/>
        <w:bottom w:val="none" w:sz="0" w:space="0" w:color="auto"/>
        <w:right w:val="none" w:sz="0" w:space="0" w:color="auto"/>
      </w:divBdr>
    </w:div>
    <w:div w:id="922689567">
      <w:bodyDiv w:val="1"/>
      <w:marLeft w:val="0"/>
      <w:marRight w:val="0"/>
      <w:marTop w:val="0"/>
      <w:marBottom w:val="0"/>
      <w:divBdr>
        <w:top w:val="none" w:sz="0" w:space="0" w:color="auto"/>
        <w:left w:val="none" w:sz="0" w:space="0" w:color="auto"/>
        <w:bottom w:val="none" w:sz="0" w:space="0" w:color="auto"/>
        <w:right w:val="none" w:sz="0" w:space="0" w:color="auto"/>
      </w:divBdr>
    </w:div>
    <w:div w:id="922908236">
      <w:bodyDiv w:val="1"/>
      <w:marLeft w:val="0"/>
      <w:marRight w:val="0"/>
      <w:marTop w:val="0"/>
      <w:marBottom w:val="0"/>
      <w:divBdr>
        <w:top w:val="none" w:sz="0" w:space="0" w:color="auto"/>
        <w:left w:val="none" w:sz="0" w:space="0" w:color="auto"/>
        <w:bottom w:val="none" w:sz="0" w:space="0" w:color="auto"/>
        <w:right w:val="none" w:sz="0" w:space="0" w:color="auto"/>
      </w:divBdr>
    </w:div>
    <w:div w:id="923412678">
      <w:bodyDiv w:val="1"/>
      <w:marLeft w:val="0"/>
      <w:marRight w:val="0"/>
      <w:marTop w:val="0"/>
      <w:marBottom w:val="0"/>
      <w:divBdr>
        <w:top w:val="none" w:sz="0" w:space="0" w:color="auto"/>
        <w:left w:val="none" w:sz="0" w:space="0" w:color="auto"/>
        <w:bottom w:val="none" w:sz="0" w:space="0" w:color="auto"/>
        <w:right w:val="none" w:sz="0" w:space="0" w:color="auto"/>
      </w:divBdr>
    </w:div>
    <w:div w:id="924146426">
      <w:bodyDiv w:val="1"/>
      <w:marLeft w:val="0"/>
      <w:marRight w:val="0"/>
      <w:marTop w:val="0"/>
      <w:marBottom w:val="0"/>
      <w:divBdr>
        <w:top w:val="none" w:sz="0" w:space="0" w:color="auto"/>
        <w:left w:val="none" w:sz="0" w:space="0" w:color="auto"/>
        <w:bottom w:val="none" w:sz="0" w:space="0" w:color="auto"/>
        <w:right w:val="none" w:sz="0" w:space="0" w:color="auto"/>
      </w:divBdr>
    </w:div>
    <w:div w:id="925190723">
      <w:bodyDiv w:val="1"/>
      <w:marLeft w:val="0"/>
      <w:marRight w:val="0"/>
      <w:marTop w:val="0"/>
      <w:marBottom w:val="0"/>
      <w:divBdr>
        <w:top w:val="none" w:sz="0" w:space="0" w:color="auto"/>
        <w:left w:val="none" w:sz="0" w:space="0" w:color="auto"/>
        <w:bottom w:val="none" w:sz="0" w:space="0" w:color="auto"/>
        <w:right w:val="none" w:sz="0" w:space="0" w:color="auto"/>
      </w:divBdr>
    </w:div>
    <w:div w:id="925770567">
      <w:bodyDiv w:val="1"/>
      <w:marLeft w:val="0"/>
      <w:marRight w:val="0"/>
      <w:marTop w:val="0"/>
      <w:marBottom w:val="0"/>
      <w:divBdr>
        <w:top w:val="none" w:sz="0" w:space="0" w:color="auto"/>
        <w:left w:val="none" w:sz="0" w:space="0" w:color="auto"/>
        <w:bottom w:val="none" w:sz="0" w:space="0" w:color="auto"/>
        <w:right w:val="none" w:sz="0" w:space="0" w:color="auto"/>
      </w:divBdr>
    </w:div>
    <w:div w:id="926614852">
      <w:bodyDiv w:val="1"/>
      <w:marLeft w:val="0"/>
      <w:marRight w:val="0"/>
      <w:marTop w:val="0"/>
      <w:marBottom w:val="0"/>
      <w:divBdr>
        <w:top w:val="none" w:sz="0" w:space="0" w:color="auto"/>
        <w:left w:val="none" w:sz="0" w:space="0" w:color="auto"/>
        <w:bottom w:val="none" w:sz="0" w:space="0" w:color="auto"/>
        <w:right w:val="none" w:sz="0" w:space="0" w:color="auto"/>
      </w:divBdr>
    </w:div>
    <w:div w:id="927730418">
      <w:bodyDiv w:val="1"/>
      <w:marLeft w:val="0"/>
      <w:marRight w:val="0"/>
      <w:marTop w:val="0"/>
      <w:marBottom w:val="0"/>
      <w:divBdr>
        <w:top w:val="none" w:sz="0" w:space="0" w:color="auto"/>
        <w:left w:val="none" w:sz="0" w:space="0" w:color="auto"/>
        <w:bottom w:val="none" w:sz="0" w:space="0" w:color="auto"/>
        <w:right w:val="none" w:sz="0" w:space="0" w:color="auto"/>
      </w:divBdr>
    </w:div>
    <w:div w:id="927931737">
      <w:bodyDiv w:val="1"/>
      <w:marLeft w:val="0"/>
      <w:marRight w:val="0"/>
      <w:marTop w:val="0"/>
      <w:marBottom w:val="0"/>
      <w:divBdr>
        <w:top w:val="none" w:sz="0" w:space="0" w:color="auto"/>
        <w:left w:val="none" w:sz="0" w:space="0" w:color="auto"/>
        <w:bottom w:val="none" w:sz="0" w:space="0" w:color="auto"/>
        <w:right w:val="none" w:sz="0" w:space="0" w:color="auto"/>
      </w:divBdr>
    </w:div>
    <w:div w:id="930159131">
      <w:bodyDiv w:val="1"/>
      <w:marLeft w:val="0"/>
      <w:marRight w:val="0"/>
      <w:marTop w:val="0"/>
      <w:marBottom w:val="0"/>
      <w:divBdr>
        <w:top w:val="none" w:sz="0" w:space="0" w:color="auto"/>
        <w:left w:val="none" w:sz="0" w:space="0" w:color="auto"/>
        <w:bottom w:val="none" w:sz="0" w:space="0" w:color="auto"/>
        <w:right w:val="none" w:sz="0" w:space="0" w:color="auto"/>
      </w:divBdr>
    </w:div>
    <w:div w:id="930352147">
      <w:bodyDiv w:val="1"/>
      <w:marLeft w:val="0"/>
      <w:marRight w:val="0"/>
      <w:marTop w:val="0"/>
      <w:marBottom w:val="0"/>
      <w:divBdr>
        <w:top w:val="none" w:sz="0" w:space="0" w:color="auto"/>
        <w:left w:val="none" w:sz="0" w:space="0" w:color="auto"/>
        <w:bottom w:val="none" w:sz="0" w:space="0" w:color="auto"/>
        <w:right w:val="none" w:sz="0" w:space="0" w:color="auto"/>
      </w:divBdr>
    </w:div>
    <w:div w:id="930506801">
      <w:bodyDiv w:val="1"/>
      <w:marLeft w:val="0"/>
      <w:marRight w:val="0"/>
      <w:marTop w:val="0"/>
      <w:marBottom w:val="0"/>
      <w:divBdr>
        <w:top w:val="none" w:sz="0" w:space="0" w:color="auto"/>
        <w:left w:val="none" w:sz="0" w:space="0" w:color="auto"/>
        <w:bottom w:val="none" w:sz="0" w:space="0" w:color="auto"/>
        <w:right w:val="none" w:sz="0" w:space="0" w:color="auto"/>
      </w:divBdr>
    </w:div>
    <w:div w:id="930700900">
      <w:bodyDiv w:val="1"/>
      <w:marLeft w:val="0"/>
      <w:marRight w:val="0"/>
      <w:marTop w:val="0"/>
      <w:marBottom w:val="0"/>
      <w:divBdr>
        <w:top w:val="none" w:sz="0" w:space="0" w:color="auto"/>
        <w:left w:val="none" w:sz="0" w:space="0" w:color="auto"/>
        <w:bottom w:val="none" w:sz="0" w:space="0" w:color="auto"/>
        <w:right w:val="none" w:sz="0" w:space="0" w:color="auto"/>
      </w:divBdr>
    </w:div>
    <w:div w:id="931087042">
      <w:bodyDiv w:val="1"/>
      <w:marLeft w:val="0"/>
      <w:marRight w:val="0"/>
      <w:marTop w:val="0"/>
      <w:marBottom w:val="0"/>
      <w:divBdr>
        <w:top w:val="none" w:sz="0" w:space="0" w:color="auto"/>
        <w:left w:val="none" w:sz="0" w:space="0" w:color="auto"/>
        <w:bottom w:val="none" w:sz="0" w:space="0" w:color="auto"/>
        <w:right w:val="none" w:sz="0" w:space="0" w:color="auto"/>
      </w:divBdr>
    </w:div>
    <w:div w:id="932516703">
      <w:bodyDiv w:val="1"/>
      <w:marLeft w:val="0"/>
      <w:marRight w:val="0"/>
      <w:marTop w:val="0"/>
      <w:marBottom w:val="0"/>
      <w:divBdr>
        <w:top w:val="none" w:sz="0" w:space="0" w:color="auto"/>
        <w:left w:val="none" w:sz="0" w:space="0" w:color="auto"/>
        <w:bottom w:val="none" w:sz="0" w:space="0" w:color="auto"/>
        <w:right w:val="none" w:sz="0" w:space="0" w:color="auto"/>
      </w:divBdr>
    </w:div>
    <w:div w:id="932738391">
      <w:bodyDiv w:val="1"/>
      <w:marLeft w:val="0"/>
      <w:marRight w:val="0"/>
      <w:marTop w:val="0"/>
      <w:marBottom w:val="0"/>
      <w:divBdr>
        <w:top w:val="none" w:sz="0" w:space="0" w:color="auto"/>
        <w:left w:val="none" w:sz="0" w:space="0" w:color="auto"/>
        <w:bottom w:val="none" w:sz="0" w:space="0" w:color="auto"/>
        <w:right w:val="none" w:sz="0" w:space="0" w:color="auto"/>
      </w:divBdr>
    </w:div>
    <w:div w:id="933173845">
      <w:bodyDiv w:val="1"/>
      <w:marLeft w:val="0"/>
      <w:marRight w:val="0"/>
      <w:marTop w:val="0"/>
      <w:marBottom w:val="0"/>
      <w:divBdr>
        <w:top w:val="none" w:sz="0" w:space="0" w:color="auto"/>
        <w:left w:val="none" w:sz="0" w:space="0" w:color="auto"/>
        <w:bottom w:val="none" w:sz="0" w:space="0" w:color="auto"/>
        <w:right w:val="none" w:sz="0" w:space="0" w:color="auto"/>
      </w:divBdr>
    </w:div>
    <w:div w:id="933247421">
      <w:bodyDiv w:val="1"/>
      <w:marLeft w:val="0"/>
      <w:marRight w:val="0"/>
      <w:marTop w:val="0"/>
      <w:marBottom w:val="0"/>
      <w:divBdr>
        <w:top w:val="none" w:sz="0" w:space="0" w:color="auto"/>
        <w:left w:val="none" w:sz="0" w:space="0" w:color="auto"/>
        <w:bottom w:val="none" w:sz="0" w:space="0" w:color="auto"/>
        <w:right w:val="none" w:sz="0" w:space="0" w:color="auto"/>
      </w:divBdr>
    </w:div>
    <w:div w:id="933704934">
      <w:bodyDiv w:val="1"/>
      <w:marLeft w:val="0"/>
      <w:marRight w:val="0"/>
      <w:marTop w:val="0"/>
      <w:marBottom w:val="0"/>
      <w:divBdr>
        <w:top w:val="none" w:sz="0" w:space="0" w:color="auto"/>
        <w:left w:val="none" w:sz="0" w:space="0" w:color="auto"/>
        <w:bottom w:val="none" w:sz="0" w:space="0" w:color="auto"/>
        <w:right w:val="none" w:sz="0" w:space="0" w:color="auto"/>
      </w:divBdr>
    </w:div>
    <w:div w:id="933975454">
      <w:bodyDiv w:val="1"/>
      <w:marLeft w:val="0"/>
      <w:marRight w:val="0"/>
      <w:marTop w:val="0"/>
      <w:marBottom w:val="0"/>
      <w:divBdr>
        <w:top w:val="none" w:sz="0" w:space="0" w:color="auto"/>
        <w:left w:val="none" w:sz="0" w:space="0" w:color="auto"/>
        <w:bottom w:val="none" w:sz="0" w:space="0" w:color="auto"/>
        <w:right w:val="none" w:sz="0" w:space="0" w:color="auto"/>
      </w:divBdr>
    </w:div>
    <w:div w:id="934674544">
      <w:bodyDiv w:val="1"/>
      <w:marLeft w:val="0"/>
      <w:marRight w:val="0"/>
      <w:marTop w:val="0"/>
      <w:marBottom w:val="0"/>
      <w:divBdr>
        <w:top w:val="none" w:sz="0" w:space="0" w:color="auto"/>
        <w:left w:val="none" w:sz="0" w:space="0" w:color="auto"/>
        <w:bottom w:val="none" w:sz="0" w:space="0" w:color="auto"/>
        <w:right w:val="none" w:sz="0" w:space="0" w:color="auto"/>
      </w:divBdr>
    </w:div>
    <w:div w:id="934821468">
      <w:bodyDiv w:val="1"/>
      <w:marLeft w:val="0"/>
      <w:marRight w:val="0"/>
      <w:marTop w:val="0"/>
      <w:marBottom w:val="0"/>
      <w:divBdr>
        <w:top w:val="none" w:sz="0" w:space="0" w:color="auto"/>
        <w:left w:val="none" w:sz="0" w:space="0" w:color="auto"/>
        <w:bottom w:val="none" w:sz="0" w:space="0" w:color="auto"/>
        <w:right w:val="none" w:sz="0" w:space="0" w:color="auto"/>
      </w:divBdr>
    </w:div>
    <w:div w:id="935360712">
      <w:bodyDiv w:val="1"/>
      <w:marLeft w:val="0"/>
      <w:marRight w:val="0"/>
      <w:marTop w:val="0"/>
      <w:marBottom w:val="0"/>
      <w:divBdr>
        <w:top w:val="none" w:sz="0" w:space="0" w:color="auto"/>
        <w:left w:val="none" w:sz="0" w:space="0" w:color="auto"/>
        <w:bottom w:val="none" w:sz="0" w:space="0" w:color="auto"/>
        <w:right w:val="none" w:sz="0" w:space="0" w:color="auto"/>
      </w:divBdr>
    </w:div>
    <w:div w:id="935557410">
      <w:bodyDiv w:val="1"/>
      <w:marLeft w:val="0"/>
      <w:marRight w:val="0"/>
      <w:marTop w:val="0"/>
      <w:marBottom w:val="0"/>
      <w:divBdr>
        <w:top w:val="none" w:sz="0" w:space="0" w:color="auto"/>
        <w:left w:val="none" w:sz="0" w:space="0" w:color="auto"/>
        <w:bottom w:val="none" w:sz="0" w:space="0" w:color="auto"/>
        <w:right w:val="none" w:sz="0" w:space="0" w:color="auto"/>
      </w:divBdr>
    </w:div>
    <w:div w:id="936399737">
      <w:bodyDiv w:val="1"/>
      <w:marLeft w:val="0"/>
      <w:marRight w:val="0"/>
      <w:marTop w:val="0"/>
      <w:marBottom w:val="0"/>
      <w:divBdr>
        <w:top w:val="none" w:sz="0" w:space="0" w:color="auto"/>
        <w:left w:val="none" w:sz="0" w:space="0" w:color="auto"/>
        <w:bottom w:val="none" w:sz="0" w:space="0" w:color="auto"/>
        <w:right w:val="none" w:sz="0" w:space="0" w:color="auto"/>
      </w:divBdr>
    </w:div>
    <w:div w:id="936600909">
      <w:bodyDiv w:val="1"/>
      <w:marLeft w:val="0"/>
      <w:marRight w:val="0"/>
      <w:marTop w:val="0"/>
      <w:marBottom w:val="0"/>
      <w:divBdr>
        <w:top w:val="none" w:sz="0" w:space="0" w:color="auto"/>
        <w:left w:val="none" w:sz="0" w:space="0" w:color="auto"/>
        <w:bottom w:val="none" w:sz="0" w:space="0" w:color="auto"/>
        <w:right w:val="none" w:sz="0" w:space="0" w:color="auto"/>
      </w:divBdr>
    </w:div>
    <w:div w:id="937518041">
      <w:bodyDiv w:val="1"/>
      <w:marLeft w:val="0"/>
      <w:marRight w:val="0"/>
      <w:marTop w:val="0"/>
      <w:marBottom w:val="0"/>
      <w:divBdr>
        <w:top w:val="none" w:sz="0" w:space="0" w:color="auto"/>
        <w:left w:val="none" w:sz="0" w:space="0" w:color="auto"/>
        <w:bottom w:val="none" w:sz="0" w:space="0" w:color="auto"/>
        <w:right w:val="none" w:sz="0" w:space="0" w:color="auto"/>
      </w:divBdr>
    </w:div>
    <w:div w:id="937568384">
      <w:bodyDiv w:val="1"/>
      <w:marLeft w:val="0"/>
      <w:marRight w:val="0"/>
      <w:marTop w:val="0"/>
      <w:marBottom w:val="0"/>
      <w:divBdr>
        <w:top w:val="none" w:sz="0" w:space="0" w:color="auto"/>
        <w:left w:val="none" w:sz="0" w:space="0" w:color="auto"/>
        <w:bottom w:val="none" w:sz="0" w:space="0" w:color="auto"/>
        <w:right w:val="none" w:sz="0" w:space="0" w:color="auto"/>
      </w:divBdr>
    </w:div>
    <w:div w:id="939872925">
      <w:bodyDiv w:val="1"/>
      <w:marLeft w:val="0"/>
      <w:marRight w:val="0"/>
      <w:marTop w:val="0"/>
      <w:marBottom w:val="0"/>
      <w:divBdr>
        <w:top w:val="none" w:sz="0" w:space="0" w:color="auto"/>
        <w:left w:val="none" w:sz="0" w:space="0" w:color="auto"/>
        <w:bottom w:val="none" w:sz="0" w:space="0" w:color="auto"/>
        <w:right w:val="none" w:sz="0" w:space="0" w:color="auto"/>
      </w:divBdr>
    </w:div>
    <w:div w:id="943878343">
      <w:bodyDiv w:val="1"/>
      <w:marLeft w:val="0"/>
      <w:marRight w:val="0"/>
      <w:marTop w:val="0"/>
      <w:marBottom w:val="0"/>
      <w:divBdr>
        <w:top w:val="none" w:sz="0" w:space="0" w:color="auto"/>
        <w:left w:val="none" w:sz="0" w:space="0" w:color="auto"/>
        <w:bottom w:val="none" w:sz="0" w:space="0" w:color="auto"/>
        <w:right w:val="none" w:sz="0" w:space="0" w:color="auto"/>
      </w:divBdr>
    </w:div>
    <w:div w:id="944190969">
      <w:bodyDiv w:val="1"/>
      <w:marLeft w:val="0"/>
      <w:marRight w:val="0"/>
      <w:marTop w:val="0"/>
      <w:marBottom w:val="0"/>
      <w:divBdr>
        <w:top w:val="none" w:sz="0" w:space="0" w:color="auto"/>
        <w:left w:val="none" w:sz="0" w:space="0" w:color="auto"/>
        <w:bottom w:val="none" w:sz="0" w:space="0" w:color="auto"/>
        <w:right w:val="none" w:sz="0" w:space="0" w:color="auto"/>
      </w:divBdr>
    </w:div>
    <w:div w:id="945692952">
      <w:bodyDiv w:val="1"/>
      <w:marLeft w:val="0"/>
      <w:marRight w:val="0"/>
      <w:marTop w:val="0"/>
      <w:marBottom w:val="0"/>
      <w:divBdr>
        <w:top w:val="none" w:sz="0" w:space="0" w:color="auto"/>
        <w:left w:val="none" w:sz="0" w:space="0" w:color="auto"/>
        <w:bottom w:val="none" w:sz="0" w:space="0" w:color="auto"/>
        <w:right w:val="none" w:sz="0" w:space="0" w:color="auto"/>
      </w:divBdr>
    </w:div>
    <w:div w:id="946540662">
      <w:bodyDiv w:val="1"/>
      <w:marLeft w:val="0"/>
      <w:marRight w:val="0"/>
      <w:marTop w:val="0"/>
      <w:marBottom w:val="0"/>
      <w:divBdr>
        <w:top w:val="none" w:sz="0" w:space="0" w:color="auto"/>
        <w:left w:val="none" w:sz="0" w:space="0" w:color="auto"/>
        <w:bottom w:val="none" w:sz="0" w:space="0" w:color="auto"/>
        <w:right w:val="none" w:sz="0" w:space="0" w:color="auto"/>
      </w:divBdr>
    </w:div>
    <w:div w:id="946889134">
      <w:bodyDiv w:val="1"/>
      <w:marLeft w:val="0"/>
      <w:marRight w:val="0"/>
      <w:marTop w:val="0"/>
      <w:marBottom w:val="0"/>
      <w:divBdr>
        <w:top w:val="none" w:sz="0" w:space="0" w:color="auto"/>
        <w:left w:val="none" w:sz="0" w:space="0" w:color="auto"/>
        <w:bottom w:val="none" w:sz="0" w:space="0" w:color="auto"/>
        <w:right w:val="none" w:sz="0" w:space="0" w:color="auto"/>
      </w:divBdr>
    </w:div>
    <w:div w:id="947126912">
      <w:bodyDiv w:val="1"/>
      <w:marLeft w:val="0"/>
      <w:marRight w:val="0"/>
      <w:marTop w:val="0"/>
      <w:marBottom w:val="0"/>
      <w:divBdr>
        <w:top w:val="none" w:sz="0" w:space="0" w:color="auto"/>
        <w:left w:val="none" w:sz="0" w:space="0" w:color="auto"/>
        <w:bottom w:val="none" w:sz="0" w:space="0" w:color="auto"/>
        <w:right w:val="none" w:sz="0" w:space="0" w:color="auto"/>
      </w:divBdr>
    </w:div>
    <w:div w:id="947471549">
      <w:bodyDiv w:val="1"/>
      <w:marLeft w:val="0"/>
      <w:marRight w:val="0"/>
      <w:marTop w:val="0"/>
      <w:marBottom w:val="0"/>
      <w:divBdr>
        <w:top w:val="none" w:sz="0" w:space="0" w:color="auto"/>
        <w:left w:val="none" w:sz="0" w:space="0" w:color="auto"/>
        <w:bottom w:val="none" w:sz="0" w:space="0" w:color="auto"/>
        <w:right w:val="none" w:sz="0" w:space="0" w:color="auto"/>
      </w:divBdr>
    </w:div>
    <w:div w:id="947736798">
      <w:bodyDiv w:val="1"/>
      <w:marLeft w:val="0"/>
      <w:marRight w:val="0"/>
      <w:marTop w:val="0"/>
      <w:marBottom w:val="0"/>
      <w:divBdr>
        <w:top w:val="none" w:sz="0" w:space="0" w:color="auto"/>
        <w:left w:val="none" w:sz="0" w:space="0" w:color="auto"/>
        <w:bottom w:val="none" w:sz="0" w:space="0" w:color="auto"/>
        <w:right w:val="none" w:sz="0" w:space="0" w:color="auto"/>
      </w:divBdr>
    </w:div>
    <w:div w:id="947812308">
      <w:bodyDiv w:val="1"/>
      <w:marLeft w:val="0"/>
      <w:marRight w:val="0"/>
      <w:marTop w:val="0"/>
      <w:marBottom w:val="0"/>
      <w:divBdr>
        <w:top w:val="none" w:sz="0" w:space="0" w:color="auto"/>
        <w:left w:val="none" w:sz="0" w:space="0" w:color="auto"/>
        <w:bottom w:val="none" w:sz="0" w:space="0" w:color="auto"/>
        <w:right w:val="none" w:sz="0" w:space="0" w:color="auto"/>
      </w:divBdr>
    </w:div>
    <w:div w:id="948006600">
      <w:bodyDiv w:val="1"/>
      <w:marLeft w:val="0"/>
      <w:marRight w:val="0"/>
      <w:marTop w:val="0"/>
      <w:marBottom w:val="0"/>
      <w:divBdr>
        <w:top w:val="none" w:sz="0" w:space="0" w:color="auto"/>
        <w:left w:val="none" w:sz="0" w:space="0" w:color="auto"/>
        <w:bottom w:val="none" w:sz="0" w:space="0" w:color="auto"/>
        <w:right w:val="none" w:sz="0" w:space="0" w:color="auto"/>
      </w:divBdr>
    </w:div>
    <w:div w:id="948438286">
      <w:bodyDiv w:val="1"/>
      <w:marLeft w:val="0"/>
      <w:marRight w:val="0"/>
      <w:marTop w:val="0"/>
      <w:marBottom w:val="0"/>
      <w:divBdr>
        <w:top w:val="none" w:sz="0" w:space="0" w:color="auto"/>
        <w:left w:val="none" w:sz="0" w:space="0" w:color="auto"/>
        <w:bottom w:val="none" w:sz="0" w:space="0" w:color="auto"/>
        <w:right w:val="none" w:sz="0" w:space="0" w:color="auto"/>
      </w:divBdr>
    </w:div>
    <w:div w:id="948660609">
      <w:bodyDiv w:val="1"/>
      <w:marLeft w:val="0"/>
      <w:marRight w:val="0"/>
      <w:marTop w:val="0"/>
      <w:marBottom w:val="0"/>
      <w:divBdr>
        <w:top w:val="none" w:sz="0" w:space="0" w:color="auto"/>
        <w:left w:val="none" w:sz="0" w:space="0" w:color="auto"/>
        <w:bottom w:val="none" w:sz="0" w:space="0" w:color="auto"/>
        <w:right w:val="none" w:sz="0" w:space="0" w:color="auto"/>
      </w:divBdr>
    </w:div>
    <w:div w:id="948778943">
      <w:bodyDiv w:val="1"/>
      <w:marLeft w:val="0"/>
      <w:marRight w:val="0"/>
      <w:marTop w:val="0"/>
      <w:marBottom w:val="0"/>
      <w:divBdr>
        <w:top w:val="none" w:sz="0" w:space="0" w:color="auto"/>
        <w:left w:val="none" w:sz="0" w:space="0" w:color="auto"/>
        <w:bottom w:val="none" w:sz="0" w:space="0" w:color="auto"/>
        <w:right w:val="none" w:sz="0" w:space="0" w:color="auto"/>
      </w:divBdr>
    </w:div>
    <w:div w:id="949163170">
      <w:bodyDiv w:val="1"/>
      <w:marLeft w:val="0"/>
      <w:marRight w:val="0"/>
      <w:marTop w:val="0"/>
      <w:marBottom w:val="0"/>
      <w:divBdr>
        <w:top w:val="none" w:sz="0" w:space="0" w:color="auto"/>
        <w:left w:val="none" w:sz="0" w:space="0" w:color="auto"/>
        <w:bottom w:val="none" w:sz="0" w:space="0" w:color="auto"/>
        <w:right w:val="none" w:sz="0" w:space="0" w:color="auto"/>
      </w:divBdr>
    </w:div>
    <w:div w:id="949240483">
      <w:bodyDiv w:val="1"/>
      <w:marLeft w:val="0"/>
      <w:marRight w:val="0"/>
      <w:marTop w:val="0"/>
      <w:marBottom w:val="0"/>
      <w:divBdr>
        <w:top w:val="none" w:sz="0" w:space="0" w:color="auto"/>
        <w:left w:val="none" w:sz="0" w:space="0" w:color="auto"/>
        <w:bottom w:val="none" w:sz="0" w:space="0" w:color="auto"/>
        <w:right w:val="none" w:sz="0" w:space="0" w:color="auto"/>
      </w:divBdr>
    </w:div>
    <w:div w:id="949628039">
      <w:bodyDiv w:val="1"/>
      <w:marLeft w:val="0"/>
      <w:marRight w:val="0"/>
      <w:marTop w:val="0"/>
      <w:marBottom w:val="0"/>
      <w:divBdr>
        <w:top w:val="none" w:sz="0" w:space="0" w:color="auto"/>
        <w:left w:val="none" w:sz="0" w:space="0" w:color="auto"/>
        <w:bottom w:val="none" w:sz="0" w:space="0" w:color="auto"/>
        <w:right w:val="none" w:sz="0" w:space="0" w:color="auto"/>
      </w:divBdr>
    </w:div>
    <w:div w:id="950165966">
      <w:bodyDiv w:val="1"/>
      <w:marLeft w:val="0"/>
      <w:marRight w:val="0"/>
      <w:marTop w:val="0"/>
      <w:marBottom w:val="0"/>
      <w:divBdr>
        <w:top w:val="none" w:sz="0" w:space="0" w:color="auto"/>
        <w:left w:val="none" w:sz="0" w:space="0" w:color="auto"/>
        <w:bottom w:val="none" w:sz="0" w:space="0" w:color="auto"/>
        <w:right w:val="none" w:sz="0" w:space="0" w:color="auto"/>
      </w:divBdr>
    </w:div>
    <w:div w:id="950937318">
      <w:bodyDiv w:val="1"/>
      <w:marLeft w:val="0"/>
      <w:marRight w:val="0"/>
      <w:marTop w:val="0"/>
      <w:marBottom w:val="0"/>
      <w:divBdr>
        <w:top w:val="none" w:sz="0" w:space="0" w:color="auto"/>
        <w:left w:val="none" w:sz="0" w:space="0" w:color="auto"/>
        <w:bottom w:val="none" w:sz="0" w:space="0" w:color="auto"/>
        <w:right w:val="none" w:sz="0" w:space="0" w:color="auto"/>
      </w:divBdr>
    </w:div>
    <w:div w:id="951129756">
      <w:bodyDiv w:val="1"/>
      <w:marLeft w:val="0"/>
      <w:marRight w:val="0"/>
      <w:marTop w:val="0"/>
      <w:marBottom w:val="0"/>
      <w:divBdr>
        <w:top w:val="none" w:sz="0" w:space="0" w:color="auto"/>
        <w:left w:val="none" w:sz="0" w:space="0" w:color="auto"/>
        <w:bottom w:val="none" w:sz="0" w:space="0" w:color="auto"/>
        <w:right w:val="none" w:sz="0" w:space="0" w:color="auto"/>
      </w:divBdr>
    </w:div>
    <w:div w:id="951279045">
      <w:bodyDiv w:val="1"/>
      <w:marLeft w:val="0"/>
      <w:marRight w:val="0"/>
      <w:marTop w:val="0"/>
      <w:marBottom w:val="0"/>
      <w:divBdr>
        <w:top w:val="none" w:sz="0" w:space="0" w:color="auto"/>
        <w:left w:val="none" w:sz="0" w:space="0" w:color="auto"/>
        <w:bottom w:val="none" w:sz="0" w:space="0" w:color="auto"/>
        <w:right w:val="none" w:sz="0" w:space="0" w:color="auto"/>
      </w:divBdr>
    </w:div>
    <w:div w:id="951593965">
      <w:bodyDiv w:val="1"/>
      <w:marLeft w:val="0"/>
      <w:marRight w:val="0"/>
      <w:marTop w:val="0"/>
      <w:marBottom w:val="0"/>
      <w:divBdr>
        <w:top w:val="none" w:sz="0" w:space="0" w:color="auto"/>
        <w:left w:val="none" w:sz="0" w:space="0" w:color="auto"/>
        <w:bottom w:val="none" w:sz="0" w:space="0" w:color="auto"/>
        <w:right w:val="none" w:sz="0" w:space="0" w:color="auto"/>
      </w:divBdr>
    </w:div>
    <w:div w:id="951744797">
      <w:bodyDiv w:val="1"/>
      <w:marLeft w:val="0"/>
      <w:marRight w:val="0"/>
      <w:marTop w:val="0"/>
      <w:marBottom w:val="0"/>
      <w:divBdr>
        <w:top w:val="none" w:sz="0" w:space="0" w:color="auto"/>
        <w:left w:val="none" w:sz="0" w:space="0" w:color="auto"/>
        <w:bottom w:val="none" w:sz="0" w:space="0" w:color="auto"/>
        <w:right w:val="none" w:sz="0" w:space="0" w:color="auto"/>
      </w:divBdr>
    </w:div>
    <w:div w:id="952323649">
      <w:bodyDiv w:val="1"/>
      <w:marLeft w:val="0"/>
      <w:marRight w:val="0"/>
      <w:marTop w:val="0"/>
      <w:marBottom w:val="0"/>
      <w:divBdr>
        <w:top w:val="none" w:sz="0" w:space="0" w:color="auto"/>
        <w:left w:val="none" w:sz="0" w:space="0" w:color="auto"/>
        <w:bottom w:val="none" w:sz="0" w:space="0" w:color="auto"/>
        <w:right w:val="none" w:sz="0" w:space="0" w:color="auto"/>
      </w:divBdr>
    </w:div>
    <w:div w:id="952594907">
      <w:bodyDiv w:val="1"/>
      <w:marLeft w:val="0"/>
      <w:marRight w:val="0"/>
      <w:marTop w:val="0"/>
      <w:marBottom w:val="0"/>
      <w:divBdr>
        <w:top w:val="none" w:sz="0" w:space="0" w:color="auto"/>
        <w:left w:val="none" w:sz="0" w:space="0" w:color="auto"/>
        <w:bottom w:val="none" w:sz="0" w:space="0" w:color="auto"/>
        <w:right w:val="none" w:sz="0" w:space="0" w:color="auto"/>
      </w:divBdr>
    </w:div>
    <w:div w:id="952787339">
      <w:bodyDiv w:val="1"/>
      <w:marLeft w:val="0"/>
      <w:marRight w:val="0"/>
      <w:marTop w:val="0"/>
      <w:marBottom w:val="0"/>
      <w:divBdr>
        <w:top w:val="none" w:sz="0" w:space="0" w:color="auto"/>
        <w:left w:val="none" w:sz="0" w:space="0" w:color="auto"/>
        <w:bottom w:val="none" w:sz="0" w:space="0" w:color="auto"/>
        <w:right w:val="none" w:sz="0" w:space="0" w:color="auto"/>
      </w:divBdr>
    </w:div>
    <w:div w:id="953753625">
      <w:bodyDiv w:val="1"/>
      <w:marLeft w:val="0"/>
      <w:marRight w:val="0"/>
      <w:marTop w:val="0"/>
      <w:marBottom w:val="0"/>
      <w:divBdr>
        <w:top w:val="none" w:sz="0" w:space="0" w:color="auto"/>
        <w:left w:val="none" w:sz="0" w:space="0" w:color="auto"/>
        <w:bottom w:val="none" w:sz="0" w:space="0" w:color="auto"/>
        <w:right w:val="none" w:sz="0" w:space="0" w:color="auto"/>
      </w:divBdr>
    </w:div>
    <w:div w:id="954138977">
      <w:bodyDiv w:val="1"/>
      <w:marLeft w:val="0"/>
      <w:marRight w:val="0"/>
      <w:marTop w:val="0"/>
      <w:marBottom w:val="0"/>
      <w:divBdr>
        <w:top w:val="none" w:sz="0" w:space="0" w:color="auto"/>
        <w:left w:val="none" w:sz="0" w:space="0" w:color="auto"/>
        <w:bottom w:val="none" w:sz="0" w:space="0" w:color="auto"/>
        <w:right w:val="none" w:sz="0" w:space="0" w:color="auto"/>
      </w:divBdr>
    </w:div>
    <w:div w:id="954139604">
      <w:bodyDiv w:val="1"/>
      <w:marLeft w:val="0"/>
      <w:marRight w:val="0"/>
      <w:marTop w:val="0"/>
      <w:marBottom w:val="0"/>
      <w:divBdr>
        <w:top w:val="none" w:sz="0" w:space="0" w:color="auto"/>
        <w:left w:val="none" w:sz="0" w:space="0" w:color="auto"/>
        <w:bottom w:val="none" w:sz="0" w:space="0" w:color="auto"/>
        <w:right w:val="none" w:sz="0" w:space="0" w:color="auto"/>
      </w:divBdr>
    </w:div>
    <w:div w:id="954404632">
      <w:bodyDiv w:val="1"/>
      <w:marLeft w:val="0"/>
      <w:marRight w:val="0"/>
      <w:marTop w:val="0"/>
      <w:marBottom w:val="0"/>
      <w:divBdr>
        <w:top w:val="none" w:sz="0" w:space="0" w:color="auto"/>
        <w:left w:val="none" w:sz="0" w:space="0" w:color="auto"/>
        <w:bottom w:val="none" w:sz="0" w:space="0" w:color="auto"/>
        <w:right w:val="none" w:sz="0" w:space="0" w:color="auto"/>
      </w:divBdr>
    </w:div>
    <w:div w:id="954599386">
      <w:bodyDiv w:val="1"/>
      <w:marLeft w:val="0"/>
      <w:marRight w:val="0"/>
      <w:marTop w:val="0"/>
      <w:marBottom w:val="0"/>
      <w:divBdr>
        <w:top w:val="none" w:sz="0" w:space="0" w:color="auto"/>
        <w:left w:val="none" w:sz="0" w:space="0" w:color="auto"/>
        <w:bottom w:val="none" w:sz="0" w:space="0" w:color="auto"/>
        <w:right w:val="none" w:sz="0" w:space="0" w:color="auto"/>
      </w:divBdr>
    </w:div>
    <w:div w:id="955020377">
      <w:bodyDiv w:val="1"/>
      <w:marLeft w:val="0"/>
      <w:marRight w:val="0"/>
      <w:marTop w:val="0"/>
      <w:marBottom w:val="0"/>
      <w:divBdr>
        <w:top w:val="none" w:sz="0" w:space="0" w:color="auto"/>
        <w:left w:val="none" w:sz="0" w:space="0" w:color="auto"/>
        <w:bottom w:val="none" w:sz="0" w:space="0" w:color="auto"/>
        <w:right w:val="none" w:sz="0" w:space="0" w:color="auto"/>
      </w:divBdr>
    </w:div>
    <w:div w:id="956108190">
      <w:bodyDiv w:val="1"/>
      <w:marLeft w:val="0"/>
      <w:marRight w:val="0"/>
      <w:marTop w:val="0"/>
      <w:marBottom w:val="0"/>
      <w:divBdr>
        <w:top w:val="none" w:sz="0" w:space="0" w:color="auto"/>
        <w:left w:val="none" w:sz="0" w:space="0" w:color="auto"/>
        <w:bottom w:val="none" w:sz="0" w:space="0" w:color="auto"/>
        <w:right w:val="none" w:sz="0" w:space="0" w:color="auto"/>
      </w:divBdr>
    </w:div>
    <w:div w:id="956528091">
      <w:bodyDiv w:val="1"/>
      <w:marLeft w:val="0"/>
      <w:marRight w:val="0"/>
      <w:marTop w:val="0"/>
      <w:marBottom w:val="0"/>
      <w:divBdr>
        <w:top w:val="none" w:sz="0" w:space="0" w:color="auto"/>
        <w:left w:val="none" w:sz="0" w:space="0" w:color="auto"/>
        <w:bottom w:val="none" w:sz="0" w:space="0" w:color="auto"/>
        <w:right w:val="none" w:sz="0" w:space="0" w:color="auto"/>
      </w:divBdr>
    </w:div>
    <w:div w:id="957636938">
      <w:bodyDiv w:val="1"/>
      <w:marLeft w:val="0"/>
      <w:marRight w:val="0"/>
      <w:marTop w:val="0"/>
      <w:marBottom w:val="0"/>
      <w:divBdr>
        <w:top w:val="none" w:sz="0" w:space="0" w:color="auto"/>
        <w:left w:val="none" w:sz="0" w:space="0" w:color="auto"/>
        <w:bottom w:val="none" w:sz="0" w:space="0" w:color="auto"/>
        <w:right w:val="none" w:sz="0" w:space="0" w:color="auto"/>
      </w:divBdr>
    </w:div>
    <w:div w:id="958411391">
      <w:bodyDiv w:val="1"/>
      <w:marLeft w:val="0"/>
      <w:marRight w:val="0"/>
      <w:marTop w:val="0"/>
      <w:marBottom w:val="0"/>
      <w:divBdr>
        <w:top w:val="none" w:sz="0" w:space="0" w:color="auto"/>
        <w:left w:val="none" w:sz="0" w:space="0" w:color="auto"/>
        <w:bottom w:val="none" w:sz="0" w:space="0" w:color="auto"/>
        <w:right w:val="none" w:sz="0" w:space="0" w:color="auto"/>
      </w:divBdr>
    </w:div>
    <w:div w:id="958687670">
      <w:bodyDiv w:val="1"/>
      <w:marLeft w:val="0"/>
      <w:marRight w:val="0"/>
      <w:marTop w:val="0"/>
      <w:marBottom w:val="0"/>
      <w:divBdr>
        <w:top w:val="none" w:sz="0" w:space="0" w:color="auto"/>
        <w:left w:val="none" w:sz="0" w:space="0" w:color="auto"/>
        <w:bottom w:val="none" w:sz="0" w:space="0" w:color="auto"/>
        <w:right w:val="none" w:sz="0" w:space="0" w:color="auto"/>
      </w:divBdr>
    </w:div>
    <w:div w:id="959145749">
      <w:bodyDiv w:val="1"/>
      <w:marLeft w:val="0"/>
      <w:marRight w:val="0"/>
      <w:marTop w:val="0"/>
      <w:marBottom w:val="0"/>
      <w:divBdr>
        <w:top w:val="none" w:sz="0" w:space="0" w:color="auto"/>
        <w:left w:val="none" w:sz="0" w:space="0" w:color="auto"/>
        <w:bottom w:val="none" w:sz="0" w:space="0" w:color="auto"/>
        <w:right w:val="none" w:sz="0" w:space="0" w:color="auto"/>
      </w:divBdr>
    </w:div>
    <w:div w:id="959847037">
      <w:bodyDiv w:val="1"/>
      <w:marLeft w:val="0"/>
      <w:marRight w:val="0"/>
      <w:marTop w:val="0"/>
      <w:marBottom w:val="0"/>
      <w:divBdr>
        <w:top w:val="none" w:sz="0" w:space="0" w:color="auto"/>
        <w:left w:val="none" w:sz="0" w:space="0" w:color="auto"/>
        <w:bottom w:val="none" w:sz="0" w:space="0" w:color="auto"/>
        <w:right w:val="none" w:sz="0" w:space="0" w:color="auto"/>
      </w:divBdr>
    </w:div>
    <w:div w:id="959992109">
      <w:bodyDiv w:val="1"/>
      <w:marLeft w:val="0"/>
      <w:marRight w:val="0"/>
      <w:marTop w:val="0"/>
      <w:marBottom w:val="0"/>
      <w:divBdr>
        <w:top w:val="none" w:sz="0" w:space="0" w:color="auto"/>
        <w:left w:val="none" w:sz="0" w:space="0" w:color="auto"/>
        <w:bottom w:val="none" w:sz="0" w:space="0" w:color="auto"/>
        <w:right w:val="none" w:sz="0" w:space="0" w:color="auto"/>
      </w:divBdr>
    </w:div>
    <w:div w:id="960109601">
      <w:bodyDiv w:val="1"/>
      <w:marLeft w:val="0"/>
      <w:marRight w:val="0"/>
      <w:marTop w:val="0"/>
      <w:marBottom w:val="0"/>
      <w:divBdr>
        <w:top w:val="none" w:sz="0" w:space="0" w:color="auto"/>
        <w:left w:val="none" w:sz="0" w:space="0" w:color="auto"/>
        <w:bottom w:val="none" w:sz="0" w:space="0" w:color="auto"/>
        <w:right w:val="none" w:sz="0" w:space="0" w:color="auto"/>
      </w:divBdr>
    </w:div>
    <w:div w:id="960501221">
      <w:bodyDiv w:val="1"/>
      <w:marLeft w:val="0"/>
      <w:marRight w:val="0"/>
      <w:marTop w:val="0"/>
      <w:marBottom w:val="0"/>
      <w:divBdr>
        <w:top w:val="none" w:sz="0" w:space="0" w:color="auto"/>
        <w:left w:val="none" w:sz="0" w:space="0" w:color="auto"/>
        <w:bottom w:val="none" w:sz="0" w:space="0" w:color="auto"/>
        <w:right w:val="none" w:sz="0" w:space="0" w:color="auto"/>
      </w:divBdr>
    </w:div>
    <w:div w:id="960652495">
      <w:bodyDiv w:val="1"/>
      <w:marLeft w:val="0"/>
      <w:marRight w:val="0"/>
      <w:marTop w:val="0"/>
      <w:marBottom w:val="0"/>
      <w:divBdr>
        <w:top w:val="none" w:sz="0" w:space="0" w:color="auto"/>
        <w:left w:val="none" w:sz="0" w:space="0" w:color="auto"/>
        <w:bottom w:val="none" w:sz="0" w:space="0" w:color="auto"/>
        <w:right w:val="none" w:sz="0" w:space="0" w:color="auto"/>
      </w:divBdr>
    </w:div>
    <w:div w:id="960917566">
      <w:bodyDiv w:val="1"/>
      <w:marLeft w:val="0"/>
      <w:marRight w:val="0"/>
      <w:marTop w:val="0"/>
      <w:marBottom w:val="0"/>
      <w:divBdr>
        <w:top w:val="none" w:sz="0" w:space="0" w:color="auto"/>
        <w:left w:val="none" w:sz="0" w:space="0" w:color="auto"/>
        <w:bottom w:val="none" w:sz="0" w:space="0" w:color="auto"/>
        <w:right w:val="none" w:sz="0" w:space="0" w:color="auto"/>
      </w:divBdr>
    </w:div>
    <w:div w:id="961224650">
      <w:bodyDiv w:val="1"/>
      <w:marLeft w:val="0"/>
      <w:marRight w:val="0"/>
      <w:marTop w:val="0"/>
      <w:marBottom w:val="0"/>
      <w:divBdr>
        <w:top w:val="none" w:sz="0" w:space="0" w:color="auto"/>
        <w:left w:val="none" w:sz="0" w:space="0" w:color="auto"/>
        <w:bottom w:val="none" w:sz="0" w:space="0" w:color="auto"/>
        <w:right w:val="none" w:sz="0" w:space="0" w:color="auto"/>
      </w:divBdr>
    </w:div>
    <w:div w:id="962077718">
      <w:bodyDiv w:val="1"/>
      <w:marLeft w:val="0"/>
      <w:marRight w:val="0"/>
      <w:marTop w:val="0"/>
      <w:marBottom w:val="0"/>
      <w:divBdr>
        <w:top w:val="none" w:sz="0" w:space="0" w:color="auto"/>
        <w:left w:val="none" w:sz="0" w:space="0" w:color="auto"/>
        <w:bottom w:val="none" w:sz="0" w:space="0" w:color="auto"/>
        <w:right w:val="none" w:sz="0" w:space="0" w:color="auto"/>
      </w:divBdr>
    </w:div>
    <w:div w:id="962078713">
      <w:bodyDiv w:val="1"/>
      <w:marLeft w:val="0"/>
      <w:marRight w:val="0"/>
      <w:marTop w:val="0"/>
      <w:marBottom w:val="0"/>
      <w:divBdr>
        <w:top w:val="none" w:sz="0" w:space="0" w:color="auto"/>
        <w:left w:val="none" w:sz="0" w:space="0" w:color="auto"/>
        <w:bottom w:val="none" w:sz="0" w:space="0" w:color="auto"/>
        <w:right w:val="none" w:sz="0" w:space="0" w:color="auto"/>
      </w:divBdr>
    </w:div>
    <w:div w:id="962226334">
      <w:bodyDiv w:val="1"/>
      <w:marLeft w:val="0"/>
      <w:marRight w:val="0"/>
      <w:marTop w:val="0"/>
      <w:marBottom w:val="0"/>
      <w:divBdr>
        <w:top w:val="none" w:sz="0" w:space="0" w:color="auto"/>
        <w:left w:val="none" w:sz="0" w:space="0" w:color="auto"/>
        <w:bottom w:val="none" w:sz="0" w:space="0" w:color="auto"/>
        <w:right w:val="none" w:sz="0" w:space="0" w:color="auto"/>
      </w:divBdr>
    </w:div>
    <w:div w:id="962804910">
      <w:bodyDiv w:val="1"/>
      <w:marLeft w:val="0"/>
      <w:marRight w:val="0"/>
      <w:marTop w:val="0"/>
      <w:marBottom w:val="0"/>
      <w:divBdr>
        <w:top w:val="none" w:sz="0" w:space="0" w:color="auto"/>
        <w:left w:val="none" w:sz="0" w:space="0" w:color="auto"/>
        <w:bottom w:val="none" w:sz="0" w:space="0" w:color="auto"/>
        <w:right w:val="none" w:sz="0" w:space="0" w:color="auto"/>
      </w:divBdr>
    </w:div>
    <w:div w:id="963271765">
      <w:bodyDiv w:val="1"/>
      <w:marLeft w:val="0"/>
      <w:marRight w:val="0"/>
      <w:marTop w:val="0"/>
      <w:marBottom w:val="0"/>
      <w:divBdr>
        <w:top w:val="none" w:sz="0" w:space="0" w:color="auto"/>
        <w:left w:val="none" w:sz="0" w:space="0" w:color="auto"/>
        <w:bottom w:val="none" w:sz="0" w:space="0" w:color="auto"/>
        <w:right w:val="none" w:sz="0" w:space="0" w:color="auto"/>
      </w:divBdr>
    </w:div>
    <w:div w:id="963542195">
      <w:bodyDiv w:val="1"/>
      <w:marLeft w:val="0"/>
      <w:marRight w:val="0"/>
      <w:marTop w:val="0"/>
      <w:marBottom w:val="0"/>
      <w:divBdr>
        <w:top w:val="none" w:sz="0" w:space="0" w:color="auto"/>
        <w:left w:val="none" w:sz="0" w:space="0" w:color="auto"/>
        <w:bottom w:val="none" w:sz="0" w:space="0" w:color="auto"/>
        <w:right w:val="none" w:sz="0" w:space="0" w:color="auto"/>
      </w:divBdr>
    </w:div>
    <w:div w:id="964235341">
      <w:bodyDiv w:val="1"/>
      <w:marLeft w:val="0"/>
      <w:marRight w:val="0"/>
      <w:marTop w:val="0"/>
      <w:marBottom w:val="0"/>
      <w:divBdr>
        <w:top w:val="none" w:sz="0" w:space="0" w:color="auto"/>
        <w:left w:val="none" w:sz="0" w:space="0" w:color="auto"/>
        <w:bottom w:val="none" w:sz="0" w:space="0" w:color="auto"/>
        <w:right w:val="none" w:sz="0" w:space="0" w:color="auto"/>
      </w:divBdr>
    </w:div>
    <w:div w:id="964694166">
      <w:bodyDiv w:val="1"/>
      <w:marLeft w:val="0"/>
      <w:marRight w:val="0"/>
      <w:marTop w:val="0"/>
      <w:marBottom w:val="0"/>
      <w:divBdr>
        <w:top w:val="none" w:sz="0" w:space="0" w:color="auto"/>
        <w:left w:val="none" w:sz="0" w:space="0" w:color="auto"/>
        <w:bottom w:val="none" w:sz="0" w:space="0" w:color="auto"/>
        <w:right w:val="none" w:sz="0" w:space="0" w:color="auto"/>
      </w:divBdr>
    </w:div>
    <w:div w:id="965893167">
      <w:bodyDiv w:val="1"/>
      <w:marLeft w:val="0"/>
      <w:marRight w:val="0"/>
      <w:marTop w:val="0"/>
      <w:marBottom w:val="0"/>
      <w:divBdr>
        <w:top w:val="none" w:sz="0" w:space="0" w:color="auto"/>
        <w:left w:val="none" w:sz="0" w:space="0" w:color="auto"/>
        <w:bottom w:val="none" w:sz="0" w:space="0" w:color="auto"/>
        <w:right w:val="none" w:sz="0" w:space="0" w:color="auto"/>
      </w:divBdr>
    </w:div>
    <w:div w:id="966551386">
      <w:bodyDiv w:val="1"/>
      <w:marLeft w:val="0"/>
      <w:marRight w:val="0"/>
      <w:marTop w:val="0"/>
      <w:marBottom w:val="0"/>
      <w:divBdr>
        <w:top w:val="none" w:sz="0" w:space="0" w:color="auto"/>
        <w:left w:val="none" w:sz="0" w:space="0" w:color="auto"/>
        <w:bottom w:val="none" w:sz="0" w:space="0" w:color="auto"/>
        <w:right w:val="none" w:sz="0" w:space="0" w:color="auto"/>
      </w:divBdr>
    </w:div>
    <w:div w:id="967659771">
      <w:bodyDiv w:val="1"/>
      <w:marLeft w:val="0"/>
      <w:marRight w:val="0"/>
      <w:marTop w:val="0"/>
      <w:marBottom w:val="0"/>
      <w:divBdr>
        <w:top w:val="none" w:sz="0" w:space="0" w:color="auto"/>
        <w:left w:val="none" w:sz="0" w:space="0" w:color="auto"/>
        <w:bottom w:val="none" w:sz="0" w:space="0" w:color="auto"/>
        <w:right w:val="none" w:sz="0" w:space="0" w:color="auto"/>
      </w:divBdr>
    </w:div>
    <w:div w:id="967709421">
      <w:bodyDiv w:val="1"/>
      <w:marLeft w:val="0"/>
      <w:marRight w:val="0"/>
      <w:marTop w:val="0"/>
      <w:marBottom w:val="0"/>
      <w:divBdr>
        <w:top w:val="none" w:sz="0" w:space="0" w:color="auto"/>
        <w:left w:val="none" w:sz="0" w:space="0" w:color="auto"/>
        <w:bottom w:val="none" w:sz="0" w:space="0" w:color="auto"/>
        <w:right w:val="none" w:sz="0" w:space="0" w:color="auto"/>
      </w:divBdr>
    </w:div>
    <w:div w:id="967860022">
      <w:bodyDiv w:val="1"/>
      <w:marLeft w:val="0"/>
      <w:marRight w:val="0"/>
      <w:marTop w:val="0"/>
      <w:marBottom w:val="0"/>
      <w:divBdr>
        <w:top w:val="none" w:sz="0" w:space="0" w:color="auto"/>
        <w:left w:val="none" w:sz="0" w:space="0" w:color="auto"/>
        <w:bottom w:val="none" w:sz="0" w:space="0" w:color="auto"/>
        <w:right w:val="none" w:sz="0" w:space="0" w:color="auto"/>
      </w:divBdr>
    </w:div>
    <w:div w:id="968558133">
      <w:bodyDiv w:val="1"/>
      <w:marLeft w:val="0"/>
      <w:marRight w:val="0"/>
      <w:marTop w:val="0"/>
      <w:marBottom w:val="0"/>
      <w:divBdr>
        <w:top w:val="none" w:sz="0" w:space="0" w:color="auto"/>
        <w:left w:val="none" w:sz="0" w:space="0" w:color="auto"/>
        <w:bottom w:val="none" w:sz="0" w:space="0" w:color="auto"/>
        <w:right w:val="none" w:sz="0" w:space="0" w:color="auto"/>
      </w:divBdr>
    </w:div>
    <w:div w:id="968628602">
      <w:bodyDiv w:val="1"/>
      <w:marLeft w:val="0"/>
      <w:marRight w:val="0"/>
      <w:marTop w:val="0"/>
      <w:marBottom w:val="0"/>
      <w:divBdr>
        <w:top w:val="none" w:sz="0" w:space="0" w:color="auto"/>
        <w:left w:val="none" w:sz="0" w:space="0" w:color="auto"/>
        <w:bottom w:val="none" w:sz="0" w:space="0" w:color="auto"/>
        <w:right w:val="none" w:sz="0" w:space="0" w:color="auto"/>
      </w:divBdr>
    </w:div>
    <w:div w:id="969046301">
      <w:bodyDiv w:val="1"/>
      <w:marLeft w:val="0"/>
      <w:marRight w:val="0"/>
      <w:marTop w:val="0"/>
      <w:marBottom w:val="0"/>
      <w:divBdr>
        <w:top w:val="none" w:sz="0" w:space="0" w:color="auto"/>
        <w:left w:val="none" w:sz="0" w:space="0" w:color="auto"/>
        <w:bottom w:val="none" w:sz="0" w:space="0" w:color="auto"/>
        <w:right w:val="none" w:sz="0" w:space="0" w:color="auto"/>
      </w:divBdr>
    </w:div>
    <w:div w:id="969357416">
      <w:bodyDiv w:val="1"/>
      <w:marLeft w:val="0"/>
      <w:marRight w:val="0"/>
      <w:marTop w:val="0"/>
      <w:marBottom w:val="0"/>
      <w:divBdr>
        <w:top w:val="none" w:sz="0" w:space="0" w:color="auto"/>
        <w:left w:val="none" w:sz="0" w:space="0" w:color="auto"/>
        <w:bottom w:val="none" w:sz="0" w:space="0" w:color="auto"/>
        <w:right w:val="none" w:sz="0" w:space="0" w:color="auto"/>
      </w:divBdr>
    </w:div>
    <w:div w:id="969895620">
      <w:bodyDiv w:val="1"/>
      <w:marLeft w:val="0"/>
      <w:marRight w:val="0"/>
      <w:marTop w:val="0"/>
      <w:marBottom w:val="0"/>
      <w:divBdr>
        <w:top w:val="none" w:sz="0" w:space="0" w:color="auto"/>
        <w:left w:val="none" w:sz="0" w:space="0" w:color="auto"/>
        <w:bottom w:val="none" w:sz="0" w:space="0" w:color="auto"/>
        <w:right w:val="none" w:sz="0" w:space="0" w:color="auto"/>
      </w:divBdr>
    </w:div>
    <w:div w:id="970482642">
      <w:bodyDiv w:val="1"/>
      <w:marLeft w:val="0"/>
      <w:marRight w:val="0"/>
      <w:marTop w:val="0"/>
      <w:marBottom w:val="0"/>
      <w:divBdr>
        <w:top w:val="none" w:sz="0" w:space="0" w:color="auto"/>
        <w:left w:val="none" w:sz="0" w:space="0" w:color="auto"/>
        <w:bottom w:val="none" w:sz="0" w:space="0" w:color="auto"/>
        <w:right w:val="none" w:sz="0" w:space="0" w:color="auto"/>
      </w:divBdr>
    </w:div>
    <w:div w:id="971179304">
      <w:bodyDiv w:val="1"/>
      <w:marLeft w:val="0"/>
      <w:marRight w:val="0"/>
      <w:marTop w:val="0"/>
      <w:marBottom w:val="0"/>
      <w:divBdr>
        <w:top w:val="none" w:sz="0" w:space="0" w:color="auto"/>
        <w:left w:val="none" w:sz="0" w:space="0" w:color="auto"/>
        <w:bottom w:val="none" w:sz="0" w:space="0" w:color="auto"/>
        <w:right w:val="none" w:sz="0" w:space="0" w:color="auto"/>
      </w:divBdr>
    </w:div>
    <w:div w:id="971403928">
      <w:bodyDiv w:val="1"/>
      <w:marLeft w:val="0"/>
      <w:marRight w:val="0"/>
      <w:marTop w:val="0"/>
      <w:marBottom w:val="0"/>
      <w:divBdr>
        <w:top w:val="none" w:sz="0" w:space="0" w:color="auto"/>
        <w:left w:val="none" w:sz="0" w:space="0" w:color="auto"/>
        <w:bottom w:val="none" w:sz="0" w:space="0" w:color="auto"/>
        <w:right w:val="none" w:sz="0" w:space="0" w:color="auto"/>
      </w:divBdr>
    </w:div>
    <w:div w:id="972321309">
      <w:bodyDiv w:val="1"/>
      <w:marLeft w:val="0"/>
      <w:marRight w:val="0"/>
      <w:marTop w:val="0"/>
      <w:marBottom w:val="0"/>
      <w:divBdr>
        <w:top w:val="none" w:sz="0" w:space="0" w:color="auto"/>
        <w:left w:val="none" w:sz="0" w:space="0" w:color="auto"/>
        <w:bottom w:val="none" w:sz="0" w:space="0" w:color="auto"/>
        <w:right w:val="none" w:sz="0" w:space="0" w:color="auto"/>
      </w:divBdr>
    </w:div>
    <w:div w:id="972367822">
      <w:bodyDiv w:val="1"/>
      <w:marLeft w:val="0"/>
      <w:marRight w:val="0"/>
      <w:marTop w:val="0"/>
      <w:marBottom w:val="0"/>
      <w:divBdr>
        <w:top w:val="none" w:sz="0" w:space="0" w:color="auto"/>
        <w:left w:val="none" w:sz="0" w:space="0" w:color="auto"/>
        <w:bottom w:val="none" w:sz="0" w:space="0" w:color="auto"/>
        <w:right w:val="none" w:sz="0" w:space="0" w:color="auto"/>
      </w:divBdr>
    </w:div>
    <w:div w:id="972368916">
      <w:bodyDiv w:val="1"/>
      <w:marLeft w:val="0"/>
      <w:marRight w:val="0"/>
      <w:marTop w:val="0"/>
      <w:marBottom w:val="0"/>
      <w:divBdr>
        <w:top w:val="none" w:sz="0" w:space="0" w:color="auto"/>
        <w:left w:val="none" w:sz="0" w:space="0" w:color="auto"/>
        <w:bottom w:val="none" w:sz="0" w:space="0" w:color="auto"/>
        <w:right w:val="none" w:sz="0" w:space="0" w:color="auto"/>
      </w:divBdr>
    </w:div>
    <w:div w:id="972906808">
      <w:bodyDiv w:val="1"/>
      <w:marLeft w:val="0"/>
      <w:marRight w:val="0"/>
      <w:marTop w:val="0"/>
      <w:marBottom w:val="0"/>
      <w:divBdr>
        <w:top w:val="none" w:sz="0" w:space="0" w:color="auto"/>
        <w:left w:val="none" w:sz="0" w:space="0" w:color="auto"/>
        <w:bottom w:val="none" w:sz="0" w:space="0" w:color="auto"/>
        <w:right w:val="none" w:sz="0" w:space="0" w:color="auto"/>
      </w:divBdr>
    </w:div>
    <w:div w:id="974993756">
      <w:bodyDiv w:val="1"/>
      <w:marLeft w:val="0"/>
      <w:marRight w:val="0"/>
      <w:marTop w:val="0"/>
      <w:marBottom w:val="0"/>
      <w:divBdr>
        <w:top w:val="none" w:sz="0" w:space="0" w:color="auto"/>
        <w:left w:val="none" w:sz="0" w:space="0" w:color="auto"/>
        <w:bottom w:val="none" w:sz="0" w:space="0" w:color="auto"/>
        <w:right w:val="none" w:sz="0" w:space="0" w:color="auto"/>
      </w:divBdr>
    </w:div>
    <w:div w:id="977077129">
      <w:bodyDiv w:val="1"/>
      <w:marLeft w:val="0"/>
      <w:marRight w:val="0"/>
      <w:marTop w:val="0"/>
      <w:marBottom w:val="0"/>
      <w:divBdr>
        <w:top w:val="none" w:sz="0" w:space="0" w:color="auto"/>
        <w:left w:val="none" w:sz="0" w:space="0" w:color="auto"/>
        <w:bottom w:val="none" w:sz="0" w:space="0" w:color="auto"/>
        <w:right w:val="none" w:sz="0" w:space="0" w:color="auto"/>
      </w:divBdr>
    </w:div>
    <w:div w:id="977303594">
      <w:bodyDiv w:val="1"/>
      <w:marLeft w:val="0"/>
      <w:marRight w:val="0"/>
      <w:marTop w:val="0"/>
      <w:marBottom w:val="0"/>
      <w:divBdr>
        <w:top w:val="none" w:sz="0" w:space="0" w:color="auto"/>
        <w:left w:val="none" w:sz="0" w:space="0" w:color="auto"/>
        <w:bottom w:val="none" w:sz="0" w:space="0" w:color="auto"/>
        <w:right w:val="none" w:sz="0" w:space="0" w:color="auto"/>
      </w:divBdr>
    </w:div>
    <w:div w:id="977495816">
      <w:bodyDiv w:val="1"/>
      <w:marLeft w:val="0"/>
      <w:marRight w:val="0"/>
      <w:marTop w:val="0"/>
      <w:marBottom w:val="0"/>
      <w:divBdr>
        <w:top w:val="none" w:sz="0" w:space="0" w:color="auto"/>
        <w:left w:val="none" w:sz="0" w:space="0" w:color="auto"/>
        <w:bottom w:val="none" w:sz="0" w:space="0" w:color="auto"/>
        <w:right w:val="none" w:sz="0" w:space="0" w:color="auto"/>
      </w:divBdr>
    </w:div>
    <w:div w:id="978077021">
      <w:bodyDiv w:val="1"/>
      <w:marLeft w:val="0"/>
      <w:marRight w:val="0"/>
      <w:marTop w:val="0"/>
      <w:marBottom w:val="0"/>
      <w:divBdr>
        <w:top w:val="none" w:sz="0" w:space="0" w:color="auto"/>
        <w:left w:val="none" w:sz="0" w:space="0" w:color="auto"/>
        <w:bottom w:val="none" w:sz="0" w:space="0" w:color="auto"/>
        <w:right w:val="none" w:sz="0" w:space="0" w:color="auto"/>
      </w:divBdr>
    </w:div>
    <w:div w:id="978265607">
      <w:bodyDiv w:val="1"/>
      <w:marLeft w:val="0"/>
      <w:marRight w:val="0"/>
      <w:marTop w:val="0"/>
      <w:marBottom w:val="0"/>
      <w:divBdr>
        <w:top w:val="none" w:sz="0" w:space="0" w:color="auto"/>
        <w:left w:val="none" w:sz="0" w:space="0" w:color="auto"/>
        <w:bottom w:val="none" w:sz="0" w:space="0" w:color="auto"/>
        <w:right w:val="none" w:sz="0" w:space="0" w:color="auto"/>
      </w:divBdr>
    </w:div>
    <w:div w:id="979190921">
      <w:bodyDiv w:val="1"/>
      <w:marLeft w:val="0"/>
      <w:marRight w:val="0"/>
      <w:marTop w:val="0"/>
      <w:marBottom w:val="0"/>
      <w:divBdr>
        <w:top w:val="none" w:sz="0" w:space="0" w:color="auto"/>
        <w:left w:val="none" w:sz="0" w:space="0" w:color="auto"/>
        <w:bottom w:val="none" w:sz="0" w:space="0" w:color="auto"/>
        <w:right w:val="none" w:sz="0" w:space="0" w:color="auto"/>
      </w:divBdr>
    </w:div>
    <w:div w:id="979454098">
      <w:bodyDiv w:val="1"/>
      <w:marLeft w:val="0"/>
      <w:marRight w:val="0"/>
      <w:marTop w:val="0"/>
      <w:marBottom w:val="0"/>
      <w:divBdr>
        <w:top w:val="none" w:sz="0" w:space="0" w:color="auto"/>
        <w:left w:val="none" w:sz="0" w:space="0" w:color="auto"/>
        <w:bottom w:val="none" w:sz="0" w:space="0" w:color="auto"/>
        <w:right w:val="none" w:sz="0" w:space="0" w:color="auto"/>
      </w:divBdr>
    </w:div>
    <w:div w:id="979849656">
      <w:bodyDiv w:val="1"/>
      <w:marLeft w:val="0"/>
      <w:marRight w:val="0"/>
      <w:marTop w:val="0"/>
      <w:marBottom w:val="0"/>
      <w:divBdr>
        <w:top w:val="none" w:sz="0" w:space="0" w:color="auto"/>
        <w:left w:val="none" w:sz="0" w:space="0" w:color="auto"/>
        <w:bottom w:val="none" w:sz="0" w:space="0" w:color="auto"/>
        <w:right w:val="none" w:sz="0" w:space="0" w:color="auto"/>
      </w:divBdr>
    </w:div>
    <w:div w:id="981812583">
      <w:bodyDiv w:val="1"/>
      <w:marLeft w:val="0"/>
      <w:marRight w:val="0"/>
      <w:marTop w:val="0"/>
      <w:marBottom w:val="0"/>
      <w:divBdr>
        <w:top w:val="none" w:sz="0" w:space="0" w:color="auto"/>
        <w:left w:val="none" w:sz="0" w:space="0" w:color="auto"/>
        <w:bottom w:val="none" w:sz="0" w:space="0" w:color="auto"/>
        <w:right w:val="none" w:sz="0" w:space="0" w:color="auto"/>
      </w:divBdr>
    </w:div>
    <w:div w:id="982003166">
      <w:bodyDiv w:val="1"/>
      <w:marLeft w:val="0"/>
      <w:marRight w:val="0"/>
      <w:marTop w:val="0"/>
      <w:marBottom w:val="0"/>
      <w:divBdr>
        <w:top w:val="none" w:sz="0" w:space="0" w:color="auto"/>
        <w:left w:val="none" w:sz="0" w:space="0" w:color="auto"/>
        <w:bottom w:val="none" w:sz="0" w:space="0" w:color="auto"/>
        <w:right w:val="none" w:sz="0" w:space="0" w:color="auto"/>
      </w:divBdr>
    </w:div>
    <w:div w:id="982123429">
      <w:bodyDiv w:val="1"/>
      <w:marLeft w:val="0"/>
      <w:marRight w:val="0"/>
      <w:marTop w:val="0"/>
      <w:marBottom w:val="0"/>
      <w:divBdr>
        <w:top w:val="none" w:sz="0" w:space="0" w:color="auto"/>
        <w:left w:val="none" w:sz="0" w:space="0" w:color="auto"/>
        <w:bottom w:val="none" w:sz="0" w:space="0" w:color="auto"/>
        <w:right w:val="none" w:sz="0" w:space="0" w:color="auto"/>
      </w:divBdr>
    </w:div>
    <w:div w:id="982392146">
      <w:bodyDiv w:val="1"/>
      <w:marLeft w:val="0"/>
      <w:marRight w:val="0"/>
      <w:marTop w:val="0"/>
      <w:marBottom w:val="0"/>
      <w:divBdr>
        <w:top w:val="none" w:sz="0" w:space="0" w:color="auto"/>
        <w:left w:val="none" w:sz="0" w:space="0" w:color="auto"/>
        <w:bottom w:val="none" w:sz="0" w:space="0" w:color="auto"/>
        <w:right w:val="none" w:sz="0" w:space="0" w:color="auto"/>
      </w:divBdr>
    </w:div>
    <w:div w:id="982612651">
      <w:bodyDiv w:val="1"/>
      <w:marLeft w:val="0"/>
      <w:marRight w:val="0"/>
      <w:marTop w:val="0"/>
      <w:marBottom w:val="0"/>
      <w:divBdr>
        <w:top w:val="none" w:sz="0" w:space="0" w:color="auto"/>
        <w:left w:val="none" w:sz="0" w:space="0" w:color="auto"/>
        <w:bottom w:val="none" w:sz="0" w:space="0" w:color="auto"/>
        <w:right w:val="none" w:sz="0" w:space="0" w:color="auto"/>
      </w:divBdr>
    </w:div>
    <w:div w:id="982613176">
      <w:bodyDiv w:val="1"/>
      <w:marLeft w:val="0"/>
      <w:marRight w:val="0"/>
      <w:marTop w:val="0"/>
      <w:marBottom w:val="0"/>
      <w:divBdr>
        <w:top w:val="none" w:sz="0" w:space="0" w:color="auto"/>
        <w:left w:val="none" w:sz="0" w:space="0" w:color="auto"/>
        <w:bottom w:val="none" w:sz="0" w:space="0" w:color="auto"/>
        <w:right w:val="none" w:sz="0" w:space="0" w:color="auto"/>
      </w:divBdr>
    </w:div>
    <w:div w:id="982735476">
      <w:bodyDiv w:val="1"/>
      <w:marLeft w:val="0"/>
      <w:marRight w:val="0"/>
      <w:marTop w:val="0"/>
      <w:marBottom w:val="0"/>
      <w:divBdr>
        <w:top w:val="none" w:sz="0" w:space="0" w:color="auto"/>
        <w:left w:val="none" w:sz="0" w:space="0" w:color="auto"/>
        <w:bottom w:val="none" w:sz="0" w:space="0" w:color="auto"/>
        <w:right w:val="none" w:sz="0" w:space="0" w:color="auto"/>
      </w:divBdr>
    </w:div>
    <w:div w:id="983048151">
      <w:bodyDiv w:val="1"/>
      <w:marLeft w:val="0"/>
      <w:marRight w:val="0"/>
      <w:marTop w:val="0"/>
      <w:marBottom w:val="0"/>
      <w:divBdr>
        <w:top w:val="none" w:sz="0" w:space="0" w:color="auto"/>
        <w:left w:val="none" w:sz="0" w:space="0" w:color="auto"/>
        <w:bottom w:val="none" w:sz="0" w:space="0" w:color="auto"/>
        <w:right w:val="none" w:sz="0" w:space="0" w:color="auto"/>
      </w:divBdr>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84814082">
      <w:bodyDiv w:val="1"/>
      <w:marLeft w:val="0"/>
      <w:marRight w:val="0"/>
      <w:marTop w:val="0"/>
      <w:marBottom w:val="0"/>
      <w:divBdr>
        <w:top w:val="none" w:sz="0" w:space="0" w:color="auto"/>
        <w:left w:val="none" w:sz="0" w:space="0" w:color="auto"/>
        <w:bottom w:val="none" w:sz="0" w:space="0" w:color="auto"/>
        <w:right w:val="none" w:sz="0" w:space="0" w:color="auto"/>
      </w:divBdr>
    </w:div>
    <w:div w:id="985351544">
      <w:bodyDiv w:val="1"/>
      <w:marLeft w:val="0"/>
      <w:marRight w:val="0"/>
      <w:marTop w:val="0"/>
      <w:marBottom w:val="0"/>
      <w:divBdr>
        <w:top w:val="none" w:sz="0" w:space="0" w:color="auto"/>
        <w:left w:val="none" w:sz="0" w:space="0" w:color="auto"/>
        <w:bottom w:val="none" w:sz="0" w:space="0" w:color="auto"/>
        <w:right w:val="none" w:sz="0" w:space="0" w:color="auto"/>
      </w:divBdr>
    </w:div>
    <w:div w:id="986132718">
      <w:bodyDiv w:val="1"/>
      <w:marLeft w:val="0"/>
      <w:marRight w:val="0"/>
      <w:marTop w:val="0"/>
      <w:marBottom w:val="0"/>
      <w:divBdr>
        <w:top w:val="none" w:sz="0" w:space="0" w:color="auto"/>
        <w:left w:val="none" w:sz="0" w:space="0" w:color="auto"/>
        <w:bottom w:val="none" w:sz="0" w:space="0" w:color="auto"/>
        <w:right w:val="none" w:sz="0" w:space="0" w:color="auto"/>
      </w:divBdr>
    </w:div>
    <w:div w:id="987129810">
      <w:bodyDiv w:val="1"/>
      <w:marLeft w:val="0"/>
      <w:marRight w:val="0"/>
      <w:marTop w:val="0"/>
      <w:marBottom w:val="0"/>
      <w:divBdr>
        <w:top w:val="none" w:sz="0" w:space="0" w:color="auto"/>
        <w:left w:val="none" w:sz="0" w:space="0" w:color="auto"/>
        <w:bottom w:val="none" w:sz="0" w:space="0" w:color="auto"/>
        <w:right w:val="none" w:sz="0" w:space="0" w:color="auto"/>
      </w:divBdr>
    </w:div>
    <w:div w:id="987510760">
      <w:bodyDiv w:val="1"/>
      <w:marLeft w:val="0"/>
      <w:marRight w:val="0"/>
      <w:marTop w:val="0"/>
      <w:marBottom w:val="0"/>
      <w:divBdr>
        <w:top w:val="none" w:sz="0" w:space="0" w:color="auto"/>
        <w:left w:val="none" w:sz="0" w:space="0" w:color="auto"/>
        <w:bottom w:val="none" w:sz="0" w:space="0" w:color="auto"/>
        <w:right w:val="none" w:sz="0" w:space="0" w:color="auto"/>
      </w:divBdr>
    </w:div>
    <w:div w:id="988051613">
      <w:bodyDiv w:val="1"/>
      <w:marLeft w:val="0"/>
      <w:marRight w:val="0"/>
      <w:marTop w:val="0"/>
      <w:marBottom w:val="0"/>
      <w:divBdr>
        <w:top w:val="none" w:sz="0" w:space="0" w:color="auto"/>
        <w:left w:val="none" w:sz="0" w:space="0" w:color="auto"/>
        <w:bottom w:val="none" w:sz="0" w:space="0" w:color="auto"/>
        <w:right w:val="none" w:sz="0" w:space="0" w:color="auto"/>
      </w:divBdr>
    </w:div>
    <w:div w:id="989401716">
      <w:bodyDiv w:val="1"/>
      <w:marLeft w:val="0"/>
      <w:marRight w:val="0"/>
      <w:marTop w:val="0"/>
      <w:marBottom w:val="0"/>
      <w:divBdr>
        <w:top w:val="none" w:sz="0" w:space="0" w:color="auto"/>
        <w:left w:val="none" w:sz="0" w:space="0" w:color="auto"/>
        <w:bottom w:val="none" w:sz="0" w:space="0" w:color="auto"/>
        <w:right w:val="none" w:sz="0" w:space="0" w:color="auto"/>
      </w:divBdr>
    </w:div>
    <w:div w:id="990211541">
      <w:bodyDiv w:val="1"/>
      <w:marLeft w:val="0"/>
      <w:marRight w:val="0"/>
      <w:marTop w:val="0"/>
      <w:marBottom w:val="0"/>
      <w:divBdr>
        <w:top w:val="none" w:sz="0" w:space="0" w:color="auto"/>
        <w:left w:val="none" w:sz="0" w:space="0" w:color="auto"/>
        <w:bottom w:val="none" w:sz="0" w:space="0" w:color="auto"/>
        <w:right w:val="none" w:sz="0" w:space="0" w:color="auto"/>
      </w:divBdr>
    </w:div>
    <w:div w:id="990212232">
      <w:bodyDiv w:val="1"/>
      <w:marLeft w:val="0"/>
      <w:marRight w:val="0"/>
      <w:marTop w:val="0"/>
      <w:marBottom w:val="0"/>
      <w:divBdr>
        <w:top w:val="none" w:sz="0" w:space="0" w:color="auto"/>
        <w:left w:val="none" w:sz="0" w:space="0" w:color="auto"/>
        <w:bottom w:val="none" w:sz="0" w:space="0" w:color="auto"/>
        <w:right w:val="none" w:sz="0" w:space="0" w:color="auto"/>
      </w:divBdr>
    </w:div>
    <w:div w:id="990328575">
      <w:bodyDiv w:val="1"/>
      <w:marLeft w:val="0"/>
      <w:marRight w:val="0"/>
      <w:marTop w:val="0"/>
      <w:marBottom w:val="0"/>
      <w:divBdr>
        <w:top w:val="none" w:sz="0" w:space="0" w:color="auto"/>
        <w:left w:val="none" w:sz="0" w:space="0" w:color="auto"/>
        <w:bottom w:val="none" w:sz="0" w:space="0" w:color="auto"/>
        <w:right w:val="none" w:sz="0" w:space="0" w:color="auto"/>
      </w:divBdr>
    </w:div>
    <w:div w:id="990407052">
      <w:bodyDiv w:val="1"/>
      <w:marLeft w:val="0"/>
      <w:marRight w:val="0"/>
      <w:marTop w:val="0"/>
      <w:marBottom w:val="0"/>
      <w:divBdr>
        <w:top w:val="none" w:sz="0" w:space="0" w:color="auto"/>
        <w:left w:val="none" w:sz="0" w:space="0" w:color="auto"/>
        <w:bottom w:val="none" w:sz="0" w:space="0" w:color="auto"/>
        <w:right w:val="none" w:sz="0" w:space="0" w:color="auto"/>
      </w:divBdr>
    </w:div>
    <w:div w:id="990867437">
      <w:bodyDiv w:val="1"/>
      <w:marLeft w:val="0"/>
      <w:marRight w:val="0"/>
      <w:marTop w:val="0"/>
      <w:marBottom w:val="0"/>
      <w:divBdr>
        <w:top w:val="none" w:sz="0" w:space="0" w:color="auto"/>
        <w:left w:val="none" w:sz="0" w:space="0" w:color="auto"/>
        <w:bottom w:val="none" w:sz="0" w:space="0" w:color="auto"/>
        <w:right w:val="none" w:sz="0" w:space="0" w:color="auto"/>
      </w:divBdr>
    </w:div>
    <w:div w:id="990989859">
      <w:bodyDiv w:val="1"/>
      <w:marLeft w:val="0"/>
      <w:marRight w:val="0"/>
      <w:marTop w:val="0"/>
      <w:marBottom w:val="0"/>
      <w:divBdr>
        <w:top w:val="none" w:sz="0" w:space="0" w:color="auto"/>
        <w:left w:val="none" w:sz="0" w:space="0" w:color="auto"/>
        <w:bottom w:val="none" w:sz="0" w:space="0" w:color="auto"/>
        <w:right w:val="none" w:sz="0" w:space="0" w:color="auto"/>
      </w:divBdr>
    </w:div>
    <w:div w:id="991713718">
      <w:bodyDiv w:val="1"/>
      <w:marLeft w:val="0"/>
      <w:marRight w:val="0"/>
      <w:marTop w:val="0"/>
      <w:marBottom w:val="0"/>
      <w:divBdr>
        <w:top w:val="none" w:sz="0" w:space="0" w:color="auto"/>
        <w:left w:val="none" w:sz="0" w:space="0" w:color="auto"/>
        <w:bottom w:val="none" w:sz="0" w:space="0" w:color="auto"/>
        <w:right w:val="none" w:sz="0" w:space="0" w:color="auto"/>
      </w:divBdr>
    </w:div>
    <w:div w:id="992292353">
      <w:bodyDiv w:val="1"/>
      <w:marLeft w:val="0"/>
      <w:marRight w:val="0"/>
      <w:marTop w:val="0"/>
      <w:marBottom w:val="0"/>
      <w:divBdr>
        <w:top w:val="none" w:sz="0" w:space="0" w:color="auto"/>
        <w:left w:val="none" w:sz="0" w:space="0" w:color="auto"/>
        <w:bottom w:val="none" w:sz="0" w:space="0" w:color="auto"/>
        <w:right w:val="none" w:sz="0" w:space="0" w:color="auto"/>
      </w:divBdr>
    </w:div>
    <w:div w:id="993221588">
      <w:bodyDiv w:val="1"/>
      <w:marLeft w:val="0"/>
      <w:marRight w:val="0"/>
      <w:marTop w:val="0"/>
      <w:marBottom w:val="0"/>
      <w:divBdr>
        <w:top w:val="none" w:sz="0" w:space="0" w:color="auto"/>
        <w:left w:val="none" w:sz="0" w:space="0" w:color="auto"/>
        <w:bottom w:val="none" w:sz="0" w:space="0" w:color="auto"/>
        <w:right w:val="none" w:sz="0" w:space="0" w:color="auto"/>
      </w:divBdr>
    </w:div>
    <w:div w:id="993724985">
      <w:bodyDiv w:val="1"/>
      <w:marLeft w:val="0"/>
      <w:marRight w:val="0"/>
      <w:marTop w:val="0"/>
      <w:marBottom w:val="0"/>
      <w:divBdr>
        <w:top w:val="none" w:sz="0" w:space="0" w:color="auto"/>
        <w:left w:val="none" w:sz="0" w:space="0" w:color="auto"/>
        <w:bottom w:val="none" w:sz="0" w:space="0" w:color="auto"/>
        <w:right w:val="none" w:sz="0" w:space="0" w:color="auto"/>
      </w:divBdr>
    </w:div>
    <w:div w:id="994265209">
      <w:bodyDiv w:val="1"/>
      <w:marLeft w:val="0"/>
      <w:marRight w:val="0"/>
      <w:marTop w:val="0"/>
      <w:marBottom w:val="0"/>
      <w:divBdr>
        <w:top w:val="none" w:sz="0" w:space="0" w:color="auto"/>
        <w:left w:val="none" w:sz="0" w:space="0" w:color="auto"/>
        <w:bottom w:val="none" w:sz="0" w:space="0" w:color="auto"/>
        <w:right w:val="none" w:sz="0" w:space="0" w:color="auto"/>
      </w:divBdr>
    </w:div>
    <w:div w:id="994383302">
      <w:bodyDiv w:val="1"/>
      <w:marLeft w:val="0"/>
      <w:marRight w:val="0"/>
      <w:marTop w:val="0"/>
      <w:marBottom w:val="0"/>
      <w:divBdr>
        <w:top w:val="none" w:sz="0" w:space="0" w:color="auto"/>
        <w:left w:val="none" w:sz="0" w:space="0" w:color="auto"/>
        <w:bottom w:val="none" w:sz="0" w:space="0" w:color="auto"/>
        <w:right w:val="none" w:sz="0" w:space="0" w:color="auto"/>
      </w:divBdr>
    </w:div>
    <w:div w:id="994532340">
      <w:bodyDiv w:val="1"/>
      <w:marLeft w:val="0"/>
      <w:marRight w:val="0"/>
      <w:marTop w:val="0"/>
      <w:marBottom w:val="0"/>
      <w:divBdr>
        <w:top w:val="none" w:sz="0" w:space="0" w:color="auto"/>
        <w:left w:val="none" w:sz="0" w:space="0" w:color="auto"/>
        <w:bottom w:val="none" w:sz="0" w:space="0" w:color="auto"/>
        <w:right w:val="none" w:sz="0" w:space="0" w:color="auto"/>
      </w:divBdr>
    </w:div>
    <w:div w:id="995180949">
      <w:bodyDiv w:val="1"/>
      <w:marLeft w:val="0"/>
      <w:marRight w:val="0"/>
      <w:marTop w:val="0"/>
      <w:marBottom w:val="0"/>
      <w:divBdr>
        <w:top w:val="none" w:sz="0" w:space="0" w:color="auto"/>
        <w:left w:val="none" w:sz="0" w:space="0" w:color="auto"/>
        <w:bottom w:val="none" w:sz="0" w:space="0" w:color="auto"/>
        <w:right w:val="none" w:sz="0" w:space="0" w:color="auto"/>
      </w:divBdr>
    </w:div>
    <w:div w:id="995916789">
      <w:bodyDiv w:val="1"/>
      <w:marLeft w:val="0"/>
      <w:marRight w:val="0"/>
      <w:marTop w:val="0"/>
      <w:marBottom w:val="0"/>
      <w:divBdr>
        <w:top w:val="none" w:sz="0" w:space="0" w:color="auto"/>
        <w:left w:val="none" w:sz="0" w:space="0" w:color="auto"/>
        <w:bottom w:val="none" w:sz="0" w:space="0" w:color="auto"/>
        <w:right w:val="none" w:sz="0" w:space="0" w:color="auto"/>
      </w:divBdr>
    </w:div>
    <w:div w:id="996305353">
      <w:bodyDiv w:val="1"/>
      <w:marLeft w:val="0"/>
      <w:marRight w:val="0"/>
      <w:marTop w:val="0"/>
      <w:marBottom w:val="0"/>
      <w:divBdr>
        <w:top w:val="none" w:sz="0" w:space="0" w:color="auto"/>
        <w:left w:val="none" w:sz="0" w:space="0" w:color="auto"/>
        <w:bottom w:val="none" w:sz="0" w:space="0" w:color="auto"/>
        <w:right w:val="none" w:sz="0" w:space="0" w:color="auto"/>
      </w:divBdr>
    </w:div>
    <w:div w:id="996417323">
      <w:bodyDiv w:val="1"/>
      <w:marLeft w:val="0"/>
      <w:marRight w:val="0"/>
      <w:marTop w:val="0"/>
      <w:marBottom w:val="0"/>
      <w:divBdr>
        <w:top w:val="none" w:sz="0" w:space="0" w:color="auto"/>
        <w:left w:val="none" w:sz="0" w:space="0" w:color="auto"/>
        <w:bottom w:val="none" w:sz="0" w:space="0" w:color="auto"/>
        <w:right w:val="none" w:sz="0" w:space="0" w:color="auto"/>
      </w:divBdr>
    </w:div>
    <w:div w:id="998118372">
      <w:bodyDiv w:val="1"/>
      <w:marLeft w:val="0"/>
      <w:marRight w:val="0"/>
      <w:marTop w:val="0"/>
      <w:marBottom w:val="0"/>
      <w:divBdr>
        <w:top w:val="none" w:sz="0" w:space="0" w:color="auto"/>
        <w:left w:val="none" w:sz="0" w:space="0" w:color="auto"/>
        <w:bottom w:val="none" w:sz="0" w:space="0" w:color="auto"/>
        <w:right w:val="none" w:sz="0" w:space="0" w:color="auto"/>
      </w:divBdr>
    </w:div>
    <w:div w:id="998385757">
      <w:bodyDiv w:val="1"/>
      <w:marLeft w:val="0"/>
      <w:marRight w:val="0"/>
      <w:marTop w:val="0"/>
      <w:marBottom w:val="0"/>
      <w:divBdr>
        <w:top w:val="none" w:sz="0" w:space="0" w:color="auto"/>
        <w:left w:val="none" w:sz="0" w:space="0" w:color="auto"/>
        <w:bottom w:val="none" w:sz="0" w:space="0" w:color="auto"/>
        <w:right w:val="none" w:sz="0" w:space="0" w:color="auto"/>
      </w:divBdr>
    </w:div>
    <w:div w:id="998848505">
      <w:bodyDiv w:val="1"/>
      <w:marLeft w:val="0"/>
      <w:marRight w:val="0"/>
      <w:marTop w:val="0"/>
      <w:marBottom w:val="0"/>
      <w:divBdr>
        <w:top w:val="none" w:sz="0" w:space="0" w:color="auto"/>
        <w:left w:val="none" w:sz="0" w:space="0" w:color="auto"/>
        <w:bottom w:val="none" w:sz="0" w:space="0" w:color="auto"/>
        <w:right w:val="none" w:sz="0" w:space="0" w:color="auto"/>
      </w:divBdr>
    </w:div>
    <w:div w:id="999890731">
      <w:bodyDiv w:val="1"/>
      <w:marLeft w:val="0"/>
      <w:marRight w:val="0"/>
      <w:marTop w:val="0"/>
      <w:marBottom w:val="0"/>
      <w:divBdr>
        <w:top w:val="none" w:sz="0" w:space="0" w:color="auto"/>
        <w:left w:val="none" w:sz="0" w:space="0" w:color="auto"/>
        <w:bottom w:val="none" w:sz="0" w:space="0" w:color="auto"/>
        <w:right w:val="none" w:sz="0" w:space="0" w:color="auto"/>
      </w:divBdr>
    </w:div>
    <w:div w:id="1002703339">
      <w:bodyDiv w:val="1"/>
      <w:marLeft w:val="0"/>
      <w:marRight w:val="0"/>
      <w:marTop w:val="0"/>
      <w:marBottom w:val="0"/>
      <w:divBdr>
        <w:top w:val="none" w:sz="0" w:space="0" w:color="auto"/>
        <w:left w:val="none" w:sz="0" w:space="0" w:color="auto"/>
        <w:bottom w:val="none" w:sz="0" w:space="0" w:color="auto"/>
        <w:right w:val="none" w:sz="0" w:space="0" w:color="auto"/>
      </w:divBdr>
    </w:div>
    <w:div w:id="1002898563">
      <w:bodyDiv w:val="1"/>
      <w:marLeft w:val="0"/>
      <w:marRight w:val="0"/>
      <w:marTop w:val="0"/>
      <w:marBottom w:val="0"/>
      <w:divBdr>
        <w:top w:val="none" w:sz="0" w:space="0" w:color="auto"/>
        <w:left w:val="none" w:sz="0" w:space="0" w:color="auto"/>
        <w:bottom w:val="none" w:sz="0" w:space="0" w:color="auto"/>
        <w:right w:val="none" w:sz="0" w:space="0" w:color="auto"/>
      </w:divBdr>
    </w:div>
    <w:div w:id="1004481781">
      <w:bodyDiv w:val="1"/>
      <w:marLeft w:val="0"/>
      <w:marRight w:val="0"/>
      <w:marTop w:val="0"/>
      <w:marBottom w:val="0"/>
      <w:divBdr>
        <w:top w:val="none" w:sz="0" w:space="0" w:color="auto"/>
        <w:left w:val="none" w:sz="0" w:space="0" w:color="auto"/>
        <w:bottom w:val="none" w:sz="0" w:space="0" w:color="auto"/>
        <w:right w:val="none" w:sz="0" w:space="0" w:color="auto"/>
      </w:divBdr>
    </w:div>
    <w:div w:id="1004936809">
      <w:bodyDiv w:val="1"/>
      <w:marLeft w:val="0"/>
      <w:marRight w:val="0"/>
      <w:marTop w:val="0"/>
      <w:marBottom w:val="0"/>
      <w:divBdr>
        <w:top w:val="none" w:sz="0" w:space="0" w:color="auto"/>
        <w:left w:val="none" w:sz="0" w:space="0" w:color="auto"/>
        <w:bottom w:val="none" w:sz="0" w:space="0" w:color="auto"/>
        <w:right w:val="none" w:sz="0" w:space="0" w:color="auto"/>
      </w:divBdr>
    </w:div>
    <w:div w:id="1005134092">
      <w:bodyDiv w:val="1"/>
      <w:marLeft w:val="0"/>
      <w:marRight w:val="0"/>
      <w:marTop w:val="0"/>
      <w:marBottom w:val="0"/>
      <w:divBdr>
        <w:top w:val="none" w:sz="0" w:space="0" w:color="auto"/>
        <w:left w:val="none" w:sz="0" w:space="0" w:color="auto"/>
        <w:bottom w:val="none" w:sz="0" w:space="0" w:color="auto"/>
        <w:right w:val="none" w:sz="0" w:space="0" w:color="auto"/>
      </w:divBdr>
    </w:div>
    <w:div w:id="1005597720">
      <w:bodyDiv w:val="1"/>
      <w:marLeft w:val="0"/>
      <w:marRight w:val="0"/>
      <w:marTop w:val="0"/>
      <w:marBottom w:val="0"/>
      <w:divBdr>
        <w:top w:val="none" w:sz="0" w:space="0" w:color="auto"/>
        <w:left w:val="none" w:sz="0" w:space="0" w:color="auto"/>
        <w:bottom w:val="none" w:sz="0" w:space="0" w:color="auto"/>
        <w:right w:val="none" w:sz="0" w:space="0" w:color="auto"/>
      </w:divBdr>
    </w:div>
    <w:div w:id="1006371225">
      <w:bodyDiv w:val="1"/>
      <w:marLeft w:val="0"/>
      <w:marRight w:val="0"/>
      <w:marTop w:val="0"/>
      <w:marBottom w:val="0"/>
      <w:divBdr>
        <w:top w:val="none" w:sz="0" w:space="0" w:color="auto"/>
        <w:left w:val="none" w:sz="0" w:space="0" w:color="auto"/>
        <w:bottom w:val="none" w:sz="0" w:space="0" w:color="auto"/>
        <w:right w:val="none" w:sz="0" w:space="0" w:color="auto"/>
      </w:divBdr>
    </w:div>
    <w:div w:id="1008216339">
      <w:bodyDiv w:val="1"/>
      <w:marLeft w:val="0"/>
      <w:marRight w:val="0"/>
      <w:marTop w:val="0"/>
      <w:marBottom w:val="0"/>
      <w:divBdr>
        <w:top w:val="none" w:sz="0" w:space="0" w:color="auto"/>
        <w:left w:val="none" w:sz="0" w:space="0" w:color="auto"/>
        <w:bottom w:val="none" w:sz="0" w:space="0" w:color="auto"/>
        <w:right w:val="none" w:sz="0" w:space="0" w:color="auto"/>
      </w:divBdr>
    </w:div>
    <w:div w:id="1009330001">
      <w:bodyDiv w:val="1"/>
      <w:marLeft w:val="0"/>
      <w:marRight w:val="0"/>
      <w:marTop w:val="0"/>
      <w:marBottom w:val="0"/>
      <w:divBdr>
        <w:top w:val="none" w:sz="0" w:space="0" w:color="auto"/>
        <w:left w:val="none" w:sz="0" w:space="0" w:color="auto"/>
        <w:bottom w:val="none" w:sz="0" w:space="0" w:color="auto"/>
        <w:right w:val="none" w:sz="0" w:space="0" w:color="auto"/>
      </w:divBdr>
    </w:div>
    <w:div w:id="1009408155">
      <w:bodyDiv w:val="1"/>
      <w:marLeft w:val="0"/>
      <w:marRight w:val="0"/>
      <w:marTop w:val="0"/>
      <w:marBottom w:val="0"/>
      <w:divBdr>
        <w:top w:val="none" w:sz="0" w:space="0" w:color="auto"/>
        <w:left w:val="none" w:sz="0" w:space="0" w:color="auto"/>
        <w:bottom w:val="none" w:sz="0" w:space="0" w:color="auto"/>
        <w:right w:val="none" w:sz="0" w:space="0" w:color="auto"/>
      </w:divBdr>
    </w:div>
    <w:div w:id="1009719400">
      <w:bodyDiv w:val="1"/>
      <w:marLeft w:val="0"/>
      <w:marRight w:val="0"/>
      <w:marTop w:val="0"/>
      <w:marBottom w:val="0"/>
      <w:divBdr>
        <w:top w:val="none" w:sz="0" w:space="0" w:color="auto"/>
        <w:left w:val="none" w:sz="0" w:space="0" w:color="auto"/>
        <w:bottom w:val="none" w:sz="0" w:space="0" w:color="auto"/>
        <w:right w:val="none" w:sz="0" w:space="0" w:color="auto"/>
      </w:divBdr>
    </w:div>
    <w:div w:id="1009991588">
      <w:bodyDiv w:val="1"/>
      <w:marLeft w:val="0"/>
      <w:marRight w:val="0"/>
      <w:marTop w:val="0"/>
      <w:marBottom w:val="0"/>
      <w:divBdr>
        <w:top w:val="none" w:sz="0" w:space="0" w:color="auto"/>
        <w:left w:val="none" w:sz="0" w:space="0" w:color="auto"/>
        <w:bottom w:val="none" w:sz="0" w:space="0" w:color="auto"/>
        <w:right w:val="none" w:sz="0" w:space="0" w:color="auto"/>
      </w:divBdr>
    </w:div>
    <w:div w:id="1010066036">
      <w:bodyDiv w:val="1"/>
      <w:marLeft w:val="0"/>
      <w:marRight w:val="0"/>
      <w:marTop w:val="0"/>
      <w:marBottom w:val="0"/>
      <w:divBdr>
        <w:top w:val="none" w:sz="0" w:space="0" w:color="auto"/>
        <w:left w:val="none" w:sz="0" w:space="0" w:color="auto"/>
        <w:bottom w:val="none" w:sz="0" w:space="0" w:color="auto"/>
        <w:right w:val="none" w:sz="0" w:space="0" w:color="auto"/>
      </w:divBdr>
    </w:div>
    <w:div w:id="1010567928">
      <w:bodyDiv w:val="1"/>
      <w:marLeft w:val="0"/>
      <w:marRight w:val="0"/>
      <w:marTop w:val="0"/>
      <w:marBottom w:val="0"/>
      <w:divBdr>
        <w:top w:val="none" w:sz="0" w:space="0" w:color="auto"/>
        <w:left w:val="none" w:sz="0" w:space="0" w:color="auto"/>
        <w:bottom w:val="none" w:sz="0" w:space="0" w:color="auto"/>
        <w:right w:val="none" w:sz="0" w:space="0" w:color="auto"/>
      </w:divBdr>
    </w:div>
    <w:div w:id="1010788868">
      <w:bodyDiv w:val="1"/>
      <w:marLeft w:val="0"/>
      <w:marRight w:val="0"/>
      <w:marTop w:val="0"/>
      <w:marBottom w:val="0"/>
      <w:divBdr>
        <w:top w:val="none" w:sz="0" w:space="0" w:color="auto"/>
        <w:left w:val="none" w:sz="0" w:space="0" w:color="auto"/>
        <w:bottom w:val="none" w:sz="0" w:space="0" w:color="auto"/>
        <w:right w:val="none" w:sz="0" w:space="0" w:color="auto"/>
      </w:divBdr>
    </w:div>
    <w:div w:id="1010832568">
      <w:bodyDiv w:val="1"/>
      <w:marLeft w:val="0"/>
      <w:marRight w:val="0"/>
      <w:marTop w:val="0"/>
      <w:marBottom w:val="0"/>
      <w:divBdr>
        <w:top w:val="none" w:sz="0" w:space="0" w:color="auto"/>
        <w:left w:val="none" w:sz="0" w:space="0" w:color="auto"/>
        <w:bottom w:val="none" w:sz="0" w:space="0" w:color="auto"/>
        <w:right w:val="none" w:sz="0" w:space="0" w:color="auto"/>
      </w:divBdr>
    </w:div>
    <w:div w:id="1011222229">
      <w:bodyDiv w:val="1"/>
      <w:marLeft w:val="0"/>
      <w:marRight w:val="0"/>
      <w:marTop w:val="0"/>
      <w:marBottom w:val="0"/>
      <w:divBdr>
        <w:top w:val="none" w:sz="0" w:space="0" w:color="auto"/>
        <w:left w:val="none" w:sz="0" w:space="0" w:color="auto"/>
        <w:bottom w:val="none" w:sz="0" w:space="0" w:color="auto"/>
        <w:right w:val="none" w:sz="0" w:space="0" w:color="auto"/>
      </w:divBdr>
    </w:div>
    <w:div w:id="1011955543">
      <w:bodyDiv w:val="1"/>
      <w:marLeft w:val="0"/>
      <w:marRight w:val="0"/>
      <w:marTop w:val="0"/>
      <w:marBottom w:val="0"/>
      <w:divBdr>
        <w:top w:val="none" w:sz="0" w:space="0" w:color="auto"/>
        <w:left w:val="none" w:sz="0" w:space="0" w:color="auto"/>
        <w:bottom w:val="none" w:sz="0" w:space="0" w:color="auto"/>
        <w:right w:val="none" w:sz="0" w:space="0" w:color="auto"/>
      </w:divBdr>
    </w:div>
    <w:div w:id="1012100287">
      <w:bodyDiv w:val="1"/>
      <w:marLeft w:val="0"/>
      <w:marRight w:val="0"/>
      <w:marTop w:val="0"/>
      <w:marBottom w:val="0"/>
      <w:divBdr>
        <w:top w:val="none" w:sz="0" w:space="0" w:color="auto"/>
        <w:left w:val="none" w:sz="0" w:space="0" w:color="auto"/>
        <w:bottom w:val="none" w:sz="0" w:space="0" w:color="auto"/>
        <w:right w:val="none" w:sz="0" w:space="0" w:color="auto"/>
      </w:divBdr>
    </w:div>
    <w:div w:id="1012494958">
      <w:bodyDiv w:val="1"/>
      <w:marLeft w:val="0"/>
      <w:marRight w:val="0"/>
      <w:marTop w:val="0"/>
      <w:marBottom w:val="0"/>
      <w:divBdr>
        <w:top w:val="none" w:sz="0" w:space="0" w:color="auto"/>
        <w:left w:val="none" w:sz="0" w:space="0" w:color="auto"/>
        <w:bottom w:val="none" w:sz="0" w:space="0" w:color="auto"/>
        <w:right w:val="none" w:sz="0" w:space="0" w:color="auto"/>
      </w:divBdr>
    </w:div>
    <w:div w:id="1013530025">
      <w:bodyDiv w:val="1"/>
      <w:marLeft w:val="0"/>
      <w:marRight w:val="0"/>
      <w:marTop w:val="0"/>
      <w:marBottom w:val="0"/>
      <w:divBdr>
        <w:top w:val="none" w:sz="0" w:space="0" w:color="auto"/>
        <w:left w:val="none" w:sz="0" w:space="0" w:color="auto"/>
        <w:bottom w:val="none" w:sz="0" w:space="0" w:color="auto"/>
        <w:right w:val="none" w:sz="0" w:space="0" w:color="auto"/>
      </w:divBdr>
    </w:div>
    <w:div w:id="1014572457">
      <w:bodyDiv w:val="1"/>
      <w:marLeft w:val="0"/>
      <w:marRight w:val="0"/>
      <w:marTop w:val="0"/>
      <w:marBottom w:val="0"/>
      <w:divBdr>
        <w:top w:val="none" w:sz="0" w:space="0" w:color="auto"/>
        <w:left w:val="none" w:sz="0" w:space="0" w:color="auto"/>
        <w:bottom w:val="none" w:sz="0" w:space="0" w:color="auto"/>
        <w:right w:val="none" w:sz="0" w:space="0" w:color="auto"/>
      </w:divBdr>
    </w:div>
    <w:div w:id="1014572765">
      <w:bodyDiv w:val="1"/>
      <w:marLeft w:val="0"/>
      <w:marRight w:val="0"/>
      <w:marTop w:val="0"/>
      <w:marBottom w:val="0"/>
      <w:divBdr>
        <w:top w:val="none" w:sz="0" w:space="0" w:color="auto"/>
        <w:left w:val="none" w:sz="0" w:space="0" w:color="auto"/>
        <w:bottom w:val="none" w:sz="0" w:space="0" w:color="auto"/>
        <w:right w:val="none" w:sz="0" w:space="0" w:color="auto"/>
      </w:divBdr>
    </w:div>
    <w:div w:id="1014840683">
      <w:bodyDiv w:val="1"/>
      <w:marLeft w:val="0"/>
      <w:marRight w:val="0"/>
      <w:marTop w:val="0"/>
      <w:marBottom w:val="0"/>
      <w:divBdr>
        <w:top w:val="none" w:sz="0" w:space="0" w:color="auto"/>
        <w:left w:val="none" w:sz="0" w:space="0" w:color="auto"/>
        <w:bottom w:val="none" w:sz="0" w:space="0" w:color="auto"/>
        <w:right w:val="none" w:sz="0" w:space="0" w:color="auto"/>
      </w:divBdr>
    </w:div>
    <w:div w:id="1014844662">
      <w:bodyDiv w:val="1"/>
      <w:marLeft w:val="0"/>
      <w:marRight w:val="0"/>
      <w:marTop w:val="0"/>
      <w:marBottom w:val="0"/>
      <w:divBdr>
        <w:top w:val="none" w:sz="0" w:space="0" w:color="auto"/>
        <w:left w:val="none" w:sz="0" w:space="0" w:color="auto"/>
        <w:bottom w:val="none" w:sz="0" w:space="0" w:color="auto"/>
        <w:right w:val="none" w:sz="0" w:space="0" w:color="auto"/>
      </w:divBdr>
    </w:div>
    <w:div w:id="1015770324">
      <w:bodyDiv w:val="1"/>
      <w:marLeft w:val="0"/>
      <w:marRight w:val="0"/>
      <w:marTop w:val="0"/>
      <w:marBottom w:val="0"/>
      <w:divBdr>
        <w:top w:val="none" w:sz="0" w:space="0" w:color="auto"/>
        <w:left w:val="none" w:sz="0" w:space="0" w:color="auto"/>
        <w:bottom w:val="none" w:sz="0" w:space="0" w:color="auto"/>
        <w:right w:val="none" w:sz="0" w:space="0" w:color="auto"/>
      </w:divBdr>
    </w:div>
    <w:div w:id="1016661490">
      <w:bodyDiv w:val="1"/>
      <w:marLeft w:val="0"/>
      <w:marRight w:val="0"/>
      <w:marTop w:val="0"/>
      <w:marBottom w:val="0"/>
      <w:divBdr>
        <w:top w:val="none" w:sz="0" w:space="0" w:color="auto"/>
        <w:left w:val="none" w:sz="0" w:space="0" w:color="auto"/>
        <w:bottom w:val="none" w:sz="0" w:space="0" w:color="auto"/>
        <w:right w:val="none" w:sz="0" w:space="0" w:color="auto"/>
      </w:divBdr>
    </w:div>
    <w:div w:id="1017151271">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9965509">
      <w:bodyDiv w:val="1"/>
      <w:marLeft w:val="0"/>
      <w:marRight w:val="0"/>
      <w:marTop w:val="0"/>
      <w:marBottom w:val="0"/>
      <w:divBdr>
        <w:top w:val="none" w:sz="0" w:space="0" w:color="auto"/>
        <w:left w:val="none" w:sz="0" w:space="0" w:color="auto"/>
        <w:bottom w:val="none" w:sz="0" w:space="0" w:color="auto"/>
        <w:right w:val="none" w:sz="0" w:space="0" w:color="auto"/>
      </w:divBdr>
    </w:div>
    <w:div w:id="1020008507">
      <w:bodyDiv w:val="1"/>
      <w:marLeft w:val="0"/>
      <w:marRight w:val="0"/>
      <w:marTop w:val="0"/>
      <w:marBottom w:val="0"/>
      <w:divBdr>
        <w:top w:val="none" w:sz="0" w:space="0" w:color="auto"/>
        <w:left w:val="none" w:sz="0" w:space="0" w:color="auto"/>
        <w:bottom w:val="none" w:sz="0" w:space="0" w:color="auto"/>
        <w:right w:val="none" w:sz="0" w:space="0" w:color="auto"/>
      </w:divBdr>
    </w:div>
    <w:div w:id="1020816728">
      <w:bodyDiv w:val="1"/>
      <w:marLeft w:val="0"/>
      <w:marRight w:val="0"/>
      <w:marTop w:val="0"/>
      <w:marBottom w:val="0"/>
      <w:divBdr>
        <w:top w:val="none" w:sz="0" w:space="0" w:color="auto"/>
        <w:left w:val="none" w:sz="0" w:space="0" w:color="auto"/>
        <w:bottom w:val="none" w:sz="0" w:space="0" w:color="auto"/>
        <w:right w:val="none" w:sz="0" w:space="0" w:color="auto"/>
      </w:divBdr>
    </w:div>
    <w:div w:id="1022125709">
      <w:bodyDiv w:val="1"/>
      <w:marLeft w:val="0"/>
      <w:marRight w:val="0"/>
      <w:marTop w:val="0"/>
      <w:marBottom w:val="0"/>
      <w:divBdr>
        <w:top w:val="none" w:sz="0" w:space="0" w:color="auto"/>
        <w:left w:val="none" w:sz="0" w:space="0" w:color="auto"/>
        <w:bottom w:val="none" w:sz="0" w:space="0" w:color="auto"/>
        <w:right w:val="none" w:sz="0" w:space="0" w:color="auto"/>
      </w:divBdr>
    </w:div>
    <w:div w:id="1022634627">
      <w:bodyDiv w:val="1"/>
      <w:marLeft w:val="0"/>
      <w:marRight w:val="0"/>
      <w:marTop w:val="0"/>
      <w:marBottom w:val="0"/>
      <w:divBdr>
        <w:top w:val="none" w:sz="0" w:space="0" w:color="auto"/>
        <w:left w:val="none" w:sz="0" w:space="0" w:color="auto"/>
        <w:bottom w:val="none" w:sz="0" w:space="0" w:color="auto"/>
        <w:right w:val="none" w:sz="0" w:space="0" w:color="auto"/>
      </w:divBdr>
    </w:div>
    <w:div w:id="1022706273">
      <w:bodyDiv w:val="1"/>
      <w:marLeft w:val="0"/>
      <w:marRight w:val="0"/>
      <w:marTop w:val="0"/>
      <w:marBottom w:val="0"/>
      <w:divBdr>
        <w:top w:val="none" w:sz="0" w:space="0" w:color="auto"/>
        <w:left w:val="none" w:sz="0" w:space="0" w:color="auto"/>
        <w:bottom w:val="none" w:sz="0" w:space="0" w:color="auto"/>
        <w:right w:val="none" w:sz="0" w:space="0" w:color="auto"/>
      </w:divBdr>
    </w:div>
    <w:div w:id="1022786820">
      <w:bodyDiv w:val="1"/>
      <w:marLeft w:val="0"/>
      <w:marRight w:val="0"/>
      <w:marTop w:val="0"/>
      <w:marBottom w:val="0"/>
      <w:divBdr>
        <w:top w:val="none" w:sz="0" w:space="0" w:color="auto"/>
        <w:left w:val="none" w:sz="0" w:space="0" w:color="auto"/>
        <w:bottom w:val="none" w:sz="0" w:space="0" w:color="auto"/>
        <w:right w:val="none" w:sz="0" w:space="0" w:color="auto"/>
      </w:divBdr>
    </w:div>
    <w:div w:id="1023092247">
      <w:bodyDiv w:val="1"/>
      <w:marLeft w:val="0"/>
      <w:marRight w:val="0"/>
      <w:marTop w:val="0"/>
      <w:marBottom w:val="0"/>
      <w:divBdr>
        <w:top w:val="none" w:sz="0" w:space="0" w:color="auto"/>
        <w:left w:val="none" w:sz="0" w:space="0" w:color="auto"/>
        <w:bottom w:val="none" w:sz="0" w:space="0" w:color="auto"/>
        <w:right w:val="none" w:sz="0" w:space="0" w:color="auto"/>
      </w:divBdr>
    </w:div>
    <w:div w:id="1023481163">
      <w:bodyDiv w:val="1"/>
      <w:marLeft w:val="0"/>
      <w:marRight w:val="0"/>
      <w:marTop w:val="0"/>
      <w:marBottom w:val="0"/>
      <w:divBdr>
        <w:top w:val="none" w:sz="0" w:space="0" w:color="auto"/>
        <w:left w:val="none" w:sz="0" w:space="0" w:color="auto"/>
        <w:bottom w:val="none" w:sz="0" w:space="0" w:color="auto"/>
        <w:right w:val="none" w:sz="0" w:space="0" w:color="auto"/>
      </w:divBdr>
    </w:div>
    <w:div w:id="1024789285">
      <w:bodyDiv w:val="1"/>
      <w:marLeft w:val="0"/>
      <w:marRight w:val="0"/>
      <w:marTop w:val="0"/>
      <w:marBottom w:val="0"/>
      <w:divBdr>
        <w:top w:val="none" w:sz="0" w:space="0" w:color="auto"/>
        <w:left w:val="none" w:sz="0" w:space="0" w:color="auto"/>
        <w:bottom w:val="none" w:sz="0" w:space="0" w:color="auto"/>
        <w:right w:val="none" w:sz="0" w:space="0" w:color="auto"/>
      </w:divBdr>
    </w:div>
    <w:div w:id="1027292299">
      <w:bodyDiv w:val="1"/>
      <w:marLeft w:val="0"/>
      <w:marRight w:val="0"/>
      <w:marTop w:val="0"/>
      <w:marBottom w:val="0"/>
      <w:divBdr>
        <w:top w:val="none" w:sz="0" w:space="0" w:color="auto"/>
        <w:left w:val="none" w:sz="0" w:space="0" w:color="auto"/>
        <w:bottom w:val="none" w:sz="0" w:space="0" w:color="auto"/>
        <w:right w:val="none" w:sz="0" w:space="0" w:color="auto"/>
      </w:divBdr>
    </w:div>
    <w:div w:id="1027752610">
      <w:bodyDiv w:val="1"/>
      <w:marLeft w:val="0"/>
      <w:marRight w:val="0"/>
      <w:marTop w:val="0"/>
      <w:marBottom w:val="0"/>
      <w:divBdr>
        <w:top w:val="none" w:sz="0" w:space="0" w:color="auto"/>
        <w:left w:val="none" w:sz="0" w:space="0" w:color="auto"/>
        <w:bottom w:val="none" w:sz="0" w:space="0" w:color="auto"/>
        <w:right w:val="none" w:sz="0" w:space="0" w:color="auto"/>
      </w:divBdr>
    </w:div>
    <w:div w:id="1028289997">
      <w:bodyDiv w:val="1"/>
      <w:marLeft w:val="0"/>
      <w:marRight w:val="0"/>
      <w:marTop w:val="0"/>
      <w:marBottom w:val="0"/>
      <w:divBdr>
        <w:top w:val="none" w:sz="0" w:space="0" w:color="auto"/>
        <w:left w:val="none" w:sz="0" w:space="0" w:color="auto"/>
        <w:bottom w:val="none" w:sz="0" w:space="0" w:color="auto"/>
        <w:right w:val="none" w:sz="0" w:space="0" w:color="auto"/>
      </w:divBdr>
    </w:div>
    <w:div w:id="1028531569">
      <w:bodyDiv w:val="1"/>
      <w:marLeft w:val="0"/>
      <w:marRight w:val="0"/>
      <w:marTop w:val="0"/>
      <w:marBottom w:val="0"/>
      <w:divBdr>
        <w:top w:val="none" w:sz="0" w:space="0" w:color="auto"/>
        <w:left w:val="none" w:sz="0" w:space="0" w:color="auto"/>
        <w:bottom w:val="none" w:sz="0" w:space="0" w:color="auto"/>
        <w:right w:val="none" w:sz="0" w:space="0" w:color="auto"/>
      </w:divBdr>
    </w:div>
    <w:div w:id="1029068279">
      <w:bodyDiv w:val="1"/>
      <w:marLeft w:val="0"/>
      <w:marRight w:val="0"/>
      <w:marTop w:val="0"/>
      <w:marBottom w:val="0"/>
      <w:divBdr>
        <w:top w:val="none" w:sz="0" w:space="0" w:color="auto"/>
        <w:left w:val="none" w:sz="0" w:space="0" w:color="auto"/>
        <w:bottom w:val="none" w:sz="0" w:space="0" w:color="auto"/>
        <w:right w:val="none" w:sz="0" w:space="0" w:color="auto"/>
      </w:divBdr>
    </w:div>
    <w:div w:id="1029188549">
      <w:bodyDiv w:val="1"/>
      <w:marLeft w:val="0"/>
      <w:marRight w:val="0"/>
      <w:marTop w:val="0"/>
      <w:marBottom w:val="0"/>
      <w:divBdr>
        <w:top w:val="none" w:sz="0" w:space="0" w:color="auto"/>
        <w:left w:val="none" w:sz="0" w:space="0" w:color="auto"/>
        <w:bottom w:val="none" w:sz="0" w:space="0" w:color="auto"/>
        <w:right w:val="none" w:sz="0" w:space="0" w:color="auto"/>
      </w:divBdr>
    </w:div>
    <w:div w:id="1029647941">
      <w:bodyDiv w:val="1"/>
      <w:marLeft w:val="0"/>
      <w:marRight w:val="0"/>
      <w:marTop w:val="0"/>
      <w:marBottom w:val="0"/>
      <w:divBdr>
        <w:top w:val="none" w:sz="0" w:space="0" w:color="auto"/>
        <w:left w:val="none" w:sz="0" w:space="0" w:color="auto"/>
        <w:bottom w:val="none" w:sz="0" w:space="0" w:color="auto"/>
        <w:right w:val="none" w:sz="0" w:space="0" w:color="auto"/>
      </w:divBdr>
    </w:div>
    <w:div w:id="1031611433">
      <w:bodyDiv w:val="1"/>
      <w:marLeft w:val="0"/>
      <w:marRight w:val="0"/>
      <w:marTop w:val="0"/>
      <w:marBottom w:val="0"/>
      <w:divBdr>
        <w:top w:val="none" w:sz="0" w:space="0" w:color="auto"/>
        <w:left w:val="none" w:sz="0" w:space="0" w:color="auto"/>
        <w:bottom w:val="none" w:sz="0" w:space="0" w:color="auto"/>
        <w:right w:val="none" w:sz="0" w:space="0" w:color="auto"/>
      </w:divBdr>
    </w:div>
    <w:div w:id="1031684718">
      <w:bodyDiv w:val="1"/>
      <w:marLeft w:val="0"/>
      <w:marRight w:val="0"/>
      <w:marTop w:val="0"/>
      <w:marBottom w:val="0"/>
      <w:divBdr>
        <w:top w:val="none" w:sz="0" w:space="0" w:color="auto"/>
        <w:left w:val="none" w:sz="0" w:space="0" w:color="auto"/>
        <w:bottom w:val="none" w:sz="0" w:space="0" w:color="auto"/>
        <w:right w:val="none" w:sz="0" w:space="0" w:color="auto"/>
      </w:divBdr>
    </w:div>
    <w:div w:id="1032265581">
      <w:bodyDiv w:val="1"/>
      <w:marLeft w:val="0"/>
      <w:marRight w:val="0"/>
      <w:marTop w:val="0"/>
      <w:marBottom w:val="0"/>
      <w:divBdr>
        <w:top w:val="none" w:sz="0" w:space="0" w:color="auto"/>
        <w:left w:val="none" w:sz="0" w:space="0" w:color="auto"/>
        <w:bottom w:val="none" w:sz="0" w:space="0" w:color="auto"/>
        <w:right w:val="none" w:sz="0" w:space="0" w:color="auto"/>
      </w:divBdr>
    </w:div>
    <w:div w:id="1032652945">
      <w:bodyDiv w:val="1"/>
      <w:marLeft w:val="0"/>
      <w:marRight w:val="0"/>
      <w:marTop w:val="0"/>
      <w:marBottom w:val="0"/>
      <w:divBdr>
        <w:top w:val="none" w:sz="0" w:space="0" w:color="auto"/>
        <w:left w:val="none" w:sz="0" w:space="0" w:color="auto"/>
        <w:bottom w:val="none" w:sz="0" w:space="0" w:color="auto"/>
        <w:right w:val="none" w:sz="0" w:space="0" w:color="auto"/>
      </w:divBdr>
    </w:div>
    <w:div w:id="1032995704">
      <w:bodyDiv w:val="1"/>
      <w:marLeft w:val="0"/>
      <w:marRight w:val="0"/>
      <w:marTop w:val="0"/>
      <w:marBottom w:val="0"/>
      <w:divBdr>
        <w:top w:val="none" w:sz="0" w:space="0" w:color="auto"/>
        <w:left w:val="none" w:sz="0" w:space="0" w:color="auto"/>
        <w:bottom w:val="none" w:sz="0" w:space="0" w:color="auto"/>
        <w:right w:val="none" w:sz="0" w:space="0" w:color="auto"/>
      </w:divBdr>
    </w:div>
    <w:div w:id="1034383718">
      <w:bodyDiv w:val="1"/>
      <w:marLeft w:val="0"/>
      <w:marRight w:val="0"/>
      <w:marTop w:val="0"/>
      <w:marBottom w:val="0"/>
      <w:divBdr>
        <w:top w:val="none" w:sz="0" w:space="0" w:color="auto"/>
        <w:left w:val="none" w:sz="0" w:space="0" w:color="auto"/>
        <w:bottom w:val="none" w:sz="0" w:space="0" w:color="auto"/>
        <w:right w:val="none" w:sz="0" w:space="0" w:color="auto"/>
      </w:divBdr>
    </w:div>
    <w:div w:id="1035350431">
      <w:bodyDiv w:val="1"/>
      <w:marLeft w:val="0"/>
      <w:marRight w:val="0"/>
      <w:marTop w:val="0"/>
      <w:marBottom w:val="0"/>
      <w:divBdr>
        <w:top w:val="none" w:sz="0" w:space="0" w:color="auto"/>
        <w:left w:val="none" w:sz="0" w:space="0" w:color="auto"/>
        <w:bottom w:val="none" w:sz="0" w:space="0" w:color="auto"/>
        <w:right w:val="none" w:sz="0" w:space="0" w:color="auto"/>
      </w:divBdr>
    </w:div>
    <w:div w:id="1036126825">
      <w:bodyDiv w:val="1"/>
      <w:marLeft w:val="0"/>
      <w:marRight w:val="0"/>
      <w:marTop w:val="0"/>
      <w:marBottom w:val="0"/>
      <w:divBdr>
        <w:top w:val="none" w:sz="0" w:space="0" w:color="auto"/>
        <w:left w:val="none" w:sz="0" w:space="0" w:color="auto"/>
        <w:bottom w:val="none" w:sz="0" w:space="0" w:color="auto"/>
        <w:right w:val="none" w:sz="0" w:space="0" w:color="auto"/>
      </w:divBdr>
    </w:div>
    <w:div w:id="1036196695">
      <w:bodyDiv w:val="1"/>
      <w:marLeft w:val="0"/>
      <w:marRight w:val="0"/>
      <w:marTop w:val="0"/>
      <w:marBottom w:val="0"/>
      <w:divBdr>
        <w:top w:val="none" w:sz="0" w:space="0" w:color="auto"/>
        <w:left w:val="none" w:sz="0" w:space="0" w:color="auto"/>
        <w:bottom w:val="none" w:sz="0" w:space="0" w:color="auto"/>
        <w:right w:val="none" w:sz="0" w:space="0" w:color="auto"/>
      </w:divBdr>
    </w:div>
    <w:div w:id="1037047337">
      <w:bodyDiv w:val="1"/>
      <w:marLeft w:val="0"/>
      <w:marRight w:val="0"/>
      <w:marTop w:val="0"/>
      <w:marBottom w:val="0"/>
      <w:divBdr>
        <w:top w:val="none" w:sz="0" w:space="0" w:color="auto"/>
        <w:left w:val="none" w:sz="0" w:space="0" w:color="auto"/>
        <w:bottom w:val="none" w:sz="0" w:space="0" w:color="auto"/>
        <w:right w:val="none" w:sz="0" w:space="0" w:color="auto"/>
      </w:divBdr>
    </w:div>
    <w:div w:id="1037239610">
      <w:bodyDiv w:val="1"/>
      <w:marLeft w:val="0"/>
      <w:marRight w:val="0"/>
      <w:marTop w:val="0"/>
      <w:marBottom w:val="0"/>
      <w:divBdr>
        <w:top w:val="none" w:sz="0" w:space="0" w:color="auto"/>
        <w:left w:val="none" w:sz="0" w:space="0" w:color="auto"/>
        <w:bottom w:val="none" w:sz="0" w:space="0" w:color="auto"/>
        <w:right w:val="none" w:sz="0" w:space="0" w:color="auto"/>
      </w:divBdr>
    </w:div>
    <w:div w:id="1037505931">
      <w:bodyDiv w:val="1"/>
      <w:marLeft w:val="0"/>
      <w:marRight w:val="0"/>
      <w:marTop w:val="0"/>
      <w:marBottom w:val="0"/>
      <w:divBdr>
        <w:top w:val="none" w:sz="0" w:space="0" w:color="auto"/>
        <w:left w:val="none" w:sz="0" w:space="0" w:color="auto"/>
        <w:bottom w:val="none" w:sz="0" w:space="0" w:color="auto"/>
        <w:right w:val="none" w:sz="0" w:space="0" w:color="auto"/>
      </w:divBdr>
    </w:div>
    <w:div w:id="1038431144">
      <w:bodyDiv w:val="1"/>
      <w:marLeft w:val="0"/>
      <w:marRight w:val="0"/>
      <w:marTop w:val="0"/>
      <w:marBottom w:val="0"/>
      <w:divBdr>
        <w:top w:val="none" w:sz="0" w:space="0" w:color="auto"/>
        <w:left w:val="none" w:sz="0" w:space="0" w:color="auto"/>
        <w:bottom w:val="none" w:sz="0" w:space="0" w:color="auto"/>
        <w:right w:val="none" w:sz="0" w:space="0" w:color="auto"/>
      </w:divBdr>
    </w:div>
    <w:div w:id="1040086157">
      <w:bodyDiv w:val="1"/>
      <w:marLeft w:val="0"/>
      <w:marRight w:val="0"/>
      <w:marTop w:val="0"/>
      <w:marBottom w:val="0"/>
      <w:divBdr>
        <w:top w:val="none" w:sz="0" w:space="0" w:color="auto"/>
        <w:left w:val="none" w:sz="0" w:space="0" w:color="auto"/>
        <w:bottom w:val="none" w:sz="0" w:space="0" w:color="auto"/>
        <w:right w:val="none" w:sz="0" w:space="0" w:color="auto"/>
      </w:divBdr>
    </w:div>
    <w:div w:id="1040208059">
      <w:bodyDiv w:val="1"/>
      <w:marLeft w:val="0"/>
      <w:marRight w:val="0"/>
      <w:marTop w:val="0"/>
      <w:marBottom w:val="0"/>
      <w:divBdr>
        <w:top w:val="none" w:sz="0" w:space="0" w:color="auto"/>
        <w:left w:val="none" w:sz="0" w:space="0" w:color="auto"/>
        <w:bottom w:val="none" w:sz="0" w:space="0" w:color="auto"/>
        <w:right w:val="none" w:sz="0" w:space="0" w:color="auto"/>
      </w:divBdr>
    </w:div>
    <w:div w:id="1042023123">
      <w:bodyDiv w:val="1"/>
      <w:marLeft w:val="0"/>
      <w:marRight w:val="0"/>
      <w:marTop w:val="0"/>
      <w:marBottom w:val="0"/>
      <w:divBdr>
        <w:top w:val="none" w:sz="0" w:space="0" w:color="auto"/>
        <w:left w:val="none" w:sz="0" w:space="0" w:color="auto"/>
        <w:bottom w:val="none" w:sz="0" w:space="0" w:color="auto"/>
        <w:right w:val="none" w:sz="0" w:space="0" w:color="auto"/>
      </w:divBdr>
    </w:div>
    <w:div w:id="1043406151">
      <w:bodyDiv w:val="1"/>
      <w:marLeft w:val="0"/>
      <w:marRight w:val="0"/>
      <w:marTop w:val="0"/>
      <w:marBottom w:val="0"/>
      <w:divBdr>
        <w:top w:val="none" w:sz="0" w:space="0" w:color="auto"/>
        <w:left w:val="none" w:sz="0" w:space="0" w:color="auto"/>
        <w:bottom w:val="none" w:sz="0" w:space="0" w:color="auto"/>
        <w:right w:val="none" w:sz="0" w:space="0" w:color="auto"/>
      </w:divBdr>
    </w:div>
    <w:div w:id="1043603194">
      <w:bodyDiv w:val="1"/>
      <w:marLeft w:val="0"/>
      <w:marRight w:val="0"/>
      <w:marTop w:val="0"/>
      <w:marBottom w:val="0"/>
      <w:divBdr>
        <w:top w:val="none" w:sz="0" w:space="0" w:color="auto"/>
        <w:left w:val="none" w:sz="0" w:space="0" w:color="auto"/>
        <w:bottom w:val="none" w:sz="0" w:space="0" w:color="auto"/>
        <w:right w:val="none" w:sz="0" w:space="0" w:color="auto"/>
      </w:divBdr>
    </w:div>
    <w:div w:id="1044521926">
      <w:bodyDiv w:val="1"/>
      <w:marLeft w:val="0"/>
      <w:marRight w:val="0"/>
      <w:marTop w:val="0"/>
      <w:marBottom w:val="0"/>
      <w:divBdr>
        <w:top w:val="none" w:sz="0" w:space="0" w:color="auto"/>
        <w:left w:val="none" w:sz="0" w:space="0" w:color="auto"/>
        <w:bottom w:val="none" w:sz="0" w:space="0" w:color="auto"/>
        <w:right w:val="none" w:sz="0" w:space="0" w:color="auto"/>
      </w:divBdr>
    </w:div>
    <w:div w:id="1044720694">
      <w:bodyDiv w:val="1"/>
      <w:marLeft w:val="0"/>
      <w:marRight w:val="0"/>
      <w:marTop w:val="0"/>
      <w:marBottom w:val="0"/>
      <w:divBdr>
        <w:top w:val="none" w:sz="0" w:space="0" w:color="auto"/>
        <w:left w:val="none" w:sz="0" w:space="0" w:color="auto"/>
        <w:bottom w:val="none" w:sz="0" w:space="0" w:color="auto"/>
        <w:right w:val="none" w:sz="0" w:space="0" w:color="auto"/>
      </w:divBdr>
    </w:div>
    <w:div w:id="1045717605">
      <w:bodyDiv w:val="1"/>
      <w:marLeft w:val="0"/>
      <w:marRight w:val="0"/>
      <w:marTop w:val="0"/>
      <w:marBottom w:val="0"/>
      <w:divBdr>
        <w:top w:val="none" w:sz="0" w:space="0" w:color="auto"/>
        <w:left w:val="none" w:sz="0" w:space="0" w:color="auto"/>
        <w:bottom w:val="none" w:sz="0" w:space="0" w:color="auto"/>
        <w:right w:val="none" w:sz="0" w:space="0" w:color="auto"/>
      </w:divBdr>
    </w:div>
    <w:div w:id="1045906495">
      <w:bodyDiv w:val="1"/>
      <w:marLeft w:val="0"/>
      <w:marRight w:val="0"/>
      <w:marTop w:val="0"/>
      <w:marBottom w:val="0"/>
      <w:divBdr>
        <w:top w:val="none" w:sz="0" w:space="0" w:color="auto"/>
        <w:left w:val="none" w:sz="0" w:space="0" w:color="auto"/>
        <w:bottom w:val="none" w:sz="0" w:space="0" w:color="auto"/>
        <w:right w:val="none" w:sz="0" w:space="0" w:color="auto"/>
      </w:divBdr>
    </w:div>
    <w:div w:id="1046953073">
      <w:bodyDiv w:val="1"/>
      <w:marLeft w:val="0"/>
      <w:marRight w:val="0"/>
      <w:marTop w:val="0"/>
      <w:marBottom w:val="0"/>
      <w:divBdr>
        <w:top w:val="none" w:sz="0" w:space="0" w:color="auto"/>
        <w:left w:val="none" w:sz="0" w:space="0" w:color="auto"/>
        <w:bottom w:val="none" w:sz="0" w:space="0" w:color="auto"/>
        <w:right w:val="none" w:sz="0" w:space="0" w:color="auto"/>
      </w:divBdr>
    </w:div>
    <w:div w:id="1047219018">
      <w:bodyDiv w:val="1"/>
      <w:marLeft w:val="0"/>
      <w:marRight w:val="0"/>
      <w:marTop w:val="0"/>
      <w:marBottom w:val="0"/>
      <w:divBdr>
        <w:top w:val="none" w:sz="0" w:space="0" w:color="auto"/>
        <w:left w:val="none" w:sz="0" w:space="0" w:color="auto"/>
        <w:bottom w:val="none" w:sz="0" w:space="0" w:color="auto"/>
        <w:right w:val="none" w:sz="0" w:space="0" w:color="auto"/>
      </w:divBdr>
    </w:div>
    <w:div w:id="1048065534">
      <w:bodyDiv w:val="1"/>
      <w:marLeft w:val="0"/>
      <w:marRight w:val="0"/>
      <w:marTop w:val="0"/>
      <w:marBottom w:val="0"/>
      <w:divBdr>
        <w:top w:val="none" w:sz="0" w:space="0" w:color="auto"/>
        <w:left w:val="none" w:sz="0" w:space="0" w:color="auto"/>
        <w:bottom w:val="none" w:sz="0" w:space="0" w:color="auto"/>
        <w:right w:val="none" w:sz="0" w:space="0" w:color="auto"/>
      </w:divBdr>
    </w:div>
    <w:div w:id="1049185135">
      <w:bodyDiv w:val="1"/>
      <w:marLeft w:val="0"/>
      <w:marRight w:val="0"/>
      <w:marTop w:val="0"/>
      <w:marBottom w:val="0"/>
      <w:divBdr>
        <w:top w:val="none" w:sz="0" w:space="0" w:color="auto"/>
        <w:left w:val="none" w:sz="0" w:space="0" w:color="auto"/>
        <w:bottom w:val="none" w:sz="0" w:space="0" w:color="auto"/>
        <w:right w:val="none" w:sz="0" w:space="0" w:color="auto"/>
      </w:divBdr>
    </w:div>
    <w:div w:id="1049720992">
      <w:bodyDiv w:val="1"/>
      <w:marLeft w:val="0"/>
      <w:marRight w:val="0"/>
      <w:marTop w:val="0"/>
      <w:marBottom w:val="0"/>
      <w:divBdr>
        <w:top w:val="none" w:sz="0" w:space="0" w:color="auto"/>
        <w:left w:val="none" w:sz="0" w:space="0" w:color="auto"/>
        <w:bottom w:val="none" w:sz="0" w:space="0" w:color="auto"/>
        <w:right w:val="none" w:sz="0" w:space="0" w:color="auto"/>
      </w:divBdr>
    </w:div>
    <w:div w:id="1050037795">
      <w:bodyDiv w:val="1"/>
      <w:marLeft w:val="0"/>
      <w:marRight w:val="0"/>
      <w:marTop w:val="0"/>
      <w:marBottom w:val="0"/>
      <w:divBdr>
        <w:top w:val="none" w:sz="0" w:space="0" w:color="auto"/>
        <w:left w:val="none" w:sz="0" w:space="0" w:color="auto"/>
        <w:bottom w:val="none" w:sz="0" w:space="0" w:color="auto"/>
        <w:right w:val="none" w:sz="0" w:space="0" w:color="auto"/>
      </w:divBdr>
    </w:div>
    <w:div w:id="1051222998">
      <w:bodyDiv w:val="1"/>
      <w:marLeft w:val="0"/>
      <w:marRight w:val="0"/>
      <w:marTop w:val="0"/>
      <w:marBottom w:val="0"/>
      <w:divBdr>
        <w:top w:val="none" w:sz="0" w:space="0" w:color="auto"/>
        <w:left w:val="none" w:sz="0" w:space="0" w:color="auto"/>
        <w:bottom w:val="none" w:sz="0" w:space="0" w:color="auto"/>
        <w:right w:val="none" w:sz="0" w:space="0" w:color="auto"/>
      </w:divBdr>
    </w:div>
    <w:div w:id="1051613232">
      <w:bodyDiv w:val="1"/>
      <w:marLeft w:val="0"/>
      <w:marRight w:val="0"/>
      <w:marTop w:val="0"/>
      <w:marBottom w:val="0"/>
      <w:divBdr>
        <w:top w:val="none" w:sz="0" w:space="0" w:color="auto"/>
        <w:left w:val="none" w:sz="0" w:space="0" w:color="auto"/>
        <w:bottom w:val="none" w:sz="0" w:space="0" w:color="auto"/>
        <w:right w:val="none" w:sz="0" w:space="0" w:color="auto"/>
      </w:divBdr>
    </w:div>
    <w:div w:id="1052578497">
      <w:bodyDiv w:val="1"/>
      <w:marLeft w:val="0"/>
      <w:marRight w:val="0"/>
      <w:marTop w:val="0"/>
      <w:marBottom w:val="0"/>
      <w:divBdr>
        <w:top w:val="none" w:sz="0" w:space="0" w:color="auto"/>
        <w:left w:val="none" w:sz="0" w:space="0" w:color="auto"/>
        <w:bottom w:val="none" w:sz="0" w:space="0" w:color="auto"/>
        <w:right w:val="none" w:sz="0" w:space="0" w:color="auto"/>
      </w:divBdr>
    </w:div>
    <w:div w:id="1054164335">
      <w:bodyDiv w:val="1"/>
      <w:marLeft w:val="0"/>
      <w:marRight w:val="0"/>
      <w:marTop w:val="0"/>
      <w:marBottom w:val="0"/>
      <w:divBdr>
        <w:top w:val="none" w:sz="0" w:space="0" w:color="auto"/>
        <w:left w:val="none" w:sz="0" w:space="0" w:color="auto"/>
        <w:bottom w:val="none" w:sz="0" w:space="0" w:color="auto"/>
        <w:right w:val="none" w:sz="0" w:space="0" w:color="auto"/>
      </w:divBdr>
    </w:div>
    <w:div w:id="1054816114">
      <w:bodyDiv w:val="1"/>
      <w:marLeft w:val="0"/>
      <w:marRight w:val="0"/>
      <w:marTop w:val="0"/>
      <w:marBottom w:val="0"/>
      <w:divBdr>
        <w:top w:val="none" w:sz="0" w:space="0" w:color="auto"/>
        <w:left w:val="none" w:sz="0" w:space="0" w:color="auto"/>
        <w:bottom w:val="none" w:sz="0" w:space="0" w:color="auto"/>
        <w:right w:val="none" w:sz="0" w:space="0" w:color="auto"/>
      </w:divBdr>
    </w:div>
    <w:div w:id="1055153885">
      <w:bodyDiv w:val="1"/>
      <w:marLeft w:val="0"/>
      <w:marRight w:val="0"/>
      <w:marTop w:val="0"/>
      <w:marBottom w:val="0"/>
      <w:divBdr>
        <w:top w:val="none" w:sz="0" w:space="0" w:color="auto"/>
        <w:left w:val="none" w:sz="0" w:space="0" w:color="auto"/>
        <w:bottom w:val="none" w:sz="0" w:space="0" w:color="auto"/>
        <w:right w:val="none" w:sz="0" w:space="0" w:color="auto"/>
      </w:divBdr>
    </w:div>
    <w:div w:id="1055542667">
      <w:bodyDiv w:val="1"/>
      <w:marLeft w:val="0"/>
      <w:marRight w:val="0"/>
      <w:marTop w:val="0"/>
      <w:marBottom w:val="0"/>
      <w:divBdr>
        <w:top w:val="none" w:sz="0" w:space="0" w:color="auto"/>
        <w:left w:val="none" w:sz="0" w:space="0" w:color="auto"/>
        <w:bottom w:val="none" w:sz="0" w:space="0" w:color="auto"/>
        <w:right w:val="none" w:sz="0" w:space="0" w:color="auto"/>
      </w:divBdr>
    </w:div>
    <w:div w:id="1057162963">
      <w:bodyDiv w:val="1"/>
      <w:marLeft w:val="0"/>
      <w:marRight w:val="0"/>
      <w:marTop w:val="0"/>
      <w:marBottom w:val="0"/>
      <w:divBdr>
        <w:top w:val="none" w:sz="0" w:space="0" w:color="auto"/>
        <w:left w:val="none" w:sz="0" w:space="0" w:color="auto"/>
        <w:bottom w:val="none" w:sz="0" w:space="0" w:color="auto"/>
        <w:right w:val="none" w:sz="0" w:space="0" w:color="auto"/>
      </w:divBdr>
    </w:div>
    <w:div w:id="1058359194">
      <w:bodyDiv w:val="1"/>
      <w:marLeft w:val="0"/>
      <w:marRight w:val="0"/>
      <w:marTop w:val="0"/>
      <w:marBottom w:val="0"/>
      <w:divBdr>
        <w:top w:val="none" w:sz="0" w:space="0" w:color="auto"/>
        <w:left w:val="none" w:sz="0" w:space="0" w:color="auto"/>
        <w:bottom w:val="none" w:sz="0" w:space="0" w:color="auto"/>
        <w:right w:val="none" w:sz="0" w:space="0" w:color="auto"/>
      </w:divBdr>
    </w:div>
    <w:div w:id="1058935150">
      <w:bodyDiv w:val="1"/>
      <w:marLeft w:val="0"/>
      <w:marRight w:val="0"/>
      <w:marTop w:val="0"/>
      <w:marBottom w:val="0"/>
      <w:divBdr>
        <w:top w:val="none" w:sz="0" w:space="0" w:color="auto"/>
        <w:left w:val="none" w:sz="0" w:space="0" w:color="auto"/>
        <w:bottom w:val="none" w:sz="0" w:space="0" w:color="auto"/>
        <w:right w:val="none" w:sz="0" w:space="0" w:color="auto"/>
      </w:divBdr>
    </w:div>
    <w:div w:id="1060206822">
      <w:bodyDiv w:val="1"/>
      <w:marLeft w:val="0"/>
      <w:marRight w:val="0"/>
      <w:marTop w:val="0"/>
      <w:marBottom w:val="0"/>
      <w:divBdr>
        <w:top w:val="none" w:sz="0" w:space="0" w:color="auto"/>
        <w:left w:val="none" w:sz="0" w:space="0" w:color="auto"/>
        <w:bottom w:val="none" w:sz="0" w:space="0" w:color="auto"/>
        <w:right w:val="none" w:sz="0" w:space="0" w:color="auto"/>
      </w:divBdr>
    </w:div>
    <w:div w:id="1060207604">
      <w:bodyDiv w:val="1"/>
      <w:marLeft w:val="0"/>
      <w:marRight w:val="0"/>
      <w:marTop w:val="0"/>
      <w:marBottom w:val="0"/>
      <w:divBdr>
        <w:top w:val="none" w:sz="0" w:space="0" w:color="auto"/>
        <w:left w:val="none" w:sz="0" w:space="0" w:color="auto"/>
        <w:bottom w:val="none" w:sz="0" w:space="0" w:color="auto"/>
        <w:right w:val="none" w:sz="0" w:space="0" w:color="auto"/>
      </w:divBdr>
    </w:div>
    <w:div w:id="1060325425">
      <w:bodyDiv w:val="1"/>
      <w:marLeft w:val="0"/>
      <w:marRight w:val="0"/>
      <w:marTop w:val="0"/>
      <w:marBottom w:val="0"/>
      <w:divBdr>
        <w:top w:val="none" w:sz="0" w:space="0" w:color="auto"/>
        <w:left w:val="none" w:sz="0" w:space="0" w:color="auto"/>
        <w:bottom w:val="none" w:sz="0" w:space="0" w:color="auto"/>
        <w:right w:val="none" w:sz="0" w:space="0" w:color="auto"/>
      </w:divBdr>
    </w:div>
    <w:div w:id="1060982858">
      <w:bodyDiv w:val="1"/>
      <w:marLeft w:val="0"/>
      <w:marRight w:val="0"/>
      <w:marTop w:val="0"/>
      <w:marBottom w:val="0"/>
      <w:divBdr>
        <w:top w:val="none" w:sz="0" w:space="0" w:color="auto"/>
        <w:left w:val="none" w:sz="0" w:space="0" w:color="auto"/>
        <w:bottom w:val="none" w:sz="0" w:space="0" w:color="auto"/>
        <w:right w:val="none" w:sz="0" w:space="0" w:color="auto"/>
      </w:divBdr>
    </w:div>
    <w:div w:id="1061438464">
      <w:bodyDiv w:val="1"/>
      <w:marLeft w:val="0"/>
      <w:marRight w:val="0"/>
      <w:marTop w:val="0"/>
      <w:marBottom w:val="0"/>
      <w:divBdr>
        <w:top w:val="none" w:sz="0" w:space="0" w:color="auto"/>
        <w:left w:val="none" w:sz="0" w:space="0" w:color="auto"/>
        <w:bottom w:val="none" w:sz="0" w:space="0" w:color="auto"/>
        <w:right w:val="none" w:sz="0" w:space="0" w:color="auto"/>
      </w:divBdr>
    </w:div>
    <w:div w:id="1063329889">
      <w:bodyDiv w:val="1"/>
      <w:marLeft w:val="0"/>
      <w:marRight w:val="0"/>
      <w:marTop w:val="0"/>
      <w:marBottom w:val="0"/>
      <w:divBdr>
        <w:top w:val="none" w:sz="0" w:space="0" w:color="auto"/>
        <w:left w:val="none" w:sz="0" w:space="0" w:color="auto"/>
        <w:bottom w:val="none" w:sz="0" w:space="0" w:color="auto"/>
        <w:right w:val="none" w:sz="0" w:space="0" w:color="auto"/>
      </w:divBdr>
    </w:div>
    <w:div w:id="1063335056">
      <w:bodyDiv w:val="1"/>
      <w:marLeft w:val="0"/>
      <w:marRight w:val="0"/>
      <w:marTop w:val="0"/>
      <w:marBottom w:val="0"/>
      <w:divBdr>
        <w:top w:val="none" w:sz="0" w:space="0" w:color="auto"/>
        <w:left w:val="none" w:sz="0" w:space="0" w:color="auto"/>
        <w:bottom w:val="none" w:sz="0" w:space="0" w:color="auto"/>
        <w:right w:val="none" w:sz="0" w:space="0" w:color="auto"/>
      </w:divBdr>
    </w:div>
    <w:div w:id="1064840079">
      <w:bodyDiv w:val="1"/>
      <w:marLeft w:val="0"/>
      <w:marRight w:val="0"/>
      <w:marTop w:val="0"/>
      <w:marBottom w:val="0"/>
      <w:divBdr>
        <w:top w:val="none" w:sz="0" w:space="0" w:color="auto"/>
        <w:left w:val="none" w:sz="0" w:space="0" w:color="auto"/>
        <w:bottom w:val="none" w:sz="0" w:space="0" w:color="auto"/>
        <w:right w:val="none" w:sz="0" w:space="0" w:color="auto"/>
      </w:divBdr>
    </w:div>
    <w:div w:id="1065032918">
      <w:bodyDiv w:val="1"/>
      <w:marLeft w:val="0"/>
      <w:marRight w:val="0"/>
      <w:marTop w:val="0"/>
      <w:marBottom w:val="0"/>
      <w:divBdr>
        <w:top w:val="none" w:sz="0" w:space="0" w:color="auto"/>
        <w:left w:val="none" w:sz="0" w:space="0" w:color="auto"/>
        <w:bottom w:val="none" w:sz="0" w:space="0" w:color="auto"/>
        <w:right w:val="none" w:sz="0" w:space="0" w:color="auto"/>
      </w:divBdr>
    </w:div>
    <w:div w:id="1065033392">
      <w:bodyDiv w:val="1"/>
      <w:marLeft w:val="0"/>
      <w:marRight w:val="0"/>
      <w:marTop w:val="0"/>
      <w:marBottom w:val="0"/>
      <w:divBdr>
        <w:top w:val="none" w:sz="0" w:space="0" w:color="auto"/>
        <w:left w:val="none" w:sz="0" w:space="0" w:color="auto"/>
        <w:bottom w:val="none" w:sz="0" w:space="0" w:color="auto"/>
        <w:right w:val="none" w:sz="0" w:space="0" w:color="auto"/>
      </w:divBdr>
    </w:div>
    <w:div w:id="1065299890">
      <w:bodyDiv w:val="1"/>
      <w:marLeft w:val="0"/>
      <w:marRight w:val="0"/>
      <w:marTop w:val="0"/>
      <w:marBottom w:val="0"/>
      <w:divBdr>
        <w:top w:val="none" w:sz="0" w:space="0" w:color="auto"/>
        <w:left w:val="none" w:sz="0" w:space="0" w:color="auto"/>
        <w:bottom w:val="none" w:sz="0" w:space="0" w:color="auto"/>
        <w:right w:val="none" w:sz="0" w:space="0" w:color="auto"/>
      </w:divBdr>
    </w:div>
    <w:div w:id="1065446515">
      <w:bodyDiv w:val="1"/>
      <w:marLeft w:val="0"/>
      <w:marRight w:val="0"/>
      <w:marTop w:val="0"/>
      <w:marBottom w:val="0"/>
      <w:divBdr>
        <w:top w:val="none" w:sz="0" w:space="0" w:color="auto"/>
        <w:left w:val="none" w:sz="0" w:space="0" w:color="auto"/>
        <w:bottom w:val="none" w:sz="0" w:space="0" w:color="auto"/>
        <w:right w:val="none" w:sz="0" w:space="0" w:color="auto"/>
      </w:divBdr>
    </w:div>
    <w:div w:id="1066151628">
      <w:bodyDiv w:val="1"/>
      <w:marLeft w:val="0"/>
      <w:marRight w:val="0"/>
      <w:marTop w:val="0"/>
      <w:marBottom w:val="0"/>
      <w:divBdr>
        <w:top w:val="none" w:sz="0" w:space="0" w:color="auto"/>
        <w:left w:val="none" w:sz="0" w:space="0" w:color="auto"/>
        <w:bottom w:val="none" w:sz="0" w:space="0" w:color="auto"/>
        <w:right w:val="none" w:sz="0" w:space="0" w:color="auto"/>
      </w:divBdr>
    </w:div>
    <w:div w:id="1066295220">
      <w:bodyDiv w:val="1"/>
      <w:marLeft w:val="0"/>
      <w:marRight w:val="0"/>
      <w:marTop w:val="0"/>
      <w:marBottom w:val="0"/>
      <w:divBdr>
        <w:top w:val="none" w:sz="0" w:space="0" w:color="auto"/>
        <w:left w:val="none" w:sz="0" w:space="0" w:color="auto"/>
        <w:bottom w:val="none" w:sz="0" w:space="0" w:color="auto"/>
        <w:right w:val="none" w:sz="0" w:space="0" w:color="auto"/>
      </w:divBdr>
    </w:div>
    <w:div w:id="1066420260">
      <w:bodyDiv w:val="1"/>
      <w:marLeft w:val="0"/>
      <w:marRight w:val="0"/>
      <w:marTop w:val="0"/>
      <w:marBottom w:val="0"/>
      <w:divBdr>
        <w:top w:val="none" w:sz="0" w:space="0" w:color="auto"/>
        <w:left w:val="none" w:sz="0" w:space="0" w:color="auto"/>
        <w:bottom w:val="none" w:sz="0" w:space="0" w:color="auto"/>
        <w:right w:val="none" w:sz="0" w:space="0" w:color="auto"/>
      </w:divBdr>
    </w:div>
    <w:div w:id="1066800782">
      <w:bodyDiv w:val="1"/>
      <w:marLeft w:val="0"/>
      <w:marRight w:val="0"/>
      <w:marTop w:val="0"/>
      <w:marBottom w:val="0"/>
      <w:divBdr>
        <w:top w:val="none" w:sz="0" w:space="0" w:color="auto"/>
        <w:left w:val="none" w:sz="0" w:space="0" w:color="auto"/>
        <w:bottom w:val="none" w:sz="0" w:space="0" w:color="auto"/>
        <w:right w:val="none" w:sz="0" w:space="0" w:color="auto"/>
      </w:divBdr>
    </w:div>
    <w:div w:id="1066877526">
      <w:bodyDiv w:val="1"/>
      <w:marLeft w:val="0"/>
      <w:marRight w:val="0"/>
      <w:marTop w:val="0"/>
      <w:marBottom w:val="0"/>
      <w:divBdr>
        <w:top w:val="none" w:sz="0" w:space="0" w:color="auto"/>
        <w:left w:val="none" w:sz="0" w:space="0" w:color="auto"/>
        <w:bottom w:val="none" w:sz="0" w:space="0" w:color="auto"/>
        <w:right w:val="none" w:sz="0" w:space="0" w:color="auto"/>
      </w:divBdr>
    </w:div>
    <w:div w:id="1067143086">
      <w:bodyDiv w:val="1"/>
      <w:marLeft w:val="0"/>
      <w:marRight w:val="0"/>
      <w:marTop w:val="0"/>
      <w:marBottom w:val="0"/>
      <w:divBdr>
        <w:top w:val="none" w:sz="0" w:space="0" w:color="auto"/>
        <w:left w:val="none" w:sz="0" w:space="0" w:color="auto"/>
        <w:bottom w:val="none" w:sz="0" w:space="0" w:color="auto"/>
        <w:right w:val="none" w:sz="0" w:space="0" w:color="auto"/>
      </w:divBdr>
    </w:div>
    <w:div w:id="1067650545">
      <w:bodyDiv w:val="1"/>
      <w:marLeft w:val="0"/>
      <w:marRight w:val="0"/>
      <w:marTop w:val="0"/>
      <w:marBottom w:val="0"/>
      <w:divBdr>
        <w:top w:val="none" w:sz="0" w:space="0" w:color="auto"/>
        <w:left w:val="none" w:sz="0" w:space="0" w:color="auto"/>
        <w:bottom w:val="none" w:sz="0" w:space="0" w:color="auto"/>
        <w:right w:val="none" w:sz="0" w:space="0" w:color="auto"/>
      </w:divBdr>
    </w:div>
    <w:div w:id="1067993096">
      <w:bodyDiv w:val="1"/>
      <w:marLeft w:val="0"/>
      <w:marRight w:val="0"/>
      <w:marTop w:val="0"/>
      <w:marBottom w:val="0"/>
      <w:divBdr>
        <w:top w:val="none" w:sz="0" w:space="0" w:color="auto"/>
        <w:left w:val="none" w:sz="0" w:space="0" w:color="auto"/>
        <w:bottom w:val="none" w:sz="0" w:space="0" w:color="auto"/>
        <w:right w:val="none" w:sz="0" w:space="0" w:color="auto"/>
      </w:divBdr>
    </w:div>
    <w:div w:id="1068068402">
      <w:bodyDiv w:val="1"/>
      <w:marLeft w:val="0"/>
      <w:marRight w:val="0"/>
      <w:marTop w:val="0"/>
      <w:marBottom w:val="0"/>
      <w:divBdr>
        <w:top w:val="none" w:sz="0" w:space="0" w:color="auto"/>
        <w:left w:val="none" w:sz="0" w:space="0" w:color="auto"/>
        <w:bottom w:val="none" w:sz="0" w:space="0" w:color="auto"/>
        <w:right w:val="none" w:sz="0" w:space="0" w:color="auto"/>
      </w:divBdr>
    </w:div>
    <w:div w:id="1068109670">
      <w:bodyDiv w:val="1"/>
      <w:marLeft w:val="0"/>
      <w:marRight w:val="0"/>
      <w:marTop w:val="0"/>
      <w:marBottom w:val="0"/>
      <w:divBdr>
        <w:top w:val="none" w:sz="0" w:space="0" w:color="auto"/>
        <w:left w:val="none" w:sz="0" w:space="0" w:color="auto"/>
        <w:bottom w:val="none" w:sz="0" w:space="0" w:color="auto"/>
        <w:right w:val="none" w:sz="0" w:space="0" w:color="auto"/>
      </w:divBdr>
    </w:div>
    <w:div w:id="1068117877">
      <w:bodyDiv w:val="1"/>
      <w:marLeft w:val="0"/>
      <w:marRight w:val="0"/>
      <w:marTop w:val="0"/>
      <w:marBottom w:val="0"/>
      <w:divBdr>
        <w:top w:val="none" w:sz="0" w:space="0" w:color="auto"/>
        <w:left w:val="none" w:sz="0" w:space="0" w:color="auto"/>
        <w:bottom w:val="none" w:sz="0" w:space="0" w:color="auto"/>
        <w:right w:val="none" w:sz="0" w:space="0" w:color="auto"/>
      </w:divBdr>
    </w:div>
    <w:div w:id="1068651350">
      <w:bodyDiv w:val="1"/>
      <w:marLeft w:val="0"/>
      <w:marRight w:val="0"/>
      <w:marTop w:val="0"/>
      <w:marBottom w:val="0"/>
      <w:divBdr>
        <w:top w:val="none" w:sz="0" w:space="0" w:color="auto"/>
        <w:left w:val="none" w:sz="0" w:space="0" w:color="auto"/>
        <w:bottom w:val="none" w:sz="0" w:space="0" w:color="auto"/>
        <w:right w:val="none" w:sz="0" w:space="0" w:color="auto"/>
      </w:divBdr>
    </w:div>
    <w:div w:id="1069498975">
      <w:bodyDiv w:val="1"/>
      <w:marLeft w:val="0"/>
      <w:marRight w:val="0"/>
      <w:marTop w:val="0"/>
      <w:marBottom w:val="0"/>
      <w:divBdr>
        <w:top w:val="none" w:sz="0" w:space="0" w:color="auto"/>
        <w:left w:val="none" w:sz="0" w:space="0" w:color="auto"/>
        <w:bottom w:val="none" w:sz="0" w:space="0" w:color="auto"/>
        <w:right w:val="none" w:sz="0" w:space="0" w:color="auto"/>
      </w:divBdr>
    </w:div>
    <w:div w:id="1071386391">
      <w:bodyDiv w:val="1"/>
      <w:marLeft w:val="0"/>
      <w:marRight w:val="0"/>
      <w:marTop w:val="0"/>
      <w:marBottom w:val="0"/>
      <w:divBdr>
        <w:top w:val="none" w:sz="0" w:space="0" w:color="auto"/>
        <w:left w:val="none" w:sz="0" w:space="0" w:color="auto"/>
        <w:bottom w:val="none" w:sz="0" w:space="0" w:color="auto"/>
        <w:right w:val="none" w:sz="0" w:space="0" w:color="auto"/>
      </w:divBdr>
    </w:div>
    <w:div w:id="1072045035">
      <w:bodyDiv w:val="1"/>
      <w:marLeft w:val="0"/>
      <w:marRight w:val="0"/>
      <w:marTop w:val="0"/>
      <w:marBottom w:val="0"/>
      <w:divBdr>
        <w:top w:val="none" w:sz="0" w:space="0" w:color="auto"/>
        <w:left w:val="none" w:sz="0" w:space="0" w:color="auto"/>
        <w:bottom w:val="none" w:sz="0" w:space="0" w:color="auto"/>
        <w:right w:val="none" w:sz="0" w:space="0" w:color="auto"/>
      </w:divBdr>
    </w:div>
    <w:div w:id="1072241059">
      <w:bodyDiv w:val="1"/>
      <w:marLeft w:val="0"/>
      <w:marRight w:val="0"/>
      <w:marTop w:val="0"/>
      <w:marBottom w:val="0"/>
      <w:divBdr>
        <w:top w:val="none" w:sz="0" w:space="0" w:color="auto"/>
        <w:left w:val="none" w:sz="0" w:space="0" w:color="auto"/>
        <w:bottom w:val="none" w:sz="0" w:space="0" w:color="auto"/>
        <w:right w:val="none" w:sz="0" w:space="0" w:color="auto"/>
      </w:divBdr>
    </w:div>
    <w:div w:id="1072317061">
      <w:bodyDiv w:val="1"/>
      <w:marLeft w:val="0"/>
      <w:marRight w:val="0"/>
      <w:marTop w:val="0"/>
      <w:marBottom w:val="0"/>
      <w:divBdr>
        <w:top w:val="none" w:sz="0" w:space="0" w:color="auto"/>
        <w:left w:val="none" w:sz="0" w:space="0" w:color="auto"/>
        <w:bottom w:val="none" w:sz="0" w:space="0" w:color="auto"/>
        <w:right w:val="none" w:sz="0" w:space="0" w:color="auto"/>
      </w:divBdr>
    </w:div>
    <w:div w:id="1072431267">
      <w:bodyDiv w:val="1"/>
      <w:marLeft w:val="0"/>
      <w:marRight w:val="0"/>
      <w:marTop w:val="0"/>
      <w:marBottom w:val="0"/>
      <w:divBdr>
        <w:top w:val="none" w:sz="0" w:space="0" w:color="auto"/>
        <w:left w:val="none" w:sz="0" w:space="0" w:color="auto"/>
        <w:bottom w:val="none" w:sz="0" w:space="0" w:color="auto"/>
        <w:right w:val="none" w:sz="0" w:space="0" w:color="auto"/>
      </w:divBdr>
    </w:div>
    <w:div w:id="1072507677">
      <w:bodyDiv w:val="1"/>
      <w:marLeft w:val="0"/>
      <w:marRight w:val="0"/>
      <w:marTop w:val="0"/>
      <w:marBottom w:val="0"/>
      <w:divBdr>
        <w:top w:val="none" w:sz="0" w:space="0" w:color="auto"/>
        <w:left w:val="none" w:sz="0" w:space="0" w:color="auto"/>
        <w:bottom w:val="none" w:sz="0" w:space="0" w:color="auto"/>
        <w:right w:val="none" w:sz="0" w:space="0" w:color="auto"/>
      </w:divBdr>
    </w:div>
    <w:div w:id="1073313950">
      <w:bodyDiv w:val="1"/>
      <w:marLeft w:val="0"/>
      <w:marRight w:val="0"/>
      <w:marTop w:val="0"/>
      <w:marBottom w:val="0"/>
      <w:divBdr>
        <w:top w:val="none" w:sz="0" w:space="0" w:color="auto"/>
        <w:left w:val="none" w:sz="0" w:space="0" w:color="auto"/>
        <w:bottom w:val="none" w:sz="0" w:space="0" w:color="auto"/>
        <w:right w:val="none" w:sz="0" w:space="0" w:color="auto"/>
      </w:divBdr>
    </w:div>
    <w:div w:id="1074085827">
      <w:bodyDiv w:val="1"/>
      <w:marLeft w:val="0"/>
      <w:marRight w:val="0"/>
      <w:marTop w:val="0"/>
      <w:marBottom w:val="0"/>
      <w:divBdr>
        <w:top w:val="none" w:sz="0" w:space="0" w:color="auto"/>
        <w:left w:val="none" w:sz="0" w:space="0" w:color="auto"/>
        <w:bottom w:val="none" w:sz="0" w:space="0" w:color="auto"/>
        <w:right w:val="none" w:sz="0" w:space="0" w:color="auto"/>
      </w:divBdr>
    </w:div>
    <w:div w:id="1074160215">
      <w:bodyDiv w:val="1"/>
      <w:marLeft w:val="0"/>
      <w:marRight w:val="0"/>
      <w:marTop w:val="0"/>
      <w:marBottom w:val="0"/>
      <w:divBdr>
        <w:top w:val="none" w:sz="0" w:space="0" w:color="auto"/>
        <w:left w:val="none" w:sz="0" w:space="0" w:color="auto"/>
        <w:bottom w:val="none" w:sz="0" w:space="0" w:color="auto"/>
        <w:right w:val="none" w:sz="0" w:space="0" w:color="auto"/>
      </w:divBdr>
    </w:div>
    <w:div w:id="1075123250">
      <w:bodyDiv w:val="1"/>
      <w:marLeft w:val="0"/>
      <w:marRight w:val="0"/>
      <w:marTop w:val="0"/>
      <w:marBottom w:val="0"/>
      <w:divBdr>
        <w:top w:val="none" w:sz="0" w:space="0" w:color="auto"/>
        <w:left w:val="none" w:sz="0" w:space="0" w:color="auto"/>
        <w:bottom w:val="none" w:sz="0" w:space="0" w:color="auto"/>
        <w:right w:val="none" w:sz="0" w:space="0" w:color="auto"/>
      </w:divBdr>
    </w:div>
    <w:div w:id="1075199304">
      <w:bodyDiv w:val="1"/>
      <w:marLeft w:val="0"/>
      <w:marRight w:val="0"/>
      <w:marTop w:val="0"/>
      <w:marBottom w:val="0"/>
      <w:divBdr>
        <w:top w:val="none" w:sz="0" w:space="0" w:color="auto"/>
        <w:left w:val="none" w:sz="0" w:space="0" w:color="auto"/>
        <w:bottom w:val="none" w:sz="0" w:space="0" w:color="auto"/>
        <w:right w:val="none" w:sz="0" w:space="0" w:color="auto"/>
      </w:divBdr>
    </w:div>
    <w:div w:id="1075855956">
      <w:bodyDiv w:val="1"/>
      <w:marLeft w:val="0"/>
      <w:marRight w:val="0"/>
      <w:marTop w:val="0"/>
      <w:marBottom w:val="0"/>
      <w:divBdr>
        <w:top w:val="none" w:sz="0" w:space="0" w:color="auto"/>
        <w:left w:val="none" w:sz="0" w:space="0" w:color="auto"/>
        <w:bottom w:val="none" w:sz="0" w:space="0" w:color="auto"/>
        <w:right w:val="none" w:sz="0" w:space="0" w:color="auto"/>
      </w:divBdr>
    </w:div>
    <w:div w:id="1076442941">
      <w:bodyDiv w:val="1"/>
      <w:marLeft w:val="0"/>
      <w:marRight w:val="0"/>
      <w:marTop w:val="0"/>
      <w:marBottom w:val="0"/>
      <w:divBdr>
        <w:top w:val="none" w:sz="0" w:space="0" w:color="auto"/>
        <w:left w:val="none" w:sz="0" w:space="0" w:color="auto"/>
        <w:bottom w:val="none" w:sz="0" w:space="0" w:color="auto"/>
        <w:right w:val="none" w:sz="0" w:space="0" w:color="auto"/>
      </w:divBdr>
    </w:div>
    <w:div w:id="1076631126">
      <w:bodyDiv w:val="1"/>
      <w:marLeft w:val="0"/>
      <w:marRight w:val="0"/>
      <w:marTop w:val="0"/>
      <w:marBottom w:val="0"/>
      <w:divBdr>
        <w:top w:val="none" w:sz="0" w:space="0" w:color="auto"/>
        <w:left w:val="none" w:sz="0" w:space="0" w:color="auto"/>
        <w:bottom w:val="none" w:sz="0" w:space="0" w:color="auto"/>
        <w:right w:val="none" w:sz="0" w:space="0" w:color="auto"/>
      </w:divBdr>
    </w:div>
    <w:div w:id="1076977855">
      <w:bodyDiv w:val="1"/>
      <w:marLeft w:val="0"/>
      <w:marRight w:val="0"/>
      <w:marTop w:val="0"/>
      <w:marBottom w:val="0"/>
      <w:divBdr>
        <w:top w:val="none" w:sz="0" w:space="0" w:color="auto"/>
        <w:left w:val="none" w:sz="0" w:space="0" w:color="auto"/>
        <w:bottom w:val="none" w:sz="0" w:space="0" w:color="auto"/>
        <w:right w:val="none" w:sz="0" w:space="0" w:color="auto"/>
      </w:divBdr>
    </w:div>
    <w:div w:id="1078215881">
      <w:bodyDiv w:val="1"/>
      <w:marLeft w:val="0"/>
      <w:marRight w:val="0"/>
      <w:marTop w:val="0"/>
      <w:marBottom w:val="0"/>
      <w:divBdr>
        <w:top w:val="none" w:sz="0" w:space="0" w:color="auto"/>
        <w:left w:val="none" w:sz="0" w:space="0" w:color="auto"/>
        <w:bottom w:val="none" w:sz="0" w:space="0" w:color="auto"/>
        <w:right w:val="none" w:sz="0" w:space="0" w:color="auto"/>
      </w:divBdr>
    </w:div>
    <w:div w:id="1079054960">
      <w:bodyDiv w:val="1"/>
      <w:marLeft w:val="0"/>
      <w:marRight w:val="0"/>
      <w:marTop w:val="0"/>
      <w:marBottom w:val="0"/>
      <w:divBdr>
        <w:top w:val="none" w:sz="0" w:space="0" w:color="auto"/>
        <w:left w:val="none" w:sz="0" w:space="0" w:color="auto"/>
        <w:bottom w:val="none" w:sz="0" w:space="0" w:color="auto"/>
        <w:right w:val="none" w:sz="0" w:space="0" w:color="auto"/>
      </w:divBdr>
    </w:div>
    <w:div w:id="1080835841">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4182753">
      <w:bodyDiv w:val="1"/>
      <w:marLeft w:val="0"/>
      <w:marRight w:val="0"/>
      <w:marTop w:val="0"/>
      <w:marBottom w:val="0"/>
      <w:divBdr>
        <w:top w:val="none" w:sz="0" w:space="0" w:color="auto"/>
        <w:left w:val="none" w:sz="0" w:space="0" w:color="auto"/>
        <w:bottom w:val="none" w:sz="0" w:space="0" w:color="auto"/>
        <w:right w:val="none" w:sz="0" w:space="0" w:color="auto"/>
      </w:divBdr>
    </w:div>
    <w:div w:id="1084453123">
      <w:bodyDiv w:val="1"/>
      <w:marLeft w:val="0"/>
      <w:marRight w:val="0"/>
      <w:marTop w:val="0"/>
      <w:marBottom w:val="0"/>
      <w:divBdr>
        <w:top w:val="none" w:sz="0" w:space="0" w:color="auto"/>
        <w:left w:val="none" w:sz="0" w:space="0" w:color="auto"/>
        <w:bottom w:val="none" w:sz="0" w:space="0" w:color="auto"/>
        <w:right w:val="none" w:sz="0" w:space="0" w:color="auto"/>
      </w:divBdr>
    </w:div>
    <w:div w:id="1084642601">
      <w:bodyDiv w:val="1"/>
      <w:marLeft w:val="0"/>
      <w:marRight w:val="0"/>
      <w:marTop w:val="0"/>
      <w:marBottom w:val="0"/>
      <w:divBdr>
        <w:top w:val="none" w:sz="0" w:space="0" w:color="auto"/>
        <w:left w:val="none" w:sz="0" w:space="0" w:color="auto"/>
        <w:bottom w:val="none" w:sz="0" w:space="0" w:color="auto"/>
        <w:right w:val="none" w:sz="0" w:space="0" w:color="auto"/>
      </w:divBdr>
    </w:div>
    <w:div w:id="1085145920">
      <w:bodyDiv w:val="1"/>
      <w:marLeft w:val="0"/>
      <w:marRight w:val="0"/>
      <w:marTop w:val="0"/>
      <w:marBottom w:val="0"/>
      <w:divBdr>
        <w:top w:val="none" w:sz="0" w:space="0" w:color="auto"/>
        <w:left w:val="none" w:sz="0" w:space="0" w:color="auto"/>
        <w:bottom w:val="none" w:sz="0" w:space="0" w:color="auto"/>
        <w:right w:val="none" w:sz="0" w:space="0" w:color="auto"/>
      </w:divBdr>
    </w:div>
    <w:div w:id="1085302925">
      <w:bodyDiv w:val="1"/>
      <w:marLeft w:val="0"/>
      <w:marRight w:val="0"/>
      <w:marTop w:val="0"/>
      <w:marBottom w:val="0"/>
      <w:divBdr>
        <w:top w:val="none" w:sz="0" w:space="0" w:color="auto"/>
        <w:left w:val="none" w:sz="0" w:space="0" w:color="auto"/>
        <w:bottom w:val="none" w:sz="0" w:space="0" w:color="auto"/>
        <w:right w:val="none" w:sz="0" w:space="0" w:color="auto"/>
      </w:divBdr>
    </w:div>
    <w:div w:id="1086993470">
      <w:bodyDiv w:val="1"/>
      <w:marLeft w:val="0"/>
      <w:marRight w:val="0"/>
      <w:marTop w:val="0"/>
      <w:marBottom w:val="0"/>
      <w:divBdr>
        <w:top w:val="none" w:sz="0" w:space="0" w:color="auto"/>
        <w:left w:val="none" w:sz="0" w:space="0" w:color="auto"/>
        <w:bottom w:val="none" w:sz="0" w:space="0" w:color="auto"/>
        <w:right w:val="none" w:sz="0" w:space="0" w:color="auto"/>
      </w:divBdr>
    </w:div>
    <w:div w:id="1087001487">
      <w:bodyDiv w:val="1"/>
      <w:marLeft w:val="0"/>
      <w:marRight w:val="0"/>
      <w:marTop w:val="0"/>
      <w:marBottom w:val="0"/>
      <w:divBdr>
        <w:top w:val="none" w:sz="0" w:space="0" w:color="auto"/>
        <w:left w:val="none" w:sz="0" w:space="0" w:color="auto"/>
        <w:bottom w:val="none" w:sz="0" w:space="0" w:color="auto"/>
        <w:right w:val="none" w:sz="0" w:space="0" w:color="auto"/>
      </w:divBdr>
    </w:div>
    <w:div w:id="1087308107">
      <w:bodyDiv w:val="1"/>
      <w:marLeft w:val="0"/>
      <w:marRight w:val="0"/>
      <w:marTop w:val="0"/>
      <w:marBottom w:val="0"/>
      <w:divBdr>
        <w:top w:val="none" w:sz="0" w:space="0" w:color="auto"/>
        <w:left w:val="none" w:sz="0" w:space="0" w:color="auto"/>
        <w:bottom w:val="none" w:sz="0" w:space="0" w:color="auto"/>
        <w:right w:val="none" w:sz="0" w:space="0" w:color="auto"/>
      </w:divBdr>
    </w:div>
    <w:div w:id="1087845239">
      <w:bodyDiv w:val="1"/>
      <w:marLeft w:val="0"/>
      <w:marRight w:val="0"/>
      <w:marTop w:val="0"/>
      <w:marBottom w:val="0"/>
      <w:divBdr>
        <w:top w:val="none" w:sz="0" w:space="0" w:color="auto"/>
        <w:left w:val="none" w:sz="0" w:space="0" w:color="auto"/>
        <w:bottom w:val="none" w:sz="0" w:space="0" w:color="auto"/>
        <w:right w:val="none" w:sz="0" w:space="0" w:color="auto"/>
      </w:divBdr>
    </w:div>
    <w:div w:id="1087964424">
      <w:bodyDiv w:val="1"/>
      <w:marLeft w:val="0"/>
      <w:marRight w:val="0"/>
      <w:marTop w:val="0"/>
      <w:marBottom w:val="0"/>
      <w:divBdr>
        <w:top w:val="none" w:sz="0" w:space="0" w:color="auto"/>
        <w:left w:val="none" w:sz="0" w:space="0" w:color="auto"/>
        <w:bottom w:val="none" w:sz="0" w:space="0" w:color="auto"/>
        <w:right w:val="none" w:sz="0" w:space="0" w:color="auto"/>
      </w:divBdr>
    </w:div>
    <w:div w:id="1088235215">
      <w:bodyDiv w:val="1"/>
      <w:marLeft w:val="0"/>
      <w:marRight w:val="0"/>
      <w:marTop w:val="0"/>
      <w:marBottom w:val="0"/>
      <w:divBdr>
        <w:top w:val="none" w:sz="0" w:space="0" w:color="auto"/>
        <w:left w:val="none" w:sz="0" w:space="0" w:color="auto"/>
        <w:bottom w:val="none" w:sz="0" w:space="0" w:color="auto"/>
        <w:right w:val="none" w:sz="0" w:space="0" w:color="auto"/>
      </w:divBdr>
    </w:div>
    <w:div w:id="1090009269">
      <w:bodyDiv w:val="1"/>
      <w:marLeft w:val="0"/>
      <w:marRight w:val="0"/>
      <w:marTop w:val="0"/>
      <w:marBottom w:val="0"/>
      <w:divBdr>
        <w:top w:val="none" w:sz="0" w:space="0" w:color="auto"/>
        <w:left w:val="none" w:sz="0" w:space="0" w:color="auto"/>
        <w:bottom w:val="none" w:sz="0" w:space="0" w:color="auto"/>
        <w:right w:val="none" w:sz="0" w:space="0" w:color="auto"/>
      </w:divBdr>
    </w:div>
    <w:div w:id="1090737950">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2317680">
      <w:bodyDiv w:val="1"/>
      <w:marLeft w:val="0"/>
      <w:marRight w:val="0"/>
      <w:marTop w:val="0"/>
      <w:marBottom w:val="0"/>
      <w:divBdr>
        <w:top w:val="none" w:sz="0" w:space="0" w:color="auto"/>
        <w:left w:val="none" w:sz="0" w:space="0" w:color="auto"/>
        <w:bottom w:val="none" w:sz="0" w:space="0" w:color="auto"/>
        <w:right w:val="none" w:sz="0" w:space="0" w:color="auto"/>
      </w:divBdr>
    </w:div>
    <w:div w:id="1093284353">
      <w:bodyDiv w:val="1"/>
      <w:marLeft w:val="0"/>
      <w:marRight w:val="0"/>
      <w:marTop w:val="0"/>
      <w:marBottom w:val="0"/>
      <w:divBdr>
        <w:top w:val="none" w:sz="0" w:space="0" w:color="auto"/>
        <w:left w:val="none" w:sz="0" w:space="0" w:color="auto"/>
        <w:bottom w:val="none" w:sz="0" w:space="0" w:color="auto"/>
        <w:right w:val="none" w:sz="0" w:space="0" w:color="auto"/>
      </w:divBdr>
    </w:div>
    <w:div w:id="1093742173">
      <w:bodyDiv w:val="1"/>
      <w:marLeft w:val="0"/>
      <w:marRight w:val="0"/>
      <w:marTop w:val="0"/>
      <w:marBottom w:val="0"/>
      <w:divBdr>
        <w:top w:val="none" w:sz="0" w:space="0" w:color="auto"/>
        <w:left w:val="none" w:sz="0" w:space="0" w:color="auto"/>
        <w:bottom w:val="none" w:sz="0" w:space="0" w:color="auto"/>
        <w:right w:val="none" w:sz="0" w:space="0" w:color="auto"/>
      </w:divBdr>
    </w:div>
    <w:div w:id="1094520481">
      <w:bodyDiv w:val="1"/>
      <w:marLeft w:val="0"/>
      <w:marRight w:val="0"/>
      <w:marTop w:val="0"/>
      <w:marBottom w:val="0"/>
      <w:divBdr>
        <w:top w:val="none" w:sz="0" w:space="0" w:color="auto"/>
        <w:left w:val="none" w:sz="0" w:space="0" w:color="auto"/>
        <w:bottom w:val="none" w:sz="0" w:space="0" w:color="auto"/>
        <w:right w:val="none" w:sz="0" w:space="0" w:color="auto"/>
      </w:divBdr>
    </w:div>
    <w:div w:id="1096250419">
      <w:bodyDiv w:val="1"/>
      <w:marLeft w:val="0"/>
      <w:marRight w:val="0"/>
      <w:marTop w:val="0"/>
      <w:marBottom w:val="0"/>
      <w:divBdr>
        <w:top w:val="none" w:sz="0" w:space="0" w:color="auto"/>
        <w:left w:val="none" w:sz="0" w:space="0" w:color="auto"/>
        <w:bottom w:val="none" w:sz="0" w:space="0" w:color="auto"/>
        <w:right w:val="none" w:sz="0" w:space="0" w:color="auto"/>
      </w:divBdr>
    </w:div>
    <w:div w:id="1096900043">
      <w:bodyDiv w:val="1"/>
      <w:marLeft w:val="0"/>
      <w:marRight w:val="0"/>
      <w:marTop w:val="0"/>
      <w:marBottom w:val="0"/>
      <w:divBdr>
        <w:top w:val="none" w:sz="0" w:space="0" w:color="auto"/>
        <w:left w:val="none" w:sz="0" w:space="0" w:color="auto"/>
        <w:bottom w:val="none" w:sz="0" w:space="0" w:color="auto"/>
        <w:right w:val="none" w:sz="0" w:space="0" w:color="auto"/>
      </w:divBdr>
    </w:div>
    <w:div w:id="1097217633">
      <w:bodyDiv w:val="1"/>
      <w:marLeft w:val="0"/>
      <w:marRight w:val="0"/>
      <w:marTop w:val="0"/>
      <w:marBottom w:val="0"/>
      <w:divBdr>
        <w:top w:val="none" w:sz="0" w:space="0" w:color="auto"/>
        <w:left w:val="none" w:sz="0" w:space="0" w:color="auto"/>
        <w:bottom w:val="none" w:sz="0" w:space="0" w:color="auto"/>
        <w:right w:val="none" w:sz="0" w:space="0" w:color="auto"/>
      </w:divBdr>
    </w:div>
    <w:div w:id="1097677259">
      <w:bodyDiv w:val="1"/>
      <w:marLeft w:val="0"/>
      <w:marRight w:val="0"/>
      <w:marTop w:val="0"/>
      <w:marBottom w:val="0"/>
      <w:divBdr>
        <w:top w:val="none" w:sz="0" w:space="0" w:color="auto"/>
        <w:left w:val="none" w:sz="0" w:space="0" w:color="auto"/>
        <w:bottom w:val="none" w:sz="0" w:space="0" w:color="auto"/>
        <w:right w:val="none" w:sz="0" w:space="0" w:color="auto"/>
      </w:divBdr>
    </w:div>
    <w:div w:id="1097825339">
      <w:bodyDiv w:val="1"/>
      <w:marLeft w:val="0"/>
      <w:marRight w:val="0"/>
      <w:marTop w:val="0"/>
      <w:marBottom w:val="0"/>
      <w:divBdr>
        <w:top w:val="none" w:sz="0" w:space="0" w:color="auto"/>
        <w:left w:val="none" w:sz="0" w:space="0" w:color="auto"/>
        <w:bottom w:val="none" w:sz="0" w:space="0" w:color="auto"/>
        <w:right w:val="none" w:sz="0" w:space="0" w:color="auto"/>
      </w:divBdr>
    </w:div>
    <w:div w:id="1098021400">
      <w:bodyDiv w:val="1"/>
      <w:marLeft w:val="0"/>
      <w:marRight w:val="0"/>
      <w:marTop w:val="0"/>
      <w:marBottom w:val="0"/>
      <w:divBdr>
        <w:top w:val="none" w:sz="0" w:space="0" w:color="auto"/>
        <w:left w:val="none" w:sz="0" w:space="0" w:color="auto"/>
        <w:bottom w:val="none" w:sz="0" w:space="0" w:color="auto"/>
        <w:right w:val="none" w:sz="0" w:space="0" w:color="auto"/>
      </w:divBdr>
    </w:div>
    <w:div w:id="1098523411">
      <w:bodyDiv w:val="1"/>
      <w:marLeft w:val="0"/>
      <w:marRight w:val="0"/>
      <w:marTop w:val="0"/>
      <w:marBottom w:val="0"/>
      <w:divBdr>
        <w:top w:val="none" w:sz="0" w:space="0" w:color="auto"/>
        <w:left w:val="none" w:sz="0" w:space="0" w:color="auto"/>
        <w:bottom w:val="none" w:sz="0" w:space="0" w:color="auto"/>
        <w:right w:val="none" w:sz="0" w:space="0" w:color="auto"/>
      </w:divBdr>
    </w:div>
    <w:div w:id="1100222057">
      <w:bodyDiv w:val="1"/>
      <w:marLeft w:val="0"/>
      <w:marRight w:val="0"/>
      <w:marTop w:val="0"/>
      <w:marBottom w:val="0"/>
      <w:divBdr>
        <w:top w:val="none" w:sz="0" w:space="0" w:color="auto"/>
        <w:left w:val="none" w:sz="0" w:space="0" w:color="auto"/>
        <w:bottom w:val="none" w:sz="0" w:space="0" w:color="auto"/>
        <w:right w:val="none" w:sz="0" w:space="0" w:color="auto"/>
      </w:divBdr>
    </w:div>
    <w:div w:id="1100368374">
      <w:bodyDiv w:val="1"/>
      <w:marLeft w:val="0"/>
      <w:marRight w:val="0"/>
      <w:marTop w:val="0"/>
      <w:marBottom w:val="0"/>
      <w:divBdr>
        <w:top w:val="none" w:sz="0" w:space="0" w:color="auto"/>
        <w:left w:val="none" w:sz="0" w:space="0" w:color="auto"/>
        <w:bottom w:val="none" w:sz="0" w:space="0" w:color="auto"/>
        <w:right w:val="none" w:sz="0" w:space="0" w:color="auto"/>
      </w:divBdr>
    </w:div>
    <w:div w:id="1100682776">
      <w:bodyDiv w:val="1"/>
      <w:marLeft w:val="0"/>
      <w:marRight w:val="0"/>
      <w:marTop w:val="0"/>
      <w:marBottom w:val="0"/>
      <w:divBdr>
        <w:top w:val="none" w:sz="0" w:space="0" w:color="auto"/>
        <w:left w:val="none" w:sz="0" w:space="0" w:color="auto"/>
        <w:bottom w:val="none" w:sz="0" w:space="0" w:color="auto"/>
        <w:right w:val="none" w:sz="0" w:space="0" w:color="auto"/>
      </w:divBdr>
    </w:div>
    <w:div w:id="1101949504">
      <w:bodyDiv w:val="1"/>
      <w:marLeft w:val="0"/>
      <w:marRight w:val="0"/>
      <w:marTop w:val="0"/>
      <w:marBottom w:val="0"/>
      <w:divBdr>
        <w:top w:val="none" w:sz="0" w:space="0" w:color="auto"/>
        <w:left w:val="none" w:sz="0" w:space="0" w:color="auto"/>
        <w:bottom w:val="none" w:sz="0" w:space="0" w:color="auto"/>
        <w:right w:val="none" w:sz="0" w:space="0" w:color="auto"/>
      </w:divBdr>
    </w:div>
    <w:div w:id="1101990926">
      <w:bodyDiv w:val="1"/>
      <w:marLeft w:val="0"/>
      <w:marRight w:val="0"/>
      <w:marTop w:val="0"/>
      <w:marBottom w:val="0"/>
      <w:divBdr>
        <w:top w:val="none" w:sz="0" w:space="0" w:color="auto"/>
        <w:left w:val="none" w:sz="0" w:space="0" w:color="auto"/>
        <w:bottom w:val="none" w:sz="0" w:space="0" w:color="auto"/>
        <w:right w:val="none" w:sz="0" w:space="0" w:color="auto"/>
      </w:divBdr>
    </w:div>
    <w:div w:id="1101995619">
      <w:bodyDiv w:val="1"/>
      <w:marLeft w:val="0"/>
      <w:marRight w:val="0"/>
      <w:marTop w:val="0"/>
      <w:marBottom w:val="0"/>
      <w:divBdr>
        <w:top w:val="none" w:sz="0" w:space="0" w:color="auto"/>
        <w:left w:val="none" w:sz="0" w:space="0" w:color="auto"/>
        <w:bottom w:val="none" w:sz="0" w:space="0" w:color="auto"/>
        <w:right w:val="none" w:sz="0" w:space="0" w:color="auto"/>
      </w:divBdr>
    </w:div>
    <w:div w:id="1102384920">
      <w:bodyDiv w:val="1"/>
      <w:marLeft w:val="0"/>
      <w:marRight w:val="0"/>
      <w:marTop w:val="0"/>
      <w:marBottom w:val="0"/>
      <w:divBdr>
        <w:top w:val="none" w:sz="0" w:space="0" w:color="auto"/>
        <w:left w:val="none" w:sz="0" w:space="0" w:color="auto"/>
        <w:bottom w:val="none" w:sz="0" w:space="0" w:color="auto"/>
        <w:right w:val="none" w:sz="0" w:space="0" w:color="auto"/>
      </w:divBdr>
    </w:div>
    <w:div w:id="1103260785">
      <w:bodyDiv w:val="1"/>
      <w:marLeft w:val="0"/>
      <w:marRight w:val="0"/>
      <w:marTop w:val="0"/>
      <w:marBottom w:val="0"/>
      <w:divBdr>
        <w:top w:val="none" w:sz="0" w:space="0" w:color="auto"/>
        <w:left w:val="none" w:sz="0" w:space="0" w:color="auto"/>
        <w:bottom w:val="none" w:sz="0" w:space="0" w:color="auto"/>
        <w:right w:val="none" w:sz="0" w:space="0" w:color="auto"/>
      </w:divBdr>
    </w:div>
    <w:div w:id="1104884869">
      <w:bodyDiv w:val="1"/>
      <w:marLeft w:val="0"/>
      <w:marRight w:val="0"/>
      <w:marTop w:val="0"/>
      <w:marBottom w:val="0"/>
      <w:divBdr>
        <w:top w:val="none" w:sz="0" w:space="0" w:color="auto"/>
        <w:left w:val="none" w:sz="0" w:space="0" w:color="auto"/>
        <w:bottom w:val="none" w:sz="0" w:space="0" w:color="auto"/>
        <w:right w:val="none" w:sz="0" w:space="0" w:color="auto"/>
      </w:divBdr>
    </w:div>
    <w:div w:id="1105425807">
      <w:bodyDiv w:val="1"/>
      <w:marLeft w:val="0"/>
      <w:marRight w:val="0"/>
      <w:marTop w:val="0"/>
      <w:marBottom w:val="0"/>
      <w:divBdr>
        <w:top w:val="none" w:sz="0" w:space="0" w:color="auto"/>
        <w:left w:val="none" w:sz="0" w:space="0" w:color="auto"/>
        <w:bottom w:val="none" w:sz="0" w:space="0" w:color="auto"/>
        <w:right w:val="none" w:sz="0" w:space="0" w:color="auto"/>
      </w:divBdr>
    </w:div>
    <w:div w:id="1106000919">
      <w:bodyDiv w:val="1"/>
      <w:marLeft w:val="0"/>
      <w:marRight w:val="0"/>
      <w:marTop w:val="0"/>
      <w:marBottom w:val="0"/>
      <w:divBdr>
        <w:top w:val="none" w:sz="0" w:space="0" w:color="auto"/>
        <w:left w:val="none" w:sz="0" w:space="0" w:color="auto"/>
        <w:bottom w:val="none" w:sz="0" w:space="0" w:color="auto"/>
        <w:right w:val="none" w:sz="0" w:space="0" w:color="auto"/>
      </w:divBdr>
    </w:div>
    <w:div w:id="1106971396">
      <w:bodyDiv w:val="1"/>
      <w:marLeft w:val="0"/>
      <w:marRight w:val="0"/>
      <w:marTop w:val="0"/>
      <w:marBottom w:val="0"/>
      <w:divBdr>
        <w:top w:val="none" w:sz="0" w:space="0" w:color="auto"/>
        <w:left w:val="none" w:sz="0" w:space="0" w:color="auto"/>
        <w:bottom w:val="none" w:sz="0" w:space="0" w:color="auto"/>
        <w:right w:val="none" w:sz="0" w:space="0" w:color="auto"/>
      </w:divBdr>
    </w:div>
    <w:div w:id="1107967326">
      <w:bodyDiv w:val="1"/>
      <w:marLeft w:val="0"/>
      <w:marRight w:val="0"/>
      <w:marTop w:val="0"/>
      <w:marBottom w:val="0"/>
      <w:divBdr>
        <w:top w:val="none" w:sz="0" w:space="0" w:color="auto"/>
        <w:left w:val="none" w:sz="0" w:space="0" w:color="auto"/>
        <w:bottom w:val="none" w:sz="0" w:space="0" w:color="auto"/>
        <w:right w:val="none" w:sz="0" w:space="0" w:color="auto"/>
      </w:divBdr>
    </w:div>
    <w:div w:id="1108541966">
      <w:bodyDiv w:val="1"/>
      <w:marLeft w:val="0"/>
      <w:marRight w:val="0"/>
      <w:marTop w:val="0"/>
      <w:marBottom w:val="0"/>
      <w:divBdr>
        <w:top w:val="none" w:sz="0" w:space="0" w:color="auto"/>
        <w:left w:val="none" w:sz="0" w:space="0" w:color="auto"/>
        <w:bottom w:val="none" w:sz="0" w:space="0" w:color="auto"/>
        <w:right w:val="none" w:sz="0" w:space="0" w:color="auto"/>
      </w:divBdr>
    </w:div>
    <w:div w:id="1108937225">
      <w:bodyDiv w:val="1"/>
      <w:marLeft w:val="0"/>
      <w:marRight w:val="0"/>
      <w:marTop w:val="0"/>
      <w:marBottom w:val="0"/>
      <w:divBdr>
        <w:top w:val="none" w:sz="0" w:space="0" w:color="auto"/>
        <w:left w:val="none" w:sz="0" w:space="0" w:color="auto"/>
        <w:bottom w:val="none" w:sz="0" w:space="0" w:color="auto"/>
        <w:right w:val="none" w:sz="0" w:space="0" w:color="auto"/>
      </w:divBdr>
    </w:div>
    <w:div w:id="1109280252">
      <w:bodyDiv w:val="1"/>
      <w:marLeft w:val="0"/>
      <w:marRight w:val="0"/>
      <w:marTop w:val="0"/>
      <w:marBottom w:val="0"/>
      <w:divBdr>
        <w:top w:val="none" w:sz="0" w:space="0" w:color="auto"/>
        <w:left w:val="none" w:sz="0" w:space="0" w:color="auto"/>
        <w:bottom w:val="none" w:sz="0" w:space="0" w:color="auto"/>
        <w:right w:val="none" w:sz="0" w:space="0" w:color="auto"/>
      </w:divBdr>
    </w:div>
    <w:div w:id="1109932702">
      <w:bodyDiv w:val="1"/>
      <w:marLeft w:val="0"/>
      <w:marRight w:val="0"/>
      <w:marTop w:val="0"/>
      <w:marBottom w:val="0"/>
      <w:divBdr>
        <w:top w:val="none" w:sz="0" w:space="0" w:color="auto"/>
        <w:left w:val="none" w:sz="0" w:space="0" w:color="auto"/>
        <w:bottom w:val="none" w:sz="0" w:space="0" w:color="auto"/>
        <w:right w:val="none" w:sz="0" w:space="0" w:color="auto"/>
      </w:divBdr>
    </w:div>
    <w:div w:id="1110009030">
      <w:bodyDiv w:val="1"/>
      <w:marLeft w:val="0"/>
      <w:marRight w:val="0"/>
      <w:marTop w:val="0"/>
      <w:marBottom w:val="0"/>
      <w:divBdr>
        <w:top w:val="none" w:sz="0" w:space="0" w:color="auto"/>
        <w:left w:val="none" w:sz="0" w:space="0" w:color="auto"/>
        <w:bottom w:val="none" w:sz="0" w:space="0" w:color="auto"/>
        <w:right w:val="none" w:sz="0" w:space="0" w:color="auto"/>
      </w:divBdr>
    </w:div>
    <w:div w:id="1110080213">
      <w:bodyDiv w:val="1"/>
      <w:marLeft w:val="0"/>
      <w:marRight w:val="0"/>
      <w:marTop w:val="0"/>
      <w:marBottom w:val="0"/>
      <w:divBdr>
        <w:top w:val="none" w:sz="0" w:space="0" w:color="auto"/>
        <w:left w:val="none" w:sz="0" w:space="0" w:color="auto"/>
        <w:bottom w:val="none" w:sz="0" w:space="0" w:color="auto"/>
        <w:right w:val="none" w:sz="0" w:space="0" w:color="auto"/>
      </w:divBdr>
    </w:div>
    <w:div w:id="1110203724">
      <w:bodyDiv w:val="1"/>
      <w:marLeft w:val="0"/>
      <w:marRight w:val="0"/>
      <w:marTop w:val="0"/>
      <w:marBottom w:val="0"/>
      <w:divBdr>
        <w:top w:val="none" w:sz="0" w:space="0" w:color="auto"/>
        <w:left w:val="none" w:sz="0" w:space="0" w:color="auto"/>
        <w:bottom w:val="none" w:sz="0" w:space="0" w:color="auto"/>
        <w:right w:val="none" w:sz="0" w:space="0" w:color="auto"/>
      </w:divBdr>
    </w:div>
    <w:div w:id="1110316336">
      <w:bodyDiv w:val="1"/>
      <w:marLeft w:val="0"/>
      <w:marRight w:val="0"/>
      <w:marTop w:val="0"/>
      <w:marBottom w:val="0"/>
      <w:divBdr>
        <w:top w:val="none" w:sz="0" w:space="0" w:color="auto"/>
        <w:left w:val="none" w:sz="0" w:space="0" w:color="auto"/>
        <w:bottom w:val="none" w:sz="0" w:space="0" w:color="auto"/>
        <w:right w:val="none" w:sz="0" w:space="0" w:color="auto"/>
      </w:divBdr>
    </w:div>
    <w:div w:id="1111971383">
      <w:bodyDiv w:val="1"/>
      <w:marLeft w:val="0"/>
      <w:marRight w:val="0"/>
      <w:marTop w:val="0"/>
      <w:marBottom w:val="0"/>
      <w:divBdr>
        <w:top w:val="none" w:sz="0" w:space="0" w:color="auto"/>
        <w:left w:val="none" w:sz="0" w:space="0" w:color="auto"/>
        <w:bottom w:val="none" w:sz="0" w:space="0" w:color="auto"/>
        <w:right w:val="none" w:sz="0" w:space="0" w:color="auto"/>
      </w:divBdr>
    </w:div>
    <w:div w:id="1112899415">
      <w:bodyDiv w:val="1"/>
      <w:marLeft w:val="0"/>
      <w:marRight w:val="0"/>
      <w:marTop w:val="0"/>
      <w:marBottom w:val="0"/>
      <w:divBdr>
        <w:top w:val="none" w:sz="0" w:space="0" w:color="auto"/>
        <w:left w:val="none" w:sz="0" w:space="0" w:color="auto"/>
        <w:bottom w:val="none" w:sz="0" w:space="0" w:color="auto"/>
        <w:right w:val="none" w:sz="0" w:space="0" w:color="auto"/>
      </w:divBdr>
    </w:div>
    <w:div w:id="1113329416">
      <w:bodyDiv w:val="1"/>
      <w:marLeft w:val="0"/>
      <w:marRight w:val="0"/>
      <w:marTop w:val="0"/>
      <w:marBottom w:val="0"/>
      <w:divBdr>
        <w:top w:val="none" w:sz="0" w:space="0" w:color="auto"/>
        <w:left w:val="none" w:sz="0" w:space="0" w:color="auto"/>
        <w:bottom w:val="none" w:sz="0" w:space="0" w:color="auto"/>
        <w:right w:val="none" w:sz="0" w:space="0" w:color="auto"/>
      </w:divBdr>
    </w:div>
    <w:div w:id="1113592425">
      <w:bodyDiv w:val="1"/>
      <w:marLeft w:val="0"/>
      <w:marRight w:val="0"/>
      <w:marTop w:val="0"/>
      <w:marBottom w:val="0"/>
      <w:divBdr>
        <w:top w:val="none" w:sz="0" w:space="0" w:color="auto"/>
        <w:left w:val="none" w:sz="0" w:space="0" w:color="auto"/>
        <w:bottom w:val="none" w:sz="0" w:space="0" w:color="auto"/>
        <w:right w:val="none" w:sz="0" w:space="0" w:color="auto"/>
      </w:divBdr>
    </w:div>
    <w:div w:id="1113667881">
      <w:bodyDiv w:val="1"/>
      <w:marLeft w:val="0"/>
      <w:marRight w:val="0"/>
      <w:marTop w:val="0"/>
      <w:marBottom w:val="0"/>
      <w:divBdr>
        <w:top w:val="none" w:sz="0" w:space="0" w:color="auto"/>
        <w:left w:val="none" w:sz="0" w:space="0" w:color="auto"/>
        <w:bottom w:val="none" w:sz="0" w:space="0" w:color="auto"/>
        <w:right w:val="none" w:sz="0" w:space="0" w:color="auto"/>
      </w:divBdr>
    </w:div>
    <w:div w:id="1114132336">
      <w:bodyDiv w:val="1"/>
      <w:marLeft w:val="0"/>
      <w:marRight w:val="0"/>
      <w:marTop w:val="0"/>
      <w:marBottom w:val="0"/>
      <w:divBdr>
        <w:top w:val="none" w:sz="0" w:space="0" w:color="auto"/>
        <w:left w:val="none" w:sz="0" w:space="0" w:color="auto"/>
        <w:bottom w:val="none" w:sz="0" w:space="0" w:color="auto"/>
        <w:right w:val="none" w:sz="0" w:space="0" w:color="auto"/>
      </w:divBdr>
    </w:div>
    <w:div w:id="1114133114">
      <w:bodyDiv w:val="1"/>
      <w:marLeft w:val="0"/>
      <w:marRight w:val="0"/>
      <w:marTop w:val="0"/>
      <w:marBottom w:val="0"/>
      <w:divBdr>
        <w:top w:val="none" w:sz="0" w:space="0" w:color="auto"/>
        <w:left w:val="none" w:sz="0" w:space="0" w:color="auto"/>
        <w:bottom w:val="none" w:sz="0" w:space="0" w:color="auto"/>
        <w:right w:val="none" w:sz="0" w:space="0" w:color="auto"/>
      </w:divBdr>
    </w:div>
    <w:div w:id="1114137268">
      <w:bodyDiv w:val="1"/>
      <w:marLeft w:val="0"/>
      <w:marRight w:val="0"/>
      <w:marTop w:val="0"/>
      <w:marBottom w:val="0"/>
      <w:divBdr>
        <w:top w:val="none" w:sz="0" w:space="0" w:color="auto"/>
        <w:left w:val="none" w:sz="0" w:space="0" w:color="auto"/>
        <w:bottom w:val="none" w:sz="0" w:space="0" w:color="auto"/>
        <w:right w:val="none" w:sz="0" w:space="0" w:color="auto"/>
      </w:divBdr>
    </w:div>
    <w:div w:id="1114788272">
      <w:bodyDiv w:val="1"/>
      <w:marLeft w:val="0"/>
      <w:marRight w:val="0"/>
      <w:marTop w:val="0"/>
      <w:marBottom w:val="0"/>
      <w:divBdr>
        <w:top w:val="none" w:sz="0" w:space="0" w:color="auto"/>
        <w:left w:val="none" w:sz="0" w:space="0" w:color="auto"/>
        <w:bottom w:val="none" w:sz="0" w:space="0" w:color="auto"/>
        <w:right w:val="none" w:sz="0" w:space="0" w:color="auto"/>
      </w:divBdr>
    </w:div>
    <w:div w:id="1116371527">
      <w:bodyDiv w:val="1"/>
      <w:marLeft w:val="0"/>
      <w:marRight w:val="0"/>
      <w:marTop w:val="0"/>
      <w:marBottom w:val="0"/>
      <w:divBdr>
        <w:top w:val="none" w:sz="0" w:space="0" w:color="auto"/>
        <w:left w:val="none" w:sz="0" w:space="0" w:color="auto"/>
        <w:bottom w:val="none" w:sz="0" w:space="0" w:color="auto"/>
        <w:right w:val="none" w:sz="0" w:space="0" w:color="auto"/>
      </w:divBdr>
    </w:div>
    <w:div w:id="1116631345">
      <w:bodyDiv w:val="1"/>
      <w:marLeft w:val="0"/>
      <w:marRight w:val="0"/>
      <w:marTop w:val="0"/>
      <w:marBottom w:val="0"/>
      <w:divBdr>
        <w:top w:val="none" w:sz="0" w:space="0" w:color="auto"/>
        <w:left w:val="none" w:sz="0" w:space="0" w:color="auto"/>
        <w:bottom w:val="none" w:sz="0" w:space="0" w:color="auto"/>
        <w:right w:val="none" w:sz="0" w:space="0" w:color="auto"/>
      </w:divBdr>
    </w:div>
    <w:div w:id="1117135792">
      <w:bodyDiv w:val="1"/>
      <w:marLeft w:val="0"/>
      <w:marRight w:val="0"/>
      <w:marTop w:val="0"/>
      <w:marBottom w:val="0"/>
      <w:divBdr>
        <w:top w:val="none" w:sz="0" w:space="0" w:color="auto"/>
        <w:left w:val="none" w:sz="0" w:space="0" w:color="auto"/>
        <w:bottom w:val="none" w:sz="0" w:space="0" w:color="auto"/>
        <w:right w:val="none" w:sz="0" w:space="0" w:color="auto"/>
      </w:divBdr>
    </w:div>
    <w:div w:id="1117993782">
      <w:bodyDiv w:val="1"/>
      <w:marLeft w:val="0"/>
      <w:marRight w:val="0"/>
      <w:marTop w:val="0"/>
      <w:marBottom w:val="0"/>
      <w:divBdr>
        <w:top w:val="none" w:sz="0" w:space="0" w:color="auto"/>
        <w:left w:val="none" w:sz="0" w:space="0" w:color="auto"/>
        <w:bottom w:val="none" w:sz="0" w:space="0" w:color="auto"/>
        <w:right w:val="none" w:sz="0" w:space="0" w:color="auto"/>
      </w:divBdr>
    </w:div>
    <w:div w:id="1118640437">
      <w:bodyDiv w:val="1"/>
      <w:marLeft w:val="0"/>
      <w:marRight w:val="0"/>
      <w:marTop w:val="0"/>
      <w:marBottom w:val="0"/>
      <w:divBdr>
        <w:top w:val="none" w:sz="0" w:space="0" w:color="auto"/>
        <w:left w:val="none" w:sz="0" w:space="0" w:color="auto"/>
        <w:bottom w:val="none" w:sz="0" w:space="0" w:color="auto"/>
        <w:right w:val="none" w:sz="0" w:space="0" w:color="auto"/>
      </w:divBdr>
    </w:div>
    <w:div w:id="1119497846">
      <w:bodyDiv w:val="1"/>
      <w:marLeft w:val="0"/>
      <w:marRight w:val="0"/>
      <w:marTop w:val="0"/>
      <w:marBottom w:val="0"/>
      <w:divBdr>
        <w:top w:val="none" w:sz="0" w:space="0" w:color="auto"/>
        <w:left w:val="none" w:sz="0" w:space="0" w:color="auto"/>
        <w:bottom w:val="none" w:sz="0" w:space="0" w:color="auto"/>
        <w:right w:val="none" w:sz="0" w:space="0" w:color="auto"/>
      </w:divBdr>
    </w:div>
    <w:div w:id="1119714286">
      <w:bodyDiv w:val="1"/>
      <w:marLeft w:val="0"/>
      <w:marRight w:val="0"/>
      <w:marTop w:val="0"/>
      <w:marBottom w:val="0"/>
      <w:divBdr>
        <w:top w:val="none" w:sz="0" w:space="0" w:color="auto"/>
        <w:left w:val="none" w:sz="0" w:space="0" w:color="auto"/>
        <w:bottom w:val="none" w:sz="0" w:space="0" w:color="auto"/>
        <w:right w:val="none" w:sz="0" w:space="0" w:color="auto"/>
      </w:divBdr>
    </w:div>
    <w:div w:id="1120025963">
      <w:bodyDiv w:val="1"/>
      <w:marLeft w:val="0"/>
      <w:marRight w:val="0"/>
      <w:marTop w:val="0"/>
      <w:marBottom w:val="0"/>
      <w:divBdr>
        <w:top w:val="none" w:sz="0" w:space="0" w:color="auto"/>
        <w:left w:val="none" w:sz="0" w:space="0" w:color="auto"/>
        <w:bottom w:val="none" w:sz="0" w:space="0" w:color="auto"/>
        <w:right w:val="none" w:sz="0" w:space="0" w:color="auto"/>
      </w:divBdr>
    </w:div>
    <w:div w:id="1120029526">
      <w:bodyDiv w:val="1"/>
      <w:marLeft w:val="0"/>
      <w:marRight w:val="0"/>
      <w:marTop w:val="0"/>
      <w:marBottom w:val="0"/>
      <w:divBdr>
        <w:top w:val="none" w:sz="0" w:space="0" w:color="auto"/>
        <w:left w:val="none" w:sz="0" w:space="0" w:color="auto"/>
        <w:bottom w:val="none" w:sz="0" w:space="0" w:color="auto"/>
        <w:right w:val="none" w:sz="0" w:space="0" w:color="auto"/>
      </w:divBdr>
    </w:div>
    <w:div w:id="1120491920">
      <w:bodyDiv w:val="1"/>
      <w:marLeft w:val="0"/>
      <w:marRight w:val="0"/>
      <w:marTop w:val="0"/>
      <w:marBottom w:val="0"/>
      <w:divBdr>
        <w:top w:val="none" w:sz="0" w:space="0" w:color="auto"/>
        <w:left w:val="none" w:sz="0" w:space="0" w:color="auto"/>
        <w:bottom w:val="none" w:sz="0" w:space="0" w:color="auto"/>
        <w:right w:val="none" w:sz="0" w:space="0" w:color="auto"/>
      </w:divBdr>
    </w:div>
    <w:div w:id="1120687368">
      <w:bodyDiv w:val="1"/>
      <w:marLeft w:val="0"/>
      <w:marRight w:val="0"/>
      <w:marTop w:val="0"/>
      <w:marBottom w:val="0"/>
      <w:divBdr>
        <w:top w:val="none" w:sz="0" w:space="0" w:color="auto"/>
        <w:left w:val="none" w:sz="0" w:space="0" w:color="auto"/>
        <w:bottom w:val="none" w:sz="0" w:space="0" w:color="auto"/>
        <w:right w:val="none" w:sz="0" w:space="0" w:color="auto"/>
      </w:divBdr>
    </w:div>
    <w:div w:id="1121650820">
      <w:bodyDiv w:val="1"/>
      <w:marLeft w:val="0"/>
      <w:marRight w:val="0"/>
      <w:marTop w:val="0"/>
      <w:marBottom w:val="0"/>
      <w:divBdr>
        <w:top w:val="none" w:sz="0" w:space="0" w:color="auto"/>
        <w:left w:val="none" w:sz="0" w:space="0" w:color="auto"/>
        <w:bottom w:val="none" w:sz="0" w:space="0" w:color="auto"/>
        <w:right w:val="none" w:sz="0" w:space="0" w:color="auto"/>
      </w:divBdr>
    </w:div>
    <w:div w:id="1121998700">
      <w:bodyDiv w:val="1"/>
      <w:marLeft w:val="0"/>
      <w:marRight w:val="0"/>
      <w:marTop w:val="0"/>
      <w:marBottom w:val="0"/>
      <w:divBdr>
        <w:top w:val="none" w:sz="0" w:space="0" w:color="auto"/>
        <w:left w:val="none" w:sz="0" w:space="0" w:color="auto"/>
        <w:bottom w:val="none" w:sz="0" w:space="0" w:color="auto"/>
        <w:right w:val="none" w:sz="0" w:space="0" w:color="auto"/>
      </w:divBdr>
    </w:div>
    <w:div w:id="1122461605">
      <w:bodyDiv w:val="1"/>
      <w:marLeft w:val="0"/>
      <w:marRight w:val="0"/>
      <w:marTop w:val="0"/>
      <w:marBottom w:val="0"/>
      <w:divBdr>
        <w:top w:val="none" w:sz="0" w:space="0" w:color="auto"/>
        <w:left w:val="none" w:sz="0" w:space="0" w:color="auto"/>
        <w:bottom w:val="none" w:sz="0" w:space="0" w:color="auto"/>
        <w:right w:val="none" w:sz="0" w:space="0" w:color="auto"/>
      </w:divBdr>
    </w:div>
    <w:div w:id="1122652756">
      <w:bodyDiv w:val="1"/>
      <w:marLeft w:val="0"/>
      <w:marRight w:val="0"/>
      <w:marTop w:val="0"/>
      <w:marBottom w:val="0"/>
      <w:divBdr>
        <w:top w:val="none" w:sz="0" w:space="0" w:color="auto"/>
        <w:left w:val="none" w:sz="0" w:space="0" w:color="auto"/>
        <w:bottom w:val="none" w:sz="0" w:space="0" w:color="auto"/>
        <w:right w:val="none" w:sz="0" w:space="0" w:color="auto"/>
      </w:divBdr>
    </w:div>
    <w:div w:id="1122774183">
      <w:bodyDiv w:val="1"/>
      <w:marLeft w:val="0"/>
      <w:marRight w:val="0"/>
      <w:marTop w:val="0"/>
      <w:marBottom w:val="0"/>
      <w:divBdr>
        <w:top w:val="none" w:sz="0" w:space="0" w:color="auto"/>
        <w:left w:val="none" w:sz="0" w:space="0" w:color="auto"/>
        <w:bottom w:val="none" w:sz="0" w:space="0" w:color="auto"/>
        <w:right w:val="none" w:sz="0" w:space="0" w:color="auto"/>
      </w:divBdr>
    </w:div>
    <w:div w:id="1122920277">
      <w:bodyDiv w:val="1"/>
      <w:marLeft w:val="0"/>
      <w:marRight w:val="0"/>
      <w:marTop w:val="0"/>
      <w:marBottom w:val="0"/>
      <w:divBdr>
        <w:top w:val="none" w:sz="0" w:space="0" w:color="auto"/>
        <w:left w:val="none" w:sz="0" w:space="0" w:color="auto"/>
        <w:bottom w:val="none" w:sz="0" w:space="0" w:color="auto"/>
        <w:right w:val="none" w:sz="0" w:space="0" w:color="auto"/>
      </w:divBdr>
    </w:div>
    <w:div w:id="1122991048">
      <w:bodyDiv w:val="1"/>
      <w:marLeft w:val="0"/>
      <w:marRight w:val="0"/>
      <w:marTop w:val="0"/>
      <w:marBottom w:val="0"/>
      <w:divBdr>
        <w:top w:val="none" w:sz="0" w:space="0" w:color="auto"/>
        <w:left w:val="none" w:sz="0" w:space="0" w:color="auto"/>
        <w:bottom w:val="none" w:sz="0" w:space="0" w:color="auto"/>
        <w:right w:val="none" w:sz="0" w:space="0" w:color="auto"/>
      </w:divBdr>
    </w:div>
    <w:div w:id="1123112211">
      <w:bodyDiv w:val="1"/>
      <w:marLeft w:val="0"/>
      <w:marRight w:val="0"/>
      <w:marTop w:val="0"/>
      <w:marBottom w:val="0"/>
      <w:divBdr>
        <w:top w:val="none" w:sz="0" w:space="0" w:color="auto"/>
        <w:left w:val="none" w:sz="0" w:space="0" w:color="auto"/>
        <w:bottom w:val="none" w:sz="0" w:space="0" w:color="auto"/>
        <w:right w:val="none" w:sz="0" w:space="0" w:color="auto"/>
      </w:divBdr>
    </w:div>
    <w:div w:id="1125269843">
      <w:bodyDiv w:val="1"/>
      <w:marLeft w:val="0"/>
      <w:marRight w:val="0"/>
      <w:marTop w:val="0"/>
      <w:marBottom w:val="0"/>
      <w:divBdr>
        <w:top w:val="none" w:sz="0" w:space="0" w:color="auto"/>
        <w:left w:val="none" w:sz="0" w:space="0" w:color="auto"/>
        <w:bottom w:val="none" w:sz="0" w:space="0" w:color="auto"/>
        <w:right w:val="none" w:sz="0" w:space="0" w:color="auto"/>
      </w:divBdr>
    </w:div>
    <w:div w:id="1125925038">
      <w:bodyDiv w:val="1"/>
      <w:marLeft w:val="0"/>
      <w:marRight w:val="0"/>
      <w:marTop w:val="0"/>
      <w:marBottom w:val="0"/>
      <w:divBdr>
        <w:top w:val="none" w:sz="0" w:space="0" w:color="auto"/>
        <w:left w:val="none" w:sz="0" w:space="0" w:color="auto"/>
        <w:bottom w:val="none" w:sz="0" w:space="0" w:color="auto"/>
        <w:right w:val="none" w:sz="0" w:space="0" w:color="auto"/>
      </w:divBdr>
    </w:div>
    <w:div w:id="1126898163">
      <w:bodyDiv w:val="1"/>
      <w:marLeft w:val="0"/>
      <w:marRight w:val="0"/>
      <w:marTop w:val="0"/>
      <w:marBottom w:val="0"/>
      <w:divBdr>
        <w:top w:val="none" w:sz="0" w:space="0" w:color="auto"/>
        <w:left w:val="none" w:sz="0" w:space="0" w:color="auto"/>
        <w:bottom w:val="none" w:sz="0" w:space="0" w:color="auto"/>
        <w:right w:val="none" w:sz="0" w:space="0" w:color="auto"/>
      </w:divBdr>
    </w:div>
    <w:div w:id="1126923775">
      <w:bodyDiv w:val="1"/>
      <w:marLeft w:val="0"/>
      <w:marRight w:val="0"/>
      <w:marTop w:val="0"/>
      <w:marBottom w:val="0"/>
      <w:divBdr>
        <w:top w:val="none" w:sz="0" w:space="0" w:color="auto"/>
        <w:left w:val="none" w:sz="0" w:space="0" w:color="auto"/>
        <w:bottom w:val="none" w:sz="0" w:space="0" w:color="auto"/>
        <w:right w:val="none" w:sz="0" w:space="0" w:color="auto"/>
      </w:divBdr>
    </w:div>
    <w:div w:id="1127044789">
      <w:bodyDiv w:val="1"/>
      <w:marLeft w:val="0"/>
      <w:marRight w:val="0"/>
      <w:marTop w:val="0"/>
      <w:marBottom w:val="0"/>
      <w:divBdr>
        <w:top w:val="none" w:sz="0" w:space="0" w:color="auto"/>
        <w:left w:val="none" w:sz="0" w:space="0" w:color="auto"/>
        <w:bottom w:val="none" w:sz="0" w:space="0" w:color="auto"/>
        <w:right w:val="none" w:sz="0" w:space="0" w:color="auto"/>
      </w:divBdr>
    </w:div>
    <w:div w:id="1127550898">
      <w:bodyDiv w:val="1"/>
      <w:marLeft w:val="0"/>
      <w:marRight w:val="0"/>
      <w:marTop w:val="0"/>
      <w:marBottom w:val="0"/>
      <w:divBdr>
        <w:top w:val="none" w:sz="0" w:space="0" w:color="auto"/>
        <w:left w:val="none" w:sz="0" w:space="0" w:color="auto"/>
        <w:bottom w:val="none" w:sz="0" w:space="0" w:color="auto"/>
        <w:right w:val="none" w:sz="0" w:space="0" w:color="auto"/>
      </w:divBdr>
    </w:div>
    <w:div w:id="1128741524">
      <w:bodyDiv w:val="1"/>
      <w:marLeft w:val="0"/>
      <w:marRight w:val="0"/>
      <w:marTop w:val="0"/>
      <w:marBottom w:val="0"/>
      <w:divBdr>
        <w:top w:val="none" w:sz="0" w:space="0" w:color="auto"/>
        <w:left w:val="none" w:sz="0" w:space="0" w:color="auto"/>
        <w:bottom w:val="none" w:sz="0" w:space="0" w:color="auto"/>
        <w:right w:val="none" w:sz="0" w:space="0" w:color="auto"/>
      </w:divBdr>
    </w:div>
    <w:div w:id="1129132721">
      <w:bodyDiv w:val="1"/>
      <w:marLeft w:val="0"/>
      <w:marRight w:val="0"/>
      <w:marTop w:val="0"/>
      <w:marBottom w:val="0"/>
      <w:divBdr>
        <w:top w:val="none" w:sz="0" w:space="0" w:color="auto"/>
        <w:left w:val="none" w:sz="0" w:space="0" w:color="auto"/>
        <w:bottom w:val="none" w:sz="0" w:space="0" w:color="auto"/>
        <w:right w:val="none" w:sz="0" w:space="0" w:color="auto"/>
      </w:divBdr>
    </w:div>
    <w:div w:id="1129665447">
      <w:bodyDiv w:val="1"/>
      <w:marLeft w:val="0"/>
      <w:marRight w:val="0"/>
      <w:marTop w:val="0"/>
      <w:marBottom w:val="0"/>
      <w:divBdr>
        <w:top w:val="none" w:sz="0" w:space="0" w:color="auto"/>
        <w:left w:val="none" w:sz="0" w:space="0" w:color="auto"/>
        <w:bottom w:val="none" w:sz="0" w:space="0" w:color="auto"/>
        <w:right w:val="none" w:sz="0" w:space="0" w:color="auto"/>
      </w:divBdr>
    </w:div>
    <w:div w:id="1130976423">
      <w:bodyDiv w:val="1"/>
      <w:marLeft w:val="0"/>
      <w:marRight w:val="0"/>
      <w:marTop w:val="0"/>
      <w:marBottom w:val="0"/>
      <w:divBdr>
        <w:top w:val="none" w:sz="0" w:space="0" w:color="auto"/>
        <w:left w:val="none" w:sz="0" w:space="0" w:color="auto"/>
        <w:bottom w:val="none" w:sz="0" w:space="0" w:color="auto"/>
        <w:right w:val="none" w:sz="0" w:space="0" w:color="auto"/>
      </w:divBdr>
    </w:div>
    <w:div w:id="1130977103">
      <w:bodyDiv w:val="1"/>
      <w:marLeft w:val="0"/>
      <w:marRight w:val="0"/>
      <w:marTop w:val="0"/>
      <w:marBottom w:val="0"/>
      <w:divBdr>
        <w:top w:val="none" w:sz="0" w:space="0" w:color="auto"/>
        <w:left w:val="none" w:sz="0" w:space="0" w:color="auto"/>
        <w:bottom w:val="none" w:sz="0" w:space="0" w:color="auto"/>
        <w:right w:val="none" w:sz="0" w:space="0" w:color="auto"/>
      </w:divBdr>
    </w:div>
    <w:div w:id="1131442312">
      <w:bodyDiv w:val="1"/>
      <w:marLeft w:val="0"/>
      <w:marRight w:val="0"/>
      <w:marTop w:val="0"/>
      <w:marBottom w:val="0"/>
      <w:divBdr>
        <w:top w:val="none" w:sz="0" w:space="0" w:color="auto"/>
        <w:left w:val="none" w:sz="0" w:space="0" w:color="auto"/>
        <w:bottom w:val="none" w:sz="0" w:space="0" w:color="auto"/>
        <w:right w:val="none" w:sz="0" w:space="0" w:color="auto"/>
      </w:divBdr>
    </w:div>
    <w:div w:id="1132140363">
      <w:bodyDiv w:val="1"/>
      <w:marLeft w:val="0"/>
      <w:marRight w:val="0"/>
      <w:marTop w:val="0"/>
      <w:marBottom w:val="0"/>
      <w:divBdr>
        <w:top w:val="none" w:sz="0" w:space="0" w:color="auto"/>
        <w:left w:val="none" w:sz="0" w:space="0" w:color="auto"/>
        <w:bottom w:val="none" w:sz="0" w:space="0" w:color="auto"/>
        <w:right w:val="none" w:sz="0" w:space="0" w:color="auto"/>
      </w:divBdr>
    </w:div>
    <w:div w:id="1132400521">
      <w:bodyDiv w:val="1"/>
      <w:marLeft w:val="0"/>
      <w:marRight w:val="0"/>
      <w:marTop w:val="0"/>
      <w:marBottom w:val="0"/>
      <w:divBdr>
        <w:top w:val="none" w:sz="0" w:space="0" w:color="auto"/>
        <w:left w:val="none" w:sz="0" w:space="0" w:color="auto"/>
        <w:bottom w:val="none" w:sz="0" w:space="0" w:color="auto"/>
        <w:right w:val="none" w:sz="0" w:space="0" w:color="auto"/>
      </w:divBdr>
    </w:div>
    <w:div w:id="1133593792">
      <w:bodyDiv w:val="1"/>
      <w:marLeft w:val="0"/>
      <w:marRight w:val="0"/>
      <w:marTop w:val="0"/>
      <w:marBottom w:val="0"/>
      <w:divBdr>
        <w:top w:val="none" w:sz="0" w:space="0" w:color="auto"/>
        <w:left w:val="none" w:sz="0" w:space="0" w:color="auto"/>
        <w:bottom w:val="none" w:sz="0" w:space="0" w:color="auto"/>
        <w:right w:val="none" w:sz="0" w:space="0" w:color="auto"/>
      </w:divBdr>
    </w:div>
    <w:div w:id="1133985283">
      <w:bodyDiv w:val="1"/>
      <w:marLeft w:val="0"/>
      <w:marRight w:val="0"/>
      <w:marTop w:val="0"/>
      <w:marBottom w:val="0"/>
      <w:divBdr>
        <w:top w:val="none" w:sz="0" w:space="0" w:color="auto"/>
        <w:left w:val="none" w:sz="0" w:space="0" w:color="auto"/>
        <w:bottom w:val="none" w:sz="0" w:space="0" w:color="auto"/>
        <w:right w:val="none" w:sz="0" w:space="0" w:color="auto"/>
      </w:divBdr>
    </w:div>
    <w:div w:id="1135290591">
      <w:bodyDiv w:val="1"/>
      <w:marLeft w:val="0"/>
      <w:marRight w:val="0"/>
      <w:marTop w:val="0"/>
      <w:marBottom w:val="0"/>
      <w:divBdr>
        <w:top w:val="none" w:sz="0" w:space="0" w:color="auto"/>
        <w:left w:val="none" w:sz="0" w:space="0" w:color="auto"/>
        <w:bottom w:val="none" w:sz="0" w:space="0" w:color="auto"/>
        <w:right w:val="none" w:sz="0" w:space="0" w:color="auto"/>
      </w:divBdr>
    </w:div>
    <w:div w:id="1135834477">
      <w:bodyDiv w:val="1"/>
      <w:marLeft w:val="0"/>
      <w:marRight w:val="0"/>
      <w:marTop w:val="0"/>
      <w:marBottom w:val="0"/>
      <w:divBdr>
        <w:top w:val="none" w:sz="0" w:space="0" w:color="auto"/>
        <w:left w:val="none" w:sz="0" w:space="0" w:color="auto"/>
        <w:bottom w:val="none" w:sz="0" w:space="0" w:color="auto"/>
        <w:right w:val="none" w:sz="0" w:space="0" w:color="auto"/>
      </w:divBdr>
    </w:div>
    <w:div w:id="1136140741">
      <w:bodyDiv w:val="1"/>
      <w:marLeft w:val="0"/>
      <w:marRight w:val="0"/>
      <w:marTop w:val="0"/>
      <w:marBottom w:val="0"/>
      <w:divBdr>
        <w:top w:val="none" w:sz="0" w:space="0" w:color="auto"/>
        <w:left w:val="none" w:sz="0" w:space="0" w:color="auto"/>
        <w:bottom w:val="none" w:sz="0" w:space="0" w:color="auto"/>
        <w:right w:val="none" w:sz="0" w:space="0" w:color="auto"/>
      </w:divBdr>
    </w:div>
    <w:div w:id="1136947196">
      <w:bodyDiv w:val="1"/>
      <w:marLeft w:val="0"/>
      <w:marRight w:val="0"/>
      <w:marTop w:val="0"/>
      <w:marBottom w:val="0"/>
      <w:divBdr>
        <w:top w:val="none" w:sz="0" w:space="0" w:color="auto"/>
        <w:left w:val="none" w:sz="0" w:space="0" w:color="auto"/>
        <w:bottom w:val="none" w:sz="0" w:space="0" w:color="auto"/>
        <w:right w:val="none" w:sz="0" w:space="0" w:color="auto"/>
      </w:divBdr>
    </w:div>
    <w:div w:id="1137070825">
      <w:bodyDiv w:val="1"/>
      <w:marLeft w:val="0"/>
      <w:marRight w:val="0"/>
      <w:marTop w:val="0"/>
      <w:marBottom w:val="0"/>
      <w:divBdr>
        <w:top w:val="none" w:sz="0" w:space="0" w:color="auto"/>
        <w:left w:val="none" w:sz="0" w:space="0" w:color="auto"/>
        <w:bottom w:val="none" w:sz="0" w:space="0" w:color="auto"/>
        <w:right w:val="none" w:sz="0" w:space="0" w:color="auto"/>
      </w:divBdr>
    </w:div>
    <w:div w:id="1137187759">
      <w:bodyDiv w:val="1"/>
      <w:marLeft w:val="0"/>
      <w:marRight w:val="0"/>
      <w:marTop w:val="0"/>
      <w:marBottom w:val="0"/>
      <w:divBdr>
        <w:top w:val="none" w:sz="0" w:space="0" w:color="auto"/>
        <w:left w:val="none" w:sz="0" w:space="0" w:color="auto"/>
        <w:bottom w:val="none" w:sz="0" w:space="0" w:color="auto"/>
        <w:right w:val="none" w:sz="0" w:space="0" w:color="auto"/>
      </w:divBdr>
    </w:div>
    <w:div w:id="1137530493">
      <w:bodyDiv w:val="1"/>
      <w:marLeft w:val="0"/>
      <w:marRight w:val="0"/>
      <w:marTop w:val="0"/>
      <w:marBottom w:val="0"/>
      <w:divBdr>
        <w:top w:val="none" w:sz="0" w:space="0" w:color="auto"/>
        <w:left w:val="none" w:sz="0" w:space="0" w:color="auto"/>
        <w:bottom w:val="none" w:sz="0" w:space="0" w:color="auto"/>
        <w:right w:val="none" w:sz="0" w:space="0" w:color="auto"/>
      </w:divBdr>
    </w:div>
    <w:div w:id="1137650403">
      <w:bodyDiv w:val="1"/>
      <w:marLeft w:val="0"/>
      <w:marRight w:val="0"/>
      <w:marTop w:val="0"/>
      <w:marBottom w:val="0"/>
      <w:divBdr>
        <w:top w:val="none" w:sz="0" w:space="0" w:color="auto"/>
        <w:left w:val="none" w:sz="0" w:space="0" w:color="auto"/>
        <w:bottom w:val="none" w:sz="0" w:space="0" w:color="auto"/>
        <w:right w:val="none" w:sz="0" w:space="0" w:color="auto"/>
      </w:divBdr>
    </w:div>
    <w:div w:id="1137989391">
      <w:bodyDiv w:val="1"/>
      <w:marLeft w:val="0"/>
      <w:marRight w:val="0"/>
      <w:marTop w:val="0"/>
      <w:marBottom w:val="0"/>
      <w:divBdr>
        <w:top w:val="none" w:sz="0" w:space="0" w:color="auto"/>
        <w:left w:val="none" w:sz="0" w:space="0" w:color="auto"/>
        <w:bottom w:val="none" w:sz="0" w:space="0" w:color="auto"/>
        <w:right w:val="none" w:sz="0" w:space="0" w:color="auto"/>
      </w:divBdr>
    </w:div>
    <w:div w:id="1139759475">
      <w:bodyDiv w:val="1"/>
      <w:marLeft w:val="0"/>
      <w:marRight w:val="0"/>
      <w:marTop w:val="0"/>
      <w:marBottom w:val="0"/>
      <w:divBdr>
        <w:top w:val="none" w:sz="0" w:space="0" w:color="auto"/>
        <w:left w:val="none" w:sz="0" w:space="0" w:color="auto"/>
        <w:bottom w:val="none" w:sz="0" w:space="0" w:color="auto"/>
        <w:right w:val="none" w:sz="0" w:space="0" w:color="auto"/>
      </w:divBdr>
    </w:div>
    <w:div w:id="1139877401">
      <w:bodyDiv w:val="1"/>
      <w:marLeft w:val="0"/>
      <w:marRight w:val="0"/>
      <w:marTop w:val="0"/>
      <w:marBottom w:val="0"/>
      <w:divBdr>
        <w:top w:val="none" w:sz="0" w:space="0" w:color="auto"/>
        <w:left w:val="none" w:sz="0" w:space="0" w:color="auto"/>
        <w:bottom w:val="none" w:sz="0" w:space="0" w:color="auto"/>
        <w:right w:val="none" w:sz="0" w:space="0" w:color="auto"/>
      </w:divBdr>
    </w:div>
    <w:div w:id="1142187187">
      <w:bodyDiv w:val="1"/>
      <w:marLeft w:val="0"/>
      <w:marRight w:val="0"/>
      <w:marTop w:val="0"/>
      <w:marBottom w:val="0"/>
      <w:divBdr>
        <w:top w:val="none" w:sz="0" w:space="0" w:color="auto"/>
        <w:left w:val="none" w:sz="0" w:space="0" w:color="auto"/>
        <w:bottom w:val="none" w:sz="0" w:space="0" w:color="auto"/>
        <w:right w:val="none" w:sz="0" w:space="0" w:color="auto"/>
      </w:divBdr>
    </w:div>
    <w:div w:id="1143699774">
      <w:bodyDiv w:val="1"/>
      <w:marLeft w:val="0"/>
      <w:marRight w:val="0"/>
      <w:marTop w:val="0"/>
      <w:marBottom w:val="0"/>
      <w:divBdr>
        <w:top w:val="none" w:sz="0" w:space="0" w:color="auto"/>
        <w:left w:val="none" w:sz="0" w:space="0" w:color="auto"/>
        <w:bottom w:val="none" w:sz="0" w:space="0" w:color="auto"/>
        <w:right w:val="none" w:sz="0" w:space="0" w:color="auto"/>
      </w:divBdr>
    </w:div>
    <w:div w:id="1144739453">
      <w:bodyDiv w:val="1"/>
      <w:marLeft w:val="0"/>
      <w:marRight w:val="0"/>
      <w:marTop w:val="0"/>
      <w:marBottom w:val="0"/>
      <w:divBdr>
        <w:top w:val="none" w:sz="0" w:space="0" w:color="auto"/>
        <w:left w:val="none" w:sz="0" w:space="0" w:color="auto"/>
        <w:bottom w:val="none" w:sz="0" w:space="0" w:color="auto"/>
        <w:right w:val="none" w:sz="0" w:space="0" w:color="auto"/>
      </w:divBdr>
    </w:div>
    <w:div w:id="1145508903">
      <w:bodyDiv w:val="1"/>
      <w:marLeft w:val="0"/>
      <w:marRight w:val="0"/>
      <w:marTop w:val="0"/>
      <w:marBottom w:val="0"/>
      <w:divBdr>
        <w:top w:val="none" w:sz="0" w:space="0" w:color="auto"/>
        <w:left w:val="none" w:sz="0" w:space="0" w:color="auto"/>
        <w:bottom w:val="none" w:sz="0" w:space="0" w:color="auto"/>
        <w:right w:val="none" w:sz="0" w:space="0" w:color="auto"/>
      </w:divBdr>
    </w:div>
    <w:div w:id="1145778368">
      <w:bodyDiv w:val="1"/>
      <w:marLeft w:val="0"/>
      <w:marRight w:val="0"/>
      <w:marTop w:val="0"/>
      <w:marBottom w:val="0"/>
      <w:divBdr>
        <w:top w:val="none" w:sz="0" w:space="0" w:color="auto"/>
        <w:left w:val="none" w:sz="0" w:space="0" w:color="auto"/>
        <w:bottom w:val="none" w:sz="0" w:space="0" w:color="auto"/>
        <w:right w:val="none" w:sz="0" w:space="0" w:color="auto"/>
      </w:divBdr>
    </w:div>
    <w:div w:id="1147017121">
      <w:bodyDiv w:val="1"/>
      <w:marLeft w:val="0"/>
      <w:marRight w:val="0"/>
      <w:marTop w:val="0"/>
      <w:marBottom w:val="0"/>
      <w:divBdr>
        <w:top w:val="none" w:sz="0" w:space="0" w:color="auto"/>
        <w:left w:val="none" w:sz="0" w:space="0" w:color="auto"/>
        <w:bottom w:val="none" w:sz="0" w:space="0" w:color="auto"/>
        <w:right w:val="none" w:sz="0" w:space="0" w:color="auto"/>
      </w:divBdr>
    </w:div>
    <w:div w:id="1147237248">
      <w:bodyDiv w:val="1"/>
      <w:marLeft w:val="0"/>
      <w:marRight w:val="0"/>
      <w:marTop w:val="0"/>
      <w:marBottom w:val="0"/>
      <w:divBdr>
        <w:top w:val="none" w:sz="0" w:space="0" w:color="auto"/>
        <w:left w:val="none" w:sz="0" w:space="0" w:color="auto"/>
        <w:bottom w:val="none" w:sz="0" w:space="0" w:color="auto"/>
        <w:right w:val="none" w:sz="0" w:space="0" w:color="auto"/>
      </w:divBdr>
    </w:div>
    <w:div w:id="1148741449">
      <w:bodyDiv w:val="1"/>
      <w:marLeft w:val="0"/>
      <w:marRight w:val="0"/>
      <w:marTop w:val="0"/>
      <w:marBottom w:val="0"/>
      <w:divBdr>
        <w:top w:val="none" w:sz="0" w:space="0" w:color="auto"/>
        <w:left w:val="none" w:sz="0" w:space="0" w:color="auto"/>
        <w:bottom w:val="none" w:sz="0" w:space="0" w:color="auto"/>
        <w:right w:val="none" w:sz="0" w:space="0" w:color="auto"/>
      </w:divBdr>
    </w:div>
    <w:div w:id="1149133892">
      <w:bodyDiv w:val="1"/>
      <w:marLeft w:val="0"/>
      <w:marRight w:val="0"/>
      <w:marTop w:val="0"/>
      <w:marBottom w:val="0"/>
      <w:divBdr>
        <w:top w:val="none" w:sz="0" w:space="0" w:color="auto"/>
        <w:left w:val="none" w:sz="0" w:space="0" w:color="auto"/>
        <w:bottom w:val="none" w:sz="0" w:space="0" w:color="auto"/>
        <w:right w:val="none" w:sz="0" w:space="0" w:color="auto"/>
      </w:divBdr>
    </w:div>
    <w:div w:id="1149975516">
      <w:bodyDiv w:val="1"/>
      <w:marLeft w:val="0"/>
      <w:marRight w:val="0"/>
      <w:marTop w:val="0"/>
      <w:marBottom w:val="0"/>
      <w:divBdr>
        <w:top w:val="none" w:sz="0" w:space="0" w:color="auto"/>
        <w:left w:val="none" w:sz="0" w:space="0" w:color="auto"/>
        <w:bottom w:val="none" w:sz="0" w:space="0" w:color="auto"/>
        <w:right w:val="none" w:sz="0" w:space="0" w:color="auto"/>
      </w:divBdr>
    </w:div>
    <w:div w:id="1150711774">
      <w:bodyDiv w:val="1"/>
      <w:marLeft w:val="0"/>
      <w:marRight w:val="0"/>
      <w:marTop w:val="0"/>
      <w:marBottom w:val="0"/>
      <w:divBdr>
        <w:top w:val="none" w:sz="0" w:space="0" w:color="auto"/>
        <w:left w:val="none" w:sz="0" w:space="0" w:color="auto"/>
        <w:bottom w:val="none" w:sz="0" w:space="0" w:color="auto"/>
        <w:right w:val="none" w:sz="0" w:space="0" w:color="auto"/>
      </w:divBdr>
    </w:div>
    <w:div w:id="1151825425">
      <w:bodyDiv w:val="1"/>
      <w:marLeft w:val="0"/>
      <w:marRight w:val="0"/>
      <w:marTop w:val="0"/>
      <w:marBottom w:val="0"/>
      <w:divBdr>
        <w:top w:val="none" w:sz="0" w:space="0" w:color="auto"/>
        <w:left w:val="none" w:sz="0" w:space="0" w:color="auto"/>
        <w:bottom w:val="none" w:sz="0" w:space="0" w:color="auto"/>
        <w:right w:val="none" w:sz="0" w:space="0" w:color="auto"/>
      </w:divBdr>
    </w:div>
    <w:div w:id="1152137989">
      <w:bodyDiv w:val="1"/>
      <w:marLeft w:val="0"/>
      <w:marRight w:val="0"/>
      <w:marTop w:val="0"/>
      <w:marBottom w:val="0"/>
      <w:divBdr>
        <w:top w:val="none" w:sz="0" w:space="0" w:color="auto"/>
        <w:left w:val="none" w:sz="0" w:space="0" w:color="auto"/>
        <w:bottom w:val="none" w:sz="0" w:space="0" w:color="auto"/>
        <w:right w:val="none" w:sz="0" w:space="0" w:color="auto"/>
      </w:divBdr>
    </w:div>
    <w:div w:id="1154951673">
      <w:bodyDiv w:val="1"/>
      <w:marLeft w:val="0"/>
      <w:marRight w:val="0"/>
      <w:marTop w:val="0"/>
      <w:marBottom w:val="0"/>
      <w:divBdr>
        <w:top w:val="none" w:sz="0" w:space="0" w:color="auto"/>
        <w:left w:val="none" w:sz="0" w:space="0" w:color="auto"/>
        <w:bottom w:val="none" w:sz="0" w:space="0" w:color="auto"/>
        <w:right w:val="none" w:sz="0" w:space="0" w:color="auto"/>
      </w:divBdr>
    </w:div>
    <w:div w:id="1157646911">
      <w:bodyDiv w:val="1"/>
      <w:marLeft w:val="0"/>
      <w:marRight w:val="0"/>
      <w:marTop w:val="0"/>
      <w:marBottom w:val="0"/>
      <w:divBdr>
        <w:top w:val="none" w:sz="0" w:space="0" w:color="auto"/>
        <w:left w:val="none" w:sz="0" w:space="0" w:color="auto"/>
        <w:bottom w:val="none" w:sz="0" w:space="0" w:color="auto"/>
        <w:right w:val="none" w:sz="0" w:space="0" w:color="auto"/>
      </w:divBdr>
    </w:div>
    <w:div w:id="1157922392">
      <w:bodyDiv w:val="1"/>
      <w:marLeft w:val="0"/>
      <w:marRight w:val="0"/>
      <w:marTop w:val="0"/>
      <w:marBottom w:val="0"/>
      <w:divBdr>
        <w:top w:val="none" w:sz="0" w:space="0" w:color="auto"/>
        <w:left w:val="none" w:sz="0" w:space="0" w:color="auto"/>
        <w:bottom w:val="none" w:sz="0" w:space="0" w:color="auto"/>
        <w:right w:val="none" w:sz="0" w:space="0" w:color="auto"/>
      </w:divBdr>
    </w:div>
    <w:div w:id="1159076597">
      <w:bodyDiv w:val="1"/>
      <w:marLeft w:val="0"/>
      <w:marRight w:val="0"/>
      <w:marTop w:val="0"/>
      <w:marBottom w:val="0"/>
      <w:divBdr>
        <w:top w:val="none" w:sz="0" w:space="0" w:color="auto"/>
        <w:left w:val="none" w:sz="0" w:space="0" w:color="auto"/>
        <w:bottom w:val="none" w:sz="0" w:space="0" w:color="auto"/>
        <w:right w:val="none" w:sz="0" w:space="0" w:color="auto"/>
      </w:divBdr>
    </w:div>
    <w:div w:id="1159537694">
      <w:bodyDiv w:val="1"/>
      <w:marLeft w:val="0"/>
      <w:marRight w:val="0"/>
      <w:marTop w:val="0"/>
      <w:marBottom w:val="0"/>
      <w:divBdr>
        <w:top w:val="none" w:sz="0" w:space="0" w:color="auto"/>
        <w:left w:val="none" w:sz="0" w:space="0" w:color="auto"/>
        <w:bottom w:val="none" w:sz="0" w:space="0" w:color="auto"/>
        <w:right w:val="none" w:sz="0" w:space="0" w:color="auto"/>
      </w:divBdr>
    </w:div>
    <w:div w:id="1160737294">
      <w:bodyDiv w:val="1"/>
      <w:marLeft w:val="0"/>
      <w:marRight w:val="0"/>
      <w:marTop w:val="0"/>
      <w:marBottom w:val="0"/>
      <w:divBdr>
        <w:top w:val="none" w:sz="0" w:space="0" w:color="auto"/>
        <w:left w:val="none" w:sz="0" w:space="0" w:color="auto"/>
        <w:bottom w:val="none" w:sz="0" w:space="0" w:color="auto"/>
        <w:right w:val="none" w:sz="0" w:space="0" w:color="auto"/>
      </w:divBdr>
    </w:div>
    <w:div w:id="1162043155">
      <w:bodyDiv w:val="1"/>
      <w:marLeft w:val="0"/>
      <w:marRight w:val="0"/>
      <w:marTop w:val="0"/>
      <w:marBottom w:val="0"/>
      <w:divBdr>
        <w:top w:val="none" w:sz="0" w:space="0" w:color="auto"/>
        <w:left w:val="none" w:sz="0" w:space="0" w:color="auto"/>
        <w:bottom w:val="none" w:sz="0" w:space="0" w:color="auto"/>
        <w:right w:val="none" w:sz="0" w:space="0" w:color="auto"/>
      </w:divBdr>
    </w:div>
    <w:div w:id="1162619997">
      <w:bodyDiv w:val="1"/>
      <w:marLeft w:val="0"/>
      <w:marRight w:val="0"/>
      <w:marTop w:val="0"/>
      <w:marBottom w:val="0"/>
      <w:divBdr>
        <w:top w:val="none" w:sz="0" w:space="0" w:color="auto"/>
        <w:left w:val="none" w:sz="0" w:space="0" w:color="auto"/>
        <w:bottom w:val="none" w:sz="0" w:space="0" w:color="auto"/>
        <w:right w:val="none" w:sz="0" w:space="0" w:color="auto"/>
      </w:divBdr>
    </w:div>
    <w:div w:id="1164541553">
      <w:bodyDiv w:val="1"/>
      <w:marLeft w:val="0"/>
      <w:marRight w:val="0"/>
      <w:marTop w:val="0"/>
      <w:marBottom w:val="0"/>
      <w:divBdr>
        <w:top w:val="none" w:sz="0" w:space="0" w:color="auto"/>
        <w:left w:val="none" w:sz="0" w:space="0" w:color="auto"/>
        <w:bottom w:val="none" w:sz="0" w:space="0" w:color="auto"/>
        <w:right w:val="none" w:sz="0" w:space="0" w:color="auto"/>
      </w:divBdr>
    </w:div>
    <w:div w:id="1166282617">
      <w:bodyDiv w:val="1"/>
      <w:marLeft w:val="0"/>
      <w:marRight w:val="0"/>
      <w:marTop w:val="0"/>
      <w:marBottom w:val="0"/>
      <w:divBdr>
        <w:top w:val="none" w:sz="0" w:space="0" w:color="auto"/>
        <w:left w:val="none" w:sz="0" w:space="0" w:color="auto"/>
        <w:bottom w:val="none" w:sz="0" w:space="0" w:color="auto"/>
        <w:right w:val="none" w:sz="0" w:space="0" w:color="auto"/>
      </w:divBdr>
    </w:div>
    <w:div w:id="1167210799">
      <w:bodyDiv w:val="1"/>
      <w:marLeft w:val="0"/>
      <w:marRight w:val="0"/>
      <w:marTop w:val="0"/>
      <w:marBottom w:val="0"/>
      <w:divBdr>
        <w:top w:val="none" w:sz="0" w:space="0" w:color="auto"/>
        <w:left w:val="none" w:sz="0" w:space="0" w:color="auto"/>
        <w:bottom w:val="none" w:sz="0" w:space="0" w:color="auto"/>
        <w:right w:val="none" w:sz="0" w:space="0" w:color="auto"/>
      </w:divBdr>
    </w:div>
    <w:div w:id="1167789324">
      <w:bodyDiv w:val="1"/>
      <w:marLeft w:val="0"/>
      <w:marRight w:val="0"/>
      <w:marTop w:val="0"/>
      <w:marBottom w:val="0"/>
      <w:divBdr>
        <w:top w:val="none" w:sz="0" w:space="0" w:color="auto"/>
        <w:left w:val="none" w:sz="0" w:space="0" w:color="auto"/>
        <w:bottom w:val="none" w:sz="0" w:space="0" w:color="auto"/>
        <w:right w:val="none" w:sz="0" w:space="0" w:color="auto"/>
      </w:divBdr>
    </w:div>
    <w:div w:id="1167866023">
      <w:bodyDiv w:val="1"/>
      <w:marLeft w:val="0"/>
      <w:marRight w:val="0"/>
      <w:marTop w:val="0"/>
      <w:marBottom w:val="0"/>
      <w:divBdr>
        <w:top w:val="none" w:sz="0" w:space="0" w:color="auto"/>
        <w:left w:val="none" w:sz="0" w:space="0" w:color="auto"/>
        <w:bottom w:val="none" w:sz="0" w:space="0" w:color="auto"/>
        <w:right w:val="none" w:sz="0" w:space="0" w:color="auto"/>
      </w:divBdr>
    </w:div>
    <w:div w:id="1168669471">
      <w:bodyDiv w:val="1"/>
      <w:marLeft w:val="0"/>
      <w:marRight w:val="0"/>
      <w:marTop w:val="0"/>
      <w:marBottom w:val="0"/>
      <w:divBdr>
        <w:top w:val="none" w:sz="0" w:space="0" w:color="auto"/>
        <w:left w:val="none" w:sz="0" w:space="0" w:color="auto"/>
        <w:bottom w:val="none" w:sz="0" w:space="0" w:color="auto"/>
        <w:right w:val="none" w:sz="0" w:space="0" w:color="auto"/>
      </w:divBdr>
    </w:div>
    <w:div w:id="1170870589">
      <w:bodyDiv w:val="1"/>
      <w:marLeft w:val="0"/>
      <w:marRight w:val="0"/>
      <w:marTop w:val="0"/>
      <w:marBottom w:val="0"/>
      <w:divBdr>
        <w:top w:val="none" w:sz="0" w:space="0" w:color="auto"/>
        <w:left w:val="none" w:sz="0" w:space="0" w:color="auto"/>
        <w:bottom w:val="none" w:sz="0" w:space="0" w:color="auto"/>
        <w:right w:val="none" w:sz="0" w:space="0" w:color="auto"/>
      </w:divBdr>
    </w:div>
    <w:div w:id="1171405564">
      <w:bodyDiv w:val="1"/>
      <w:marLeft w:val="0"/>
      <w:marRight w:val="0"/>
      <w:marTop w:val="0"/>
      <w:marBottom w:val="0"/>
      <w:divBdr>
        <w:top w:val="none" w:sz="0" w:space="0" w:color="auto"/>
        <w:left w:val="none" w:sz="0" w:space="0" w:color="auto"/>
        <w:bottom w:val="none" w:sz="0" w:space="0" w:color="auto"/>
        <w:right w:val="none" w:sz="0" w:space="0" w:color="auto"/>
      </w:divBdr>
    </w:div>
    <w:div w:id="1172333228">
      <w:bodyDiv w:val="1"/>
      <w:marLeft w:val="0"/>
      <w:marRight w:val="0"/>
      <w:marTop w:val="0"/>
      <w:marBottom w:val="0"/>
      <w:divBdr>
        <w:top w:val="none" w:sz="0" w:space="0" w:color="auto"/>
        <w:left w:val="none" w:sz="0" w:space="0" w:color="auto"/>
        <w:bottom w:val="none" w:sz="0" w:space="0" w:color="auto"/>
        <w:right w:val="none" w:sz="0" w:space="0" w:color="auto"/>
      </w:divBdr>
    </w:div>
    <w:div w:id="1173033120">
      <w:bodyDiv w:val="1"/>
      <w:marLeft w:val="0"/>
      <w:marRight w:val="0"/>
      <w:marTop w:val="0"/>
      <w:marBottom w:val="0"/>
      <w:divBdr>
        <w:top w:val="none" w:sz="0" w:space="0" w:color="auto"/>
        <w:left w:val="none" w:sz="0" w:space="0" w:color="auto"/>
        <w:bottom w:val="none" w:sz="0" w:space="0" w:color="auto"/>
        <w:right w:val="none" w:sz="0" w:space="0" w:color="auto"/>
      </w:divBdr>
    </w:div>
    <w:div w:id="1173380107">
      <w:bodyDiv w:val="1"/>
      <w:marLeft w:val="0"/>
      <w:marRight w:val="0"/>
      <w:marTop w:val="0"/>
      <w:marBottom w:val="0"/>
      <w:divBdr>
        <w:top w:val="none" w:sz="0" w:space="0" w:color="auto"/>
        <w:left w:val="none" w:sz="0" w:space="0" w:color="auto"/>
        <w:bottom w:val="none" w:sz="0" w:space="0" w:color="auto"/>
        <w:right w:val="none" w:sz="0" w:space="0" w:color="auto"/>
      </w:divBdr>
    </w:div>
    <w:div w:id="1176307854">
      <w:bodyDiv w:val="1"/>
      <w:marLeft w:val="0"/>
      <w:marRight w:val="0"/>
      <w:marTop w:val="0"/>
      <w:marBottom w:val="0"/>
      <w:divBdr>
        <w:top w:val="none" w:sz="0" w:space="0" w:color="auto"/>
        <w:left w:val="none" w:sz="0" w:space="0" w:color="auto"/>
        <w:bottom w:val="none" w:sz="0" w:space="0" w:color="auto"/>
        <w:right w:val="none" w:sz="0" w:space="0" w:color="auto"/>
      </w:divBdr>
    </w:div>
    <w:div w:id="1176531882">
      <w:bodyDiv w:val="1"/>
      <w:marLeft w:val="0"/>
      <w:marRight w:val="0"/>
      <w:marTop w:val="0"/>
      <w:marBottom w:val="0"/>
      <w:divBdr>
        <w:top w:val="none" w:sz="0" w:space="0" w:color="auto"/>
        <w:left w:val="none" w:sz="0" w:space="0" w:color="auto"/>
        <w:bottom w:val="none" w:sz="0" w:space="0" w:color="auto"/>
        <w:right w:val="none" w:sz="0" w:space="0" w:color="auto"/>
      </w:divBdr>
    </w:div>
    <w:div w:id="1176580760">
      <w:bodyDiv w:val="1"/>
      <w:marLeft w:val="0"/>
      <w:marRight w:val="0"/>
      <w:marTop w:val="0"/>
      <w:marBottom w:val="0"/>
      <w:divBdr>
        <w:top w:val="none" w:sz="0" w:space="0" w:color="auto"/>
        <w:left w:val="none" w:sz="0" w:space="0" w:color="auto"/>
        <w:bottom w:val="none" w:sz="0" w:space="0" w:color="auto"/>
        <w:right w:val="none" w:sz="0" w:space="0" w:color="auto"/>
      </w:divBdr>
    </w:div>
    <w:div w:id="1176656491">
      <w:bodyDiv w:val="1"/>
      <w:marLeft w:val="0"/>
      <w:marRight w:val="0"/>
      <w:marTop w:val="0"/>
      <w:marBottom w:val="0"/>
      <w:divBdr>
        <w:top w:val="none" w:sz="0" w:space="0" w:color="auto"/>
        <w:left w:val="none" w:sz="0" w:space="0" w:color="auto"/>
        <w:bottom w:val="none" w:sz="0" w:space="0" w:color="auto"/>
        <w:right w:val="none" w:sz="0" w:space="0" w:color="auto"/>
      </w:divBdr>
    </w:div>
    <w:div w:id="1178696285">
      <w:bodyDiv w:val="1"/>
      <w:marLeft w:val="0"/>
      <w:marRight w:val="0"/>
      <w:marTop w:val="0"/>
      <w:marBottom w:val="0"/>
      <w:divBdr>
        <w:top w:val="none" w:sz="0" w:space="0" w:color="auto"/>
        <w:left w:val="none" w:sz="0" w:space="0" w:color="auto"/>
        <w:bottom w:val="none" w:sz="0" w:space="0" w:color="auto"/>
        <w:right w:val="none" w:sz="0" w:space="0" w:color="auto"/>
      </w:divBdr>
    </w:div>
    <w:div w:id="1178931492">
      <w:bodyDiv w:val="1"/>
      <w:marLeft w:val="0"/>
      <w:marRight w:val="0"/>
      <w:marTop w:val="0"/>
      <w:marBottom w:val="0"/>
      <w:divBdr>
        <w:top w:val="none" w:sz="0" w:space="0" w:color="auto"/>
        <w:left w:val="none" w:sz="0" w:space="0" w:color="auto"/>
        <w:bottom w:val="none" w:sz="0" w:space="0" w:color="auto"/>
        <w:right w:val="none" w:sz="0" w:space="0" w:color="auto"/>
      </w:divBdr>
    </w:div>
    <w:div w:id="1179276668">
      <w:bodyDiv w:val="1"/>
      <w:marLeft w:val="0"/>
      <w:marRight w:val="0"/>
      <w:marTop w:val="0"/>
      <w:marBottom w:val="0"/>
      <w:divBdr>
        <w:top w:val="none" w:sz="0" w:space="0" w:color="auto"/>
        <w:left w:val="none" w:sz="0" w:space="0" w:color="auto"/>
        <w:bottom w:val="none" w:sz="0" w:space="0" w:color="auto"/>
        <w:right w:val="none" w:sz="0" w:space="0" w:color="auto"/>
      </w:divBdr>
    </w:div>
    <w:div w:id="1181966528">
      <w:bodyDiv w:val="1"/>
      <w:marLeft w:val="0"/>
      <w:marRight w:val="0"/>
      <w:marTop w:val="0"/>
      <w:marBottom w:val="0"/>
      <w:divBdr>
        <w:top w:val="none" w:sz="0" w:space="0" w:color="auto"/>
        <w:left w:val="none" w:sz="0" w:space="0" w:color="auto"/>
        <w:bottom w:val="none" w:sz="0" w:space="0" w:color="auto"/>
        <w:right w:val="none" w:sz="0" w:space="0" w:color="auto"/>
      </w:divBdr>
    </w:div>
    <w:div w:id="1182090076">
      <w:bodyDiv w:val="1"/>
      <w:marLeft w:val="0"/>
      <w:marRight w:val="0"/>
      <w:marTop w:val="0"/>
      <w:marBottom w:val="0"/>
      <w:divBdr>
        <w:top w:val="none" w:sz="0" w:space="0" w:color="auto"/>
        <w:left w:val="none" w:sz="0" w:space="0" w:color="auto"/>
        <w:bottom w:val="none" w:sz="0" w:space="0" w:color="auto"/>
        <w:right w:val="none" w:sz="0" w:space="0" w:color="auto"/>
      </w:divBdr>
    </w:div>
    <w:div w:id="1183083695">
      <w:bodyDiv w:val="1"/>
      <w:marLeft w:val="0"/>
      <w:marRight w:val="0"/>
      <w:marTop w:val="0"/>
      <w:marBottom w:val="0"/>
      <w:divBdr>
        <w:top w:val="none" w:sz="0" w:space="0" w:color="auto"/>
        <w:left w:val="none" w:sz="0" w:space="0" w:color="auto"/>
        <w:bottom w:val="none" w:sz="0" w:space="0" w:color="auto"/>
        <w:right w:val="none" w:sz="0" w:space="0" w:color="auto"/>
      </w:divBdr>
    </w:div>
    <w:div w:id="1183132838">
      <w:bodyDiv w:val="1"/>
      <w:marLeft w:val="0"/>
      <w:marRight w:val="0"/>
      <w:marTop w:val="0"/>
      <w:marBottom w:val="0"/>
      <w:divBdr>
        <w:top w:val="none" w:sz="0" w:space="0" w:color="auto"/>
        <w:left w:val="none" w:sz="0" w:space="0" w:color="auto"/>
        <w:bottom w:val="none" w:sz="0" w:space="0" w:color="auto"/>
        <w:right w:val="none" w:sz="0" w:space="0" w:color="auto"/>
      </w:divBdr>
    </w:div>
    <w:div w:id="1183976705">
      <w:bodyDiv w:val="1"/>
      <w:marLeft w:val="0"/>
      <w:marRight w:val="0"/>
      <w:marTop w:val="0"/>
      <w:marBottom w:val="0"/>
      <w:divBdr>
        <w:top w:val="none" w:sz="0" w:space="0" w:color="auto"/>
        <w:left w:val="none" w:sz="0" w:space="0" w:color="auto"/>
        <w:bottom w:val="none" w:sz="0" w:space="0" w:color="auto"/>
        <w:right w:val="none" w:sz="0" w:space="0" w:color="auto"/>
      </w:divBdr>
    </w:div>
    <w:div w:id="1184132197">
      <w:bodyDiv w:val="1"/>
      <w:marLeft w:val="0"/>
      <w:marRight w:val="0"/>
      <w:marTop w:val="0"/>
      <w:marBottom w:val="0"/>
      <w:divBdr>
        <w:top w:val="none" w:sz="0" w:space="0" w:color="auto"/>
        <w:left w:val="none" w:sz="0" w:space="0" w:color="auto"/>
        <w:bottom w:val="none" w:sz="0" w:space="0" w:color="auto"/>
        <w:right w:val="none" w:sz="0" w:space="0" w:color="auto"/>
      </w:divBdr>
    </w:div>
    <w:div w:id="1184972693">
      <w:bodyDiv w:val="1"/>
      <w:marLeft w:val="0"/>
      <w:marRight w:val="0"/>
      <w:marTop w:val="0"/>
      <w:marBottom w:val="0"/>
      <w:divBdr>
        <w:top w:val="none" w:sz="0" w:space="0" w:color="auto"/>
        <w:left w:val="none" w:sz="0" w:space="0" w:color="auto"/>
        <w:bottom w:val="none" w:sz="0" w:space="0" w:color="auto"/>
        <w:right w:val="none" w:sz="0" w:space="0" w:color="auto"/>
      </w:divBdr>
    </w:div>
    <w:div w:id="1185093511">
      <w:bodyDiv w:val="1"/>
      <w:marLeft w:val="0"/>
      <w:marRight w:val="0"/>
      <w:marTop w:val="0"/>
      <w:marBottom w:val="0"/>
      <w:divBdr>
        <w:top w:val="none" w:sz="0" w:space="0" w:color="auto"/>
        <w:left w:val="none" w:sz="0" w:space="0" w:color="auto"/>
        <w:bottom w:val="none" w:sz="0" w:space="0" w:color="auto"/>
        <w:right w:val="none" w:sz="0" w:space="0" w:color="auto"/>
      </w:divBdr>
    </w:div>
    <w:div w:id="1185172015">
      <w:bodyDiv w:val="1"/>
      <w:marLeft w:val="0"/>
      <w:marRight w:val="0"/>
      <w:marTop w:val="0"/>
      <w:marBottom w:val="0"/>
      <w:divBdr>
        <w:top w:val="none" w:sz="0" w:space="0" w:color="auto"/>
        <w:left w:val="none" w:sz="0" w:space="0" w:color="auto"/>
        <w:bottom w:val="none" w:sz="0" w:space="0" w:color="auto"/>
        <w:right w:val="none" w:sz="0" w:space="0" w:color="auto"/>
      </w:divBdr>
    </w:div>
    <w:div w:id="1185247553">
      <w:bodyDiv w:val="1"/>
      <w:marLeft w:val="0"/>
      <w:marRight w:val="0"/>
      <w:marTop w:val="0"/>
      <w:marBottom w:val="0"/>
      <w:divBdr>
        <w:top w:val="none" w:sz="0" w:space="0" w:color="auto"/>
        <w:left w:val="none" w:sz="0" w:space="0" w:color="auto"/>
        <w:bottom w:val="none" w:sz="0" w:space="0" w:color="auto"/>
        <w:right w:val="none" w:sz="0" w:space="0" w:color="auto"/>
      </w:divBdr>
    </w:div>
    <w:div w:id="1187790759">
      <w:bodyDiv w:val="1"/>
      <w:marLeft w:val="0"/>
      <w:marRight w:val="0"/>
      <w:marTop w:val="0"/>
      <w:marBottom w:val="0"/>
      <w:divBdr>
        <w:top w:val="none" w:sz="0" w:space="0" w:color="auto"/>
        <w:left w:val="none" w:sz="0" w:space="0" w:color="auto"/>
        <w:bottom w:val="none" w:sz="0" w:space="0" w:color="auto"/>
        <w:right w:val="none" w:sz="0" w:space="0" w:color="auto"/>
      </w:divBdr>
    </w:div>
    <w:div w:id="1188375267">
      <w:bodyDiv w:val="1"/>
      <w:marLeft w:val="0"/>
      <w:marRight w:val="0"/>
      <w:marTop w:val="0"/>
      <w:marBottom w:val="0"/>
      <w:divBdr>
        <w:top w:val="none" w:sz="0" w:space="0" w:color="auto"/>
        <w:left w:val="none" w:sz="0" w:space="0" w:color="auto"/>
        <w:bottom w:val="none" w:sz="0" w:space="0" w:color="auto"/>
        <w:right w:val="none" w:sz="0" w:space="0" w:color="auto"/>
      </w:divBdr>
    </w:div>
    <w:div w:id="1188711077">
      <w:bodyDiv w:val="1"/>
      <w:marLeft w:val="0"/>
      <w:marRight w:val="0"/>
      <w:marTop w:val="0"/>
      <w:marBottom w:val="0"/>
      <w:divBdr>
        <w:top w:val="none" w:sz="0" w:space="0" w:color="auto"/>
        <w:left w:val="none" w:sz="0" w:space="0" w:color="auto"/>
        <w:bottom w:val="none" w:sz="0" w:space="0" w:color="auto"/>
        <w:right w:val="none" w:sz="0" w:space="0" w:color="auto"/>
      </w:divBdr>
    </w:div>
    <w:div w:id="1190072135">
      <w:bodyDiv w:val="1"/>
      <w:marLeft w:val="0"/>
      <w:marRight w:val="0"/>
      <w:marTop w:val="0"/>
      <w:marBottom w:val="0"/>
      <w:divBdr>
        <w:top w:val="none" w:sz="0" w:space="0" w:color="auto"/>
        <w:left w:val="none" w:sz="0" w:space="0" w:color="auto"/>
        <w:bottom w:val="none" w:sz="0" w:space="0" w:color="auto"/>
        <w:right w:val="none" w:sz="0" w:space="0" w:color="auto"/>
      </w:divBdr>
    </w:div>
    <w:div w:id="1191527022">
      <w:bodyDiv w:val="1"/>
      <w:marLeft w:val="0"/>
      <w:marRight w:val="0"/>
      <w:marTop w:val="0"/>
      <w:marBottom w:val="0"/>
      <w:divBdr>
        <w:top w:val="none" w:sz="0" w:space="0" w:color="auto"/>
        <w:left w:val="none" w:sz="0" w:space="0" w:color="auto"/>
        <w:bottom w:val="none" w:sz="0" w:space="0" w:color="auto"/>
        <w:right w:val="none" w:sz="0" w:space="0" w:color="auto"/>
      </w:divBdr>
    </w:div>
    <w:div w:id="1192375039">
      <w:bodyDiv w:val="1"/>
      <w:marLeft w:val="0"/>
      <w:marRight w:val="0"/>
      <w:marTop w:val="0"/>
      <w:marBottom w:val="0"/>
      <w:divBdr>
        <w:top w:val="none" w:sz="0" w:space="0" w:color="auto"/>
        <w:left w:val="none" w:sz="0" w:space="0" w:color="auto"/>
        <w:bottom w:val="none" w:sz="0" w:space="0" w:color="auto"/>
        <w:right w:val="none" w:sz="0" w:space="0" w:color="auto"/>
      </w:divBdr>
    </w:div>
    <w:div w:id="1194152120">
      <w:bodyDiv w:val="1"/>
      <w:marLeft w:val="0"/>
      <w:marRight w:val="0"/>
      <w:marTop w:val="0"/>
      <w:marBottom w:val="0"/>
      <w:divBdr>
        <w:top w:val="none" w:sz="0" w:space="0" w:color="auto"/>
        <w:left w:val="none" w:sz="0" w:space="0" w:color="auto"/>
        <w:bottom w:val="none" w:sz="0" w:space="0" w:color="auto"/>
        <w:right w:val="none" w:sz="0" w:space="0" w:color="auto"/>
      </w:divBdr>
    </w:div>
    <w:div w:id="1194225705">
      <w:bodyDiv w:val="1"/>
      <w:marLeft w:val="0"/>
      <w:marRight w:val="0"/>
      <w:marTop w:val="0"/>
      <w:marBottom w:val="0"/>
      <w:divBdr>
        <w:top w:val="none" w:sz="0" w:space="0" w:color="auto"/>
        <w:left w:val="none" w:sz="0" w:space="0" w:color="auto"/>
        <w:bottom w:val="none" w:sz="0" w:space="0" w:color="auto"/>
        <w:right w:val="none" w:sz="0" w:space="0" w:color="auto"/>
      </w:divBdr>
    </w:div>
    <w:div w:id="1197230639">
      <w:bodyDiv w:val="1"/>
      <w:marLeft w:val="0"/>
      <w:marRight w:val="0"/>
      <w:marTop w:val="0"/>
      <w:marBottom w:val="0"/>
      <w:divBdr>
        <w:top w:val="none" w:sz="0" w:space="0" w:color="auto"/>
        <w:left w:val="none" w:sz="0" w:space="0" w:color="auto"/>
        <w:bottom w:val="none" w:sz="0" w:space="0" w:color="auto"/>
        <w:right w:val="none" w:sz="0" w:space="0" w:color="auto"/>
      </w:divBdr>
    </w:div>
    <w:div w:id="1197700475">
      <w:bodyDiv w:val="1"/>
      <w:marLeft w:val="0"/>
      <w:marRight w:val="0"/>
      <w:marTop w:val="0"/>
      <w:marBottom w:val="0"/>
      <w:divBdr>
        <w:top w:val="none" w:sz="0" w:space="0" w:color="auto"/>
        <w:left w:val="none" w:sz="0" w:space="0" w:color="auto"/>
        <w:bottom w:val="none" w:sz="0" w:space="0" w:color="auto"/>
        <w:right w:val="none" w:sz="0" w:space="0" w:color="auto"/>
      </w:divBdr>
    </w:div>
    <w:div w:id="1198129337">
      <w:bodyDiv w:val="1"/>
      <w:marLeft w:val="0"/>
      <w:marRight w:val="0"/>
      <w:marTop w:val="0"/>
      <w:marBottom w:val="0"/>
      <w:divBdr>
        <w:top w:val="none" w:sz="0" w:space="0" w:color="auto"/>
        <w:left w:val="none" w:sz="0" w:space="0" w:color="auto"/>
        <w:bottom w:val="none" w:sz="0" w:space="0" w:color="auto"/>
        <w:right w:val="none" w:sz="0" w:space="0" w:color="auto"/>
      </w:divBdr>
    </w:div>
    <w:div w:id="1198467474">
      <w:bodyDiv w:val="1"/>
      <w:marLeft w:val="0"/>
      <w:marRight w:val="0"/>
      <w:marTop w:val="0"/>
      <w:marBottom w:val="0"/>
      <w:divBdr>
        <w:top w:val="none" w:sz="0" w:space="0" w:color="auto"/>
        <w:left w:val="none" w:sz="0" w:space="0" w:color="auto"/>
        <w:bottom w:val="none" w:sz="0" w:space="0" w:color="auto"/>
        <w:right w:val="none" w:sz="0" w:space="0" w:color="auto"/>
      </w:divBdr>
    </w:div>
    <w:div w:id="1199778579">
      <w:bodyDiv w:val="1"/>
      <w:marLeft w:val="0"/>
      <w:marRight w:val="0"/>
      <w:marTop w:val="0"/>
      <w:marBottom w:val="0"/>
      <w:divBdr>
        <w:top w:val="none" w:sz="0" w:space="0" w:color="auto"/>
        <w:left w:val="none" w:sz="0" w:space="0" w:color="auto"/>
        <w:bottom w:val="none" w:sz="0" w:space="0" w:color="auto"/>
        <w:right w:val="none" w:sz="0" w:space="0" w:color="auto"/>
      </w:divBdr>
    </w:div>
    <w:div w:id="1200555515">
      <w:bodyDiv w:val="1"/>
      <w:marLeft w:val="0"/>
      <w:marRight w:val="0"/>
      <w:marTop w:val="0"/>
      <w:marBottom w:val="0"/>
      <w:divBdr>
        <w:top w:val="none" w:sz="0" w:space="0" w:color="auto"/>
        <w:left w:val="none" w:sz="0" w:space="0" w:color="auto"/>
        <w:bottom w:val="none" w:sz="0" w:space="0" w:color="auto"/>
        <w:right w:val="none" w:sz="0" w:space="0" w:color="auto"/>
      </w:divBdr>
    </w:div>
    <w:div w:id="1201162829">
      <w:bodyDiv w:val="1"/>
      <w:marLeft w:val="0"/>
      <w:marRight w:val="0"/>
      <w:marTop w:val="0"/>
      <w:marBottom w:val="0"/>
      <w:divBdr>
        <w:top w:val="none" w:sz="0" w:space="0" w:color="auto"/>
        <w:left w:val="none" w:sz="0" w:space="0" w:color="auto"/>
        <w:bottom w:val="none" w:sz="0" w:space="0" w:color="auto"/>
        <w:right w:val="none" w:sz="0" w:space="0" w:color="auto"/>
      </w:divBdr>
    </w:div>
    <w:div w:id="1201212722">
      <w:bodyDiv w:val="1"/>
      <w:marLeft w:val="0"/>
      <w:marRight w:val="0"/>
      <w:marTop w:val="0"/>
      <w:marBottom w:val="0"/>
      <w:divBdr>
        <w:top w:val="none" w:sz="0" w:space="0" w:color="auto"/>
        <w:left w:val="none" w:sz="0" w:space="0" w:color="auto"/>
        <w:bottom w:val="none" w:sz="0" w:space="0" w:color="auto"/>
        <w:right w:val="none" w:sz="0" w:space="0" w:color="auto"/>
      </w:divBdr>
    </w:div>
    <w:div w:id="1201553564">
      <w:bodyDiv w:val="1"/>
      <w:marLeft w:val="0"/>
      <w:marRight w:val="0"/>
      <w:marTop w:val="0"/>
      <w:marBottom w:val="0"/>
      <w:divBdr>
        <w:top w:val="none" w:sz="0" w:space="0" w:color="auto"/>
        <w:left w:val="none" w:sz="0" w:space="0" w:color="auto"/>
        <w:bottom w:val="none" w:sz="0" w:space="0" w:color="auto"/>
        <w:right w:val="none" w:sz="0" w:space="0" w:color="auto"/>
      </w:divBdr>
    </w:div>
    <w:div w:id="1206059357">
      <w:bodyDiv w:val="1"/>
      <w:marLeft w:val="0"/>
      <w:marRight w:val="0"/>
      <w:marTop w:val="0"/>
      <w:marBottom w:val="0"/>
      <w:divBdr>
        <w:top w:val="none" w:sz="0" w:space="0" w:color="auto"/>
        <w:left w:val="none" w:sz="0" w:space="0" w:color="auto"/>
        <w:bottom w:val="none" w:sz="0" w:space="0" w:color="auto"/>
        <w:right w:val="none" w:sz="0" w:space="0" w:color="auto"/>
      </w:divBdr>
    </w:div>
    <w:div w:id="1206260766">
      <w:bodyDiv w:val="1"/>
      <w:marLeft w:val="0"/>
      <w:marRight w:val="0"/>
      <w:marTop w:val="0"/>
      <w:marBottom w:val="0"/>
      <w:divBdr>
        <w:top w:val="none" w:sz="0" w:space="0" w:color="auto"/>
        <w:left w:val="none" w:sz="0" w:space="0" w:color="auto"/>
        <w:bottom w:val="none" w:sz="0" w:space="0" w:color="auto"/>
        <w:right w:val="none" w:sz="0" w:space="0" w:color="auto"/>
      </w:divBdr>
    </w:div>
    <w:div w:id="1206915579">
      <w:bodyDiv w:val="1"/>
      <w:marLeft w:val="0"/>
      <w:marRight w:val="0"/>
      <w:marTop w:val="0"/>
      <w:marBottom w:val="0"/>
      <w:divBdr>
        <w:top w:val="none" w:sz="0" w:space="0" w:color="auto"/>
        <w:left w:val="none" w:sz="0" w:space="0" w:color="auto"/>
        <w:bottom w:val="none" w:sz="0" w:space="0" w:color="auto"/>
        <w:right w:val="none" w:sz="0" w:space="0" w:color="auto"/>
      </w:divBdr>
    </w:div>
    <w:div w:id="1206988394">
      <w:bodyDiv w:val="1"/>
      <w:marLeft w:val="0"/>
      <w:marRight w:val="0"/>
      <w:marTop w:val="0"/>
      <w:marBottom w:val="0"/>
      <w:divBdr>
        <w:top w:val="none" w:sz="0" w:space="0" w:color="auto"/>
        <w:left w:val="none" w:sz="0" w:space="0" w:color="auto"/>
        <w:bottom w:val="none" w:sz="0" w:space="0" w:color="auto"/>
        <w:right w:val="none" w:sz="0" w:space="0" w:color="auto"/>
      </w:divBdr>
    </w:div>
    <w:div w:id="1208253622">
      <w:bodyDiv w:val="1"/>
      <w:marLeft w:val="0"/>
      <w:marRight w:val="0"/>
      <w:marTop w:val="0"/>
      <w:marBottom w:val="0"/>
      <w:divBdr>
        <w:top w:val="none" w:sz="0" w:space="0" w:color="auto"/>
        <w:left w:val="none" w:sz="0" w:space="0" w:color="auto"/>
        <w:bottom w:val="none" w:sz="0" w:space="0" w:color="auto"/>
        <w:right w:val="none" w:sz="0" w:space="0" w:color="auto"/>
      </w:divBdr>
    </w:div>
    <w:div w:id="1210803724">
      <w:bodyDiv w:val="1"/>
      <w:marLeft w:val="0"/>
      <w:marRight w:val="0"/>
      <w:marTop w:val="0"/>
      <w:marBottom w:val="0"/>
      <w:divBdr>
        <w:top w:val="none" w:sz="0" w:space="0" w:color="auto"/>
        <w:left w:val="none" w:sz="0" w:space="0" w:color="auto"/>
        <w:bottom w:val="none" w:sz="0" w:space="0" w:color="auto"/>
        <w:right w:val="none" w:sz="0" w:space="0" w:color="auto"/>
      </w:divBdr>
    </w:div>
    <w:div w:id="1212112727">
      <w:bodyDiv w:val="1"/>
      <w:marLeft w:val="0"/>
      <w:marRight w:val="0"/>
      <w:marTop w:val="0"/>
      <w:marBottom w:val="0"/>
      <w:divBdr>
        <w:top w:val="none" w:sz="0" w:space="0" w:color="auto"/>
        <w:left w:val="none" w:sz="0" w:space="0" w:color="auto"/>
        <w:bottom w:val="none" w:sz="0" w:space="0" w:color="auto"/>
        <w:right w:val="none" w:sz="0" w:space="0" w:color="auto"/>
      </w:divBdr>
    </w:div>
    <w:div w:id="1212186018">
      <w:bodyDiv w:val="1"/>
      <w:marLeft w:val="0"/>
      <w:marRight w:val="0"/>
      <w:marTop w:val="0"/>
      <w:marBottom w:val="0"/>
      <w:divBdr>
        <w:top w:val="none" w:sz="0" w:space="0" w:color="auto"/>
        <w:left w:val="none" w:sz="0" w:space="0" w:color="auto"/>
        <w:bottom w:val="none" w:sz="0" w:space="0" w:color="auto"/>
        <w:right w:val="none" w:sz="0" w:space="0" w:color="auto"/>
      </w:divBdr>
    </w:div>
    <w:div w:id="1212427128">
      <w:bodyDiv w:val="1"/>
      <w:marLeft w:val="0"/>
      <w:marRight w:val="0"/>
      <w:marTop w:val="0"/>
      <w:marBottom w:val="0"/>
      <w:divBdr>
        <w:top w:val="none" w:sz="0" w:space="0" w:color="auto"/>
        <w:left w:val="none" w:sz="0" w:space="0" w:color="auto"/>
        <w:bottom w:val="none" w:sz="0" w:space="0" w:color="auto"/>
        <w:right w:val="none" w:sz="0" w:space="0" w:color="auto"/>
      </w:divBdr>
    </w:div>
    <w:div w:id="1214460750">
      <w:bodyDiv w:val="1"/>
      <w:marLeft w:val="0"/>
      <w:marRight w:val="0"/>
      <w:marTop w:val="0"/>
      <w:marBottom w:val="0"/>
      <w:divBdr>
        <w:top w:val="none" w:sz="0" w:space="0" w:color="auto"/>
        <w:left w:val="none" w:sz="0" w:space="0" w:color="auto"/>
        <w:bottom w:val="none" w:sz="0" w:space="0" w:color="auto"/>
        <w:right w:val="none" w:sz="0" w:space="0" w:color="auto"/>
      </w:divBdr>
    </w:div>
    <w:div w:id="1215503969">
      <w:bodyDiv w:val="1"/>
      <w:marLeft w:val="0"/>
      <w:marRight w:val="0"/>
      <w:marTop w:val="0"/>
      <w:marBottom w:val="0"/>
      <w:divBdr>
        <w:top w:val="none" w:sz="0" w:space="0" w:color="auto"/>
        <w:left w:val="none" w:sz="0" w:space="0" w:color="auto"/>
        <w:bottom w:val="none" w:sz="0" w:space="0" w:color="auto"/>
        <w:right w:val="none" w:sz="0" w:space="0" w:color="auto"/>
      </w:divBdr>
    </w:div>
    <w:div w:id="1216426902">
      <w:bodyDiv w:val="1"/>
      <w:marLeft w:val="0"/>
      <w:marRight w:val="0"/>
      <w:marTop w:val="0"/>
      <w:marBottom w:val="0"/>
      <w:divBdr>
        <w:top w:val="none" w:sz="0" w:space="0" w:color="auto"/>
        <w:left w:val="none" w:sz="0" w:space="0" w:color="auto"/>
        <w:bottom w:val="none" w:sz="0" w:space="0" w:color="auto"/>
        <w:right w:val="none" w:sz="0" w:space="0" w:color="auto"/>
      </w:divBdr>
    </w:div>
    <w:div w:id="1216435026">
      <w:bodyDiv w:val="1"/>
      <w:marLeft w:val="0"/>
      <w:marRight w:val="0"/>
      <w:marTop w:val="0"/>
      <w:marBottom w:val="0"/>
      <w:divBdr>
        <w:top w:val="none" w:sz="0" w:space="0" w:color="auto"/>
        <w:left w:val="none" w:sz="0" w:space="0" w:color="auto"/>
        <w:bottom w:val="none" w:sz="0" w:space="0" w:color="auto"/>
        <w:right w:val="none" w:sz="0" w:space="0" w:color="auto"/>
      </w:divBdr>
    </w:div>
    <w:div w:id="1217158261">
      <w:bodyDiv w:val="1"/>
      <w:marLeft w:val="0"/>
      <w:marRight w:val="0"/>
      <w:marTop w:val="0"/>
      <w:marBottom w:val="0"/>
      <w:divBdr>
        <w:top w:val="none" w:sz="0" w:space="0" w:color="auto"/>
        <w:left w:val="none" w:sz="0" w:space="0" w:color="auto"/>
        <w:bottom w:val="none" w:sz="0" w:space="0" w:color="auto"/>
        <w:right w:val="none" w:sz="0" w:space="0" w:color="auto"/>
      </w:divBdr>
    </w:div>
    <w:div w:id="1217666373">
      <w:bodyDiv w:val="1"/>
      <w:marLeft w:val="0"/>
      <w:marRight w:val="0"/>
      <w:marTop w:val="0"/>
      <w:marBottom w:val="0"/>
      <w:divBdr>
        <w:top w:val="none" w:sz="0" w:space="0" w:color="auto"/>
        <w:left w:val="none" w:sz="0" w:space="0" w:color="auto"/>
        <w:bottom w:val="none" w:sz="0" w:space="0" w:color="auto"/>
        <w:right w:val="none" w:sz="0" w:space="0" w:color="auto"/>
      </w:divBdr>
    </w:div>
    <w:div w:id="1219320891">
      <w:bodyDiv w:val="1"/>
      <w:marLeft w:val="0"/>
      <w:marRight w:val="0"/>
      <w:marTop w:val="0"/>
      <w:marBottom w:val="0"/>
      <w:divBdr>
        <w:top w:val="none" w:sz="0" w:space="0" w:color="auto"/>
        <w:left w:val="none" w:sz="0" w:space="0" w:color="auto"/>
        <w:bottom w:val="none" w:sz="0" w:space="0" w:color="auto"/>
        <w:right w:val="none" w:sz="0" w:space="0" w:color="auto"/>
      </w:divBdr>
    </w:div>
    <w:div w:id="1219515972">
      <w:bodyDiv w:val="1"/>
      <w:marLeft w:val="0"/>
      <w:marRight w:val="0"/>
      <w:marTop w:val="0"/>
      <w:marBottom w:val="0"/>
      <w:divBdr>
        <w:top w:val="none" w:sz="0" w:space="0" w:color="auto"/>
        <w:left w:val="none" w:sz="0" w:space="0" w:color="auto"/>
        <w:bottom w:val="none" w:sz="0" w:space="0" w:color="auto"/>
        <w:right w:val="none" w:sz="0" w:space="0" w:color="auto"/>
      </w:divBdr>
    </w:div>
    <w:div w:id="1220290199">
      <w:bodyDiv w:val="1"/>
      <w:marLeft w:val="0"/>
      <w:marRight w:val="0"/>
      <w:marTop w:val="0"/>
      <w:marBottom w:val="0"/>
      <w:divBdr>
        <w:top w:val="none" w:sz="0" w:space="0" w:color="auto"/>
        <w:left w:val="none" w:sz="0" w:space="0" w:color="auto"/>
        <w:bottom w:val="none" w:sz="0" w:space="0" w:color="auto"/>
        <w:right w:val="none" w:sz="0" w:space="0" w:color="auto"/>
      </w:divBdr>
    </w:div>
    <w:div w:id="1222055834">
      <w:bodyDiv w:val="1"/>
      <w:marLeft w:val="0"/>
      <w:marRight w:val="0"/>
      <w:marTop w:val="0"/>
      <w:marBottom w:val="0"/>
      <w:divBdr>
        <w:top w:val="none" w:sz="0" w:space="0" w:color="auto"/>
        <w:left w:val="none" w:sz="0" w:space="0" w:color="auto"/>
        <w:bottom w:val="none" w:sz="0" w:space="0" w:color="auto"/>
        <w:right w:val="none" w:sz="0" w:space="0" w:color="auto"/>
      </w:divBdr>
    </w:div>
    <w:div w:id="1222209008">
      <w:bodyDiv w:val="1"/>
      <w:marLeft w:val="0"/>
      <w:marRight w:val="0"/>
      <w:marTop w:val="0"/>
      <w:marBottom w:val="0"/>
      <w:divBdr>
        <w:top w:val="none" w:sz="0" w:space="0" w:color="auto"/>
        <w:left w:val="none" w:sz="0" w:space="0" w:color="auto"/>
        <w:bottom w:val="none" w:sz="0" w:space="0" w:color="auto"/>
        <w:right w:val="none" w:sz="0" w:space="0" w:color="auto"/>
      </w:divBdr>
    </w:div>
    <w:div w:id="1223250886">
      <w:bodyDiv w:val="1"/>
      <w:marLeft w:val="0"/>
      <w:marRight w:val="0"/>
      <w:marTop w:val="0"/>
      <w:marBottom w:val="0"/>
      <w:divBdr>
        <w:top w:val="none" w:sz="0" w:space="0" w:color="auto"/>
        <w:left w:val="none" w:sz="0" w:space="0" w:color="auto"/>
        <w:bottom w:val="none" w:sz="0" w:space="0" w:color="auto"/>
        <w:right w:val="none" w:sz="0" w:space="0" w:color="auto"/>
      </w:divBdr>
    </w:div>
    <w:div w:id="1223567614">
      <w:bodyDiv w:val="1"/>
      <w:marLeft w:val="0"/>
      <w:marRight w:val="0"/>
      <w:marTop w:val="0"/>
      <w:marBottom w:val="0"/>
      <w:divBdr>
        <w:top w:val="none" w:sz="0" w:space="0" w:color="auto"/>
        <w:left w:val="none" w:sz="0" w:space="0" w:color="auto"/>
        <w:bottom w:val="none" w:sz="0" w:space="0" w:color="auto"/>
        <w:right w:val="none" w:sz="0" w:space="0" w:color="auto"/>
      </w:divBdr>
    </w:div>
    <w:div w:id="1223716554">
      <w:bodyDiv w:val="1"/>
      <w:marLeft w:val="0"/>
      <w:marRight w:val="0"/>
      <w:marTop w:val="0"/>
      <w:marBottom w:val="0"/>
      <w:divBdr>
        <w:top w:val="none" w:sz="0" w:space="0" w:color="auto"/>
        <w:left w:val="none" w:sz="0" w:space="0" w:color="auto"/>
        <w:bottom w:val="none" w:sz="0" w:space="0" w:color="auto"/>
        <w:right w:val="none" w:sz="0" w:space="0" w:color="auto"/>
      </w:divBdr>
    </w:div>
    <w:div w:id="1224413962">
      <w:bodyDiv w:val="1"/>
      <w:marLeft w:val="0"/>
      <w:marRight w:val="0"/>
      <w:marTop w:val="0"/>
      <w:marBottom w:val="0"/>
      <w:divBdr>
        <w:top w:val="none" w:sz="0" w:space="0" w:color="auto"/>
        <w:left w:val="none" w:sz="0" w:space="0" w:color="auto"/>
        <w:bottom w:val="none" w:sz="0" w:space="0" w:color="auto"/>
        <w:right w:val="none" w:sz="0" w:space="0" w:color="auto"/>
      </w:divBdr>
    </w:div>
    <w:div w:id="1224828574">
      <w:bodyDiv w:val="1"/>
      <w:marLeft w:val="0"/>
      <w:marRight w:val="0"/>
      <w:marTop w:val="0"/>
      <w:marBottom w:val="0"/>
      <w:divBdr>
        <w:top w:val="none" w:sz="0" w:space="0" w:color="auto"/>
        <w:left w:val="none" w:sz="0" w:space="0" w:color="auto"/>
        <w:bottom w:val="none" w:sz="0" w:space="0" w:color="auto"/>
        <w:right w:val="none" w:sz="0" w:space="0" w:color="auto"/>
      </w:divBdr>
    </w:div>
    <w:div w:id="1225138945">
      <w:bodyDiv w:val="1"/>
      <w:marLeft w:val="0"/>
      <w:marRight w:val="0"/>
      <w:marTop w:val="0"/>
      <w:marBottom w:val="0"/>
      <w:divBdr>
        <w:top w:val="none" w:sz="0" w:space="0" w:color="auto"/>
        <w:left w:val="none" w:sz="0" w:space="0" w:color="auto"/>
        <w:bottom w:val="none" w:sz="0" w:space="0" w:color="auto"/>
        <w:right w:val="none" w:sz="0" w:space="0" w:color="auto"/>
      </w:divBdr>
    </w:div>
    <w:div w:id="1225525684">
      <w:bodyDiv w:val="1"/>
      <w:marLeft w:val="0"/>
      <w:marRight w:val="0"/>
      <w:marTop w:val="0"/>
      <w:marBottom w:val="0"/>
      <w:divBdr>
        <w:top w:val="none" w:sz="0" w:space="0" w:color="auto"/>
        <w:left w:val="none" w:sz="0" w:space="0" w:color="auto"/>
        <w:bottom w:val="none" w:sz="0" w:space="0" w:color="auto"/>
        <w:right w:val="none" w:sz="0" w:space="0" w:color="auto"/>
      </w:divBdr>
    </w:div>
    <w:div w:id="1225532620">
      <w:bodyDiv w:val="1"/>
      <w:marLeft w:val="0"/>
      <w:marRight w:val="0"/>
      <w:marTop w:val="0"/>
      <w:marBottom w:val="0"/>
      <w:divBdr>
        <w:top w:val="none" w:sz="0" w:space="0" w:color="auto"/>
        <w:left w:val="none" w:sz="0" w:space="0" w:color="auto"/>
        <w:bottom w:val="none" w:sz="0" w:space="0" w:color="auto"/>
        <w:right w:val="none" w:sz="0" w:space="0" w:color="auto"/>
      </w:divBdr>
    </w:div>
    <w:div w:id="1225916657">
      <w:bodyDiv w:val="1"/>
      <w:marLeft w:val="0"/>
      <w:marRight w:val="0"/>
      <w:marTop w:val="0"/>
      <w:marBottom w:val="0"/>
      <w:divBdr>
        <w:top w:val="none" w:sz="0" w:space="0" w:color="auto"/>
        <w:left w:val="none" w:sz="0" w:space="0" w:color="auto"/>
        <w:bottom w:val="none" w:sz="0" w:space="0" w:color="auto"/>
        <w:right w:val="none" w:sz="0" w:space="0" w:color="auto"/>
      </w:divBdr>
    </w:div>
    <w:div w:id="1226720927">
      <w:bodyDiv w:val="1"/>
      <w:marLeft w:val="0"/>
      <w:marRight w:val="0"/>
      <w:marTop w:val="0"/>
      <w:marBottom w:val="0"/>
      <w:divBdr>
        <w:top w:val="none" w:sz="0" w:space="0" w:color="auto"/>
        <w:left w:val="none" w:sz="0" w:space="0" w:color="auto"/>
        <w:bottom w:val="none" w:sz="0" w:space="0" w:color="auto"/>
        <w:right w:val="none" w:sz="0" w:space="0" w:color="auto"/>
      </w:divBdr>
    </w:div>
    <w:div w:id="1226837743">
      <w:bodyDiv w:val="1"/>
      <w:marLeft w:val="0"/>
      <w:marRight w:val="0"/>
      <w:marTop w:val="0"/>
      <w:marBottom w:val="0"/>
      <w:divBdr>
        <w:top w:val="none" w:sz="0" w:space="0" w:color="auto"/>
        <w:left w:val="none" w:sz="0" w:space="0" w:color="auto"/>
        <w:bottom w:val="none" w:sz="0" w:space="0" w:color="auto"/>
        <w:right w:val="none" w:sz="0" w:space="0" w:color="auto"/>
      </w:divBdr>
    </w:div>
    <w:div w:id="1227257853">
      <w:bodyDiv w:val="1"/>
      <w:marLeft w:val="0"/>
      <w:marRight w:val="0"/>
      <w:marTop w:val="0"/>
      <w:marBottom w:val="0"/>
      <w:divBdr>
        <w:top w:val="none" w:sz="0" w:space="0" w:color="auto"/>
        <w:left w:val="none" w:sz="0" w:space="0" w:color="auto"/>
        <w:bottom w:val="none" w:sz="0" w:space="0" w:color="auto"/>
        <w:right w:val="none" w:sz="0" w:space="0" w:color="auto"/>
      </w:divBdr>
    </w:div>
    <w:div w:id="1227497652">
      <w:bodyDiv w:val="1"/>
      <w:marLeft w:val="0"/>
      <w:marRight w:val="0"/>
      <w:marTop w:val="0"/>
      <w:marBottom w:val="0"/>
      <w:divBdr>
        <w:top w:val="none" w:sz="0" w:space="0" w:color="auto"/>
        <w:left w:val="none" w:sz="0" w:space="0" w:color="auto"/>
        <w:bottom w:val="none" w:sz="0" w:space="0" w:color="auto"/>
        <w:right w:val="none" w:sz="0" w:space="0" w:color="auto"/>
      </w:divBdr>
    </w:div>
    <w:div w:id="1228345495">
      <w:bodyDiv w:val="1"/>
      <w:marLeft w:val="0"/>
      <w:marRight w:val="0"/>
      <w:marTop w:val="0"/>
      <w:marBottom w:val="0"/>
      <w:divBdr>
        <w:top w:val="none" w:sz="0" w:space="0" w:color="auto"/>
        <w:left w:val="none" w:sz="0" w:space="0" w:color="auto"/>
        <w:bottom w:val="none" w:sz="0" w:space="0" w:color="auto"/>
        <w:right w:val="none" w:sz="0" w:space="0" w:color="auto"/>
      </w:divBdr>
    </w:div>
    <w:div w:id="1228613230">
      <w:bodyDiv w:val="1"/>
      <w:marLeft w:val="0"/>
      <w:marRight w:val="0"/>
      <w:marTop w:val="0"/>
      <w:marBottom w:val="0"/>
      <w:divBdr>
        <w:top w:val="none" w:sz="0" w:space="0" w:color="auto"/>
        <w:left w:val="none" w:sz="0" w:space="0" w:color="auto"/>
        <w:bottom w:val="none" w:sz="0" w:space="0" w:color="auto"/>
        <w:right w:val="none" w:sz="0" w:space="0" w:color="auto"/>
      </w:divBdr>
    </w:div>
    <w:div w:id="1232734472">
      <w:bodyDiv w:val="1"/>
      <w:marLeft w:val="0"/>
      <w:marRight w:val="0"/>
      <w:marTop w:val="0"/>
      <w:marBottom w:val="0"/>
      <w:divBdr>
        <w:top w:val="none" w:sz="0" w:space="0" w:color="auto"/>
        <w:left w:val="none" w:sz="0" w:space="0" w:color="auto"/>
        <w:bottom w:val="none" w:sz="0" w:space="0" w:color="auto"/>
        <w:right w:val="none" w:sz="0" w:space="0" w:color="auto"/>
      </w:divBdr>
    </w:div>
    <w:div w:id="1233351118">
      <w:bodyDiv w:val="1"/>
      <w:marLeft w:val="0"/>
      <w:marRight w:val="0"/>
      <w:marTop w:val="0"/>
      <w:marBottom w:val="0"/>
      <w:divBdr>
        <w:top w:val="none" w:sz="0" w:space="0" w:color="auto"/>
        <w:left w:val="none" w:sz="0" w:space="0" w:color="auto"/>
        <w:bottom w:val="none" w:sz="0" w:space="0" w:color="auto"/>
        <w:right w:val="none" w:sz="0" w:space="0" w:color="auto"/>
      </w:divBdr>
    </w:div>
    <w:div w:id="1233586555">
      <w:bodyDiv w:val="1"/>
      <w:marLeft w:val="0"/>
      <w:marRight w:val="0"/>
      <w:marTop w:val="0"/>
      <w:marBottom w:val="0"/>
      <w:divBdr>
        <w:top w:val="none" w:sz="0" w:space="0" w:color="auto"/>
        <w:left w:val="none" w:sz="0" w:space="0" w:color="auto"/>
        <w:bottom w:val="none" w:sz="0" w:space="0" w:color="auto"/>
        <w:right w:val="none" w:sz="0" w:space="0" w:color="auto"/>
      </w:divBdr>
    </w:div>
    <w:div w:id="1234272255">
      <w:bodyDiv w:val="1"/>
      <w:marLeft w:val="0"/>
      <w:marRight w:val="0"/>
      <w:marTop w:val="0"/>
      <w:marBottom w:val="0"/>
      <w:divBdr>
        <w:top w:val="none" w:sz="0" w:space="0" w:color="auto"/>
        <w:left w:val="none" w:sz="0" w:space="0" w:color="auto"/>
        <w:bottom w:val="none" w:sz="0" w:space="0" w:color="auto"/>
        <w:right w:val="none" w:sz="0" w:space="0" w:color="auto"/>
      </w:divBdr>
    </w:div>
    <w:div w:id="1234848865">
      <w:bodyDiv w:val="1"/>
      <w:marLeft w:val="0"/>
      <w:marRight w:val="0"/>
      <w:marTop w:val="0"/>
      <w:marBottom w:val="0"/>
      <w:divBdr>
        <w:top w:val="none" w:sz="0" w:space="0" w:color="auto"/>
        <w:left w:val="none" w:sz="0" w:space="0" w:color="auto"/>
        <w:bottom w:val="none" w:sz="0" w:space="0" w:color="auto"/>
        <w:right w:val="none" w:sz="0" w:space="0" w:color="auto"/>
      </w:divBdr>
    </w:div>
    <w:div w:id="1235047664">
      <w:bodyDiv w:val="1"/>
      <w:marLeft w:val="0"/>
      <w:marRight w:val="0"/>
      <w:marTop w:val="0"/>
      <w:marBottom w:val="0"/>
      <w:divBdr>
        <w:top w:val="none" w:sz="0" w:space="0" w:color="auto"/>
        <w:left w:val="none" w:sz="0" w:space="0" w:color="auto"/>
        <w:bottom w:val="none" w:sz="0" w:space="0" w:color="auto"/>
        <w:right w:val="none" w:sz="0" w:space="0" w:color="auto"/>
      </w:divBdr>
    </w:div>
    <w:div w:id="1236158916">
      <w:bodyDiv w:val="1"/>
      <w:marLeft w:val="0"/>
      <w:marRight w:val="0"/>
      <w:marTop w:val="0"/>
      <w:marBottom w:val="0"/>
      <w:divBdr>
        <w:top w:val="none" w:sz="0" w:space="0" w:color="auto"/>
        <w:left w:val="none" w:sz="0" w:space="0" w:color="auto"/>
        <w:bottom w:val="none" w:sz="0" w:space="0" w:color="auto"/>
        <w:right w:val="none" w:sz="0" w:space="0" w:color="auto"/>
      </w:divBdr>
    </w:div>
    <w:div w:id="1236281595">
      <w:bodyDiv w:val="1"/>
      <w:marLeft w:val="0"/>
      <w:marRight w:val="0"/>
      <w:marTop w:val="0"/>
      <w:marBottom w:val="0"/>
      <w:divBdr>
        <w:top w:val="none" w:sz="0" w:space="0" w:color="auto"/>
        <w:left w:val="none" w:sz="0" w:space="0" w:color="auto"/>
        <w:bottom w:val="none" w:sz="0" w:space="0" w:color="auto"/>
        <w:right w:val="none" w:sz="0" w:space="0" w:color="auto"/>
      </w:divBdr>
    </w:div>
    <w:div w:id="1236669249">
      <w:bodyDiv w:val="1"/>
      <w:marLeft w:val="0"/>
      <w:marRight w:val="0"/>
      <w:marTop w:val="0"/>
      <w:marBottom w:val="0"/>
      <w:divBdr>
        <w:top w:val="none" w:sz="0" w:space="0" w:color="auto"/>
        <w:left w:val="none" w:sz="0" w:space="0" w:color="auto"/>
        <w:bottom w:val="none" w:sz="0" w:space="0" w:color="auto"/>
        <w:right w:val="none" w:sz="0" w:space="0" w:color="auto"/>
      </w:divBdr>
    </w:div>
    <w:div w:id="1236862595">
      <w:bodyDiv w:val="1"/>
      <w:marLeft w:val="0"/>
      <w:marRight w:val="0"/>
      <w:marTop w:val="0"/>
      <w:marBottom w:val="0"/>
      <w:divBdr>
        <w:top w:val="none" w:sz="0" w:space="0" w:color="auto"/>
        <w:left w:val="none" w:sz="0" w:space="0" w:color="auto"/>
        <w:bottom w:val="none" w:sz="0" w:space="0" w:color="auto"/>
        <w:right w:val="none" w:sz="0" w:space="0" w:color="auto"/>
      </w:divBdr>
    </w:div>
    <w:div w:id="1236864706">
      <w:bodyDiv w:val="1"/>
      <w:marLeft w:val="0"/>
      <w:marRight w:val="0"/>
      <w:marTop w:val="0"/>
      <w:marBottom w:val="0"/>
      <w:divBdr>
        <w:top w:val="none" w:sz="0" w:space="0" w:color="auto"/>
        <w:left w:val="none" w:sz="0" w:space="0" w:color="auto"/>
        <w:bottom w:val="none" w:sz="0" w:space="0" w:color="auto"/>
        <w:right w:val="none" w:sz="0" w:space="0" w:color="auto"/>
      </w:divBdr>
    </w:div>
    <w:div w:id="1237395352">
      <w:bodyDiv w:val="1"/>
      <w:marLeft w:val="0"/>
      <w:marRight w:val="0"/>
      <w:marTop w:val="0"/>
      <w:marBottom w:val="0"/>
      <w:divBdr>
        <w:top w:val="none" w:sz="0" w:space="0" w:color="auto"/>
        <w:left w:val="none" w:sz="0" w:space="0" w:color="auto"/>
        <w:bottom w:val="none" w:sz="0" w:space="0" w:color="auto"/>
        <w:right w:val="none" w:sz="0" w:space="0" w:color="auto"/>
      </w:divBdr>
    </w:div>
    <w:div w:id="1237714287">
      <w:bodyDiv w:val="1"/>
      <w:marLeft w:val="0"/>
      <w:marRight w:val="0"/>
      <w:marTop w:val="0"/>
      <w:marBottom w:val="0"/>
      <w:divBdr>
        <w:top w:val="none" w:sz="0" w:space="0" w:color="auto"/>
        <w:left w:val="none" w:sz="0" w:space="0" w:color="auto"/>
        <w:bottom w:val="none" w:sz="0" w:space="0" w:color="auto"/>
        <w:right w:val="none" w:sz="0" w:space="0" w:color="auto"/>
      </w:divBdr>
    </w:div>
    <w:div w:id="1237714306">
      <w:bodyDiv w:val="1"/>
      <w:marLeft w:val="0"/>
      <w:marRight w:val="0"/>
      <w:marTop w:val="0"/>
      <w:marBottom w:val="0"/>
      <w:divBdr>
        <w:top w:val="none" w:sz="0" w:space="0" w:color="auto"/>
        <w:left w:val="none" w:sz="0" w:space="0" w:color="auto"/>
        <w:bottom w:val="none" w:sz="0" w:space="0" w:color="auto"/>
        <w:right w:val="none" w:sz="0" w:space="0" w:color="auto"/>
      </w:divBdr>
    </w:div>
    <w:div w:id="1237976145">
      <w:bodyDiv w:val="1"/>
      <w:marLeft w:val="0"/>
      <w:marRight w:val="0"/>
      <w:marTop w:val="0"/>
      <w:marBottom w:val="0"/>
      <w:divBdr>
        <w:top w:val="none" w:sz="0" w:space="0" w:color="auto"/>
        <w:left w:val="none" w:sz="0" w:space="0" w:color="auto"/>
        <w:bottom w:val="none" w:sz="0" w:space="0" w:color="auto"/>
        <w:right w:val="none" w:sz="0" w:space="0" w:color="auto"/>
      </w:divBdr>
    </w:div>
    <w:div w:id="1239049621">
      <w:bodyDiv w:val="1"/>
      <w:marLeft w:val="0"/>
      <w:marRight w:val="0"/>
      <w:marTop w:val="0"/>
      <w:marBottom w:val="0"/>
      <w:divBdr>
        <w:top w:val="none" w:sz="0" w:space="0" w:color="auto"/>
        <w:left w:val="none" w:sz="0" w:space="0" w:color="auto"/>
        <w:bottom w:val="none" w:sz="0" w:space="0" w:color="auto"/>
        <w:right w:val="none" w:sz="0" w:space="0" w:color="auto"/>
      </w:divBdr>
    </w:div>
    <w:div w:id="1239486376">
      <w:bodyDiv w:val="1"/>
      <w:marLeft w:val="0"/>
      <w:marRight w:val="0"/>
      <w:marTop w:val="0"/>
      <w:marBottom w:val="0"/>
      <w:divBdr>
        <w:top w:val="none" w:sz="0" w:space="0" w:color="auto"/>
        <w:left w:val="none" w:sz="0" w:space="0" w:color="auto"/>
        <w:bottom w:val="none" w:sz="0" w:space="0" w:color="auto"/>
        <w:right w:val="none" w:sz="0" w:space="0" w:color="auto"/>
      </w:divBdr>
    </w:div>
    <w:div w:id="1240217640">
      <w:bodyDiv w:val="1"/>
      <w:marLeft w:val="0"/>
      <w:marRight w:val="0"/>
      <w:marTop w:val="0"/>
      <w:marBottom w:val="0"/>
      <w:divBdr>
        <w:top w:val="none" w:sz="0" w:space="0" w:color="auto"/>
        <w:left w:val="none" w:sz="0" w:space="0" w:color="auto"/>
        <w:bottom w:val="none" w:sz="0" w:space="0" w:color="auto"/>
        <w:right w:val="none" w:sz="0" w:space="0" w:color="auto"/>
      </w:divBdr>
    </w:div>
    <w:div w:id="1240754301">
      <w:bodyDiv w:val="1"/>
      <w:marLeft w:val="0"/>
      <w:marRight w:val="0"/>
      <w:marTop w:val="0"/>
      <w:marBottom w:val="0"/>
      <w:divBdr>
        <w:top w:val="none" w:sz="0" w:space="0" w:color="auto"/>
        <w:left w:val="none" w:sz="0" w:space="0" w:color="auto"/>
        <w:bottom w:val="none" w:sz="0" w:space="0" w:color="auto"/>
        <w:right w:val="none" w:sz="0" w:space="0" w:color="auto"/>
      </w:divBdr>
    </w:div>
    <w:div w:id="1241208920">
      <w:bodyDiv w:val="1"/>
      <w:marLeft w:val="0"/>
      <w:marRight w:val="0"/>
      <w:marTop w:val="0"/>
      <w:marBottom w:val="0"/>
      <w:divBdr>
        <w:top w:val="none" w:sz="0" w:space="0" w:color="auto"/>
        <w:left w:val="none" w:sz="0" w:space="0" w:color="auto"/>
        <w:bottom w:val="none" w:sz="0" w:space="0" w:color="auto"/>
        <w:right w:val="none" w:sz="0" w:space="0" w:color="auto"/>
      </w:divBdr>
    </w:div>
    <w:div w:id="1241520282">
      <w:bodyDiv w:val="1"/>
      <w:marLeft w:val="0"/>
      <w:marRight w:val="0"/>
      <w:marTop w:val="0"/>
      <w:marBottom w:val="0"/>
      <w:divBdr>
        <w:top w:val="none" w:sz="0" w:space="0" w:color="auto"/>
        <w:left w:val="none" w:sz="0" w:space="0" w:color="auto"/>
        <w:bottom w:val="none" w:sz="0" w:space="0" w:color="auto"/>
        <w:right w:val="none" w:sz="0" w:space="0" w:color="auto"/>
      </w:divBdr>
    </w:div>
    <w:div w:id="1241673047">
      <w:bodyDiv w:val="1"/>
      <w:marLeft w:val="0"/>
      <w:marRight w:val="0"/>
      <w:marTop w:val="0"/>
      <w:marBottom w:val="0"/>
      <w:divBdr>
        <w:top w:val="none" w:sz="0" w:space="0" w:color="auto"/>
        <w:left w:val="none" w:sz="0" w:space="0" w:color="auto"/>
        <w:bottom w:val="none" w:sz="0" w:space="0" w:color="auto"/>
        <w:right w:val="none" w:sz="0" w:space="0" w:color="auto"/>
      </w:divBdr>
    </w:div>
    <w:div w:id="1241676607">
      <w:bodyDiv w:val="1"/>
      <w:marLeft w:val="0"/>
      <w:marRight w:val="0"/>
      <w:marTop w:val="0"/>
      <w:marBottom w:val="0"/>
      <w:divBdr>
        <w:top w:val="none" w:sz="0" w:space="0" w:color="auto"/>
        <w:left w:val="none" w:sz="0" w:space="0" w:color="auto"/>
        <w:bottom w:val="none" w:sz="0" w:space="0" w:color="auto"/>
        <w:right w:val="none" w:sz="0" w:space="0" w:color="auto"/>
      </w:divBdr>
    </w:div>
    <w:div w:id="1242712456">
      <w:bodyDiv w:val="1"/>
      <w:marLeft w:val="0"/>
      <w:marRight w:val="0"/>
      <w:marTop w:val="0"/>
      <w:marBottom w:val="0"/>
      <w:divBdr>
        <w:top w:val="none" w:sz="0" w:space="0" w:color="auto"/>
        <w:left w:val="none" w:sz="0" w:space="0" w:color="auto"/>
        <w:bottom w:val="none" w:sz="0" w:space="0" w:color="auto"/>
        <w:right w:val="none" w:sz="0" w:space="0" w:color="auto"/>
      </w:divBdr>
    </w:div>
    <w:div w:id="1243029787">
      <w:bodyDiv w:val="1"/>
      <w:marLeft w:val="0"/>
      <w:marRight w:val="0"/>
      <w:marTop w:val="0"/>
      <w:marBottom w:val="0"/>
      <w:divBdr>
        <w:top w:val="none" w:sz="0" w:space="0" w:color="auto"/>
        <w:left w:val="none" w:sz="0" w:space="0" w:color="auto"/>
        <w:bottom w:val="none" w:sz="0" w:space="0" w:color="auto"/>
        <w:right w:val="none" w:sz="0" w:space="0" w:color="auto"/>
      </w:divBdr>
    </w:div>
    <w:div w:id="1244728485">
      <w:bodyDiv w:val="1"/>
      <w:marLeft w:val="0"/>
      <w:marRight w:val="0"/>
      <w:marTop w:val="0"/>
      <w:marBottom w:val="0"/>
      <w:divBdr>
        <w:top w:val="none" w:sz="0" w:space="0" w:color="auto"/>
        <w:left w:val="none" w:sz="0" w:space="0" w:color="auto"/>
        <w:bottom w:val="none" w:sz="0" w:space="0" w:color="auto"/>
        <w:right w:val="none" w:sz="0" w:space="0" w:color="auto"/>
      </w:divBdr>
    </w:div>
    <w:div w:id="1244995495">
      <w:bodyDiv w:val="1"/>
      <w:marLeft w:val="0"/>
      <w:marRight w:val="0"/>
      <w:marTop w:val="0"/>
      <w:marBottom w:val="0"/>
      <w:divBdr>
        <w:top w:val="none" w:sz="0" w:space="0" w:color="auto"/>
        <w:left w:val="none" w:sz="0" w:space="0" w:color="auto"/>
        <w:bottom w:val="none" w:sz="0" w:space="0" w:color="auto"/>
        <w:right w:val="none" w:sz="0" w:space="0" w:color="auto"/>
      </w:divBdr>
    </w:div>
    <w:div w:id="1245260134">
      <w:bodyDiv w:val="1"/>
      <w:marLeft w:val="0"/>
      <w:marRight w:val="0"/>
      <w:marTop w:val="0"/>
      <w:marBottom w:val="0"/>
      <w:divBdr>
        <w:top w:val="none" w:sz="0" w:space="0" w:color="auto"/>
        <w:left w:val="none" w:sz="0" w:space="0" w:color="auto"/>
        <w:bottom w:val="none" w:sz="0" w:space="0" w:color="auto"/>
        <w:right w:val="none" w:sz="0" w:space="0" w:color="auto"/>
      </w:divBdr>
    </w:div>
    <w:div w:id="1247036546">
      <w:bodyDiv w:val="1"/>
      <w:marLeft w:val="0"/>
      <w:marRight w:val="0"/>
      <w:marTop w:val="0"/>
      <w:marBottom w:val="0"/>
      <w:divBdr>
        <w:top w:val="none" w:sz="0" w:space="0" w:color="auto"/>
        <w:left w:val="none" w:sz="0" w:space="0" w:color="auto"/>
        <w:bottom w:val="none" w:sz="0" w:space="0" w:color="auto"/>
        <w:right w:val="none" w:sz="0" w:space="0" w:color="auto"/>
      </w:divBdr>
    </w:div>
    <w:div w:id="1247958728">
      <w:bodyDiv w:val="1"/>
      <w:marLeft w:val="0"/>
      <w:marRight w:val="0"/>
      <w:marTop w:val="0"/>
      <w:marBottom w:val="0"/>
      <w:divBdr>
        <w:top w:val="none" w:sz="0" w:space="0" w:color="auto"/>
        <w:left w:val="none" w:sz="0" w:space="0" w:color="auto"/>
        <w:bottom w:val="none" w:sz="0" w:space="0" w:color="auto"/>
        <w:right w:val="none" w:sz="0" w:space="0" w:color="auto"/>
      </w:divBdr>
    </w:div>
    <w:div w:id="1248004043">
      <w:bodyDiv w:val="1"/>
      <w:marLeft w:val="0"/>
      <w:marRight w:val="0"/>
      <w:marTop w:val="0"/>
      <w:marBottom w:val="0"/>
      <w:divBdr>
        <w:top w:val="none" w:sz="0" w:space="0" w:color="auto"/>
        <w:left w:val="none" w:sz="0" w:space="0" w:color="auto"/>
        <w:bottom w:val="none" w:sz="0" w:space="0" w:color="auto"/>
        <w:right w:val="none" w:sz="0" w:space="0" w:color="auto"/>
      </w:divBdr>
    </w:div>
    <w:div w:id="1248227864">
      <w:bodyDiv w:val="1"/>
      <w:marLeft w:val="0"/>
      <w:marRight w:val="0"/>
      <w:marTop w:val="0"/>
      <w:marBottom w:val="0"/>
      <w:divBdr>
        <w:top w:val="none" w:sz="0" w:space="0" w:color="auto"/>
        <w:left w:val="none" w:sz="0" w:space="0" w:color="auto"/>
        <w:bottom w:val="none" w:sz="0" w:space="0" w:color="auto"/>
        <w:right w:val="none" w:sz="0" w:space="0" w:color="auto"/>
      </w:divBdr>
    </w:div>
    <w:div w:id="1248420175">
      <w:bodyDiv w:val="1"/>
      <w:marLeft w:val="0"/>
      <w:marRight w:val="0"/>
      <w:marTop w:val="0"/>
      <w:marBottom w:val="0"/>
      <w:divBdr>
        <w:top w:val="none" w:sz="0" w:space="0" w:color="auto"/>
        <w:left w:val="none" w:sz="0" w:space="0" w:color="auto"/>
        <w:bottom w:val="none" w:sz="0" w:space="0" w:color="auto"/>
        <w:right w:val="none" w:sz="0" w:space="0" w:color="auto"/>
      </w:divBdr>
    </w:div>
    <w:div w:id="1249079108">
      <w:bodyDiv w:val="1"/>
      <w:marLeft w:val="0"/>
      <w:marRight w:val="0"/>
      <w:marTop w:val="0"/>
      <w:marBottom w:val="0"/>
      <w:divBdr>
        <w:top w:val="none" w:sz="0" w:space="0" w:color="auto"/>
        <w:left w:val="none" w:sz="0" w:space="0" w:color="auto"/>
        <w:bottom w:val="none" w:sz="0" w:space="0" w:color="auto"/>
        <w:right w:val="none" w:sz="0" w:space="0" w:color="auto"/>
      </w:divBdr>
    </w:div>
    <w:div w:id="1250771599">
      <w:bodyDiv w:val="1"/>
      <w:marLeft w:val="0"/>
      <w:marRight w:val="0"/>
      <w:marTop w:val="0"/>
      <w:marBottom w:val="0"/>
      <w:divBdr>
        <w:top w:val="none" w:sz="0" w:space="0" w:color="auto"/>
        <w:left w:val="none" w:sz="0" w:space="0" w:color="auto"/>
        <w:bottom w:val="none" w:sz="0" w:space="0" w:color="auto"/>
        <w:right w:val="none" w:sz="0" w:space="0" w:color="auto"/>
      </w:divBdr>
    </w:div>
    <w:div w:id="1251039380">
      <w:bodyDiv w:val="1"/>
      <w:marLeft w:val="0"/>
      <w:marRight w:val="0"/>
      <w:marTop w:val="0"/>
      <w:marBottom w:val="0"/>
      <w:divBdr>
        <w:top w:val="none" w:sz="0" w:space="0" w:color="auto"/>
        <w:left w:val="none" w:sz="0" w:space="0" w:color="auto"/>
        <w:bottom w:val="none" w:sz="0" w:space="0" w:color="auto"/>
        <w:right w:val="none" w:sz="0" w:space="0" w:color="auto"/>
      </w:divBdr>
    </w:div>
    <w:div w:id="1253515833">
      <w:bodyDiv w:val="1"/>
      <w:marLeft w:val="0"/>
      <w:marRight w:val="0"/>
      <w:marTop w:val="0"/>
      <w:marBottom w:val="0"/>
      <w:divBdr>
        <w:top w:val="none" w:sz="0" w:space="0" w:color="auto"/>
        <w:left w:val="none" w:sz="0" w:space="0" w:color="auto"/>
        <w:bottom w:val="none" w:sz="0" w:space="0" w:color="auto"/>
        <w:right w:val="none" w:sz="0" w:space="0" w:color="auto"/>
      </w:divBdr>
    </w:div>
    <w:div w:id="1254121743">
      <w:bodyDiv w:val="1"/>
      <w:marLeft w:val="0"/>
      <w:marRight w:val="0"/>
      <w:marTop w:val="0"/>
      <w:marBottom w:val="0"/>
      <w:divBdr>
        <w:top w:val="none" w:sz="0" w:space="0" w:color="auto"/>
        <w:left w:val="none" w:sz="0" w:space="0" w:color="auto"/>
        <w:bottom w:val="none" w:sz="0" w:space="0" w:color="auto"/>
        <w:right w:val="none" w:sz="0" w:space="0" w:color="auto"/>
      </w:divBdr>
    </w:div>
    <w:div w:id="1254898233">
      <w:bodyDiv w:val="1"/>
      <w:marLeft w:val="0"/>
      <w:marRight w:val="0"/>
      <w:marTop w:val="0"/>
      <w:marBottom w:val="0"/>
      <w:divBdr>
        <w:top w:val="none" w:sz="0" w:space="0" w:color="auto"/>
        <w:left w:val="none" w:sz="0" w:space="0" w:color="auto"/>
        <w:bottom w:val="none" w:sz="0" w:space="0" w:color="auto"/>
        <w:right w:val="none" w:sz="0" w:space="0" w:color="auto"/>
      </w:divBdr>
    </w:div>
    <w:div w:id="1254976274">
      <w:bodyDiv w:val="1"/>
      <w:marLeft w:val="0"/>
      <w:marRight w:val="0"/>
      <w:marTop w:val="0"/>
      <w:marBottom w:val="0"/>
      <w:divBdr>
        <w:top w:val="none" w:sz="0" w:space="0" w:color="auto"/>
        <w:left w:val="none" w:sz="0" w:space="0" w:color="auto"/>
        <w:bottom w:val="none" w:sz="0" w:space="0" w:color="auto"/>
        <w:right w:val="none" w:sz="0" w:space="0" w:color="auto"/>
      </w:divBdr>
    </w:div>
    <w:div w:id="1255355328">
      <w:bodyDiv w:val="1"/>
      <w:marLeft w:val="0"/>
      <w:marRight w:val="0"/>
      <w:marTop w:val="0"/>
      <w:marBottom w:val="0"/>
      <w:divBdr>
        <w:top w:val="none" w:sz="0" w:space="0" w:color="auto"/>
        <w:left w:val="none" w:sz="0" w:space="0" w:color="auto"/>
        <w:bottom w:val="none" w:sz="0" w:space="0" w:color="auto"/>
        <w:right w:val="none" w:sz="0" w:space="0" w:color="auto"/>
      </w:divBdr>
    </w:div>
    <w:div w:id="1255699738">
      <w:bodyDiv w:val="1"/>
      <w:marLeft w:val="0"/>
      <w:marRight w:val="0"/>
      <w:marTop w:val="0"/>
      <w:marBottom w:val="0"/>
      <w:divBdr>
        <w:top w:val="none" w:sz="0" w:space="0" w:color="auto"/>
        <w:left w:val="none" w:sz="0" w:space="0" w:color="auto"/>
        <w:bottom w:val="none" w:sz="0" w:space="0" w:color="auto"/>
        <w:right w:val="none" w:sz="0" w:space="0" w:color="auto"/>
      </w:divBdr>
    </w:div>
    <w:div w:id="1255936671">
      <w:bodyDiv w:val="1"/>
      <w:marLeft w:val="0"/>
      <w:marRight w:val="0"/>
      <w:marTop w:val="0"/>
      <w:marBottom w:val="0"/>
      <w:divBdr>
        <w:top w:val="none" w:sz="0" w:space="0" w:color="auto"/>
        <w:left w:val="none" w:sz="0" w:space="0" w:color="auto"/>
        <w:bottom w:val="none" w:sz="0" w:space="0" w:color="auto"/>
        <w:right w:val="none" w:sz="0" w:space="0" w:color="auto"/>
      </w:divBdr>
    </w:div>
    <w:div w:id="1256861572">
      <w:bodyDiv w:val="1"/>
      <w:marLeft w:val="0"/>
      <w:marRight w:val="0"/>
      <w:marTop w:val="0"/>
      <w:marBottom w:val="0"/>
      <w:divBdr>
        <w:top w:val="none" w:sz="0" w:space="0" w:color="auto"/>
        <w:left w:val="none" w:sz="0" w:space="0" w:color="auto"/>
        <w:bottom w:val="none" w:sz="0" w:space="0" w:color="auto"/>
        <w:right w:val="none" w:sz="0" w:space="0" w:color="auto"/>
      </w:divBdr>
    </w:div>
    <w:div w:id="1259407673">
      <w:bodyDiv w:val="1"/>
      <w:marLeft w:val="0"/>
      <w:marRight w:val="0"/>
      <w:marTop w:val="0"/>
      <w:marBottom w:val="0"/>
      <w:divBdr>
        <w:top w:val="none" w:sz="0" w:space="0" w:color="auto"/>
        <w:left w:val="none" w:sz="0" w:space="0" w:color="auto"/>
        <w:bottom w:val="none" w:sz="0" w:space="0" w:color="auto"/>
        <w:right w:val="none" w:sz="0" w:space="0" w:color="auto"/>
      </w:divBdr>
    </w:div>
    <w:div w:id="1260674153">
      <w:bodyDiv w:val="1"/>
      <w:marLeft w:val="0"/>
      <w:marRight w:val="0"/>
      <w:marTop w:val="0"/>
      <w:marBottom w:val="0"/>
      <w:divBdr>
        <w:top w:val="none" w:sz="0" w:space="0" w:color="auto"/>
        <w:left w:val="none" w:sz="0" w:space="0" w:color="auto"/>
        <w:bottom w:val="none" w:sz="0" w:space="0" w:color="auto"/>
        <w:right w:val="none" w:sz="0" w:space="0" w:color="auto"/>
      </w:divBdr>
    </w:div>
    <w:div w:id="1261254797">
      <w:bodyDiv w:val="1"/>
      <w:marLeft w:val="0"/>
      <w:marRight w:val="0"/>
      <w:marTop w:val="0"/>
      <w:marBottom w:val="0"/>
      <w:divBdr>
        <w:top w:val="none" w:sz="0" w:space="0" w:color="auto"/>
        <w:left w:val="none" w:sz="0" w:space="0" w:color="auto"/>
        <w:bottom w:val="none" w:sz="0" w:space="0" w:color="auto"/>
        <w:right w:val="none" w:sz="0" w:space="0" w:color="auto"/>
      </w:divBdr>
    </w:div>
    <w:div w:id="1261596648">
      <w:bodyDiv w:val="1"/>
      <w:marLeft w:val="0"/>
      <w:marRight w:val="0"/>
      <w:marTop w:val="0"/>
      <w:marBottom w:val="0"/>
      <w:divBdr>
        <w:top w:val="none" w:sz="0" w:space="0" w:color="auto"/>
        <w:left w:val="none" w:sz="0" w:space="0" w:color="auto"/>
        <w:bottom w:val="none" w:sz="0" w:space="0" w:color="auto"/>
        <w:right w:val="none" w:sz="0" w:space="0" w:color="auto"/>
      </w:divBdr>
    </w:div>
    <w:div w:id="1262758579">
      <w:bodyDiv w:val="1"/>
      <w:marLeft w:val="0"/>
      <w:marRight w:val="0"/>
      <w:marTop w:val="0"/>
      <w:marBottom w:val="0"/>
      <w:divBdr>
        <w:top w:val="none" w:sz="0" w:space="0" w:color="auto"/>
        <w:left w:val="none" w:sz="0" w:space="0" w:color="auto"/>
        <w:bottom w:val="none" w:sz="0" w:space="0" w:color="auto"/>
        <w:right w:val="none" w:sz="0" w:space="0" w:color="auto"/>
      </w:divBdr>
    </w:div>
    <w:div w:id="1262956777">
      <w:bodyDiv w:val="1"/>
      <w:marLeft w:val="0"/>
      <w:marRight w:val="0"/>
      <w:marTop w:val="0"/>
      <w:marBottom w:val="0"/>
      <w:divBdr>
        <w:top w:val="none" w:sz="0" w:space="0" w:color="auto"/>
        <w:left w:val="none" w:sz="0" w:space="0" w:color="auto"/>
        <w:bottom w:val="none" w:sz="0" w:space="0" w:color="auto"/>
        <w:right w:val="none" w:sz="0" w:space="0" w:color="auto"/>
      </w:divBdr>
    </w:div>
    <w:div w:id="1263103850">
      <w:bodyDiv w:val="1"/>
      <w:marLeft w:val="0"/>
      <w:marRight w:val="0"/>
      <w:marTop w:val="0"/>
      <w:marBottom w:val="0"/>
      <w:divBdr>
        <w:top w:val="none" w:sz="0" w:space="0" w:color="auto"/>
        <w:left w:val="none" w:sz="0" w:space="0" w:color="auto"/>
        <w:bottom w:val="none" w:sz="0" w:space="0" w:color="auto"/>
        <w:right w:val="none" w:sz="0" w:space="0" w:color="auto"/>
      </w:divBdr>
    </w:div>
    <w:div w:id="1263223152">
      <w:bodyDiv w:val="1"/>
      <w:marLeft w:val="0"/>
      <w:marRight w:val="0"/>
      <w:marTop w:val="0"/>
      <w:marBottom w:val="0"/>
      <w:divBdr>
        <w:top w:val="none" w:sz="0" w:space="0" w:color="auto"/>
        <w:left w:val="none" w:sz="0" w:space="0" w:color="auto"/>
        <w:bottom w:val="none" w:sz="0" w:space="0" w:color="auto"/>
        <w:right w:val="none" w:sz="0" w:space="0" w:color="auto"/>
      </w:divBdr>
    </w:div>
    <w:div w:id="1264024824">
      <w:bodyDiv w:val="1"/>
      <w:marLeft w:val="0"/>
      <w:marRight w:val="0"/>
      <w:marTop w:val="0"/>
      <w:marBottom w:val="0"/>
      <w:divBdr>
        <w:top w:val="none" w:sz="0" w:space="0" w:color="auto"/>
        <w:left w:val="none" w:sz="0" w:space="0" w:color="auto"/>
        <w:bottom w:val="none" w:sz="0" w:space="0" w:color="auto"/>
        <w:right w:val="none" w:sz="0" w:space="0" w:color="auto"/>
      </w:divBdr>
    </w:div>
    <w:div w:id="1264067382">
      <w:bodyDiv w:val="1"/>
      <w:marLeft w:val="0"/>
      <w:marRight w:val="0"/>
      <w:marTop w:val="0"/>
      <w:marBottom w:val="0"/>
      <w:divBdr>
        <w:top w:val="none" w:sz="0" w:space="0" w:color="auto"/>
        <w:left w:val="none" w:sz="0" w:space="0" w:color="auto"/>
        <w:bottom w:val="none" w:sz="0" w:space="0" w:color="auto"/>
        <w:right w:val="none" w:sz="0" w:space="0" w:color="auto"/>
      </w:divBdr>
    </w:div>
    <w:div w:id="1264534360">
      <w:bodyDiv w:val="1"/>
      <w:marLeft w:val="0"/>
      <w:marRight w:val="0"/>
      <w:marTop w:val="0"/>
      <w:marBottom w:val="0"/>
      <w:divBdr>
        <w:top w:val="none" w:sz="0" w:space="0" w:color="auto"/>
        <w:left w:val="none" w:sz="0" w:space="0" w:color="auto"/>
        <w:bottom w:val="none" w:sz="0" w:space="0" w:color="auto"/>
        <w:right w:val="none" w:sz="0" w:space="0" w:color="auto"/>
      </w:divBdr>
    </w:div>
    <w:div w:id="1265530376">
      <w:bodyDiv w:val="1"/>
      <w:marLeft w:val="0"/>
      <w:marRight w:val="0"/>
      <w:marTop w:val="0"/>
      <w:marBottom w:val="0"/>
      <w:divBdr>
        <w:top w:val="none" w:sz="0" w:space="0" w:color="auto"/>
        <w:left w:val="none" w:sz="0" w:space="0" w:color="auto"/>
        <w:bottom w:val="none" w:sz="0" w:space="0" w:color="auto"/>
        <w:right w:val="none" w:sz="0" w:space="0" w:color="auto"/>
      </w:divBdr>
    </w:div>
    <w:div w:id="1267231933">
      <w:bodyDiv w:val="1"/>
      <w:marLeft w:val="0"/>
      <w:marRight w:val="0"/>
      <w:marTop w:val="0"/>
      <w:marBottom w:val="0"/>
      <w:divBdr>
        <w:top w:val="none" w:sz="0" w:space="0" w:color="auto"/>
        <w:left w:val="none" w:sz="0" w:space="0" w:color="auto"/>
        <w:bottom w:val="none" w:sz="0" w:space="0" w:color="auto"/>
        <w:right w:val="none" w:sz="0" w:space="0" w:color="auto"/>
      </w:divBdr>
    </w:div>
    <w:div w:id="1267276235">
      <w:bodyDiv w:val="1"/>
      <w:marLeft w:val="0"/>
      <w:marRight w:val="0"/>
      <w:marTop w:val="0"/>
      <w:marBottom w:val="0"/>
      <w:divBdr>
        <w:top w:val="none" w:sz="0" w:space="0" w:color="auto"/>
        <w:left w:val="none" w:sz="0" w:space="0" w:color="auto"/>
        <w:bottom w:val="none" w:sz="0" w:space="0" w:color="auto"/>
        <w:right w:val="none" w:sz="0" w:space="0" w:color="auto"/>
      </w:divBdr>
    </w:div>
    <w:div w:id="1267423825">
      <w:bodyDiv w:val="1"/>
      <w:marLeft w:val="0"/>
      <w:marRight w:val="0"/>
      <w:marTop w:val="0"/>
      <w:marBottom w:val="0"/>
      <w:divBdr>
        <w:top w:val="none" w:sz="0" w:space="0" w:color="auto"/>
        <w:left w:val="none" w:sz="0" w:space="0" w:color="auto"/>
        <w:bottom w:val="none" w:sz="0" w:space="0" w:color="auto"/>
        <w:right w:val="none" w:sz="0" w:space="0" w:color="auto"/>
      </w:divBdr>
    </w:div>
    <w:div w:id="1267617859">
      <w:bodyDiv w:val="1"/>
      <w:marLeft w:val="0"/>
      <w:marRight w:val="0"/>
      <w:marTop w:val="0"/>
      <w:marBottom w:val="0"/>
      <w:divBdr>
        <w:top w:val="none" w:sz="0" w:space="0" w:color="auto"/>
        <w:left w:val="none" w:sz="0" w:space="0" w:color="auto"/>
        <w:bottom w:val="none" w:sz="0" w:space="0" w:color="auto"/>
        <w:right w:val="none" w:sz="0" w:space="0" w:color="auto"/>
      </w:divBdr>
    </w:div>
    <w:div w:id="1268003709">
      <w:bodyDiv w:val="1"/>
      <w:marLeft w:val="0"/>
      <w:marRight w:val="0"/>
      <w:marTop w:val="0"/>
      <w:marBottom w:val="0"/>
      <w:divBdr>
        <w:top w:val="none" w:sz="0" w:space="0" w:color="auto"/>
        <w:left w:val="none" w:sz="0" w:space="0" w:color="auto"/>
        <w:bottom w:val="none" w:sz="0" w:space="0" w:color="auto"/>
        <w:right w:val="none" w:sz="0" w:space="0" w:color="auto"/>
      </w:divBdr>
    </w:div>
    <w:div w:id="1270312428">
      <w:bodyDiv w:val="1"/>
      <w:marLeft w:val="0"/>
      <w:marRight w:val="0"/>
      <w:marTop w:val="0"/>
      <w:marBottom w:val="0"/>
      <w:divBdr>
        <w:top w:val="none" w:sz="0" w:space="0" w:color="auto"/>
        <w:left w:val="none" w:sz="0" w:space="0" w:color="auto"/>
        <w:bottom w:val="none" w:sz="0" w:space="0" w:color="auto"/>
        <w:right w:val="none" w:sz="0" w:space="0" w:color="auto"/>
      </w:divBdr>
    </w:div>
    <w:div w:id="1270577953">
      <w:bodyDiv w:val="1"/>
      <w:marLeft w:val="0"/>
      <w:marRight w:val="0"/>
      <w:marTop w:val="0"/>
      <w:marBottom w:val="0"/>
      <w:divBdr>
        <w:top w:val="none" w:sz="0" w:space="0" w:color="auto"/>
        <w:left w:val="none" w:sz="0" w:space="0" w:color="auto"/>
        <w:bottom w:val="none" w:sz="0" w:space="0" w:color="auto"/>
        <w:right w:val="none" w:sz="0" w:space="0" w:color="auto"/>
      </w:divBdr>
    </w:div>
    <w:div w:id="1270889767">
      <w:bodyDiv w:val="1"/>
      <w:marLeft w:val="0"/>
      <w:marRight w:val="0"/>
      <w:marTop w:val="0"/>
      <w:marBottom w:val="0"/>
      <w:divBdr>
        <w:top w:val="none" w:sz="0" w:space="0" w:color="auto"/>
        <w:left w:val="none" w:sz="0" w:space="0" w:color="auto"/>
        <w:bottom w:val="none" w:sz="0" w:space="0" w:color="auto"/>
        <w:right w:val="none" w:sz="0" w:space="0" w:color="auto"/>
      </w:divBdr>
    </w:div>
    <w:div w:id="1271861627">
      <w:bodyDiv w:val="1"/>
      <w:marLeft w:val="0"/>
      <w:marRight w:val="0"/>
      <w:marTop w:val="0"/>
      <w:marBottom w:val="0"/>
      <w:divBdr>
        <w:top w:val="none" w:sz="0" w:space="0" w:color="auto"/>
        <w:left w:val="none" w:sz="0" w:space="0" w:color="auto"/>
        <w:bottom w:val="none" w:sz="0" w:space="0" w:color="auto"/>
        <w:right w:val="none" w:sz="0" w:space="0" w:color="auto"/>
      </w:divBdr>
    </w:div>
    <w:div w:id="1271889393">
      <w:bodyDiv w:val="1"/>
      <w:marLeft w:val="0"/>
      <w:marRight w:val="0"/>
      <w:marTop w:val="0"/>
      <w:marBottom w:val="0"/>
      <w:divBdr>
        <w:top w:val="none" w:sz="0" w:space="0" w:color="auto"/>
        <w:left w:val="none" w:sz="0" w:space="0" w:color="auto"/>
        <w:bottom w:val="none" w:sz="0" w:space="0" w:color="auto"/>
        <w:right w:val="none" w:sz="0" w:space="0" w:color="auto"/>
      </w:divBdr>
    </w:div>
    <w:div w:id="1275207099">
      <w:bodyDiv w:val="1"/>
      <w:marLeft w:val="0"/>
      <w:marRight w:val="0"/>
      <w:marTop w:val="0"/>
      <w:marBottom w:val="0"/>
      <w:divBdr>
        <w:top w:val="none" w:sz="0" w:space="0" w:color="auto"/>
        <w:left w:val="none" w:sz="0" w:space="0" w:color="auto"/>
        <w:bottom w:val="none" w:sz="0" w:space="0" w:color="auto"/>
        <w:right w:val="none" w:sz="0" w:space="0" w:color="auto"/>
      </w:divBdr>
    </w:div>
    <w:div w:id="1277367304">
      <w:bodyDiv w:val="1"/>
      <w:marLeft w:val="0"/>
      <w:marRight w:val="0"/>
      <w:marTop w:val="0"/>
      <w:marBottom w:val="0"/>
      <w:divBdr>
        <w:top w:val="none" w:sz="0" w:space="0" w:color="auto"/>
        <w:left w:val="none" w:sz="0" w:space="0" w:color="auto"/>
        <w:bottom w:val="none" w:sz="0" w:space="0" w:color="auto"/>
        <w:right w:val="none" w:sz="0" w:space="0" w:color="auto"/>
      </w:divBdr>
    </w:div>
    <w:div w:id="1278484019">
      <w:bodyDiv w:val="1"/>
      <w:marLeft w:val="0"/>
      <w:marRight w:val="0"/>
      <w:marTop w:val="0"/>
      <w:marBottom w:val="0"/>
      <w:divBdr>
        <w:top w:val="none" w:sz="0" w:space="0" w:color="auto"/>
        <w:left w:val="none" w:sz="0" w:space="0" w:color="auto"/>
        <w:bottom w:val="none" w:sz="0" w:space="0" w:color="auto"/>
        <w:right w:val="none" w:sz="0" w:space="0" w:color="auto"/>
      </w:divBdr>
    </w:div>
    <w:div w:id="1278828088">
      <w:bodyDiv w:val="1"/>
      <w:marLeft w:val="0"/>
      <w:marRight w:val="0"/>
      <w:marTop w:val="0"/>
      <w:marBottom w:val="0"/>
      <w:divBdr>
        <w:top w:val="none" w:sz="0" w:space="0" w:color="auto"/>
        <w:left w:val="none" w:sz="0" w:space="0" w:color="auto"/>
        <w:bottom w:val="none" w:sz="0" w:space="0" w:color="auto"/>
        <w:right w:val="none" w:sz="0" w:space="0" w:color="auto"/>
      </w:divBdr>
    </w:div>
    <w:div w:id="1279021143">
      <w:bodyDiv w:val="1"/>
      <w:marLeft w:val="0"/>
      <w:marRight w:val="0"/>
      <w:marTop w:val="0"/>
      <w:marBottom w:val="0"/>
      <w:divBdr>
        <w:top w:val="none" w:sz="0" w:space="0" w:color="auto"/>
        <w:left w:val="none" w:sz="0" w:space="0" w:color="auto"/>
        <w:bottom w:val="none" w:sz="0" w:space="0" w:color="auto"/>
        <w:right w:val="none" w:sz="0" w:space="0" w:color="auto"/>
      </w:divBdr>
    </w:div>
    <w:div w:id="1279143306">
      <w:bodyDiv w:val="1"/>
      <w:marLeft w:val="0"/>
      <w:marRight w:val="0"/>
      <w:marTop w:val="0"/>
      <w:marBottom w:val="0"/>
      <w:divBdr>
        <w:top w:val="none" w:sz="0" w:space="0" w:color="auto"/>
        <w:left w:val="none" w:sz="0" w:space="0" w:color="auto"/>
        <w:bottom w:val="none" w:sz="0" w:space="0" w:color="auto"/>
        <w:right w:val="none" w:sz="0" w:space="0" w:color="auto"/>
      </w:divBdr>
    </w:div>
    <w:div w:id="1281187566">
      <w:bodyDiv w:val="1"/>
      <w:marLeft w:val="0"/>
      <w:marRight w:val="0"/>
      <w:marTop w:val="0"/>
      <w:marBottom w:val="0"/>
      <w:divBdr>
        <w:top w:val="none" w:sz="0" w:space="0" w:color="auto"/>
        <w:left w:val="none" w:sz="0" w:space="0" w:color="auto"/>
        <w:bottom w:val="none" w:sz="0" w:space="0" w:color="auto"/>
        <w:right w:val="none" w:sz="0" w:space="0" w:color="auto"/>
      </w:divBdr>
    </w:div>
    <w:div w:id="1282108943">
      <w:bodyDiv w:val="1"/>
      <w:marLeft w:val="0"/>
      <w:marRight w:val="0"/>
      <w:marTop w:val="0"/>
      <w:marBottom w:val="0"/>
      <w:divBdr>
        <w:top w:val="none" w:sz="0" w:space="0" w:color="auto"/>
        <w:left w:val="none" w:sz="0" w:space="0" w:color="auto"/>
        <w:bottom w:val="none" w:sz="0" w:space="0" w:color="auto"/>
        <w:right w:val="none" w:sz="0" w:space="0" w:color="auto"/>
      </w:divBdr>
    </w:div>
    <w:div w:id="1283339080">
      <w:bodyDiv w:val="1"/>
      <w:marLeft w:val="0"/>
      <w:marRight w:val="0"/>
      <w:marTop w:val="0"/>
      <w:marBottom w:val="0"/>
      <w:divBdr>
        <w:top w:val="none" w:sz="0" w:space="0" w:color="auto"/>
        <w:left w:val="none" w:sz="0" w:space="0" w:color="auto"/>
        <w:bottom w:val="none" w:sz="0" w:space="0" w:color="auto"/>
        <w:right w:val="none" w:sz="0" w:space="0" w:color="auto"/>
      </w:divBdr>
    </w:div>
    <w:div w:id="1284069563">
      <w:bodyDiv w:val="1"/>
      <w:marLeft w:val="0"/>
      <w:marRight w:val="0"/>
      <w:marTop w:val="0"/>
      <w:marBottom w:val="0"/>
      <w:divBdr>
        <w:top w:val="none" w:sz="0" w:space="0" w:color="auto"/>
        <w:left w:val="none" w:sz="0" w:space="0" w:color="auto"/>
        <w:bottom w:val="none" w:sz="0" w:space="0" w:color="auto"/>
        <w:right w:val="none" w:sz="0" w:space="0" w:color="auto"/>
      </w:divBdr>
    </w:div>
    <w:div w:id="1284731809">
      <w:bodyDiv w:val="1"/>
      <w:marLeft w:val="0"/>
      <w:marRight w:val="0"/>
      <w:marTop w:val="0"/>
      <w:marBottom w:val="0"/>
      <w:divBdr>
        <w:top w:val="none" w:sz="0" w:space="0" w:color="auto"/>
        <w:left w:val="none" w:sz="0" w:space="0" w:color="auto"/>
        <w:bottom w:val="none" w:sz="0" w:space="0" w:color="auto"/>
        <w:right w:val="none" w:sz="0" w:space="0" w:color="auto"/>
      </w:divBdr>
    </w:div>
    <w:div w:id="1284732230">
      <w:bodyDiv w:val="1"/>
      <w:marLeft w:val="0"/>
      <w:marRight w:val="0"/>
      <w:marTop w:val="0"/>
      <w:marBottom w:val="0"/>
      <w:divBdr>
        <w:top w:val="none" w:sz="0" w:space="0" w:color="auto"/>
        <w:left w:val="none" w:sz="0" w:space="0" w:color="auto"/>
        <w:bottom w:val="none" w:sz="0" w:space="0" w:color="auto"/>
        <w:right w:val="none" w:sz="0" w:space="0" w:color="auto"/>
      </w:divBdr>
    </w:div>
    <w:div w:id="1285190844">
      <w:bodyDiv w:val="1"/>
      <w:marLeft w:val="0"/>
      <w:marRight w:val="0"/>
      <w:marTop w:val="0"/>
      <w:marBottom w:val="0"/>
      <w:divBdr>
        <w:top w:val="none" w:sz="0" w:space="0" w:color="auto"/>
        <w:left w:val="none" w:sz="0" w:space="0" w:color="auto"/>
        <w:bottom w:val="none" w:sz="0" w:space="0" w:color="auto"/>
        <w:right w:val="none" w:sz="0" w:space="0" w:color="auto"/>
      </w:divBdr>
    </w:div>
    <w:div w:id="1285968300">
      <w:bodyDiv w:val="1"/>
      <w:marLeft w:val="0"/>
      <w:marRight w:val="0"/>
      <w:marTop w:val="0"/>
      <w:marBottom w:val="0"/>
      <w:divBdr>
        <w:top w:val="none" w:sz="0" w:space="0" w:color="auto"/>
        <w:left w:val="none" w:sz="0" w:space="0" w:color="auto"/>
        <w:bottom w:val="none" w:sz="0" w:space="0" w:color="auto"/>
        <w:right w:val="none" w:sz="0" w:space="0" w:color="auto"/>
      </w:divBdr>
    </w:div>
    <w:div w:id="1286044169">
      <w:bodyDiv w:val="1"/>
      <w:marLeft w:val="0"/>
      <w:marRight w:val="0"/>
      <w:marTop w:val="0"/>
      <w:marBottom w:val="0"/>
      <w:divBdr>
        <w:top w:val="none" w:sz="0" w:space="0" w:color="auto"/>
        <w:left w:val="none" w:sz="0" w:space="0" w:color="auto"/>
        <w:bottom w:val="none" w:sz="0" w:space="0" w:color="auto"/>
        <w:right w:val="none" w:sz="0" w:space="0" w:color="auto"/>
      </w:divBdr>
    </w:div>
    <w:div w:id="1286809273">
      <w:bodyDiv w:val="1"/>
      <w:marLeft w:val="0"/>
      <w:marRight w:val="0"/>
      <w:marTop w:val="0"/>
      <w:marBottom w:val="0"/>
      <w:divBdr>
        <w:top w:val="none" w:sz="0" w:space="0" w:color="auto"/>
        <w:left w:val="none" w:sz="0" w:space="0" w:color="auto"/>
        <w:bottom w:val="none" w:sz="0" w:space="0" w:color="auto"/>
        <w:right w:val="none" w:sz="0" w:space="0" w:color="auto"/>
      </w:divBdr>
    </w:div>
    <w:div w:id="1287393603">
      <w:bodyDiv w:val="1"/>
      <w:marLeft w:val="0"/>
      <w:marRight w:val="0"/>
      <w:marTop w:val="0"/>
      <w:marBottom w:val="0"/>
      <w:divBdr>
        <w:top w:val="none" w:sz="0" w:space="0" w:color="auto"/>
        <w:left w:val="none" w:sz="0" w:space="0" w:color="auto"/>
        <w:bottom w:val="none" w:sz="0" w:space="0" w:color="auto"/>
        <w:right w:val="none" w:sz="0" w:space="0" w:color="auto"/>
      </w:divBdr>
    </w:div>
    <w:div w:id="1287738748">
      <w:bodyDiv w:val="1"/>
      <w:marLeft w:val="0"/>
      <w:marRight w:val="0"/>
      <w:marTop w:val="0"/>
      <w:marBottom w:val="0"/>
      <w:divBdr>
        <w:top w:val="none" w:sz="0" w:space="0" w:color="auto"/>
        <w:left w:val="none" w:sz="0" w:space="0" w:color="auto"/>
        <w:bottom w:val="none" w:sz="0" w:space="0" w:color="auto"/>
        <w:right w:val="none" w:sz="0" w:space="0" w:color="auto"/>
      </w:divBdr>
    </w:div>
    <w:div w:id="1288701222">
      <w:bodyDiv w:val="1"/>
      <w:marLeft w:val="0"/>
      <w:marRight w:val="0"/>
      <w:marTop w:val="0"/>
      <w:marBottom w:val="0"/>
      <w:divBdr>
        <w:top w:val="none" w:sz="0" w:space="0" w:color="auto"/>
        <w:left w:val="none" w:sz="0" w:space="0" w:color="auto"/>
        <w:bottom w:val="none" w:sz="0" w:space="0" w:color="auto"/>
        <w:right w:val="none" w:sz="0" w:space="0" w:color="auto"/>
      </w:divBdr>
    </w:div>
    <w:div w:id="1288775821">
      <w:bodyDiv w:val="1"/>
      <w:marLeft w:val="0"/>
      <w:marRight w:val="0"/>
      <w:marTop w:val="0"/>
      <w:marBottom w:val="0"/>
      <w:divBdr>
        <w:top w:val="none" w:sz="0" w:space="0" w:color="auto"/>
        <w:left w:val="none" w:sz="0" w:space="0" w:color="auto"/>
        <w:bottom w:val="none" w:sz="0" w:space="0" w:color="auto"/>
        <w:right w:val="none" w:sz="0" w:space="0" w:color="auto"/>
      </w:divBdr>
    </w:div>
    <w:div w:id="1290280873">
      <w:bodyDiv w:val="1"/>
      <w:marLeft w:val="0"/>
      <w:marRight w:val="0"/>
      <w:marTop w:val="0"/>
      <w:marBottom w:val="0"/>
      <w:divBdr>
        <w:top w:val="none" w:sz="0" w:space="0" w:color="auto"/>
        <w:left w:val="none" w:sz="0" w:space="0" w:color="auto"/>
        <w:bottom w:val="none" w:sz="0" w:space="0" w:color="auto"/>
        <w:right w:val="none" w:sz="0" w:space="0" w:color="auto"/>
      </w:divBdr>
    </w:div>
    <w:div w:id="1290934396">
      <w:bodyDiv w:val="1"/>
      <w:marLeft w:val="0"/>
      <w:marRight w:val="0"/>
      <w:marTop w:val="0"/>
      <w:marBottom w:val="0"/>
      <w:divBdr>
        <w:top w:val="none" w:sz="0" w:space="0" w:color="auto"/>
        <w:left w:val="none" w:sz="0" w:space="0" w:color="auto"/>
        <w:bottom w:val="none" w:sz="0" w:space="0" w:color="auto"/>
        <w:right w:val="none" w:sz="0" w:space="0" w:color="auto"/>
      </w:divBdr>
    </w:div>
    <w:div w:id="1290938708">
      <w:bodyDiv w:val="1"/>
      <w:marLeft w:val="0"/>
      <w:marRight w:val="0"/>
      <w:marTop w:val="0"/>
      <w:marBottom w:val="0"/>
      <w:divBdr>
        <w:top w:val="none" w:sz="0" w:space="0" w:color="auto"/>
        <w:left w:val="none" w:sz="0" w:space="0" w:color="auto"/>
        <w:bottom w:val="none" w:sz="0" w:space="0" w:color="auto"/>
        <w:right w:val="none" w:sz="0" w:space="0" w:color="auto"/>
      </w:divBdr>
    </w:div>
    <w:div w:id="1291321962">
      <w:bodyDiv w:val="1"/>
      <w:marLeft w:val="0"/>
      <w:marRight w:val="0"/>
      <w:marTop w:val="0"/>
      <w:marBottom w:val="0"/>
      <w:divBdr>
        <w:top w:val="none" w:sz="0" w:space="0" w:color="auto"/>
        <w:left w:val="none" w:sz="0" w:space="0" w:color="auto"/>
        <w:bottom w:val="none" w:sz="0" w:space="0" w:color="auto"/>
        <w:right w:val="none" w:sz="0" w:space="0" w:color="auto"/>
      </w:divBdr>
    </w:div>
    <w:div w:id="1291519316">
      <w:bodyDiv w:val="1"/>
      <w:marLeft w:val="0"/>
      <w:marRight w:val="0"/>
      <w:marTop w:val="0"/>
      <w:marBottom w:val="0"/>
      <w:divBdr>
        <w:top w:val="none" w:sz="0" w:space="0" w:color="auto"/>
        <w:left w:val="none" w:sz="0" w:space="0" w:color="auto"/>
        <w:bottom w:val="none" w:sz="0" w:space="0" w:color="auto"/>
        <w:right w:val="none" w:sz="0" w:space="0" w:color="auto"/>
      </w:divBdr>
    </w:div>
    <w:div w:id="1291547236">
      <w:bodyDiv w:val="1"/>
      <w:marLeft w:val="0"/>
      <w:marRight w:val="0"/>
      <w:marTop w:val="0"/>
      <w:marBottom w:val="0"/>
      <w:divBdr>
        <w:top w:val="none" w:sz="0" w:space="0" w:color="auto"/>
        <w:left w:val="none" w:sz="0" w:space="0" w:color="auto"/>
        <w:bottom w:val="none" w:sz="0" w:space="0" w:color="auto"/>
        <w:right w:val="none" w:sz="0" w:space="0" w:color="auto"/>
      </w:divBdr>
    </w:div>
    <w:div w:id="1291863627">
      <w:bodyDiv w:val="1"/>
      <w:marLeft w:val="0"/>
      <w:marRight w:val="0"/>
      <w:marTop w:val="0"/>
      <w:marBottom w:val="0"/>
      <w:divBdr>
        <w:top w:val="none" w:sz="0" w:space="0" w:color="auto"/>
        <w:left w:val="none" w:sz="0" w:space="0" w:color="auto"/>
        <w:bottom w:val="none" w:sz="0" w:space="0" w:color="auto"/>
        <w:right w:val="none" w:sz="0" w:space="0" w:color="auto"/>
      </w:divBdr>
    </w:div>
    <w:div w:id="1291932565">
      <w:bodyDiv w:val="1"/>
      <w:marLeft w:val="0"/>
      <w:marRight w:val="0"/>
      <w:marTop w:val="0"/>
      <w:marBottom w:val="0"/>
      <w:divBdr>
        <w:top w:val="none" w:sz="0" w:space="0" w:color="auto"/>
        <w:left w:val="none" w:sz="0" w:space="0" w:color="auto"/>
        <w:bottom w:val="none" w:sz="0" w:space="0" w:color="auto"/>
        <w:right w:val="none" w:sz="0" w:space="0" w:color="auto"/>
      </w:divBdr>
    </w:div>
    <w:div w:id="1292204782">
      <w:bodyDiv w:val="1"/>
      <w:marLeft w:val="0"/>
      <w:marRight w:val="0"/>
      <w:marTop w:val="0"/>
      <w:marBottom w:val="0"/>
      <w:divBdr>
        <w:top w:val="none" w:sz="0" w:space="0" w:color="auto"/>
        <w:left w:val="none" w:sz="0" w:space="0" w:color="auto"/>
        <w:bottom w:val="none" w:sz="0" w:space="0" w:color="auto"/>
        <w:right w:val="none" w:sz="0" w:space="0" w:color="auto"/>
      </w:divBdr>
    </w:div>
    <w:div w:id="1294288469">
      <w:bodyDiv w:val="1"/>
      <w:marLeft w:val="0"/>
      <w:marRight w:val="0"/>
      <w:marTop w:val="0"/>
      <w:marBottom w:val="0"/>
      <w:divBdr>
        <w:top w:val="none" w:sz="0" w:space="0" w:color="auto"/>
        <w:left w:val="none" w:sz="0" w:space="0" w:color="auto"/>
        <w:bottom w:val="none" w:sz="0" w:space="0" w:color="auto"/>
        <w:right w:val="none" w:sz="0" w:space="0" w:color="auto"/>
      </w:divBdr>
    </w:div>
    <w:div w:id="1294366329">
      <w:bodyDiv w:val="1"/>
      <w:marLeft w:val="0"/>
      <w:marRight w:val="0"/>
      <w:marTop w:val="0"/>
      <w:marBottom w:val="0"/>
      <w:divBdr>
        <w:top w:val="none" w:sz="0" w:space="0" w:color="auto"/>
        <w:left w:val="none" w:sz="0" w:space="0" w:color="auto"/>
        <w:bottom w:val="none" w:sz="0" w:space="0" w:color="auto"/>
        <w:right w:val="none" w:sz="0" w:space="0" w:color="auto"/>
      </w:divBdr>
    </w:div>
    <w:div w:id="1294822282">
      <w:bodyDiv w:val="1"/>
      <w:marLeft w:val="0"/>
      <w:marRight w:val="0"/>
      <w:marTop w:val="0"/>
      <w:marBottom w:val="0"/>
      <w:divBdr>
        <w:top w:val="none" w:sz="0" w:space="0" w:color="auto"/>
        <w:left w:val="none" w:sz="0" w:space="0" w:color="auto"/>
        <w:bottom w:val="none" w:sz="0" w:space="0" w:color="auto"/>
        <w:right w:val="none" w:sz="0" w:space="0" w:color="auto"/>
      </w:divBdr>
    </w:div>
    <w:div w:id="1295209893">
      <w:bodyDiv w:val="1"/>
      <w:marLeft w:val="0"/>
      <w:marRight w:val="0"/>
      <w:marTop w:val="0"/>
      <w:marBottom w:val="0"/>
      <w:divBdr>
        <w:top w:val="none" w:sz="0" w:space="0" w:color="auto"/>
        <w:left w:val="none" w:sz="0" w:space="0" w:color="auto"/>
        <w:bottom w:val="none" w:sz="0" w:space="0" w:color="auto"/>
        <w:right w:val="none" w:sz="0" w:space="0" w:color="auto"/>
      </w:divBdr>
    </w:div>
    <w:div w:id="1295868882">
      <w:bodyDiv w:val="1"/>
      <w:marLeft w:val="0"/>
      <w:marRight w:val="0"/>
      <w:marTop w:val="0"/>
      <w:marBottom w:val="0"/>
      <w:divBdr>
        <w:top w:val="none" w:sz="0" w:space="0" w:color="auto"/>
        <w:left w:val="none" w:sz="0" w:space="0" w:color="auto"/>
        <w:bottom w:val="none" w:sz="0" w:space="0" w:color="auto"/>
        <w:right w:val="none" w:sz="0" w:space="0" w:color="auto"/>
      </w:divBdr>
    </w:div>
    <w:div w:id="1296134550">
      <w:bodyDiv w:val="1"/>
      <w:marLeft w:val="0"/>
      <w:marRight w:val="0"/>
      <w:marTop w:val="0"/>
      <w:marBottom w:val="0"/>
      <w:divBdr>
        <w:top w:val="none" w:sz="0" w:space="0" w:color="auto"/>
        <w:left w:val="none" w:sz="0" w:space="0" w:color="auto"/>
        <w:bottom w:val="none" w:sz="0" w:space="0" w:color="auto"/>
        <w:right w:val="none" w:sz="0" w:space="0" w:color="auto"/>
      </w:divBdr>
    </w:div>
    <w:div w:id="1296521261">
      <w:bodyDiv w:val="1"/>
      <w:marLeft w:val="0"/>
      <w:marRight w:val="0"/>
      <w:marTop w:val="0"/>
      <w:marBottom w:val="0"/>
      <w:divBdr>
        <w:top w:val="none" w:sz="0" w:space="0" w:color="auto"/>
        <w:left w:val="none" w:sz="0" w:space="0" w:color="auto"/>
        <w:bottom w:val="none" w:sz="0" w:space="0" w:color="auto"/>
        <w:right w:val="none" w:sz="0" w:space="0" w:color="auto"/>
      </w:divBdr>
    </w:div>
    <w:div w:id="1297031101">
      <w:bodyDiv w:val="1"/>
      <w:marLeft w:val="0"/>
      <w:marRight w:val="0"/>
      <w:marTop w:val="0"/>
      <w:marBottom w:val="0"/>
      <w:divBdr>
        <w:top w:val="none" w:sz="0" w:space="0" w:color="auto"/>
        <w:left w:val="none" w:sz="0" w:space="0" w:color="auto"/>
        <w:bottom w:val="none" w:sz="0" w:space="0" w:color="auto"/>
        <w:right w:val="none" w:sz="0" w:space="0" w:color="auto"/>
      </w:divBdr>
    </w:div>
    <w:div w:id="1297251448">
      <w:bodyDiv w:val="1"/>
      <w:marLeft w:val="0"/>
      <w:marRight w:val="0"/>
      <w:marTop w:val="0"/>
      <w:marBottom w:val="0"/>
      <w:divBdr>
        <w:top w:val="none" w:sz="0" w:space="0" w:color="auto"/>
        <w:left w:val="none" w:sz="0" w:space="0" w:color="auto"/>
        <w:bottom w:val="none" w:sz="0" w:space="0" w:color="auto"/>
        <w:right w:val="none" w:sz="0" w:space="0" w:color="auto"/>
      </w:divBdr>
    </w:div>
    <w:div w:id="1297686450">
      <w:bodyDiv w:val="1"/>
      <w:marLeft w:val="0"/>
      <w:marRight w:val="0"/>
      <w:marTop w:val="0"/>
      <w:marBottom w:val="0"/>
      <w:divBdr>
        <w:top w:val="none" w:sz="0" w:space="0" w:color="auto"/>
        <w:left w:val="none" w:sz="0" w:space="0" w:color="auto"/>
        <w:bottom w:val="none" w:sz="0" w:space="0" w:color="auto"/>
        <w:right w:val="none" w:sz="0" w:space="0" w:color="auto"/>
      </w:divBdr>
    </w:div>
    <w:div w:id="1298073343">
      <w:bodyDiv w:val="1"/>
      <w:marLeft w:val="0"/>
      <w:marRight w:val="0"/>
      <w:marTop w:val="0"/>
      <w:marBottom w:val="0"/>
      <w:divBdr>
        <w:top w:val="none" w:sz="0" w:space="0" w:color="auto"/>
        <w:left w:val="none" w:sz="0" w:space="0" w:color="auto"/>
        <w:bottom w:val="none" w:sz="0" w:space="0" w:color="auto"/>
        <w:right w:val="none" w:sz="0" w:space="0" w:color="auto"/>
      </w:divBdr>
    </w:div>
    <w:div w:id="1299384299">
      <w:bodyDiv w:val="1"/>
      <w:marLeft w:val="0"/>
      <w:marRight w:val="0"/>
      <w:marTop w:val="0"/>
      <w:marBottom w:val="0"/>
      <w:divBdr>
        <w:top w:val="none" w:sz="0" w:space="0" w:color="auto"/>
        <w:left w:val="none" w:sz="0" w:space="0" w:color="auto"/>
        <w:bottom w:val="none" w:sz="0" w:space="0" w:color="auto"/>
        <w:right w:val="none" w:sz="0" w:space="0" w:color="auto"/>
      </w:divBdr>
    </w:div>
    <w:div w:id="1299649383">
      <w:bodyDiv w:val="1"/>
      <w:marLeft w:val="0"/>
      <w:marRight w:val="0"/>
      <w:marTop w:val="0"/>
      <w:marBottom w:val="0"/>
      <w:divBdr>
        <w:top w:val="none" w:sz="0" w:space="0" w:color="auto"/>
        <w:left w:val="none" w:sz="0" w:space="0" w:color="auto"/>
        <w:bottom w:val="none" w:sz="0" w:space="0" w:color="auto"/>
        <w:right w:val="none" w:sz="0" w:space="0" w:color="auto"/>
      </w:divBdr>
    </w:div>
    <w:div w:id="1300307206">
      <w:bodyDiv w:val="1"/>
      <w:marLeft w:val="0"/>
      <w:marRight w:val="0"/>
      <w:marTop w:val="0"/>
      <w:marBottom w:val="0"/>
      <w:divBdr>
        <w:top w:val="none" w:sz="0" w:space="0" w:color="auto"/>
        <w:left w:val="none" w:sz="0" w:space="0" w:color="auto"/>
        <w:bottom w:val="none" w:sz="0" w:space="0" w:color="auto"/>
        <w:right w:val="none" w:sz="0" w:space="0" w:color="auto"/>
      </w:divBdr>
    </w:div>
    <w:div w:id="1300576362">
      <w:bodyDiv w:val="1"/>
      <w:marLeft w:val="0"/>
      <w:marRight w:val="0"/>
      <w:marTop w:val="0"/>
      <w:marBottom w:val="0"/>
      <w:divBdr>
        <w:top w:val="none" w:sz="0" w:space="0" w:color="auto"/>
        <w:left w:val="none" w:sz="0" w:space="0" w:color="auto"/>
        <w:bottom w:val="none" w:sz="0" w:space="0" w:color="auto"/>
        <w:right w:val="none" w:sz="0" w:space="0" w:color="auto"/>
      </w:divBdr>
    </w:div>
    <w:div w:id="1300645040">
      <w:bodyDiv w:val="1"/>
      <w:marLeft w:val="0"/>
      <w:marRight w:val="0"/>
      <w:marTop w:val="0"/>
      <w:marBottom w:val="0"/>
      <w:divBdr>
        <w:top w:val="none" w:sz="0" w:space="0" w:color="auto"/>
        <w:left w:val="none" w:sz="0" w:space="0" w:color="auto"/>
        <w:bottom w:val="none" w:sz="0" w:space="0" w:color="auto"/>
        <w:right w:val="none" w:sz="0" w:space="0" w:color="auto"/>
      </w:divBdr>
    </w:div>
    <w:div w:id="1301032866">
      <w:bodyDiv w:val="1"/>
      <w:marLeft w:val="0"/>
      <w:marRight w:val="0"/>
      <w:marTop w:val="0"/>
      <w:marBottom w:val="0"/>
      <w:divBdr>
        <w:top w:val="none" w:sz="0" w:space="0" w:color="auto"/>
        <w:left w:val="none" w:sz="0" w:space="0" w:color="auto"/>
        <w:bottom w:val="none" w:sz="0" w:space="0" w:color="auto"/>
        <w:right w:val="none" w:sz="0" w:space="0" w:color="auto"/>
      </w:divBdr>
    </w:div>
    <w:div w:id="1301809280">
      <w:bodyDiv w:val="1"/>
      <w:marLeft w:val="0"/>
      <w:marRight w:val="0"/>
      <w:marTop w:val="0"/>
      <w:marBottom w:val="0"/>
      <w:divBdr>
        <w:top w:val="none" w:sz="0" w:space="0" w:color="auto"/>
        <w:left w:val="none" w:sz="0" w:space="0" w:color="auto"/>
        <w:bottom w:val="none" w:sz="0" w:space="0" w:color="auto"/>
        <w:right w:val="none" w:sz="0" w:space="0" w:color="auto"/>
      </w:divBdr>
    </w:div>
    <w:div w:id="1302036402">
      <w:bodyDiv w:val="1"/>
      <w:marLeft w:val="0"/>
      <w:marRight w:val="0"/>
      <w:marTop w:val="0"/>
      <w:marBottom w:val="0"/>
      <w:divBdr>
        <w:top w:val="none" w:sz="0" w:space="0" w:color="auto"/>
        <w:left w:val="none" w:sz="0" w:space="0" w:color="auto"/>
        <w:bottom w:val="none" w:sz="0" w:space="0" w:color="auto"/>
        <w:right w:val="none" w:sz="0" w:space="0" w:color="auto"/>
      </w:divBdr>
    </w:div>
    <w:div w:id="1302466509">
      <w:bodyDiv w:val="1"/>
      <w:marLeft w:val="0"/>
      <w:marRight w:val="0"/>
      <w:marTop w:val="0"/>
      <w:marBottom w:val="0"/>
      <w:divBdr>
        <w:top w:val="none" w:sz="0" w:space="0" w:color="auto"/>
        <w:left w:val="none" w:sz="0" w:space="0" w:color="auto"/>
        <w:bottom w:val="none" w:sz="0" w:space="0" w:color="auto"/>
        <w:right w:val="none" w:sz="0" w:space="0" w:color="auto"/>
      </w:divBdr>
    </w:div>
    <w:div w:id="1302929443">
      <w:bodyDiv w:val="1"/>
      <w:marLeft w:val="0"/>
      <w:marRight w:val="0"/>
      <w:marTop w:val="0"/>
      <w:marBottom w:val="0"/>
      <w:divBdr>
        <w:top w:val="none" w:sz="0" w:space="0" w:color="auto"/>
        <w:left w:val="none" w:sz="0" w:space="0" w:color="auto"/>
        <w:bottom w:val="none" w:sz="0" w:space="0" w:color="auto"/>
        <w:right w:val="none" w:sz="0" w:space="0" w:color="auto"/>
      </w:divBdr>
    </w:div>
    <w:div w:id="1303382884">
      <w:bodyDiv w:val="1"/>
      <w:marLeft w:val="0"/>
      <w:marRight w:val="0"/>
      <w:marTop w:val="0"/>
      <w:marBottom w:val="0"/>
      <w:divBdr>
        <w:top w:val="none" w:sz="0" w:space="0" w:color="auto"/>
        <w:left w:val="none" w:sz="0" w:space="0" w:color="auto"/>
        <w:bottom w:val="none" w:sz="0" w:space="0" w:color="auto"/>
        <w:right w:val="none" w:sz="0" w:space="0" w:color="auto"/>
      </w:divBdr>
    </w:div>
    <w:div w:id="1304045462">
      <w:bodyDiv w:val="1"/>
      <w:marLeft w:val="0"/>
      <w:marRight w:val="0"/>
      <w:marTop w:val="0"/>
      <w:marBottom w:val="0"/>
      <w:divBdr>
        <w:top w:val="none" w:sz="0" w:space="0" w:color="auto"/>
        <w:left w:val="none" w:sz="0" w:space="0" w:color="auto"/>
        <w:bottom w:val="none" w:sz="0" w:space="0" w:color="auto"/>
        <w:right w:val="none" w:sz="0" w:space="0" w:color="auto"/>
      </w:divBdr>
    </w:div>
    <w:div w:id="1305043576">
      <w:bodyDiv w:val="1"/>
      <w:marLeft w:val="0"/>
      <w:marRight w:val="0"/>
      <w:marTop w:val="0"/>
      <w:marBottom w:val="0"/>
      <w:divBdr>
        <w:top w:val="none" w:sz="0" w:space="0" w:color="auto"/>
        <w:left w:val="none" w:sz="0" w:space="0" w:color="auto"/>
        <w:bottom w:val="none" w:sz="0" w:space="0" w:color="auto"/>
        <w:right w:val="none" w:sz="0" w:space="0" w:color="auto"/>
      </w:divBdr>
    </w:div>
    <w:div w:id="1306086777">
      <w:bodyDiv w:val="1"/>
      <w:marLeft w:val="0"/>
      <w:marRight w:val="0"/>
      <w:marTop w:val="0"/>
      <w:marBottom w:val="0"/>
      <w:divBdr>
        <w:top w:val="none" w:sz="0" w:space="0" w:color="auto"/>
        <w:left w:val="none" w:sz="0" w:space="0" w:color="auto"/>
        <w:bottom w:val="none" w:sz="0" w:space="0" w:color="auto"/>
        <w:right w:val="none" w:sz="0" w:space="0" w:color="auto"/>
      </w:divBdr>
    </w:div>
    <w:div w:id="1308049211">
      <w:bodyDiv w:val="1"/>
      <w:marLeft w:val="0"/>
      <w:marRight w:val="0"/>
      <w:marTop w:val="0"/>
      <w:marBottom w:val="0"/>
      <w:divBdr>
        <w:top w:val="none" w:sz="0" w:space="0" w:color="auto"/>
        <w:left w:val="none" w:sz="0" w:space="0" w:color="auto"/>
        <w:bottom w:val="none" w:sz="0" w:space="0" w:color="auto"/>
        <w:right w:val="none" w:sz="0" w:space="0" w:color="auto"/>
      </w:divBdr>
    </w:div>
    <w:div w:id="1308438542">
      <w:bodyDiv w:val="1"/>
      <w:marLeft w:val="0"/>
      <w:marRight w:val="0"/>
      <w:marTop w:val="0"/>
      <w:marBottom w:val="0"/>
      <w:divBdr>
        <w:top w:val="none" w:sz="0" w:space="0" w:color="auto"/>
        <w:left w:val="none" w:sz="0" w:space="0" w:color="auto"/>
        <w:bottom w:val="none" w:sz="0" w:space="0" w:color="auto"/>
        <w:right w:val="none" w:sz="0" w:space="0" w:color="auto"/>
      </w:divBdr>
    </w:div>
    <w:div w:id="1308627130">
      <w:bodyDiv w:val="1"/>
      <w:marLeft w:val="0"/>
      <w:marRight w:val="0"/>
      <w:marTop w:val="0"/>
      <w:marBottom w:val="0"/>
      <w:divBdr>
        <w:top w:val="none" w:sz="0" w:space="0" w:color="auto"/>
        <w:left w:val="none" w:sz="0" w:space="0" w:color="auto"/>
        <w:bottom w:val="none" w:sz="0" w:space="0" w:color="auto"/>
        <w:right w:val="none" w:sz="0" w:space="0" w:color="auto"/>
      </w:divBdr>
    </w:div>
    <w:div w:id="1309286901">
      <w:bodyDiv w:val="1"/>
      <w:marLeft w:val="0"/>
      <w:marRight w:val="0"/>
      <w:marTop w:val="0"/>
      <w:marBottom w:val="0"/>
      <w:divBdr>
        <w:top w:val="none" w:sz="0" w:space="0" w:color="auto"/>
        <w:left w:val="none" w:sz="0" w:space="0" w:color="auto"/>
        <w:bottom w:val="none" w:sz="0" w:space="0" w:color="auto"/>
        <w:right w:val="none" w:sz="0" w:space="0" w:color="auto"/>
      </w:divBdr>
    </w:div>
    <w:div w:id="1309744290">
      <w:bodyDiv w:val="1"/>
      <w:marLeft w:val="0"/>
      <w:marRight w:val="0"/>
      <w:marTop w:val="0"/>
      <w:marBottom w:val="0"/>
      <w:divBdr>
        <w:top w:val="none" w:sz="0" w:space="0" w:color="auto"/>
        <w:left w:val="none" w:sz="0" w:space="0" w:color="auto"/>
        <w:bottom w:val="none" w:sz="0" w:space="0" w:color="auto"/>
        <w:right w:val="none" w:sz="0" w:space="0" w:color="auto"/>
      </w:divBdr>
    </w:div>
    <w:div w:id="1310744385">
      <w:bodyDiv w:val="1"/>
      <w:marLeft w:val="0"/>
      <w:marRight w:val="0"/>
      <w:marTop w:val="0"/>
      <w:marBottom w:val="0"/>
      <w:divBdr>
        <w:top w:val="none" w:sz="0" w:space="0" w:color="auto"/>
        <w:left w:val="none" w:sz="0" w:space="0" w:color="auto"/>
        <w:bottom w:val="none" w:sz="0" w:space="0" w:color="auto"/>
        <w:right w:val="none" w:sz="0" w:space="0" w:color="auto"/>
      </w:divBdr>
    </w:div>
    <w:div w:id="1312952824">
      <w:bodyDiv w:val="1"/>
      <w:marLeft w:val="0"/>
      <w:marRight w:val="0"/>
      <w:marTop w:val="0"/>
      <w:marBottom w:val="0"/>
      <w:divBdr>
        <w:top w:val="none" w:sz="0" w:space="0" w:color="auto"/>
        <w:left w:val="none" w:sz="0" w:space="0" w:color="auto"/>
        <w:bottom w:val="none" w:sz="0" w:space="0" w:color="auto"/>
        <w:right w:val="none" w:sz="0" w:space="0" w:color="auto"/>
      </w:divBdr>
    </w:div>
    <w:div w:id="1313603859">
      <w:bodyDiv w:val="1"/>
      <w:marLeft w:val="0"/>
      <w:marRight w:val="0"/>
      <w:marTop w:val="0"/>
      <w:marBottom w:val="0"/>
      <w:divBdr>
        <w:top w:val="none" w:sz="0" w:space="0" w:color="auto"/>
        <w:left w:val="none" w:sz="0" w:space="0" w:color="auto"/>
        <w:bottom w:val="none" w:sz="0" w:space="0" w:color="auto"/>
        <w:right w:val="none" w:sz="0" w:space="0" w:color="auto"/>
      </w:divBdr>
    </w:div>
    <w:div w:id="1313944705">
      <w:bodyDiv w:val="1"/>
      <w:marLeft w:val="0"/>
      <w:marRight w:val="0"/>
      <w:marTop w:val="0"/>
      <w:marBottom w:val="0"/>
      <w:divBdr>
        <w:top w:val="none" w:sz="0" w:space="0" w:color="auto"/>
        <w:left w:val="none" w:sz="0" w:space="0" w:color="auto"/>
        <w:bottom w:val="none" w:sz="0" w:space="0" w:color="auto"/>
        <w:right w:val="none" w:sz="0" w:space="0" w:color="auto"/>
      </w:divBdr>
    </w:div>
    <w:div w:id="1313947649">
      <w:bodyDiv w:val="1"/>
      <w:marLeft w:val="0"/>
      <w:marRight w:val="0"/>
      <w:marTop w:val="0"/>
      <w:marBottom w:val="0"/>
      <w:divBdr>
        <w:top w:val="none" w:sz="0" w:space="0" w:color="auto"/>
        <w:left w:val="none" w:sz="0" w:space="0" w:color="auto"/>
        <w:bottom w:val="none" w:sz="0" w:space="0" w:color="auto"/>
        <w:right w:val="none" w:sz="0" w:space="0" w:color="auto"/>
      </w:divBdr>
    </w:div>
    <w:div w:id="1314026589">
      <w:bodyDiv w:val="1"/>
      <w:marLeft w:val="0"/>
      <w:marRight w:val="0"/>
      <w:marTop w:val="0"/>
      <w:marBottom w:val="0"/>
      <w:divBdr>
        <w:top w:val="none" w:sz="0" w:space="0" w:color="auto"/>
        <w:left w:val="none" w:sz="0" w:space="0" w:color="auto"/>
        <w:bottom w:val="none" w:sz="0" w:space="0" w:color="auto"/>
        <w:right w:val="none" w:sz="0" w:space="0" w:color="auto"/>
      </w:divBdr>
    </w:div>
    <w:div w:id="1314212039">
      <w:bodyDiv w:val="1"/>
      <w:marLeft w:val="0"/>
      <w:marRight w:val="0"/>
      <w:marTop w:val="0"/>
      <w:marBottom w:val="0"/>
      <w:divBdr>
        <w:top w:val="none" w:sz="0" w:space="0" w:color="auto"/>
        <w:left w:val="none" w:sz="0" w:space="0" w:color="auto"/>
        <w:bottom w:val="none" w:sz="0" w:space="0" w:color="auto"/>
        <w:right w:val="none" w:sz="0" w:space="0" w:color="auto"/>
      </w:divBdr>
    </w:div>
    <w:div w:id="1315453398">
      <w:bodyDiv w:val="1"/>
      <w:marLeft w:val="0"/>
      <w:marRight w:val="0"/>
      <w:marTop w:val="0"/>
      <w:marBottom w:val="0"/>
      <w:divBdr>
        <w:top w:val="none" w:sz="0" w:space="0" w:color="auto"/>
        <w:left w:val="none" w:sz="0" w:space="0" w:color="auto"/>
        <w:bottom w:val="none" w:sz="0" w:space="0" w:color="auto"/>
        <w:right w:val="none" w:sz="0" w:space="0" w:color="auto"/>
      </w:divBdr>
    </w:div>
    <w:div w:id="1316646685">
      <w:bodyDiv w:val="1"/>
      <w:marLeft w:val="0"/>
      <w:marRight w:val="0"/>
      <w:marTop w:val="0"/>
      <w:marBottom w:val="0"/>
      <w:divBdr>
        <w:top w:val="none" w:sz="0" w:space="0" w:color="auto"/>
        <w:left w:val="none" w:sz="0" w:space="0" w:color="auto"/>
        <w:bottom w:val="none" w:sz="0" w:space="0" w:color="auto"/>
        <w:right w:val="none" w:sz="0" w:space="0" w:color="auto"/>
      </w:divBdr>
    </w:div>
    <w:div w:id="1316842019">
      <w:bodyDiv w:val="1"/>
      <w:marLeft w:val="0"/>
      <w:marRight w:val="0"/>
      <w:marTop w:val="0"/>
      <w:marBottom w:val="0"/>
      <w:divBdr>
        <w:top w:val="none" w:sz="0" w:space="0" w:color="auto"/>
        <w:left w:val="none" w:sz="0" w:space="0" w:color="auto"/>
        <w:bottom w:val="none" w:sz="0" w:space="0" w:color="auto"/>
        <w:right w:val="none" w:sz="0" w:space="0" w:color="auto"/>
      </w:divBdr>
    </w:div>
    <w:div w:id="1318613807">
      <w:bodyDiv w:val="1"/>
      <w:marLeft w:val="0"/>
      <w:marRight w:val="0"/>
      <w:marTop w:val="0"/>
      <w:marBottom w:val="0"/>
      <w:divBdr>
        <w:top w:val="none" w:sz="0" w:space="0" w:color="auto"/>
        <w:left w:val="none" w:sz="0" w:space="0" w:color="auto"/>
        <w:bottom w:val="none" w:sz="0" w:space="0" w:color="auto"/>
        <w:right w:val="none" w:sz="0" w:space="0" w:color="auto"/>
      </w:divBdr>
    </w:div>
    <w:div w:id="1319531073">
      <w:bodyDiv w:val="1"/>
      <w:marLeft w:val="0"/>
      <w:marRight w:val="0"/>
      <w:marTop w:val="0"/>
      <w:marBottom w:val="0"/>
      <w:divBdr>
        <w:top w:val="none" w:sz="0" w:space="0" w:color="auto"/>
        <w:left w:val="none" w:sz="0" w:space="0" w:color="auto"/>
        <w:bottom w:val="none" w:sz="0" w:space="0" w:color="auto"/>
        <w:right w:val="none" w:sz="0" w:space="0" w:color="auto"/>
      </w:divBdr>
    </w:div>
    <w:div w:id="1320839649">
      <w:bodyDiv w:val="1"/>
      <w:marLeft w:val="0"/>
      <w:marRight w:val="0"/>
      <w:marTop w:val="0"/>
      <w:marBottom w:val="0"/>
      <w:divBdr>
        <w:top w:val="none" w:sz="0" w:space="0" w:color="auto"/>
        <w:left w:val="none" w:sz="0" w:space="0" w:color="auto"/>
        <w:bottom w:val="none" w:sz="0" w:space="0" w:color="auto"/>
        <w:right w:val="none" w:sz="0" w:space="0" w:color="auto"/>
      </w:divBdr>
    </w:div>
    <w:div w:id="1322192567">
      <w:bodyDiv w:val="1"/>
      <w:marLeft w:val="0"/>
      <w:marRight w:val="0"/>
      <w:marTop w:val="0"/>
      <w:marBottom w:val="0"/>
      <w:divBdr>
        <w:top w:val="none" w:sz="0" w:space="0" w:color="auto"/>
        <w:left w:val="none" w:sz="0" w:space="0" w:color="auto"/>
        <w:bottom w:val="none" w:sz="0" w:space="0" w:color="auto"/>
        <w:right w:val="none" w:sz="0" w:space="0" w:color="auto"/>
      </w:divBdr>
    </w:div>
    <w:div w:id="1323268884">
      <w:bodyDiv w:val="1"/>
      <w:marLeft w:val="0"/>
      <w:marRight w:val="0"/>
      <w:marTop w:val="0"/>
      <w:marBottom w:val="0"/>
      <w:divBdr>
        <w:top w:val="none" w:sz="0" w:space="0" w:color="auto"/>
        <w:left w:val="none" w:sz="0" w:space="0" w:color="auto"/>
        <w:bottom w:val="none" w:sz="0" w:space="0" w:color="auto"/>
        <w:right w:val="none" w:sz="0" w:space="0" w:color="auto"/>
      </w:divBdr>
    </w:div>
    <w:div w:id="1323464212">
      <w:bodyDiv w:val="1"/>
      <w:marLeft w:val="0"/>
      <w:marRight w:val="0"/>
      <w:marTop w:val="0"/>
      <w:marBottom w:val="0"/>
      <w:divBdr>
        <w:top w:val="none" w:sz="0" w:space="0" w:color="auto"/>
        <w:left w:val="none" w:sz="0" w:space="0" w:color="auto"/>
        <w:bottom w:val="none" w:sz="0" w:space="0" w:color="auto"/>
        <w:right w:val="none" w:sz="0" w:space="0" w:color="auto"/>
      </w:divBdr>
    </w:div>
    <w:div w:id="1323893211">
      <w:bodyDiv w:val="1"/>
      <w:marLeft w:val="0"/>
      <w:marRight w:val="0"/>
      <w:marTop w:val="0"/>
      <w:marBottom w:val="0"/>
      <w:divBdr>
        <w:top w:val="none" w:sz="0" w:space="0" w:color="auto"/>
        <w:left w:val="none" w:sz="0" w:space="0" w:color="auto"/>
        <w:bottom w:val="none" w:sz="0" w:space="0" w:color="auto"/>
        <w:right w:val="none" w:sz="0" w:space="0" w:color="auto"/>
      </w:divBdr>
    </w:div>
    <w:div w:id="1324624050">
      <w:bodyDiv w:val="1"/>
      <w:marLeft w:val="0"/>
      <w:marRight w:val="0"/>
      <w:marTop w:val="0"/>
      <w:marBottom w:val="0"/>
      <w:divBdr>
        <w:top w:val="none" w:sz="0" w:space="0" w:color="auto"/>
        <w:left w:val="none" w:sz="0" w:space="0" w:color="auto"/>
        <w:bottom w:val="none" w:sz="0" w:space="0" w:color="auto"/>
        <w:right w:val="none" w:sz="0" w:space="0" w:color="auto"/>
      </w:divBdr>
    </w:div>
    <w:div w:id="1324965592">
      <w:bodyDiv w:val="1"/>
      <w:marLeft w:val="0"/>
      <w:marRight w:val="0"/>
      <w:marTop w:val="0"/>
      <w:marBottom w:val="0"/>
      <w:divBdr>
        <w:top w:val="none" w:sz="0" w:space="0" w:color="auto"/>
        <w:left w:val="none" w:sz="0" w:space="0" w:color="auto"/>
        <w:bottom w:val="none" w:sz="0" w:space="0" w:color="auto"/>
        <w:right w:val="none" w:sz="0" w:space="0" w:color="auto"/>
      </w:divBdr>
    </w:div>
    <w:div w:id="1325475020">
      <w:bodyDiv w:val="1"/>
      <w:marLeft w:val="0"/>
      <w:marRight w:val="0"/>
      <w:marTop w:val="0"/>
      <w:marBottom w:val="0"/>
      <w:divBdr>
        <w:top w:val="none" w:sz="0" w:space="0" w:color="auto"/>
        <w:left w:val="none" w:sz="0" w:space="0" w:color="auto"/>
        <w:bottom w:val="none" w:sz="0" w:space="0" w:color="auto"/>
        <w:right w:val="none" w:sz="0" w:space="0" w:color="auto"/>
      </w:divBdr>
    </w:div>
    <w:div w:id="1325546887">
      <w:bodyDiv w:val="1"/>
      <w:marLeft w:val="0"/>
      <w:marRight w:val="0"/>
      <w:marTop w:val="0"/>
      <w:marBottom w:val="0"/>
      <w:divBdr>
        <w:top w:val="none" w:sz="0" w:space="0" w:color="auto"/>
        <w:left w:val="none" w:sz="0" w:space="0" w:color="auto"/>
        <w:bottom w:val="none" w:sz="0" w:space="0" w:color="auto"/>
        <w:right w:val="none" w:sz="0" w:space="0" w:color="auto"/>
      </w:divBdr>
    </w:div>
    <w:div w:id="1325623791">
      <w:bodyDiv w:val="1"/>
      <w:marLeft w:val="0"/>
      <w:marRight w:val="0"/>
      <w:marTop w:val="0"/>
      <w:marBottom w:val="0"/>
      <w:divBdr>
        <w:top w:val="none" w:sz="0" w:space="0" w:color="auto"/>
        <w:left w:val="none" w:sz="0" w:space="0" w:color="auto"/>
        <w:bottom w:val="none" w:sz="0" w:space="0" w:color="auto"/>
        <w:right w:val="none" w:sz="0" w:space="0" w:color="auto"/>
      </w:divBdr>
    </w:div>
    <w:div w:id="1326282622">
      <w:bodyDiv w:val="1"/>
      <w:marLeft w:val="0"/>
      <w:marRight w:val="0"/>
      <w:marTop w:val="0"/>
      <w:marBottom w:val="0"/>
      <w:divBdr>
        <w:top w:val="none" w:sz="0" w:space="0" w:color="auto"/>
        <w:left w:val="none" w:sz="0" w:space="0" w:color="auto"/>
        <w:bottom w:val="none" w:sz="0" w:space="0" w:color="auto"/>
        <w:right w:val="none" w:sz="0" w:space="0" w:color="auto"/>
      </w:divBdr>
    </w:div>
    <w:div w:id="1326468476">
      <w:bodyDiv w:val="1"/>
      <w:marLeft w:val="0"/>
      <w:marRight w:val="0"/>
      <w:marTop w:val="0"/>
      <w:marBottom w:val="0"/>
      <w:divBdr>
        <w:top w:val="none" w:sz="0" w:space="0" w:color="auto"/>
        <w:left w:val="none" w:sz="0" w:space="0" w:color="auto"/>
        <w:bottom w:val="none" w:sz="0" w:space="0" w:color="auto"/>
        <w:right w:val="none" w:sz="0" w:space="0" w:color="auto"/>
      </w:divBdr>
    </w:div>
    <w:div w:id="1327707941">
      <w:bodyDiv w:val="1"/>
      <w:marLeft w:val="0"/>
      <w:marRight w:val="0"/>
      <w:marTop w:val="0"/>
      <w:marBottom w:val="0"/>
      <w:divBdr>
        <w:top w:val="none" w:sz="0" w:space="0" w:color="auto"/>
        <w:left w:val="none" w:sz="0" w:space="0" w:color="auto"/>
        <w:bottom w:val="none" w:sz="0" w:space="0" w:color="auto"/>
        <w:right w:val="none" w:sz="0" w:space="0" w:color="auto"/>
      </w:divBdr>
    </w:div>
    <w:div w:id="1328826305">
      <w:bodyDiv w:val="1"/>
      <w:marLeft w:val="0"/>
      <w:marRight w:val="0"/>
      <w:marTop w:val="0"/>
      <w:marBottom w:val="0"/>
      <w:divBdr>
        <w:top w:val="none" w:sz="0" w:space="0" w:color="auto"/>
        <w:left w:val="none" w:sz="0" w:space="0" w:color="auto"/>
        <w:bottom w:val="none" w:sz="0" w:space="0" w:color="auto"/>
        <w:right w:val="none" w:sz="0" w:space="0" w:color="auto"/>
      </w:divBdr>
    </w:div>
    <w:div w:id="1329292031">
      <w:bodyDiv w:val="1"/>
      <w:marLeft w:val="0"/>
      <w:marRight w:val="0"/>
      <w:marTop w:val="0"/>
      <w:marBottom w:val="0"/>
      <w:divBdr>
        <w:top w:val="none" w:sz="0" w:space="0" w:color="auto"/>
        <w:left w:val="none" w:sz="0" w:space="0" w:color="auto"/>
        <w:bottom w:val="none" w:sz="0" w:space="0" w:color="auto"/>
        <w:right w:val="none" w:sz="0" w:space="0" w:color="auto"/>
      </w:divBdr>
    </w:div>
    <w:div w:id="1331562020">
      <w:bodyDiv w:val="1"/>
      <w:marLeft w:val="0"/>
      <w:marRight w:val="0"/>
      <w:marTop w:val="0"/>
      <w:marBottom w:val="0"/>
      <w:divBdr>
        <w:top w:val="none" w:sz="0" w:space="0" w:color="auto"/>
        <w:left w:val="none" w:sz="0" w:space="0" w:color="auto"/>
        <w:bottom w:val="none" w:sz="0" w:space="0" w:color="auto"/>
        <w:right w:val="none" w:sz="0" w:space="0" w:color="auto"/>
      </w:divBdr>
    </w:div>
    <w:div w:id="1331566965">
      <w:bodyDiv w:val="1"/>
      <w:marLeft w:val="0"/>
      <w:marRight w:val="0"/>
      <w:marTop w:val="0"/>
      <w:marBottom w:val="0"/>
      <w:divBdr>
        <w:top w:val="none" w:sz="0" w:space="0" w:color="auto"/>
        <w:left w:val="none" w:sz="0" w:space="0" w:color="auto"/>
        <w:bottom w:val="none" w:sz="0" w:space="0" w:color="auto"/>
        <w:right w:val="none" w:sz="0" w:space="0" w:color="auto"/>
      </w:divBdr>
    </w:div>
    <w:div w:id="1333143225">
      <w:bodyDiv w:val="1"/>
      <w:marLeft w:val="0"/>
      <w:marRight w:val="0"/>
      <w:marTop w:val="0"/>
      <w:marBottom w:val="0"/>
      <w:divBdr>
        <w:top w:val="none" w:sz="0" w:space="0" w:color="auto"/>
        <w:left w:val="none" w:sz="0" w:space="0" w:color="auto"/>
        <w:bottom w:val="none" w:sz="0" w:space="0" w:color="auto"/>
        <w:right w:val="none" w:sz="0" w:space="0" w:color="auto"/>
      </w:divBdr>
    </w:div>
    <w:div w:id="1333682129">
      <w:bodyDiv w:val="1"/>
      <w:marLeft w:val="0"/>
      <w:marRight w:val="0"/>
      <w:marTop w:val="0"/>
      <w:marBottom w:val="0"/>
      <w:divBdr>
        <w:top w:val="none" w:sz="0" w:space="0" w:color="auto"/>
        <w:left w:val="none" w:sz="0" w:space="0" w:color="auto"/>
        <w:bottom w:val="none" w:sz="0" w:space="0" w:color="auto"/>
        <w:right w:val="none" w:sz="0" w:space="0" w:color="auto"/>
      </w:divBdr>
    </w:div>
    <w:div w:id="1334649176">
      <w:bodyDiv w:val="1"/>
      <w:marLeft w:val="0"/>
      <w:marRight w:val="0"/>
      <w:marTop w:val="0"/>
      <w:marBottom w:val="0"/>
      <w:divBdr>
        <w:top w:val="none" w:sz="0" w:space="0" w:color="auto"/>
        <w:left w:val="none" w:sz="0" w:space="0" w:color="auto"/>
        <w:bottom w:val="none" w:sz="0" w:space="0" w:color="auto"/>
        <w:right w:val="none" w:sz="0" w:space="0" w:color="auto"/>
      </w:divBdr>
    </w:div>
    <w:div w:id="1334722313">
      <w:bodyDiv w:val="1"/>
      <w:marLeft w:val="0"/>
      <w:marRight w:val="0"/>
      <w:marTop w:val="0"/>
      <w:marBottom w:val="0"/>
      <w:divBdr>
        <w:top w:val="none" w:sz="0" w:space="0" w:color="auto"/>
        <w:left w:val="none" w:sz="0" w:space="0" w:color="auto"/>
        <w:bottom w:val="none" w:sz="0" w:space="0" w:color="auto"/>
        <w:right w:val="none" w:sz="0" w:space="0" w:color="auto"/>
      </w:divBdr>
    </w:div>
    <w:div w:id="1335110656">
      <w:bodyDiv w:val="1"/>
      <w:marLeft w:val="0"/>
      <w:marRight w:val="0"/>
      <w:marTop w:val="0"/>
      <w:marBottom w:val="0"/>
      <w:divBdr>
        <w:top w:val="none" w:sz="0" w:space="0" w:color="auto"/>
        <w:left w:val="none" w:sz="0" w:space="0" w:color="auto"/>
        <w:bottom w:val="none" w:sz="0" w:space="0" w:color="auto"/>
        <w:right w:val="none" w:sz="0" w:space="0" w:color="auto"/>
      </w:divBdr>
    </w:div>
    <w:div w:id="1335379471">
      <w:bodyDiv w:val="1"/>
      <w:marLeft w:val="0"/>
      <w:marRight w:val="0"/>
      <w:marTop w:val="0"/>
      <w:marBottom w:val="0"/>
      <w:divBdr>
        <w:top w:val="none" w:sz="0" w:space="0" w:color="auto"/>
        <w:left w:val="none" w:sz="0" w:space="0" w:color="auto"/>
        <w:bottom w:val="none" w:sz="0" w:space="0" w:color="auto"/>
        <w:right w:val="none" w:sz="0" w:space="0" w:color="auto"/>
      </w:divBdr>
    </w:div>
    <w:div w:id="1336030720">
      <w:bodyDiv w:val="1"/>
      <w:marLeft w:val="0"/>
      <w:marRight w:val="0"/>
      <w:marTop w:val="0"/>
      <w:marBottom w:val="0"/>
      <w:divBdr>
        <w:top w:val="none" w:sz="0" w:space="0" w:color="auto"/>
        <w:left w:val="none" w:sz="0" w:space="0" w:color="auto"/>
        <w:bottom w:val="none" w:sz="0" w:space="0" w:color="auto"/>
        <w:right w:val="none" w:sz="0" w:space="0" w:color="auto"/>
      </w:divBdr>
    </w:div>
    <w:div w:id="1336803495">
      <w:bodyDiv w:val="1"/>
      <w:marLeft w:val="0"/>
      <w:marRight w:val="0"/>
      <w:marTop w:val="0"/>
      <w:marBottom w:val="0"/>
      <w:divBdr>
        <w:top w:val="none" w:sz="0" w:space="0" w:color="auto"/>
        <w:left w:val="none" w:sz="0" w:space="0" w:color="auto"/>
        <w:bottom w:val="none" w:sz="0" w:space="0" w:color="auto"/>
        <w:right w:val="none" w:sz="0" w:space="0" w:color="auto"/>
      </w:divBdr>
    </w:div>
    <w:div w:id="1336884612">
      <w:bodyDiv w:val="1"/>
      <w:marLeft w:val="0"/>
      <w:marRight w:val="0"/>
      <w:marTop w:val="0"/>
      <w:marBottom w:val="0"/>
      <w:divBdr>
        <w:top w:val="none" w:sz="0" w:space="0" w:color="auto"/>
        <w:left w:val="none" w:sz="0" w:space="0" w:color="auto"/>
        <w:bottom w:val="none" w:sz="0" w:space="0" w:color="auto"/>
        <w:right w:val="none" w:sz="0" w:space="0" w:color="auto"/>
      </w:divBdr>
    </w:div>
    <w:div w:id="1336955021">
      <w:bodyDiv w:val="1"/>
      <w:marLeft w:val="0"/>
      <w:marRight w:val="0"/>
      <w:marTop w:val="0"/>
      <w:marBottom w:val="0"/>
      <w:divBdr>
        <w:top w:val="none" w:sz="0" w:space="0" w:color="auto"/>
        <w:left w:val="none" w:sz="0" w:space="0" w:color="auto"/>
        <w:bottom w:val="none" w:sz="0" w:space="0" w:color="auto"/>
        <w:right w:val="none" w:sz="0" w:space="0" w:color="auto"/>
      </w:divBdr>
    </w:div>
    <w:div w:id="1338195781">
      <w:bodyDiv w:val="1"/>
      <w:marLeft w:val="0"/>
      <w:marRight w:val="0"/>
      <w:marTop w:val="0"/>
      <w:marBottom w:val="0"/>
      <w:divBdr>
        <w:top w:val="none" w:sz="0" w:space="0" w:color="auto"/>
        <w:left w:val="none" w:sz="0" w:space="0" w:color="auto"/>
        <w:bottom w:val="none" w:sz="0" w:space="0" w:color="auto"/>
        <w:right w:val="none" w:sz="0" w:space="0" w:color="auto"/>
      </w:divBdr>
    </w:div>
    <w:div w:id="1338538648">
      <w:bodyDiv w:val="1"/>
      <w:marLeft w:val="0"/>
      <w:marRight w:val="0"/>
      <w:marTop w:val="0"/>
      <w:marBottom w:val="0"/>
      <w:divBdr>
        <w:top w:val="none" w:sz="0" w:space="0" w:color="auto"/>
        <w:left w:val="none" w:sz="0" w:space="0" w:color="auto"/>
        <w:bottom w:val="none" w:sz="0" w:space="0" w:color="auto"/>
        <w:right w:val="none" w:sz="0" w:space="0" w:color="auto"/>
      </w:divBdr>
    </w:div>
    <w:div w:id="1338926394">
      <w:bodyDiv w:val="1"/>
      <w:marLeft w:val="0"/>
      <w:marRight w:val="0"/>
      <w:marTop w:val="0"/>
      <w:marBottom w:val="0"/>
      <w:divBdr>
        <w:top w:val="none" w:sz="0" w:space="0" w:color="auto"/>
        <w:left w:val="none" w:sz="0" w:space="0" w:color="auto"/>
        <w:bottom w:val="none" w:sz="0" w:space="0" w:color="auto"/>
        <w:right w:val="none" w:sz="0" w:space="0" w:color="auto"/>
      </w:divBdr>
    </w:div>
    <w:div w:id="1338926769">
      <w:bodyDiv w:val="1"/>
      <w:marLeft w:val="0"/>
      <w:marRight w:val="0"/>
      <w:marTop w:val="0"/>
      <w:marBottom w:val="0"/>
      <w:divBdr>
        <w:top w:val="none" w:sz="0" w:space="0" w:color="auto"/>
        <w:left w:val="none" w:sz="0" w:space="0" w:color="auto"/>
        <w:bottom w:val="none" w:sz="0" w:space="0" w:color="auto"/>
        <w:right w:val="none" w:sz="0" w:space="0" w:color="auto"/>
      </w:divBdr>
    </w:div>
    <w:div w:id="1339163728">
      <w:bodyDiv w:val="1"/>
      <w:marLeft w:val="0"/>
      <w:marRight w:val="0"/>
      <w:marTop w:val="0"/>
      <w:marBottom w:val="0"/>
      <w:divBdr>
        <w:top w:val="none" w:sz="0" w:space="0" w:color="auto"/>
        <w:left w:val="none" w:sz="0" w:space="0" w:color="auto"/>
        <w:bottom w:val="none" w:sz="0" w:space="0" w:color="auto"/>
        <w:right w:val="none" w:sz="0" w:space="0" w:color="auto"/>
      </w:divBdr>
    </w:div>
    <w:div w:id="1340309285">
      <w:bodyDiv w:val="1"/>
      <w:marLeft w:val="0"/>
      <w:marRight w:val="0"/>
      <w:marTop w:val="0"/>
      <w:marBottom w:val="0"/>
      <w:divBdr>
        <w:top w:val="none" w:sz="0" w:space="0" w:color="auto"/>
        <w:left w:val="none" w:sz="0" w:space="0" w:color="auto"/>
        <w:bottom w:val="none" w:sz="0" w:space="0" w:color="auto"/>
        <w:right w:val="none" w:sz="0" w:space="0" w:color="auto"/>
      </w:divBdr>
    </w:div>
    <w:div w:id="1340624522">
      <w:bodyDiv w:val="1"/>
      <w:marLeft w:val="0"/>
      <w:marRight w:val="0"/>
      <w:marTop w:val="0"/>
      <w:marBottom w:val="0"/>
      <w:divBdr>
        <w:top w:val="none" w:sz="0" w:space="0" w:color="auto"/>
        <w:left w:val="none" w:sz="0" w:space="0" w:color="auto"/>
        <w:bottom w:val="none" w:sz="0" w:space="0" w:color="auto"/>
        <w:right w:val="none" w:sz="0" w:space="0" w:color="auto"/>
      </w:divBdr>
    </w:div>
    <w:div w:id="1341932118">
      <w:bodyDiv w:val="1"/>
      <w:marLeft w:val="0"/>
      <w:marRight w:val="0"/>
      <w:marTop w:val="0"/>
      <w:marBottom w:val="0"/>
      <w:divBdr>
        <w:top w:val="none" w:sz="0" w:space="0" w:color="auto"/>
        <w:left w:val="none" w:sz="0" w:space="0" w:color="auto"/>
        <w:bottom w:val="none" w:sz="0" w:space="0" w:color="auto"/>
        <w:right w:val="none" w:sz="0" w:space="0" w:color="auto"/>
      </w:divBdr>
    </w:div>
    <w:div w:id="1342003551">
      <w:bodyDiv w:val="1"/>
      <w:marLeft w:val="0"/>
      <w:marRight w:val="0"/>
      <w:marTop w:val="0"/>
      <w:marBottom w:val="0"/>
      <w:divBdr>
        <w:top w:val="none" w:sz="0" w:space="0" w:color="auto"/>
        <w:left w:val="none" w:sz="0" w:space="0" w:color="auto"/>
        <w:bottom w:val="none" w:sz="0" w:space="0" w:color="auto"/>
        <w:right w:val="none" w:sz="0" w:space="0" w:color="auto"/>
      </w:divBdr>
    </w:div>
    <w:div w:id="1343586165">
      <w:bodyDiv w:val="1"/>
      <w:marLeft w:val="0"/>
      <w:marRight w:val="0"/>
      <w:marTop w:val="0"/>
      <w:marBottom w:val="0"/>
      <w:divBdr>
        <w:top w:val="none" w:sz="0" w:space="0" w:color="auto"/>
        <w:left w:val="none" w:sz="0" w:space="0" w:color="auto"/>
        <w:bottom w:val="none" w:sz="0" w:space="0" w:color="auto"/>
        <w:right w:val="none" w:sz="0" w:space="0" w:color="auto"/>
      </w:divBdr>
    </w:div>
    <w:div w:id="1343817731">
      <w:bodyDiv w:val="1"/>
      <w:marLeft w:val="0"/>
      <w:marRight w:val="0"/>
      <w:marTop w:val="0"/>
      <w:marBottom w:val="0"/>
      <w:divBdr>
        <w:top w:val="none" w:sz="0" w:space="0" w:color="auto"/>
        <w:left w:val="none" w:sz="0" w:space="0" w:color="auto"/>
        <w:bottom w:val="none" w:sz="0" w:space="0" w:color="auto"/>
        <w:right w:val="none" w:sz="0" w:space="0" w:color="auto"/>
      </w:divBdr>
    </w:div>
    <w:div w:id="1343975354">
      <w:bodyDiv w:val="1"/>
      <w:marLeft w:val="0"/>
      <w:marRight w:val="0"/>
      <w:marTop w:val="0"/>
      <w:marBottom w:val="0"/>
      <w:divBdr>
        <w:top w:val="none" w:sz="0" w:space="0" w:color="auto"/>
        <w:left w:val="none" w:sz="0" w:space="0" w:color="auto"/>
        <w:bottom w:val="none" w:sz="0" w:space="0" w:color="auto"/>
        <w:right w:val="none" w:sz="0" w:space="0" w:color="auto"/>
      </w:divBdr>
    </w:div>
    <w:div w:id="1344043954">
      <w:bodyDiv w:val="1"/>
      <w:marLeft w:val="0"/>
      <w:marRight w:val="0"/>
      <w:marTop w:val="0"/>
      <w:marBottom w:val="0"/>
      <w:divBdr>
        <w:top w:val="none" w:sz="0" w:space="0" w:color="auto"/>
        <w:left w:val="none" w:sz="0" w:space="0" w:color="auto"/>
        <w:bottom w:val="none" w:sz="0" w:space="0" w:color="auto"/>
        <w:right w:val="none" w:sz="0" w:space="0" w:color="auto"/>
      </w:divBdr>
    </w:div>
    <w:div w:id="1344356997">
      <w:bodyDiv w:val="1"/>
      <w:marLeft w:val="0"/>
      <w:marRight w:val="0"/>
      <w:marTop w:val="0"/>
      <w:marBottom w:val="0"/>
      <w:divBdr>
        <w:top w:val="none" w:sz="0" w:space="0" w:color="auto"/>
        <w:left w:val="none" w:sz="0" w:space="0" w:color="auto"/>
        <w:bottom w:val="none" w:sz="0" w:space="0" w:color="auto"/>
        <w:right w:val="none" w:sz="0" w:space="0" w:color="auto"/>
      </w:divBdr>
    </w:div>
    <w:div w:id="1344626006">
      <w:bodyDiv w:val="1"/>
      <w:marLeft w:val="0"/>
      <w:marRight w:val="0"/>
      <w:marTop w:val="0"/>
      <w:marBottom w:val="0"/>
      <w:divBdr>
        <w:top w:val="none" w:sz="0" w:space="0" w:color="auto"/>
        <w:left w:val="none" w:sz="0" w:space="0" w:color="auto"/>
        <w:bottom w:val="none" w:sz="0" w:space="0" w:color="auto"/>
        <w:right w:val="none" w:sz="0" w:space="0" w:color="auto"/>
      </w:divBdr>
    </w:div>
    <w:div w:id="1344674060">
      <w:bodyDiv w:val="1"/>
      <w:marLeft w:val="0"/>
      <w:marRight w:val="0"/>
      <w:marTop w:val="0"/>
      <w:marBottom w:val="0"/>
      <w:divBdr>
        <w:top w:val="none" w:sz="0" w:space="0" w:color="auto"/>
        <w:left w:val="none" w:sz="0" w:space="0" w:color="auto"/>
        <w:bottom w:val="none" w:sz="0" w:space="0" w:color="auto"/>
        <w:right w:val="none" w:sz="0" w:space="0" w:color="auto"/>
      </w:divBdr>
    </w:div>
    <w:div w:id="1344824153">
      <w:bodyDiv w:val="1"/>
      <w:marLeft w:val="0"/>
      <w:marRight w:val="0"/>
      <w:marTop w:val="0"/>
      <w:marBottom w:val="0"/>
      <w:divBdr>
        <w:top w:val="none" w:sz="0" w:space="0" w:color="auto"/>
        <w:left w:val="none" w:sz="0" w:space="0" w:color="auto"/>
        <w:bottom w:val="none" w:sz="0" w:space="0" w:color="auto"/>
        <w:right w:val="none" w:sz="0" w:space="0" w:color="auto"/>
      </w:divBdr>
    </w:div>
    <w:div w:id="1345091115">
      <w:bodyDiv w:val="1"/>
      <w:marLeft w:val="0"/>
      <w:marRight w:val="0"/>
      <w:marTop w:val="0"/>
      <w:marBottom w:val="0"/>
      <w:divBdr>
        <w:top w:val="none" w:sz="0" w:space="0" w:color="auto"/>
        <w:left w:val="none" w:sz="0" w:space="0" w:color="auto"/>
        <w:bottom w:val="none" w:sz="0" w:space="0" w:color="auto"/>
        <w:right w:val="none" w:sz="0" w:space="0" w:color="auto"/>
      </w:divBdr>
    </w:div>
    <w:div w:id="1345285875">
      <w:bodyDiv w:val="1"/>
      <w:marLeft w:val="0"/>
      <w:marRight w:val="0"/>
      <w:marTop w:val="0"/>
      <w:marBottom w:val="0"/>
      <w:divBdr>
        <w:top w:val="none" w:sz="0" w:space="0" w:color="auto"/>
        <w:left w:val="none" w:sz="0" w:space="0" w:color="auto"/>
        <w:bottom w:val="none" w:sz="0" w:space="0" w:color="auto"/>
        <w:right w:val="none" w:sz="0" w:space="0" w:color="auto"/>
      </w:divBdr>
    </w:div>
    <w:div w:id="1346634950">
      <w:bodyDiv w:val="1"/>
      <w:marLeft w:val="0"/>
      <w:marRight w:val="0"/>
      <w:marTop w:val="0"/>
      <w:marBottom w:val="0"/>
      <w:divBdr>
        <w:top w:val="none" w:sz="0" w:space="0" w:color="auto"/>
        <w:left w:val="none" w:sz="0" w:space="0" w:color="auto"/>
        <w:bottom w:val="none" w:sz="0" w:space="0" w:color="auto"/>
        <w:right w:val="none" w:sz="0" w:space="0" w:color="auto"/>
      </w:divBdr>
    </w:div>
    <w:div w:id="1346908940">
      <w:bodyDiv w:val="1"/>
      <w:marLeft w:val="0"/>
      <w:marRight w:val="0"/>
      <w:marTop w:val="0"/>
      <w:marBottom w:val="0"/>
      <w:divBdr>
        <w:top w:val="none" w:sz="0" w:space="0" w:color="auto"/>
        <w:left w:val="none" w:sz="0" w:space="0" w:color="auto"/>
        <w:bottom w:val="none" w:sz="0" w:space="0" w:color="auto"/>
        <w:right w:val="none" w:sz="0" w:space="0" w:color="auto"/>
      </w:divBdr>
    </w:div>
    <w:div w:id="1346975530">
      <w:bodyDiv w:val="1"/>
      <w:marLeft w:val="0"/>
      <w:marRight w:val="0"/>
      <w:marTop w:val="0"/>
      <w:marBottom w:val="0"/>
      <w:divBdr>
        <w:top w:val="none" w:sz="0" w:space="0" w:color="auto"/>
        <w:left w:val="none" w:sz="0" w:space="0" w:color="auto"/>
        <w:bottom w:val="none" w:sz="0" w:space="0" w:color="auto"/>
        <w:right w:val="none" w:sz="0" w:space="0" w:color="auto"/>
      </w:divBdr>
    </w:div>
    <w:div w:id="1347630700">
      <w:bodyDiv w:val="1"/>
      <w:marLeft w:val="0"/>
      <w:marRight w:val="0"/>
      <w:marTop w:val="0"/>
      <w:marBottom w:val="0"/>
      <w:divBdr>
        <w:top w:val="none" w:sz="0" w:space="0" w:color="auto"/>
        <w:left w:val="none" w:sz="0" w:space="0" w:color="auto"/>
        <w:bottom w:val="none" w:sz="0" w:space="0" w:color="auto"/>
        <w:right w:val="none" w:sz="0" w:space="0" w:color="auto"/>
      </w:divBdr>
    </w:div>
    <w:div w:id="1348604890">
      <w:bodyDiv w:val="1"/>
      <w:marLeft w:val="0"/>
      <w:marRight w:val="0"/>
      <w:marTop w:val="0"/>
      <w:marBottom w:val="0"/>
      <w:divBdr>
        <w:top w:val="none" w:sz="0" w:space="0" w:color="auto"/>
        <w:left w:val="none" w:sz="0" w:space="0" w:color="auto"/>
        <w:bottom w:val="none" w:sz="0" w:space="0" w:color="auto"/>
        <w:right w:val="none" w:sz="0" w:space="0" w:color="auto"/>
      </w:divBdr>
    </w:div>
    <w:div w:id="1349255852">
      <w:bodyDiv w:val="1"/>
      <w:marLeft w:val="0"/>
      <w:marRight w:val="0"/>
      <w:marTop w:val="0"/>
      <w:marBottom w:val="0"/>
      <w:divBdr>
        <w:top w:val="none" w:sz="0" w:space="0" w:color="auto"/>
        <w:left w:val="none" w:sz="0" w:space="0" w:color="auto"/>
        <w:bottom w:val="none" w:sz="0" w:space="0" w:color="auto"/>
        <w:right w:val="none" w:sz="0" w:space="0" w:color="auto"/>
      </w:divBdr>
    </w:div>
    <w:div w:id="1350329023">
      <w:bodyDiv w:val="1"/>
      <w:marLeft w:val="0"/>
      <w:marRight w:val="0"/>
      <w:marTop w:val="0"/>
      <w:marBottom w:val="0"/>
      <w:divBdr>
        <w:top w:val="none" w:sz="0" w:space="0" w:color="auto"/>
        <w:left w:val="none" w:sz="0" w:space="0" w:color="auto"/>
        <w:bottom w:val="none" w:sz="0" w:space="0" w:color="auto"/>
        <w:right w:val="none" w:sz="0" w:space="0" w:color="auto"/>
      </w:divBdr>
    </w:div>
    <w:div w:id="1350641866">
      <w:bodyDiv w:val="1"/>
      <w:marLeft w:val="0"/>
      <w:marRight w:val="0"/>
      <w:marTop w:val="0"/>
      <w:marBottom w:val="0"/>
      <w:divBdr>
        <w:top w:val="none" w:sz="0" w:space="0" w:color="auto"/>
        <w:left w:val="none" w:sz="0" w:space="0" w:color="auto"/>
        <w:bottom w:val="none" w:sz="0" w:space="0" w:color="auto"/>
        <w:right w:val="none" w:sz="0" w:space="0" w:color="auto"/>
      </w:divBdr>
    </w:div>
    <w:div w:id="1350833779">
      <w:bodyDiv w:val="1"/>
      <w:marLeft w:val="0"/>
      <w:marRight w:val="0"/>
      <w:marTop w:val="0"/>
      <w:marBottom w:val="0"/>
      <w:divBdr>
        <w:top w:val="none" w:sz="0" w:space="0" w:color="auto"/>
        <w:left w:val="none" w:sz="0" w:space="0" w:color="auto"/>
        <w:bottom w:val="none" w:sz="0" w:space="0" w:color="auto"/>
        <w:right w:val="none" w:sz="0" w:space="0" w:color="auto"/>
      </w:divBdr>
    </w:div>
    <w:div w:id="1350910823">
      <w:bodyDiv w:val="1"/>
      <w:marLeft w:val="0"/>
      <w:marRight w:val="0"/>
      <w:marTop w:val="0"/>
      <w:marBottom w:val="0"/>
      <w:divBdr>
        <w:top w:val="none" w:sz="0" w:space="0" w:color="auto"/>
        <w:left w:val="none" w:sz="0" w:space="0" w:color="auto"/>
        <w:bottom w:val="none" w:sz="0" w:space="0" w:color="auto"/>
        <w:right w:val="none" w:sz="0" w:space="0" w:color="auto"/>
      </w:divBdr>
    </w:div>
    <w:div w:id="1351031771">
      <w:bodyDiv w:val="1"/>
      <w:marLeft w:val="0"/>
      <w:marRight w:val="0"/>
      <w:marTop w:val="0"/>
      <w:marBottom w:val="0"/>
      <w:divBdr>
        <w:top w:val="none" w:sz="0" w:space="0" w:color="auto"/>
        <w:left w:val="none" w:sz="0" w:space="0" w:color="auto"/>
        <w:bottom w:val="none" w:sz="0" w:space="0" w:color="auto"/>
        <w:right w:val="none" w:sz="0" w:space="0" w:color="auto"/>
      </w:divBdr>
    </w:div>
    <w:div w:id="1351252174">
      <w:bodyDiv w:val="1"/>
      <w:marLeft w:val="0"/>
      <w:marRight w:val="0"/>
      <w:marTop w:val="0"/>
      <w:marBottom w:val="0"/>
      <w:divBdr>
        <w:top w:val="none" w:sz="0" w:space="0" w:color="auto"/>
        <w:left w:val="none" w:sz="0" w:space="0" w:color="auto"/>
        <w:bottom w:val="none" w:sz="0" w:space="0" w:color="auto"/>
        <w:right w:val="none" w:sz="0" w:space="0" w:color="auto"/>
      </w:divBdr>
    </w:div>
    <w:div w:id="1353603740">
      <w:bodyDiv w:val="1"/>
      <w:marLeft w:val="0"/>
      <w:marRight w:val="0"/>
      <w:marTop w:val="0"/>
      <w:marBottom w:val="0"/>
      <w:divBdr>
        <w:top w:val="none" w:sz="0" w:space="0" w:color="auto"/>
        <w:left w:val="none" w:sz="0" w:space="0" w:color="auto"/>
        <w:bottom w:val="none" w:sz="0" w:space="0" w:color="auto"/>
        <w:right w:val="none" w:sz="0" w:space="0" w:color="auto"/>
      </w:divBdr>
    </w:div>
    <w:div w:id="1354070942">
      <w:bodyDiv w:val="1"/>
      <w:marLeft w:val="0"/>
      <w:marRight w:val="0"/>
      <w:marTop w:val="0"/>
      <w:marBottom w:val="0"/>
      <w:divBdr>
        <w:top w:val="none" w:sz="0" w:space="0" w:color="auto"/>
        <w:left w:val="none" w:sz="0" w:space="0" w:color="auto"/>
        <w:bottom w:val="none" w:sz="0" w:space="0" w:color="auto"/>
        <w:right w:val="none" w:sz="0" w:space="0" w:color="auto"/>
      </w:divBdr>
    </w:div>
    <w:div w:id="1354920892">
      <w:bodyDiv w:val="1"/>
      <w:marLeft w:val="0"/>
      <w:marRight w:val="0"/>
      <w:marTop w:val="0"/>
      <w:marBottom w:val="0"/>
      <w:divBdr>
        <w:top w:val="none" w:sz="0" w:space="0" w:color="auto"/>
        <w:left w:val="none" w:sz="0" w:space="0" w:color="auto"/>
        <w:bottom w:val="none" w:sz="0" w:space="0" w:color="auto"/>
        <w:right w:val="none" w:sz="0" w:space="0" w:color="auto"/>
      </w:divBdr>
    </w:div>
    <w:div w:id="1355227749">
      <w:bodyDiv w:val="1"/>
      <w:marLeft w:val="0"/>
      <w:marRight w:val="0"/>
      <w:marTop w:val="0"/>
      <w:marBottom w:val="0"/>
      <w:divBdr>
        <w:top w:val="none" w:sz="0" w:space="0" w:color="auto"/>
        <w:left w:val="none" w:sz="0" w:space="0" w:color="auto"/>
        <w:bottom w:val="none" w:sz="0" w:space="0" w:color="auto"/>
        <w:right w:val="none" w:sz="0" w:space="0" w:color="auto"/>
      </w:divBdr>
    </w:div>
    <w:div w:id="1355880419">
      <w:bodyDiv w:val="1"/>
      <w:marLeft w:val="0"/>
      <w:marRight w:val="0"/>
      <w:marTop w:val="0"/>
      <w:marBottom w:val="0"/>
      <w:divBdr>
        <w:top w:val="none" w:sz="0" w:space="0" w:color="auto"/>
        <w:left w:val="none" w:sz="0" w:space="0" w:color="auto"/>
        <w:bottom w:val="none" w:sz="0" w:space="0" w:color="auto"/>
        <w:right w:val="none" w:sz="0" w:space="0" w:color="auto"/>
      </w:divBdr>
    </w:div>
    <w:div w:id="1356270640">
      <w:bodyDiv w:val="1"/>
      <w:marLeft w:val="0"/>
      <w:marRight w:val="0"/>
      <w:marTop w:val="0"/>
      <w:marBottom w:val="0"/>
      <w:divBdr>
        <w:top w:val="none" w:sz="0" w:space="0" w:color="auto"/>
        <w:left w:val="none" w:sz="0" w:space="0" w:color="auto"/>
        <w:bottom w:val="none" w:sz="0" w:space="0" w:color="auto"/>
        <w:right w:val="none" w:sz="0" w:space="0" w:color="auto"/>
      </w:divBdr>
    </w:div>
    <w:div w:id="1358432377">
      <w:bodyDiv w:val="1"/>
      <w:marLeft w:val="0"/>
      <w:marRight w:val="0"/>
      <w:marTop w:val="0"/>
      <w:marBottom w:val="0"/>
      <w:divBdr>
        <w:top w:val="none" w:sz="0" w:space="0" w:color="auto"/>
        <w:left w:val="none" w:sz="0" w:space="0" w:color="auto"/>
        <w:bottom w:val="none" w:sz="0" w:space="0" w:color="auto"/>
        <w:right w:val="none" w:sz="0" w:space="0" w:color="auto"/>
      </w:divBdr>
    </w:div>
    <w:div w:id="1358851082">
      <w:bodyDiv w:val="1"/>
      <w:marLeft w:val="0"/>
      <w:marRight w:val="0"/>
      <w:marTop w:val="0"/>
      <w:marBottom w:val="0"/>
      <w:divBdr>
        <w:top w:val="none" w:sz="0" w:space="0" w:color="auto"/>
        <w:left w:val="none" w:sz="0" w:space="0" w:color="auto"/>
        <w:bottom w:val="none" w:sz="0" w:space="0" w:color="auto"/>
        <w:right w:val="none" w:sz="0" w:space="0" w:color="auto"/>
      </w:divBdr>
    </w:div>
    <w:div w:id="1358965047">
      <w:bodyDiv w:val="1"/>
      <w:marLeft w:val="0"/>
      <w:marRight w:val="0"/>
      <w:marTop w:val="0"/>
      <w:marBottom w:val="0"/>
      <w:divBdr>
        <w:top w:val="none" w:sz="0" w:space="0" w:color="auto"/>
        <w:left w:val="none" w:sz="0" w:space="0" w:color="auto"/>
        <w:bottom w:val="none" w:sz="0" w:space="0" w:color="auto"/>
        <w:right w:val="none" w:sz="0" w:space="0" w:color="auto"/>
      </w:divBdr>
    </w:div>
    <w:div w:id="1359086232">
      <w:bodyDiv w:val="1"/>
      <w:marLeft w:val="0"/>
      <w:marRight w:val="0"/>
      <w:marTop w:val="0"/>
      <w:marBottom w:val="0"/>
      <w:divBdr>
        <w:top w:val="none" w:sz="0" w:space="0" w:color="auto"/>
        <w:left w:val="none" w:sz="0" w:space="0" w:color="auto"/>
        <w:bottom w:val="none" w:sz="0" w:space="0" w:color="auto"/>
        <w:right w:val="none" w:sz="0" w:space="0" w:color="auto"/>
      </w:divBdr>
    </w:div>
    <w:div w:id="1359772431">
      <w:bodyDiv w:val="1"/>
      <w:marLeft w:val="0"/>
      <w:marRight w:val="0"/>
      <w:marTop w:val="0"/>
      <w:marBottom w:val="0"/>
      <w:divBdr>
        <w:top w:val="none" w:sz="0" w:space="0" w:color="auto"/>
        <w:left w:val="none" w:sz="0" w:space="0" w:color="auto"/>
        <w:bottom w:val="none" w:sz="0" w:space="0" w:color="auto"/>
        <w:right w:val="none" w:sz="0" w:space="0" w:color="auto"/>
      </w:divBdr>
    </w:div>
    <w:div w:id="1361248639">
      <w:bodyDiv w:val="1"/>
      <w:marLeft w:val="0"/>
      <w:marRight w:val="0"/>
      <w:marTop w:val="0"/>
      <w:marBottom w:val="0"/>
      <w:divBdr>
        <w:top w:val="none" w:sz="0" w:space="0" w:color="auto"/>
        <w:left w:val="none" w:sz="0" w:space="0" w:color="auto"/>
        <w:bottom w:val="none" w:sz="0" w:space="0" w:color="auto"/>
        <w:right w:val="none" w:sz="0" w:space="0" w:color="auto"/>
      </w:divBdr>
    </w:div>
    <w:div w:id="1361473241">
      <w:bodyDiv w:val="1"/>
      <w:marLeft w:val="0"/>
      <w:marRight w:val="0"/>
      <w:marTop w:val="0"/>
      <w:marBottom w:val="0"/>
      <w:divBdr>
        <w:top w:val="none" w:sz="0" w:space="0" w:color="auto"/>
        <w:left w:val="none" w:sz="0" w:space="0" w:color="auto"/>
        <w:bottom w:val="none" w:sz="0" w:space="0" w:color="auto"/>
        <w:right w:val="none" w:sz="0" w:space="0" w:color="auto"/>
      </w:divBdr>
    </w:div>
    <w:div w:id="1362510389">
      <w:bodyDiv w:val="1"/>
      <w:marLeft w:val="0"/>
      <w:marRight w:val="0"/>
      <w:marTop w:val="0"/>
      <w:marBottom w:val="0"/>
      <w:divBdr>
        <w:top w:val="none" w:sz="0" w:space="0" w:color="auto"/>
        <w:left w:val="none" w:sz="0" w:space="0" w:color="auto"/>
        <w:bottom w:val="none" w:sz="0" w:space="0" w:color="auto"/>
        <w:right w:val="none" w:sz="0" w:space="0" w:color="auto"/>
      </w:divBdr>
    </w:div>
    <w:div w:id="1362705286">
      <w:bodyDiv w:val="1"/>
      <w:marLeft w:val="0"/>
      <w:marRight w:val="0"/>
      <w:marTop w:val="0"/>
      <w:marBottom w:val="0"/>
      <w:divBdr>
        <w:top w:val="none" w:sz="0" w:space="0" w:color="auto"/>
        <w:left w:val="none" w:sz="0" w:space="0" w:color="auto"/>
        <w:bottom w:val="none" w:sz="0" w:space="0" w:color="auto"/>
        <w:right w:val="none" w:sz="0" w:space="0" w:color="auto"/>
      </w:divBdr>
    </w:div>
    <w:div w:id="1363285812">
      <w:bodyDiv w:val="1"/>
      <w:marLeft w:val="0"/>
      <w:marRight w:val="0"/>
      <w:marTop w:val="0"/>
      <w:marBottom w:val="0"/>
      <w:divBdr>
        <w:top w:val="none" w:sz="0" w:space="0" w:color="auto"/>
        <w:left w:val="none" w:sz="0" w:space="0" w:color="auto"/>
        <w:bottom w:val="none" w:sz="0" w:space="0" w:color="auto"/>
        <w:right w:val="none" w:sz="0" w:space="0" w:color="auto"/>
      </w:divBdr>
    </w:div>
    <w:div w:id="1363431914">
      <w:bodyDiv w:val="1"/>
      <w:marLeft w:val="0"/>
      <w:marRight w:val="0"/>
      <w:marTop w:val="0"/>
      <w:marBottom w:val="0"/>
      <w:divBdr>
        <w:top w:val="none" w:sz="0" w:space="0" w:color="auto"/>
        <w:left w:val="none" w:sz="0" w:space="0" w:color="auto"/>
        <w:bottom w:val="none" w:sz="0" w:space="0" w:color="auto"/>
        <w:right w:val="none" w:sz="0" w:space="0" w:color="auto"/>
      </w:divBdr>
    </w:div>
    <w:div w:id="1363747803">
      <w:bodyDiv w:val="1"/>
      <w:marLeft w:val="0"/>
      <w:marRight w:val="0"/>
      <w:marTop w:val="0"/>
      <w:marBottom w:val="0"/>
      <w:divBdr>
        <w:top w:val="none" w:sz="0" w:space="0" w:color="auto"/>
        <w:left w:val="none" w:sz="0" w:space="0" w:color="auto"/>
        <w:bottom w:val="none" w:sz="0" w:space="0" w:color="auto"/>
        <w:right w:val="none" w:sz="0" w:space="0" w:color="auto"/>
      </w:divBdr>
    </w:div>
    <w:div w:id="1363938850">
      <w:bodyDiv w:val="1"/>
      <w:marLeft w:val="0"/>
      <w:marRight w:val="0"/>
      <w:marTop w:val="0"/>
      <w:marBottom w:val="0"/>
      <w:divBdr>
        <w:top w:val="none" w:sz="0" w:space="0" w:color="auto"/>
        <w:left w:val="none" w:sz="0" w:space="0" w:color="auto"/>
        <w:bottom w:val="none" w:sz="0" w:space="0" w:color="auto"/>
        <w:right w:val="none" w:sz="0" w:space="0" w:color="auto"/>
      </w:divBdr>
    </w:div>
    <w:div w:id="1364476493">
      <w:bodyDiv w:val="1"/>
      <w:marLeft w:val="0"/>
      <w:marRight w:val="0"/>
      <w:marTop w:val="0"/>
      <w:marBottom w:val="0"/>
      <w:divBdr>
        <w:top w:val="none" w:sz="0" w:space="0" w:color="auto"/>
        <w:left w:val="none" w:sz="0" w:space="0" w:color="auto"/>
        <w:bottom w:val="none" w:sz="0" w:space="0" w:color="auto"/>
        <w:right w:val="none" w:sz="0" w:space="0" w:color="auto"/>
      </w:divBdr>
    </w:div>
    <w:div w:id="1365130689">
      <w:bodyDiv w:val="1"/>
      <w:marLeft w:val="0"/>
      <w:marRight w:val="0"/>
      <w:marTop w:val="0"/>
      <w:marBottom w:val="0"/>
      <w:divBdr>
        <w:top w:val="none" w:sz="0" w:space="0" w:color="auto"/>
        <w:left w:val="none" w:sz="0" w:space="0" w:color="auto"/>
        <w:bottom w:val="none" w:sz="0" w:space="0" w:color="auto"/>
        <w:right w:val="none" w:sz="0" w:space="0" w:color="auto"/>
      </w:divBdr>
    </w:div>
    <w:div w:id="1365406358">
      <w:bodyDiv w:val="1"/>
      <w:marLeft w:val="0"/>
      <w:marRight w:val="0"/>
      <w:marTop w:val="0"/>
      <w:marBottom w:val="0"/>
      <w:divBdr>
        <w:top w:val="none" w:sz="0" w:space="0" w:color="auto"/>
        <w:left w:val="none" w:sz="0" w:space="0" w:color="auto"/>
        <w:bottom w:val="none" w:sz="0" w:space="0" w:color="auto"/>
        <w:right w:val="none" w:sz="0" w:space="0" w:color="auto"/>
      </w:divBdr>
    </w:div>
    <w:div w:id="1366056125">
      <w:bodyDiv w:val="1"/>
      <w:marLeft w:val="0"/>
      <w:marRight w:val="0"/>
      <w:marTop w:val="0"/>
      <w:marBottom w:val="0"/>
      <w:divBdr>
        <w:top w:val="none" w:sz="0" w:space="0" w:color="auto"/>
        <w:left w:val="none" w:sz="0" w:space="0" w:color="auto"/>
        <w:bottom w:val="none" w:sz="0" w:space="0" w:color="auto"/>
        <w:right w:val="none" w:sz="0" w:space="0" w:color="auto"/>
      </w:divBdr>
    </w:div>
    <w:div w:id="1366172744">
      <w:bodyDiv w:val="1"/>
      <w:marLeft w:val="0"/>
      <w:marRight w:val="0"/>
      <w:marTop w:val="0"/>
      <w:marBottom w:val="0"/>
      <w:divBdr>
        <w:top w:val="none" w:sz="0" w:space="0" w:color="auto"/>
        <w:left w:val="none" w:sz="0" w:space="0" w:color="auto"/>
        <w:bottom w:val="none" w:sz="0" w:space="0" w:color="auto"/>
        <w:right w:val="none" w:sz="0" w:space="0" w:color="auto"/>
      </w:divBdr>
    </w:div>
    <w:div w:id="1367173231">
      <w:bodyDiv w:val="1"/>
      <w:marLeft w:val="0"/>
      <w:marRight w:val="0"/>
      <w:marTop w:val="0"/>
      <w:marBottom w:val="0"/>
      <w:divBdr>
        <w:top w:val="none" w:sz="0" w:space="0" w:color="auto"/>
        <w:left w:val="none" w:sz="0" w:space="0" w:color="auto"/>
        <w:bottom w:val="none" w:sz="0" w:space="0" w:color="auto"/>
        <w:right w:val="none" w:sz="0" w:space="0" w:color="auto"/>
      </w:divBdr>
    </w:div>
    <w:div w:id="1367371502">
      <w:bodyDiv w:val="1"/>
      <w:marLeft w:val="0"/>
      <w:marRight w:val="0"/>
      <w:marTop w:val="0"/>
      <w:marBottom w:val="0"/>
      <w:divBdr>
        <w:top w:val="none" w:sz="0" w:space="0" w:color="auto"/>
        <w:left w:val="none" w:sz="0" w:space="0" w:color="auto"/>
        <w:bottom w:val="none" w:sz="0" w:space="0" w:color="auto"/>
        <w:right w:val="none" w:sz="0" w:space="0" w:color="auto"/>
      </w:divBdr>
    </w:div>
    <w:div w:id="1367414268">
      <w:bodyDiv w:val="1"/>
      <w:marLeft w:val="0"/>
      <w:marRight w:val="0"/>
      <w:marTop w:val="0"/>
      <w:marBottom w:val="0"/>
      <w:divBdr>
        <w:top w:val="none" w:sz="0" w:space="0" w:color="auto"/>
        <w:left w:val="none" w:sz="0" w:space="0" w:color="auto"/>
        <w:bottom w:val="none" w:sz="0" w:space="0" w:color="auto"/>
        <w:right w:val="none" w:sz="0" w:space="0" w:color="auto"/>
      </w:divBdr>
    </w:div>
    <w:div w:id="1367484070">
      <w:bodyDiv w:val="1"/>
      <w:marLeft w:val="0"/>
      <w:marRight w:val="0"/>
      <w:marTop w:val="0"/>
      <w:marBottom w:val="0"/>
      <w:divBdr>
        <w:top w:val="none" w:sz="0" w:space="0" w:color="auto"/>
        <w:left w:val="none" w:sz="0" w:space="0" w:color="auto"/>
        <w:bottom w:val="none" w:sz="0" w:space="0" w:color="auto"/>
        <w:right w:val="none" w:sz="0" w:space="0" w:color="auto"/>
      </w:divBdr>
    </w:div>
    <w:div w:id="1369256107">
      <w:bodyDiv w:val="1"/>
      <w:marLeft w:val="0"/>
      <w:marRight w:val="0"/>
      <w:marTop w:val="0"/>
      <w:marBottom w:val="0"/>
      <w:divBdr>
        <w:top w:val="none" w:sz="0" w:space="0" w:color="auto"/>
        <w:left w:val="none" w:sz="0" w:space="0" w:color="auto"/>
        <w:bottom w:val="none" w:sz="0" w:space="0" w:color="auto"/>
        <w:right w:val="none" w:sz="0" w:space="0" w:color="auto"/>
      </w:divBdr>
    </w:div>
    <w:div w:id="1369523694">
      <w:bodyDiv w:val="1"/>
      <w:marLeft w:val="0"/>
      <w:marRight w:val="0"/>
      <w:marTop w:val="0"/>
      <w:marBottom w:val="0"/>
      <w:divBdr>
        <w:top w:val="none" w:sz="0" w:space="0" w:color="auto"/>
        <w:left w:val="none" w:sz="0" w:space="0" w:color="auto"/>
        <w:bottom w:val="none" w:sz="0" w:space="0" w:color="auto"/>
        <w:right w:val="none" w:sz="0" w:space="0" w:color="auto"/>
      </w:divBdr>
    </w:div>
    <w:div w:id="1370568558">
      <w:bodyDiv w:val="1"/>
      <w:marLeft w:val="0"/>
      <w:marRight w:val="0"/>
      <w:marTop w:val="0"/>
      <w:marBottom w:val="0"/>
      <w:divBdr>
        <w:top w:val="none" w:sz="0" w:space="0" w:color="auto"/>
        <w:left w:val="none" w:sz="0" w:space="0" w:color="auto"/>
        <w:bottom w:val="none" w:sz="0" w:space="0" w:color="auto"/>
        <w:right w:val="none" w:sz="0" w:space="0" w:color="auto"/>
      </w:divBdr>
    </w:div>
    <w:div w:id="1370574109">
      <w:bodyDiv w:val="1"/>
      <w:marLeft w:val="0"/>
      <w:marRight w:val="0"/>
      <w:marTop w:val="0"/>
      <w:marBottom w:val="0"/>
      <w:divBdr>
        <w:top w:val="none" w:sz="0" w:space="0" w:color="auto"/>
        <w:left w:val="none" w:sz="0" w:space="0" w:color="auto"/>
        <w:bottom w:val="none" w:sz="0" w:space="0" w:color="auto"/>
        <w:right w:val="none" w:sz="0" w:space="0" w:color="auto"/>
      </w:divBdr>
    </w:div>
    <w:div w:id="1370953865">
      <w:bodyDiv w:val="1"/>
      <w:marLeft w:val="0"/>
      <w:marRight w:val="0"/>
      <w:marTop w:val="0"/>
      <w:marBottom w:val="0"/>
      <w:divBdr>
        <w:top w:val="none" w:sz="0" w:space="0" w:color="auto"/>
        <w:left w:val="none" w:sz="0" w:space="0" w:color="auto"/>
        <w:bottom w:val="none" w:sz="0" w:space="0" w:color="auto"/>
        <w:right w:val="none" w:sz="0" w:space="0" w:color="auto"/>
      </w:divBdr>
    </w:div>
    <w:div w:id="1371299792">
      <w:bodyDiv w:val="1"/>
      <w:marLeft w:val="0"/>
      <w:marRight w:val="0"/>
      <w:marTop w:val="0"/>
      <w:marBottom w:val="0"/>
      <w:divBdr>
        <w:top w:val="none" w:sz="0" w:space="0" w:color="auto"/>
        <w:left w:val="none" w:sz="0" w:space="0" w:color="auto"/>
        <w:bottom w:val="none" w:sz="0" w:space="0" w:color="auto"/>
        <w:right w:val="none" w:sz="0" w:space="0" w:color="auto"/>
      </w:divBdr>
    </w:div>
    <w:div w:id="1372148535">
      <w:bodyDiv w:val="1"/>
      <w:marLeft w:val="0"/>
      <w:marRight w:val="0"/>
      <w:marTop w:val="0"/>
      <w:marBottom w:val="0"/>
      <w:divBdr>
        <w:top w:val="none" w:sz="0" w:space="0" w:color="auto"/>
        <w:left w:val="none" w:sz="0" w:space="0" w:color="auto"/>
        <w:bottom w:val="none" w:sz="0" w:space="0" w:color="auto"/>
        <w:right w:val="none" w:sz="0" w:space="0" w:color="auto"/>
      </w:divBdr>
    </w:div>
    <w:div w:id="1372413061">
      <w:bodyDiv w:val="1"/>
      <w:marLeft w:val="0"/>
      <w:marRight w:val="0"/>
      <w:marTop w:val="0"/>
      <w:marBottom w:val="0"/>
      <w:divBdr>
        <w:top w:val="none" w:sz="0" w:space="0" w:color="auto"/>
        <w:left w:val="none" w:sz="0" w:space="0" w:color="auto"/>
        <w:bottom w:val="none" w:sz="0" w:space="0" w:color="auto"/>
        <w:right w:val="none" w:sz="0" w:space="0" w:color="auto"/>
      </w:divBdr>
    </w:div>
    <w:div w:id="1373307008">
      <w:bodyDiv w:val="1"/>
      <w:marLeft w:val="0"/>
      <w:marRight w:val="0"/>
      <w:marTop w:val="0"/>
      <w:marBottom w:val="0"/>
      <w:divBdr>
        <w:top w:val="none" w:sz="0" w:space="0" w:color="auto"/>
        <w:left w:val="none" w:sz="0" w:space="0" w:color="auto"/>
        <w:bottom w:val="none" w:sz="0" w:space="0" w:color="auto"/>
        <w:right w:val="none" w:sz="0" w:space="0" w:color="auto"/>
      </w:divBdr>
    </w:div>
    <w:div w:id="1373380559">
      <w:bodyDiv w:val="1"/>
      <w:marLeft w:val="0"/>
      <w:marRight w:val="0"/>
      <w:marTop w:val="0"/>
      <w:marBottom w:val="0"/>
      <w:divBdr>
        <w:top w:val="none" w:sz="0" w:space="0" w:color="auto"/>
        <w:left w:val="none" w:sz="0" w:space="0" w:color="auto"/>
        <w:bottom w:val="none" w:sz="0" w:space="0" w:color="auto"/>
        <w:right w:val="none" w:sz="0" w:space="0" w:color="auto"/>
      </w:divBdr>
    </w:div>
    <w:div w:id="1374421852">
      <w:bodyDiv w:val="1"/>
      <w:marLeft w:val="0"/>
      <w:marRight w:val="0"/>
      <w:marTop w:val="0"/>
      <w:marBottom w:val="0"/>
      <w:divBdr>
        <w:top w:val="none" w:sz="0" w:space="0" w:color="auto"/>
        <w:left w:val="none" w:sz="0" w:space="0" w:color="auto"/>
        <w:bottom w:val="none" w:sz="0" w:space="0" w:color="auto"/>
        <w:right w:val="none" w:sz="0" w:space="0" w:color="auto"/>
      </w:divBdr>
    </w:div>
    <w:div w:id="1375810345">
      <w:bodyDiv w:val="1"/>
      <w:marLeft w:val="0"/>
      <w:marRight w:val="0"/>
      <w:marTop w:val="0"/>
      <w:marBottom w:val="0"/>
      <w:divBdr>
        <w:top w:val="none" w:sz="0" w:space="0" w:color="auto"/>
        <w:left w:val="none" w:sz="0" w:space="0" w:color="auto"/>
        <w:bottom w:val="none" w:sz="0" w:space="0" w:color="auto"/>
        <w:right w:val="none" w:sz="0" w:space="0" w:color="auto"/>
      </w:divBdr>
    </w:div>
    <w:div w:id="1376005186">
      <w:bodyDiv w:val="1"/>
      <w:marLeft w:val="0"/>
      <w:marRight w:val="0"/>
      <w:marTop w:val="0"/>
      <w:marBottom w:val="0"/>
      <w:divBdr>
        <w:top w:val="none" w:sz="0" w:space="0" w:color="auto"/>
        <w:left w:val="none" w:sz="0" w:space="0" w:color="auto"/>
        <w:bottom w:val="none" w:sz="0" w:space="0" w:color="auto"/>
        <w:right w:val="none" w:sz="0" w:space="0" w:color="auto"/>
      </w:divBdr>
    </w:div>
    <w:div w:id="1377267866">
      <w:bodyDiv w:val="1"/>
      <w:marLeft w:val="0"/>
      <w:marRight w:val="0"/>
      <w:marTop w:val="0"/>
      <w:marBottom w:val="0"/>
      <w:divBdr>
        <w:top w:val="none" w:sz="0" w:space="0" w:color="auto"/>
        <w:left w:val="none" w:sz="0" w:space="0" w:color="auto"/>
        <w:bottom w:val="none" w:sz="0" w:space="0" w:color="auto"/>
        <w:right w:val="none" w:sz="0" w:space="0" w:color="auto"/>
      </w:divBdr>
    </w:div>
    <w:div w:id="1379550555">
      <w:bodyDiv w:val="1"/>
      <w:marLeft w:val="0"/>
      <w:marRight w:val="0"/>
      <w:marTop w:val="0"/>
      <w:marBottom w:val="0"/>
      <w:divBdr>
        <w:top w:val="none" w:sz="0" w:space="0" w:color="auto"/>
        <w:left w:val="none" w:sz="0" w:space="0" w:color="auto"/>
        <w:bottom w:val="none" w:sz="0" w:space="0" w:color="auto"/>
        <w:right w:val="none" w:sz="0" w:space="0" w:color="auto"/>
      </w:divBdr>
    </w:div>
    <w:div w:id="1380015463">
      <w:bodyDiv w:val="1"/>
      <w:marLeft w:val="0"/>
      <w:marRight w:val="0"/>
      <w:marTop w:val="0"/>
      <w:marBottom w:val="0"/>
      <w:divBdr>
        <w:top w:val="none" w:sz="0" w:space="0" w:color="auto"/>
        <w:left w:val="none" w:sz="0" w:space="0" w:color="auto"/>
        <w:bottom w:val="none" w:sz="0" w:space="0" w:color="auto"/>
        <w:right w:val="none" w:sz="0" w:space="0" w:color="auto"/>
      </w:divBdr>
    </w:div>
    <w:div w:id="1380399667">
      <w:bodyDiv w:val="1"/>
      <w:marLeft w:val="0"/>
      <w:marRight w:val="0"/>
      <w:marTop w:val="0"/>
      <w:marBottom w:val="0"/>
      <w:divBdr>
        <w:top w:val="none" w:sz="0" w:space="0" w:color="auto"/>
        <w:left w:val="none" w:sz="0" w:space="0" w:color="auto"/>
        <w:bottom w:val="none" w:sz="0" w:space="0" w:color="auto"/>
        <w:right w:val="none" w:sz="0" w:space="0" w:color="auto"/>
      </w:divBdr>
    </w:div>
    <w:div w:id="1381593821">
      <w:bodyDiv w:val="1"/>
      <w:marLeft w:val="0"/>
      <w:marRight w:val="0"/>
      <w:marTop w:val="0"/>
      <w:marBottom w:val="0"/>
      <w:divBdr>
        <w:top w:val="none" w:sz="0" w:space="0" w:color="auto"/>
        <w:left w:val="none" w:sz="0" w:space="0" w:color="auto"/>
        <w:bottom w:val="none" w:sz="0" w:space="0" w:color="auto"/>
        <w:right w:val="none" w:sz="0" w:space="0" w:color="auto"/>
      </w:divBdr>
    </w:div>
    <w:div w:id="1382288304">
      <w:bodyDiv w:val="1"/>
      <w:marLeft w:val="0"/>
      <w:marRight w:val="0"/>
      <w:marTop w:val="0"/>
      <w:marBottom w:val="0"/>
      <w:divBdr>
        <w:top w:val="none" w:sz="0" w:space="0" w:color="auto"/>
        <w:left w:val="none" w:sz="0" w:space="0" w:color="auto"/>
        <w:bottom w:val="none" w:sz="0" w:space="0" w:color="auto"/>
        <w:right w:val="none" w:sz="0" w:space="0" w:color="auto"/>
      </w:divBdr>
    </w:div>
    <w:div w:id="1382704879">
      <w:bodyDiv w:val="1"/>
      <w:marLeft w:val="0"/>
      <w:marRight w:val="0"/>
      <w:marTop w:val="0"/>
      <w:marBottom w:val="0"/>
      <w:divBdr>
        <w:top w:val="none" w:sz="0" w:space="0" w:color="auto"/>
        <w:left w:val="none" w:sz="0" w:space="0" w:color="auto"/>
        <w:bottom w:val="none" w:sz="0" w:space="0" w:color="auto"/>
        <w:right w:val="none" w:sz="0" w:space="0" w:color="auto"/>
      </w:divBdr>
    </w:div>
    <w:div w:id="1383165391">
      <w:bodyDiv w:val="1"/>
      <w:marLeft w:val="0"/>
      <w:marRight w:val="0"/>
      <w:marTop w:val="0"/>
      <w:marBottom w:val="0"/>
      <w:divBdr>
        <w:top w:val="none" w:sz="0" w:space="0" w:color="auto"/>
        <w:left w:val="none" w:sz="0" w:space="0" w:color="auto"/>
        <w:bottom w:val="none" w:sz="0" w:space="0" w:color="auto"/>
        <w:right w:val="none" w:sz="0" w:space="0" w:color="auto"/>
      </w:divBdr>
    </w:div>
    <w:div w:id="1383627566">
      <w:bodyDiv w:val="1"/>
      <w:marLeft w:val="0"/>
      <w:marRight w:val="0"/>
      <w:marTop w:val="0"/>
      <w:marBottom w:val="0"/>
      <w:divBdr>
        <w:top w:val="none" w:sz="0" w:space="0" w:color="auto"/>
        <w:left w:val="none" w:sz="0" w:space="0" w:color="auto"/>
        <w:bottom w:val="none" w:sz="0" w:space="0" w:color="auto"/>
        <w:right w:val="none" w:sz="0" w:space="0" w:color="auto"/>
      </w:divBdr>
    </w:div>
    <w:div w:id="1383864750">
      <w:bodyDiv w:val="1"/>
      <w:marLeft w:val="0"/>
      <w:marRight w:val="0"/>
      <w:marTop w:val="0"/>
      <w:marBottom w:val="0"/>
      <w:divBdr>
        <w:top w:val="none" w:sz="0" w:space="0" w:color="auto"/>
        <w:left w:val="none" w:sz="0" w:space="0" w:color="auto"/>
        <w:bottom w:val="none" w:sz="0" w:space="0" w:color="auto"/>
        <w:right w:val="none" w:sz="0" w:space="0" w:color="auto"/>
      </w:divBdr>
    </w:div>
    <w:div w:id="1384480630">
      <w:bodyDiv w:val="1"/>
      <w:marLeft w:val="0"/>
      <w:marRight w:val="0"/>
      <w:marTop w:val="0"/>
      <w:marBottom w:val="0"/>
      <w:divBdr>
        <w:top w:val="none" w:sz="0" w:space="0" w:color="auto"/>
        <w:left w:val="none" w:sz="0" w:space="0" w:color="auto"/>
        <w:bottom w:val="none" w:sz="0" w:space="0" w:color="auto"/>
        <w:right w:val="none" w:sz="0" w:space="0" w:color="auto"/>
      </w:divBdr>
    </w:div>
    <w:div w:id="1385060090">
      <w:bodyDiv w:val="1"/>
      <w:marLeft w:val="0"/>
      <w:marRight w:val="0"/>
      <w:marTop w:val="0"/>
      <w:marBottom w:val="0"/>
      <w:divBdr>
        <w:top w:val="none" w:sz="0" w:space="0" w:color="auto"/>
        <w:left w:val="none" w:sz="0" w:space="0" w:color="auto"/>
        <w:bottom w:val="none" w:sz="0" w:space="0" w:color="auto"/>
        <w:right w:val="none" w:sz="0" w:space="0" w:color="auto"/>
      </w:divBdr>
    </w:div>
    <w:div w:id="1385063539">
      <w:bodyDiv w:val="1"/>
      <w:marLeft w:val="0"/>
      <w:marRight w:val="0"/>
      <w:marTop w:val="0"/>
      <w:marBottom w:val="0"/>
      <w:divBdr>
        <w:top w:val="none" w:sz="0" w:space="0" w:color="auto"/>
        <w:left w:val="none" w:sz="0" w:space="0" w:color="auto"/>
        <w:bottom w:val="none" w:sz="0" w:space="0" w:color="auto"/>
        <w:right w:val="none" w:sz="0" w:space="0" w:color="auto"/>
      </w:divBdr>
    </w:div>
    <w:div w:id="1386445008">
      <w:bodyDiv w:val="1"/>
      <w:marLeft w:val="0"/>
      <w:marRight w:val="0"/>
      <w:marTop w:val="0"/>
      <w:marBottom w:val="0"/>
      <w:divBdr>
        <w:top w:val="none" w:sz="0" w:space="0" w:color="auto"/>
        <w:left w:val="none" w:sz="0" w:space="0" w:color="auto"/>
        <w:bottom w:val="none" w:sz="0" w:space="0" w:color="auto"/>
        <w:right w:val="none" w:sz="0" w:space="0" w:color="auto"/>
      </w:divBdr>
    </w:div>
    <w:div w:id="1387023152">
      <w:bodyDiv w:val="1"/>
      <w:marLeft w:val="0"/>
      <w:marRight w:val="0"/>
      <w:marTop w:val="0"/>
      <w:marBottom w:val="0"/>
      <w:divBdr>
        <w:top w:val="none" w:sz="0" w:space="0" w:color="auto"/>
        <w:left w:val="none" w:sz="0" w:space="0" w:color="auto"/>
        <w:bottom w:val="none" w:sz="0" w:space="0" w:color="auto"/>
        <w:right w:val="none" w:sz="0" w:space="0" w:color="auto"/>
      </w:divBdr>
    </w:div>
    <w:div w:id="1388188637">
      <w:bodyDiv w:val="1"/>
      <w:marLeft w:val="0"/>
      <w:marRight w:val="0"/>
      <w:marTop w:val="0"/>
      <w:marBottom w:val="0"/>
      <w:divBdr>
        <w:top w:val="none" w:sz="0" w:space="0" w:color="auto"/>
        <w:left w:val="none" w:sz="0" w:space="0" w:color="auto"/>
        <w:bottom w:val="none" w:sz="0" w:space="0" w:color="auto"/>
        <w:right w:val="none" w:sz="0" w:space="0" w:color="auto"/>
      </w:divBdr>
    </w:div>
    <w:div w:id="1389648158">
      <w:bodyDiv w:val="1"/>
      <w:marLeft w:val="0"/>
      <w:marRight w:val="0"/>
      <w:marTop w:val="0"/>
      <w:marBottom w:val="0"/>
      <w:divBdr>
        <w:top w:val="none" w:sz="0" w:space="0" w:color="auto"/>
        <w:left w:val="none" w:sz="0" w:space="0" w:color="auto"/>
        <w:bottom w:val="none" w:sz="0" w:space="0" w:color="auto"/>
        <w:right w:val="none" w:sz="0" w:space="0" w:color="auto"/>
      </w:divBdr>
    </w:div>
    <w:div w:id="1391224656">
      <w:bodyDiv w:val="1"/>
      <w:marLeft w:val="0"/>
      <w:marRight w:val="0"/>
      <w:marTop w:val="0"/>
      <w:marBottom w:val="0"/>
      <w:divBdr>
        <w:top w:val="none" w:sz="0" w:space="0" w:color="auto"/>
        <w:left w:val="none" w:sz="0" w:space="0" w:color="auto"/>
        <w:bottom w:val="none" w:sz="0" w:space="0" w:color="auto"/>
        <w:right w:val="none" w:sz="0" w:space="0" w:color="auto"/>
      </w:divBdr>
    </w:div>
    <w:div w:id="1391540546">
      <w:bodyDiv w:val="1"/>
      <w:marLeft w:val="0"/>
      <w:marRight w:val="0"/>
      <w:marTop w:val="0"/>
      <w:marBottom w:val="0"/>
      <w:divBdr>
        <w:top w:val="none" w:sz="0" w:space="0" w:color="auto"/>
        <w:left w:val="none" w:sz="0" w:space="0" w:color="auto"/>
        <w:bottom w:val="none" w:sz="0" w:space="0" w:color="auto"/>
        <w:right w:val="none" w:sz="0" w:space="0" w:color="auto"/>
      </w:divBdr>
    </w:div>
    <w:div w:id="1391608732">
      <w:bodyDiv w:val="1"/>
      <w:marLeft w:val="0"/>
      <w:marRight w:val="0"/>
      <w:marTop w:val="0"/>
      <w:marBottom w:val="0"/>
      <w:divBdr>
        <w:top w:val="none" w:sz="0" w:space="0" w:color="auto"/>
        <w:left w:val="none" w:sz="0" w:space="0" w:color="auto"/>
        <w:bottom w:val="none" w:sz="0" w:space="0" w:color="auto"/>
        <w:right w:val="none" w:sz="0" w:space="0" w:color="auto"/>
      </w:divBdr>
    </w:div>
    <w:div w:id="1393458500">
      <w:bodyDiv w:val="1"/>
      <w:marLeft w:val="0"/>
      <w:marRight w:val="0"/>
      <w:marTop w:val="0"/>
      <w:marBottom w:val="0"/>
      <w:divBdr>
        <w:top w:val="none" w:sz="0" w:space="0" w:color="auto"/>
        <w:left w:val="none" w:sz="0" w:space="0" w:color="auto"/>
        <w:bottom w:val="none" w:sz="0" w:space="0" w:color="auto"/>
        <w:right w:val="none" w:sz="0" w:space="0" w:color="auto"/>
      </w:divBdr>
    </w:div>
    <w:div w:id="1393507717">
      <w:bodyDiv w:val="1"/>
      <w:marLeft w:val="0"/>
      <w:marRight w:val="0"/>
      <w:marTop w:val="0"/>
      <w:marBottom w:val="0"/>
      <w:divBdr>
        <w:top w:val="none" w:sz="0" w:space="0" w:color="auto"/>
        <w:left w:val="none" w:sz="0" w:space="0" w:color="auto"/>
        <w:bottom w:val="none" w:sz="0" w:space="0" w:color="auto"/>
        <w:right w:val="none" w:sz="0" w:space="0" w:color="auto"/>
      </w:divBdr>
    </w:div>
    <w:div w:id="1393700666">
      <w:bodyDiv w:val="1"/>
      <w:marLeft w:val="0"/>
      <w:marRight w:val="0"/>
      <w:marTop w:val="0"/>
      <w:marBottom w:val="0"/>
      <w:divBdr>
        <w:top w:val="none" w:sz="0" w:space="0" w:color="auto"/>
        <w:left w:val="none" w:sz="0" w:space="0" w:color="auto"/>
        <w:bottom w:val="none" w:sz="0" w:space="0" w:color="auto"/>
        <w:right w:val="none" w:sz="0" w:space="0" w:color="auto"/>
      </w:divBdr>
    </w:div>
    <w:div w:id="1394157069">
      <w:bodyDiv w:val="1"/>
      <w:marLeft w:val="0"/>
      <w:marRight w:val="0"/>
      <w:marTop w:val="0"/>
      <w:marBottom w:val="0"/>
      <w:divBdr>
        <w:top w:val="none" w:sz="0" w:space="0" w:color="auto"/>
        <w:left w:val="none" w:sz="0" w:space="0" w:color="auto"/>
        <w:bottom w:val="none" w:sz="0" w:space="0" w:color="auto"/>
        <w:right w:val="none" w:sz="0" w:space="0" w:color="auto"/>
      </w:divBdr>
    </w:div>
    <w:div w:id="1394543737">
      <w:bodyDiv w:val="1"/>
      <w:marLeft w:val="0"/>
      <w:marRight w:val="0"/>
      <w:marTop w:val="0"/>
      <w:marBottom w:val="0"/>
      <w:divBdr>
        <w:top w:val="none" w:sz="0" w:space="0" w:color="auto"/>
        <w:left w:val="none" w:sz="0" w:space="0" w:color="auto"/>
        <w:bottom w:val="none" w:sz="0" w:space="0" w:color="auto"/>
        <w:right w:val="none" w:sz="0" w:space="0" w:color="auto"/>
      </w:divBdr>
    </w:div>
    <w:div w:id="1395009809">
      <w:bodyDiv w:val="1"/>
      <w:marLeft w:val="0"/>
      <w:marRight w:val="0"/>
      <w:marTop w:val="0"/>
      <w:marBottom w:val="0"/>
      <w:divBdr>
        <w:top w:val="none" w:sz="0" w:space="0" w:color="auto"/>
        <w:left w:val="none" w:sz="0" w:space="0" w:color="auto"/>
        <w:bottom w:val="none" w:sz="0" w:space="0" w:color="auto"/>
        <w:right w:val="none" w:sz="0" w:space="0" w:color="auto"/>
      </w:divBdr>
    </w:div>
    <w:div w:id="1395349136">
      <w:bodyDiv w:val="1"/>
      <w:marLeft w:val="0"/>
      <w:marRight w:val="0"/>
      <w:marTop w:val="0"/>
      <w:marBottom w:val="0"/>
      <w:divBdr>
        <w:top w:val="none" w:sz="0" w:space="0" w:color="auto"/>
        <w:left w:val="none" w:sz="0" w:space="0" w:color="auto"/>
        <w:bottom w:val="none" w:sz="0" w:space="0" w:color="auto"/>
        <w:right w:val="none" w:sz="0" w:space="0" w:color="auto"/>
      </w:divBdr>
    </w:div>
    <w:div w:id="1395851850">
      <w:bodyDiv w:val="1"/>
      <w:marLeft w:val="0"/>
      <w:marRight w:val="0"/>
      <w:marTop w:val="0"/>
      <w:marBottom w:val="0"/>
      <w:divBdr>
        <w:top w:val="none" w:sz="0" w:space="0" w:color="auto"/>
        <w:left w:val="none" w:sz="0" w:space="0" w:color="auto"/>
        <w:bottom w:val="none" w:sz="0" w:space="0" w:color="auto"/>
        <w:right w:val="none" w:sz="0" w:space="0" w:color="auto"/>
      </w:divBdr>
    </w:div>
    <w:div w:id="1396392154">
      <w:bodyDiv w:val="1"/>
      <w:marLeft w:val="0"/>
      <w:marRight w:val="0"/>
      <w:marTop w:val="0"/>
      <w:marBottom w:val="0"/>
      <w:divBdr>
        <w:top w:val="none" w:sz="0" w:space="0" w:color="auto"/>
        <w:left w:val="none" w:sz="0" w:space="0" w:color="auto"/>
        <w:bottom w:val="none" w:sz="0" w:space="0" w:color="auto"/>
        <w:right w:val="none" w:sz="0" w:space="0" w:color="auto"/>
      </w:divBdr>
    </w:div>
    <w:div w:id="1397586770">
      <w:bodyDiv w:val="1"/>
      <w:marLeft w:val="0"/>
      <w:marRight w:val="0"/>
      <w:marTop w:val="0"/>
      <w:marBottom w:val="0"/>
      <w:divBdr>
        <w:top w:val="none" w:sz="0" w:space="0" w:color="auto"/>
        <w:left w:val="none" w:sz="0" w:space="0" w:color="auto"/>
        <w:bottom w:val="none" w:sz="0" w:space="0" w:color="auto"/>
        <w:right w:val="none" w:sz="0" w:space="0" w:color="auto"/>
      </w:divBdr>
    </w:div>
    <w:div w:id="1397702915">
      <w:bodyDiv w:val="1"/>
      <w:marLeft w:val="0"/>
      <w:marRight w:val="0"/>
      <w:marTop w:val="0"/>
      <w:marBottom w:val="0"/>
      <w:divBdr>
        <w:top w:val="none" w:sz="0" w:space="0" w:color="auto"/>
        <w:left w:val="none" w:sz="0" w:space="0" w:color="auto"/>
        <w:bottom w:val="none" w:sz="0" w:space="0" w:color="auto"/>
        <w:right w:val="none" w:sz="0" w:space="0" w:color="auto"/>
      </w:divBdr>
    </w:div>
    <w:div w:id="1398474178">
      <w:bodyDiv w:val="1"/>
      <w:marLeft w:val="0"/>
      <w:marRight w:val="0"/>
      <w:marTop w:val="0"/>
      <w:marBottom w:val="0"/>
      <w:divBdr>
        <w:top w:val="none" w:sz="0" w:space="0" w:color="auto"/>
        <w:left w:val="none" w:sz="0" w:space="0" w:color="auto"/>
        <w:bottom w:val="none" w:sz="0" w:space="0" w:color="auto"/>
        <w:right w:val="none" w:sz="0" w:space="0" w:color="auto"/>
      </w:divBdr>
    </w:div>
    <w:div w:id="1398821200">
      <w:bodyDiv w:val="1"/>
      <w:marLeft w:val="0"/>
      <w:marRight w:val="0"/>
      <w:marTop w:val="0"/>
      <w:marBottom w:val="0"/>
      <w:divBdr>
        <w:top w:val="none" w:sz="0" w:space="0" w:color="auto"/>
        <w:left w:val="none" w:sz="0" w:space="0" w:color="auto"/>
        <w:bottom w:val="none" w:sz="0" w:space="0" w:color="auto"/>
        <w:right w:val="none" w:sz="0" w:space="0" w:color="auto"/>
      </w:divBdr>
    </w:div>
    <w:div w:id="1399666721">
      <w:bodyDiv w:val="1"/>
      <w:marLeft w:val="0"/>
      <w:marRight w:val="0"/>
      <w:marTop w:val="0"/>
      <w:marBottom w:val="0"/>
      <w:divBdr>
        <w:top w:val="none" w:sz="0" w:space="0" w:color="auto"/>
        <w:left w:val="none" w:sz="0" w:space="0" w:color="auto"/>
        <w:bottom w:val="none" w:sz="0" w:space="0" w:color="auto"/>
        <w:right w:val="none" w:sz="0" w:space="0" w:color="auto"/>
      </w:divBdr>
    </w:div>
    <w:div w:id="1399673664">
      <w:bodyDiv w:val="1"/>
      <w:marLeft w:val="0"/>
      <w:marRight w:val="0"/>
      <w:marTop w:val="0"/>
      <w:marBottom w:val="0"/>
      <w:divBdr>
        <w:top w:val="none" w:sz="0" w:space="0" w:color="auto"/>
        <w:left w:val="none" w:sz="0" w:space="0" w:color="auto"/>
        <w:bottom w:val="none" w:sz="0" w:space="0" w:color="auto"/>
        <w:right w:val="none" w:sz="0" w:space="0" w:color="auto"/>
      </w:divBdr>
    </w:div>
    <w:div w:id="1400708148">
      <w:bodyDiv w:val="1"/>
      <w:marLeft w:val="0"/>
      <w:marRight w:val="0"/>
      <w:marTop w:val="0"/>
      <w:marBottom w:val="0"/>
      <w:divBdr>
        <w:top w:val="none" w:sz="0" w:space="0" w:color="auto"/>
        <w:left w:val="none" w:sz="0" w:space="0" w:color="auto"/>
        <w:bottom w:val="none" w:sz="0" w:space="0" w:color="auto"/>
        <w:right w:val="none" w:sz="0" w:space="0" w:color="auto"/>
      </w:divBdr>
    </w:div>
    <w:div w:id="1401173214">
      <w:bodyDiv w:val="1"/>
      <w:marLeft w:val="0"/>
      <w:marRight w:val="0"/>
      <w:marTop w:val="0"/>
      <w:marBottom w:val="0"/>
      <w:divBdr>
        <w:top w:val="none" w:sz="0" w:space="0" w:color="auto"/>
        <w:left w:val="none" w:sz="0" w:space="0" w:color="auto"/>
        <w:bottom w:val="none" w:sz="0" w:space="0" w:color="auto"/>
        <w:right w:val="none" w:sz="0" w:space="0" w:color="auto"/>
      </w:divBdr>
    </w:div>
    <w:div w:id="1401558698">
      <w:bodyDiv w:val="1"/>
      <w:marLeft w:val="0"/>
      <w:marRight w:val="0"/>
      <w:marTop w:val="0"/>
      <w:marBottom w:val="0"/>
      <w:divBdr>
        <w:top w:val="none" w:sz="0" w:space="0" w:color="auto"/>
        <w:left w:val="none" w:sz="0" w:space="0" w:color="auto"/>
        <w:bottom w:val="none" w:sz="0" w:space="0" w:color="auto"/>
        <w:right w:val="none" w:sz="0" w:space="0" w:color="auto"/>
      </w:divBdr>
    </w:div>
    <w:div w:id="1401560880">
      <w:bodyDiv w:val="1"/>
      <w:marLeft w:val="0"/>
      <w:marRight w:val="0"/>
      <w:marTop w:val="0"/>
      <w:marBottom w:val="0"/>
      <w:divBdr>
        <w:top w:val="none" w:sz="0" w:space="0" w:color="auto"/>
        <w:left w:val="none" w:sz="0" w:space="0" w:color="auto"/>
        <w:bottom w:val="none" w:sz="0" w:space="0" w:color="auto"/>
        <w:right w:val="none" w:sz="0" w:space="0" w:color="auto"/>
      </w:divBdr>
    </w:div>
    <w:div w:id="1403138326">
      <w:bodyDiv w:val="1"/>
      <w:marLeft w:val="0"/>
      <w:marRight w:val="0"/>
      <w:marTop w:val="0"/>
      <w:marBottom w:val="0"/>
      <w:divBdr>
        <w:top w:val="none" w:sz="0" w:space="0" w:color="auto"/>
        <w:left w:val="none" w:sz="0" w:space="0" w:color="auto"/>
        <w:bottom w:val="none" w:sz="0" w:space="0" w:color="auto"/>
        <w:right w:val="none" w:sz="0" w:space="0" w:color="auto"/>
      </w:divBdr>
    </w:div>
    <w:div w:id="1403723384">
      <w:bodyDiv w:val="1"/>
      <w:marLeft w:val="0"/>
      <w:marRight w:val="0"/>
      <w:marTop w:val="0"/>
      <w:marBottom w:val="0"/>
      <w:divBdr>
        <w:top w:val="none" w:sz="0" w:space="0" w:color="auto"/>
        <w:left w:val="none" w:sz="0" w:space="0" w:color="auto"/>
        <w:bottom w:val="none" w:sz="0" w:space="0" w:color="auto"/>
        <w:right w:val="none" w:sz="0" w:space="0" w:color="auto"/>
      </w:divBdr>
    </w:div>
    <w:div w:id="1403943529">
      <w:bodyDiv w:val="1"/>
      <w:marLeft w:val="0"/>
      <w:marRight w:val="0"/>
      <w:marTop w:val="0"/>
      <w:marBottom w:val="0"/>
      <w:divBdr>
        <w:top w:val="none" w:sz="0" w:space="0" w:color="auto"/>
        <w:left w:val="none" w:sz="0" w:space="0" w:color="auto"/>
        <w:bottom w:val="none" w:sz="0" w:space="0" w:color="auto"/>
        <w:right w:val="none" w:sz="0" w:space="0" w:color="auto"/>
      </w:divBdr>
    </w:div>
    <w:div w:id="1403985469">
      <w:bodyDiv w:val="1"/>
      <w:marLeft w:val="0"/>
      <w:marRight w:val="0"/>
      <w:marTop w:val="0"/>
      <w:marBottom w:val="0"/>
      <w:divBdr>
        <w:top w:val="none" w:sz="0" w:space="0" w:color="auto"/>
        <w:left w:val="none" w:sz="0" w:space="0" w:color="auto"/>
        <w:bottom w:val="none" w:sz="0" w:space="0" w:color="auto"/>
        <w:right w:val="none" w:sz="0" w:space="0" w:color="auto"/>
      </w:divBdr>
    </w:div>
    <w:div w:id="1404177240">
      <w:bodyDiv w:val="1"/>
      <w:marLeft w:val="0"/>
      <w:marRight w:val="0"/>
      <w:marTop w:val="0"/>
      <w:marBottom w:val="0"/>
      <w:divBdr>
        <w:top w:val="none" w:sz="0" w:space="0" w:color="auto"/>
        <w:left w:val="none" w:sz="0" w:space="0" w:color="auto"/>
        <w:bottom w:val="none" w:sz="0" w:space="0" w:color="auto"/>
        <w:right w:val="none" w:sz="0" w:space="0" w:color="auto"/>
      </w:divBdr>
    </w:div>
    <w:div w:id="1404403044">
      <w:bodyDiv w:val="1"/>
      <w:marLeft w:val="0"/>
      <w:marRight w:val="0"/>
      <w:marTop w:val="0"/>
      <w:marBottom w:val="0"/>
      <w:divBdr>
        <w:top w:val="none" w:sz="0" w:space="0" w:color="auto"/>
        <w:left w:val="none" w:sz="0" w:space="0" w:color="auto"/>
        <w:bottom w:val="none" w:sz="0" w:space="0" w:color="auto"/>
        <w:right w:val="none" w:sz="0" w:space="0" w:color="auto"/>
      </w:divBdr>
    </w:div>
    <w:div w:id="1404987054">
      <w:bodyDiv w:val="1"/>
      <w:marLeft w:val="0"/>
      <w:marRight w:val="0"/>
      <w:marTop w:val="0"/>
      <w:marBottom w:val="0"/>
      <w:divBdr>
        <w:top w:val="none" w:sz="0" w:space="0" w:color="auto"/>
        <w:left w:val="none" w:sz="0" w:space="0" w:color="auto"/>
        <w:bottom w:val="none" w:sz="0" w:space="0" w:color="auto"/>
        <w:right w:val="none" w:sz="0" w:space="0" w:color="auto"/>
      </w:divBdr>
    </w:div>
    <w:div w:id="1405562930">
      <w:bodyDiv w:val="1"/>
      <w:marLeft w:val="0"/>
      <w:marRight w:val="0"/>
      <w:marTop w:val="0"/>
      <w:marBottom w:val="0"/>
      <w:divBdr>
        <w:top w:val="none" w:sz="0" w:space="0" w:color="auto"/>
        <w:left w:val="none" w:sz="0" w:space="0" w:color="auto"/>
        <w:bottom w:val="none" w:sz="0" w:space="0" w:color="auto"/>
        <w:right w:val="none" w:sz="0" w:space="0" w:color="auto"/>
      </w:divBdr>
    </w:div>
    <w:div w:id="1406604822">
      <w:bodyDiv w:val="1"/>
      <w:marLeft w:val="0"/>
      <w:marRight w:val="0"/>
      <w:marTop w:val="0"/>
      <w:marBottom w:val="0"/>
      <w:divBdr>
        <w:top w:val="none" w:sz="0" w:space="0" w:color="auto"/>
        <w:left w:val="none" w:sz="0" w:space="0" w:color="auto"/>
        <w:bottom w:val="none" w:sz="0" w:space="0" w:color="auto"/>
        <w:right w:val="none" w:sz="0" w:space="0" w:color="auto"/>
      </w:divBdr>
    </w:div>
    <w:div w:id="1407923668">
      <w:bodyDiv w:val="1"/>
      <w:marLeft w:val="0"/>
      <w:marRight w:val="0"/>
      <w:marTop w:val="0"/>
      <w:marBottom w:val="0"/>
      <w:divBdr>
        <w:top w:val="none" w:sz="0" w:space="0" w:color="auto"/>
        <w:left w:val="none" w:sz="0" w:space="0" w:color="auto"/>
        <w:bottom w:val="none" w:sz="0" w:space="0" w:color="auto"/>
        <w:right w:val="none" w:sz="0" w:space="0" w:color="auto"/>
      </w:divBdr>
    </w:div>
    <w:div w:id="1408188992">
      <w:bodyDiv w:val="1"/>
      <w:marLeft w:val="0"/>
      <w:marRight w:val="0"/>
      <w:marTop w:val="0"/>
      <w:marBottom w:val="0"/>
      <w:divBdr>
        <w:top w:val="none" w:sz="0" w:space="0" w:color="auto"/>
        <w:left w:val="none" w:sz="0" w:space="0" w:color="auto"/>
        <w:bottom w:val="none" w:sz="0" w:space="0" w:color="auto"/>
        <w:right w:val="none" w:sz="0" w:space="0" w:color="auto"/>
      </w:divBdr>
    </w:div>
    <w:div w:id="1408305095">
      <w:bodyDiv w:val="1"/>
      <w:marLeft w:val="0"/>
      <w:marRight w:val="0"/>
      <w:marTop w:val="0"/>
      <w:marBottom w:val="0"/>
      <w:divBdr>
        <w:top w:val="none" w:sz="0" w:space="0" w:color="auto"/>
        <w:left w:val="none" w:sz="0" w:space="0" w:color="auto"/>
        <w:bottom w:val="none" w:sz="0" w:space="0" w:color="auto"/>
        <w:right w:val="none" w:sz="0" w:space="0" w:color="auto"/>
      </w:divBdr>
    </w:div>
    <w:div w:id="1409185387">
      <w:bodyDiv w:val="1"/>
      <w:marLeft w:val="0"/>
      <w:marRight w:val="0"/>
      <w:marTop w:val="0"/>
      <w:marBottom w:val="0"/>
      <w:divBdr>
        <w:top w:val="none" w:sz="0" w:space="0" w:color="auto"/>
        <w:left w:val="none" w:sz="0" w:space="0" w:color="auto"/>
        <w:bottom w:val="none" w:sz="0" w:space="0" w:color="auto"/>
        <w:right w:val="none" w:sz="0" w:space="0" w:color="auto"/>
      </w:divBdr>
    </w:div>
    <w:div w:id="1411464849">
      <w:bodyDiv w:val="1"/>
      <w:marLeft w:val="0"/>
      <w:marRight w:val="0"/>
      <w:marTop w:val="0"/>
      <w:marBottom w:val="0"/>
      <w:divBdr>
        <w:top w:val="none" w:sz="0" w:space="0" w:color="auto"/>
        <w:left w:val="none" w:sz="0" w:space="0" w:color="auto"/>
        <w:bottom w:val="none" w:sz="0" w:space="0" w:color="auto"/>
        <w:right w:val="none" w:sz="0" w:space="0" w:color="auto"/>
      </w:divBdr>
    </w:div>
    <w:div w:id="1412774629">
      <w:bodyDiv w:val="1"/>
      <w:marLeft w:val="0"/>
      <w:marRight w:val="0"/>
      <w:marTop w:val="0"/>
      <w:marBottom w:val="0"/>
      <w:divBdr>
        <w:top w:val="none" w:sz="0" w:space="0" w:color="auto"/>
        <w:left w:val="none" w:sz="0" w:space="0" w:color="auto"/>
        <w:bottom w:val="none" w:sz="0" w:space="0" w:color="auto"/>
        <w:right w:val="none" w:sz="0" w:space="0" w:color="auto"/>
      </w:divBdr>
    </w:div>
    <w:div w:id="1413352609">
      <w:bodyDiv w:val="1"/>
      <w:marLeft w:val="0"/>
      <w:marRight w:val="0"/>
      <w:marTop w:val="0"/>
      <w:marBottom w:val="0"/>
      <w:divBdr>
        <w:top w:val="none" w:sz="0" w:space="0" w:color="auto"/>
        <w:left w:val="none" w:sz="0" w:space="0" w:color="auto"/>
        <w:bottom w:val="none" w:sz="0" w:space="0" w:color="auto"/>
        <w:right w:val="none" w:sz="0" w:space="0" w:color="auto"/>
      </w:divBdr>
    </w:div>
    <w:div w:id="1413818867">
      <w:bodyDiv w:val="1"/>
      <w:marLeft w:val="0"/>
      <w:marRight w:val="0"/>
      <w:marTop w:val="0"/>
      <w:marBottom w:val="0"/>
      <w:divBdr>
        <w:top w:val="none" w:sz="0" w:space="0" w:color="auto"/>
        <w:left w:val="none" w:sz="0" w:space="0" w:color="auto"/>
        <w:bottom w:val="none" w:sz="0" w:space="0" w:color="auto"/>
        <w:right w:val="none" w:sz="0" w:space="0" w:color="auto"/>
      </w:divBdr>
    </w:div>
    <w:div w:id="1414280940">
      <w:bodyDiv w:val="1"/>
      <w:marLeft w:val="0"/>
      <w:marRight w:val="0"/>
      <w:marTop w:val="0"/>
      <w:marBottom w:val="0"/>
      <w:divBdr>
        <w:top w:val="none" w:sz="0" w:space="0" w:color="auto"/>
        <w:left w:val="none" w:sz="0" w:space="0" w:color="auto"/>
        <w:bottom w:val="none" w:sz="0" w:space="0" w:color="auto"/>
        <w:right w:val="none" w:sz="0" w:space="0" w:color="auto"/>
      </w:divBdr>
    </w:div>
    <w:div w:id="1415009090">
      <w:bodyDiv w:val="1"/>
      <w:marLeft w:val="0"/>
      <w:marRight w:val="0"/>
      <w:marTop w:val="0"/>
      <w:marBottom w:val="0"/>
      <w:divBdr>
        <w:top w:val="none" w:sz="0" w:space="0" w:color="auto"/>
        <w:left w:val="none" w:sz="0" w:space="0" w:color="auto"/>
        <w:bottom w:val="none" w:sz="0" w:space="0" w:color="auto"/>
        <w:right w:val="none" w:sz="0" w:space="0" w:color="auto"/>
      </w:divBdr>
    </w:div>
    <w:div w:id="1415467946">
      <w:bodyDiv w:val="1"/>
      <w:marLeft w:val="0"/>
      <w:marRight w:val="0"/>
      <w:marTop w:val="0"/>
      <w:marBottom w:val="0"/>
      <w:divBdr>
        <w:top w:val="none" w:sz="0" w:space="0" w:color="auto"/>
        <w:left w:val="none" w:sz="0" w:space="0" w:color="auto"/>
        <w:bottom w:val="none" w:sz="0" w:space="0" w:color="auto"/>
        <w:right w:val="none" w:sz="0" w:space="0" w:color="auto"/>
      </w:divBdr>
    </w:div>
    <w:div w:id="1415781664">
      <w:bodyDiv w:val="1"/>
      <w:marLeft w:val="0"/>
      <w:marRight w:val="0"/>
      <w:marTop w:val="0"/>
      <w:marBottom w:val="0"/>
      <w:divBdr>
        <w:top w:val="none" w:sz="0" w:space="0" w:color="auto"/>
        <w:left w:val="none" w:sz="0" w:space="0" w:color="auto"/>
        <w:bottom w:val="none" w:sz="0" w:space="0" w:color="auto"/>
        <w:right w:val="none" w:sz="0" w:space="0" w:color="auto"/>
      </w:divBdr>
    </w:div>
    <w:div w:id="1416316654">
      <w:bodyDiv w:val="1"/>
      <w:marLeft w:val="0"/>
      <w:marRight w:val="0"/>
      <w:marTop w:val="0"/>
      <w:marBottom w:val="0"/>
      <w:divBdr>
        <w:top w:val="none" w:sz="0" w:space="0" w:color="auto"/>
        <w:left w:val="none" w:sz="0" w:space="0" w:color="auto"/>
        <w:bottom w:val="none" w:sz="0" w:space="0" w:color="auto"/>
        <w:right w:val="none" w:sz="0" w:space="0" w:color="auto"/>
      </w:divBdr>
    </w:div>
    <w:div w:id="1416973113">
      <w:bodyDiv w:val="1"/>
      <w:marLeft w:val="0"/>
      <w:marRight w:val="0"/>
      <w:marTop w:val="0"/>
      <w:marBottom w:val="0"/>
      <w:divBdr>
        <w:top w:val="none" w:sz="0" w:space="0" w:color="auto"/>
        <w:left w:val="none" w:sz="0" w:space="0" w:color="auto"/>
        <w:bottom w:val="none" w:sz="0" w:space="0" w:color="auto"/>
        <w:right w:val="none" w:sz="0" w:space="0" w:color="auto"/>
      </w:divBdr>
    </w:div>
    <w:div w:id="1417364887">
      <w:bodyDiv w:val="1"/>
      <w:marLeft w:val="0"/>
      <w:marRight w:val="0"/>
      <w:marTop w:val="0"/>
      <w:marBottom w:val="0"/>
      <w:divBdr>
        <w:top w:val="none" w:sz="0" w:space="0" w:color="auto"/>
        <w:left w:val="none" w:sz="0" w:space="0" w:color="auto"/>
        <w:bottom w:val="none" w:sz="0" w:space="0" w:color="auto"/>
        <w:right w:val="none" w:sz="0" w:space="0" w:color="auto"/>
      </w:divBdr>
    </w:div>
    <w:div w:id="1417554586">
      <w:bodyDiv w:val="1"/>
      <w:marLeft w:val="0"/>
      <w:marRight w:val="0"/>
      <w:marTop w:val="0"/>
      <w:marBottom w:val="0"/>
      <w:divBdr>
        <w:top w:val="none" w:sz="0" w:space="0" w:color="auto"/>
        <w:left w:val="none" w:sz="0" w:space="0" w:color="auto"/>
        <w:bottom w:val="none" w:sz="0" w:space="0" w:color="auto"/>
        <w:right w:val="none" w:sz="0" w:space="0" w:color="auto"/>
      </w:divBdr>
    </w:div>
    <w:div w:id="1418133915">
      <w:bodyDiv w:val="1"/>
      <w:marLeft w:val="0"/>
      <w:marRight w:val="0"/>
      <w:marTop w:val="0"/>
      <w:marBottom w:val="0"/>
      <w:divBdr>
        <w:top w:val="none" w:sz="0" w:space="0" w:color="auto"/>
        <w:left w:val="none" w:sz="0" w:space="0" w:color="auto"/>
        <w:bottom w:val="none" w:sz="0" w:space="0" w:color="auto"/>
        <w:right w:val="none" w:sz="0" w:space="0" w:color="auto"/>
      </w:divBdr>
    </w:div>
    <w:div w:id="1418480393">
      <w:bodyDiv w:val="1"/>
      <w:marLeft w:val="0"/>
      <w:marRight w:val="0"/>
      <w:marTop w:val="0"/>
      <w:marBottom w:val="0"/>
      <w:divBdr>
        <w:top w:val="none" w:sz="0" w:space="0" w:color="auto"/>
        <w:left w:val="none" w:sz="0" w:space="0" w:color="auto"/>
        <w:bottom w:val="none" w:sz="0" w:space="0" w:color="auto"/>
        <w:right w:val="none" w:sz="0" w:space="0" w:color="auto"/>
      </w:divBdr>
    </w:div>
    <w:div w:id="1418556395">
      <w:bodyDiv w:val="1"/>
      <w:marLeft w:val="0"/>
      <w:marRight w:val="0"/>
      <w:marTop w:val="0"/>
      <w:marBottom w:val="0"/>
      <w:divBdr>
        <w:top w:val="none" w:sz="0" w:space="0" w:color="auto"/>
        <w:left w:val="none" w:sz="0" w:space="0" w:color="auto"/>
        <w:bottom w:val="none" w:sz="0" w:space="0" w:color="auto"/>
        <w:right w:val="none" w:sz="0" w:space="0" w:color="auto"/>
      </w:divBdr>
    </w:div>
    <w:div w:id="1418594899">
      <w:bodyDiv w:val="1"/>
      <w:marLeft w:val="0"/>
      <w:marRight w:val="0"/>
      <w:marTop w:val="0"/>
      <w:marBottom w:val="0"/>
      <w:divBdr>
        <w:top w:val="none" w:sz="0" w:space="0" w:color="auto"/>
        <w:left w:val="none" w:sz="0" w:space="0" w:color="auto"/>
        <w:bottom w:val="none" w:sz="0" w:space="0" w:color="auto"/>
        <w:right w:val="none" w:sz="0" w:space="0" w:color="auto"/>
      </w:divBdr>
    </w:div>
    <w:div w:id="1419253361">
      <w:bodyDiv w:val="1"/>
      <w:marLeft w:val="0"/>
      <w:marRight w:val="0"/>
      <w:marTop w:val="0"/>
      <w:marBottom w:val="0"/>
      <w:divBdr>
        <w:top w:val="none" w:sz="0" w:space="0" w:color="auto"/>
        <w:left w:val="none" w:sz="0" w:space="0" w:color="auto"/>
        <w:bottom w:val="none" w:sz="0" w:space="0" w:color="auto"/>
        <w:right w:val="none" w:sz="0" w:space="0" w:color="auto"/>
      </w:divBdr>
    </w:div>
    <w:div w:id="1419326634">
      <w:bodyDiv w:val="1"/>
      <w:marLeft w:val="0"/>
      <w:marRight w:val="0"/>
      <w:marTop w:val="0"/>
      <w:marBottom w:val="0"/>
      <w:divBdr>
        <w:top w:val="none" w:sz="0" w:space="0" w:color="auto"/>
        <w:left w:val="none" w:sz="0" w:space="0" w:color="auto"/>
        <w:bottom w:val="none" w:sz="0" w:space="0" w:color="auto"/>
        <w:right w:val="none" w:sz="0" w:space="0" w:color="auto"/>
      </w:divBdr>
    </w:div>
    <w:div w:id="1419598675">
      <w:bodyDiv w:val="1"/>
      <w:marLeft w:val="0"/>
      <w:marRight w:val="0"/>
      <w:marTop w:val="0"/>
      <w:marBottom w:val="0"/>
      <w:divBdr>
        <w:top w:val="none" w:sz="0" w:space="0" w:color="auto"/>
        <w:left w:val="none" w:sz="0" w:space="0" w:color="auto"/>
        <w:bottom w:val="none" w:sz="0" w:space="0" w:color="auto"/>
        <w:right w:val="none" w:sz="0" w:space="0" w:color="auto"/>
      </w:divBdr>
    </w:div>
    <w:div w:id="1419714208">
      <w:bodyDiv w:val="1"/>
      <w:marLeft w:val="0"/>
      <w:marRight w:val="0"/>
      <w:marTop w:val="0"/>
      <w:marBottom w:val="0"/>
      <w:divBdr>
        <w:top w:val="none" w:sz="0" w:space="0" w:color="auto"/>
        <w:left w:val="none" w:sz="0" w:space="0" w:color="auto"/>
        <w:bottom w:val="none" w:sz="0" w:space="0" w:color="auto"/>
        <w:right w:val="none" w:sz="0" w:space="0" w:color="auto"/>
      </w:divBdr>
    </w:div>
    <w:div w:id="1420171782">
      <w:bodyDiv w:val="1"/>
      <w:marLeft w:val="0"/>
      <w:marRight w:val="0"/>
      <w:marTop w:val="0"/>
      <w:marBottom w:val="0"/>
      <w:divBdr>
        <w:top w:val="none" w:sz="0" w:space="0" w:color="auto"/>
        <w:left w:val="none" w:sz="0" w:space="0" w:color="auto"/>
        <w:bottom w:val="none" w:sz="0" w:space="0" w:color="auto"/>
        <w:right w:val="none" w:sz="0" w:space="0" w:color="auto"/>
      </w:divBdr>
    </w:div>
    <w:div w:id="1420904388">
      <w:bodyDiv w:val="1"/>
      <w:marLeft w:val="0"/>
      <w:marRight w:val="0"/>
      <w:marTop w:val="0"/>
      <w:marBottom w:val="0"/>
      <w:divBdr>
        <w:top w:val="none" w:sz="0" w:space="0" w:color="auto"/>
        <w:left w:val="none" w:sz="0" w:space="0" w:color="auto"/>
        <w:bottom w:val="none" w:sz="0" w:space="0" w:color="auto"/>
        <w:right w:val="none" w:sz="0" w:space="0" w:color="auto"/>
      </w:divBdr>
    </w:div>
    <w:div w:id="1421289636">
      <w:bodyDiv w:val="1"/>
      <w:marLeft w:val="0"/>
      <w:marRight w:val="0"/>
      <w:marTop w:val="0"/>
      <w:marBottom w:val="0"/>
      <w:divBdr>
        <w:top w:val="none" w:sz="0" w:space="0" w:color="auto"/>
        <w:left w:val="none" w:sz="0" w:space="0" w:color="auto"/>
        <w:bottom w:val="none" w:sz="0" w:space="0" w:color="auto"/>
        <w:right w:val="none" w:sz="0" w:space="0" w:color="auto"/>
      </w:divBdr>
    </w:div>
    <w:div w:id="1423836932">
      <w:bodyDiv w:val="1"/>
      <w:marLeft w:val="0"/>
      <w:marRight w:val="0"/>
      <w:marTop w:val="0"/>
      <w:marBottom w:val="0"/>
      <w:divBdr>
        <w:top w:val="none" w:sz="0" w:space="0" w:color="auto"/>
        <w:left w:val="none" w:sz="0" w:space="0" w:color="auto"/>
        <w:bottom w:val="none" w:sz="0" w:space="0" w:color="auto"/>
        <w:right w:val="none" w:sz="0" w:space="0" w:color="auto"/>
      </w:divBdr>
    </w:div>
    <w:div w:id="1424373532">
      <w:bodyDiv w:val="1"/>
      <w:marLeft w:val="0"/>
      <w:marRight w:val="0"/>
      <w:marTop w:val="0"/>
      <w:marBottom w:val="0"/>
      <w:divBdr>
        <w:top w:val="none" w:sz="0" w:space="0" w:color="auto"/>
        <w:left w:val="none" w:sz="0" w:space="0" w:color="auto"/>
        <w:bottom w:val="none" w:sz="0" w:space="0" w:color="auto"/>
        <w:right w:val="none" w:sz="0" w:space="0" w:color="auto"/>
      </w:divBdr>
    </w:div>
    <w:div w:id="1424718515">
      <w:bodyDiv w:val="1"/>
      <w:marLeft w:val="0"/>
      <w:marRight w:val="0"/>
      <w:marTop w:val="0"/>
      <w:marBottom w:val="0"/>
      <w:divBdr>
        <w:top w:val="none" w:sz="0" w:space="0" w:color="auto"/>
        <w:left w:val="none" w:sz="0" w:space="0" w:color="auto"/>
        <w:bottom w:val="none" w:sz="0" w:space="0" w:color="auto"/>
        <w:right w:val="none" w:sz="0" w:space="0" w:color="auto"/>
      </w:divBdr>
    </w:div>
    <w:div w:id="1425616027">
      <w:bodyDiv w:val="1"/>
      <w:marLeft w:val="0"/>
      <w:marRight w:val="0"/>
      <w:marTop w:val="0"/>
      <w:marBottom w:val="0"/>
      <w:divBdr>
        <w:top w:val="none" w:sz="0" w:space="0" w:color="auto"/>
        <w:left w:val="none" w:sz="0" w:space="0" w:color="auto"/>
        <w:bottom w:val="none" w:sz="0" w:space="0" w:color="auto"/>
        <w:right w:val="none" w:sz="0" w:space="0" w:color="auto"/>
      </w:divBdr>
    </w:div>
    <w:div w:id="1426344573">
      <w:bodyDiv w:val="1"/>
      <w:marLeft w:val="0"/>
      <w:marRight w:val="0"/>
      <w:marTop w:val="0"/>
      <w:marBottom w:val="0"/>
      <w:divBdr>
        <w:top w:val="none" w:sz="0" w:space="0" w:color="auto"/>
        <w:left w:val="none" w:sz="0" w:space="0" w:color="auto"/>
        <w:bottom w:val="none" w:sz="0" w:space="0" w:color="auto"/>
        <w:right w:val="none" w:sz="0" w:space="0" w:color="auto"/>
      </w:divBdr>
    </w:div>
    <w:div w:id="1426729975">
      <w:bodyDiv w:val="1"/>
      <w:marLeft w:val="0"/>
      <w:marRight w:val="0"/>
      <w:marTop w:val="0"/>
      <w:marBottom w:val="0"/>
      <w:divBdr>
        <w:top w:val="none" w:sz="0" w:space="0" w:color="auto"/>
        <w:left w:val="none" w:sz="0" w:space="0" w:color="auto"/>
        <w:bottom w:val="none" w:sz="0" w:space="0" w:color="auto"/>
        <w:right w:val="none" w:sz="0" w:space="0" w:color="auto"/>
      </w:divBdr>
    </w:div>
    <w:div w:id="1427190148">
      <w:bodyDiv w:val="1"/>
      <w:marLeft w:val="0"/>
      <w:marRight w:val="0"/>
      <w:marTop w:val="0"/>
      <w:marBottom w:val="0"/>
      <w:divBdr>
        <w:top w:val="none" w:sz="0" w:space="0" w:color="auto"/>
        <w:left w:val="none" w:sz="0" w:space="0" w:color="auto"/>
        <w:bottom w:val="none" w:sz="0" w:space="0" w:color="auto"/>
        <w:right w:val="none" w:sz="0" w:space="0" w:color="auto"/>
      </w:divBdr>
    </w:div>
    <w:div w:id="1427842144">
      <w:bodyDiv w:val="1"/>
      <w:marLeft w:val="0"/>
      <w:marRight w:val="0"/>
      <w:marTop w:val="0"/>
      <w:marBottom w:val="0"/>
      <w:divBdr>
        <w:top w:val="none" w:sz="0" w:space="0" w:color="auto"/>
        <w:left w:val="none" w:sz="0" w:space="0" w:color="auto"/>
        <w:bottom w:val="none" w:sz="0" w:space="0" w:color="auto"/>
        <w:right w:val="none" w:sz="0" w:space="0" w:color="auto"/>
      </w:divBdr>
    </w:div>
    <w:div w:id="1429236221">
      <w:bodyDiv w:val="1"/>
      <w:marLeft w:val="0"/>
      <w:marRight w:val="0"/>
      <w:marTop w:val="0"/>
      <w:marBottom w:val="0"/>
      <w:divBdr>
        <w:top w:val="none" w:sz="0" w:space="0" w:color="auto"/>
        <w:left w:val="none" w:sz="0" w:space="0" w:color="auto"/>
        <w:bottom w:val="none" w:sz="0" w:space="0" w:color="auto"/>
        <w:right w:val="none" w:sz="0" w:space="0" w:color="auto"/>
      </w:divBdr>
    </w:div>
    <w:div w:id="1429303513">
      <w:bodyDiv w:val="1"/>
      <w:marLeft w:val="0"/>
      <w:marRight w:val="0"/>
      <w:marTop w:val="0"/>
      <w:marBottom w:val="0"/>
      <w:divBdr>
        <w:top w:val="none" w:sz="0" w:space="0" w:color="auto"/>
        <w:left w:val="none" w:sz="0" w:space="0" w:color="auto"/>
        <w:bottom w:val="none" w:sz="0" w:space="0" w:color="auto"/>
        <w:right w:val="none" w:sz="0" w:space="0" w:color="auto"/>
      </w:divBdr>
    </w:div>
    <w:div w:id="1429692425">
      <w:bodyDiv w:val="1"/>
      <w:marLeft w:val="0"/>
      <w:marRight w:val="0"/>
      <w:marTop w:val="0"/>
      <w:marBottom w:val="0"/>
      <w:divBdr>
        <w:top w:val="none" w:sz="0" w:space="0" w:color="auto"/>
        <w:left w:val="none" w:sz="0" w:space="0" w:color="auto"/>
        <w:bottom w:val="none" w:sz="0" w:space="0" w:color="auto"/>
        <w:right w:val="none" w:sz="0" w:space="0" w:color="auto"/>
      </w:divBdr>
    </w:div>
    <w:div w:id="1429815616">
      <w:bodyDiv w:val="1"/>
      <w:marLeft w:val="0"/>
      <w:marRight w:val="0"/>
      <w:marTop w:val="0"/>
      <w:marBottom w:val="0"/>
      <w:divBdr>
        <w:top w:val="none" w:sz="0" w:space="0" w:color="auto"/>
        <w:left w:val="none" w:sz="0" w:space="0" w:color="auto"/>
        <w:bottom w:val="none" w:sz="0" w:space="0" w:color="auto"/>
        <w:right w:val="none" w:sz="0" w:space="0" w:color="auto"/>
      </w:divBdr>
    </w:div>
    <w:div w:id="1430739013">
      <w:bodyDiv w:val="1"/>
      <w:marLeft w:val="0"/>
      <w:marRight w:val="0"/>
      <w:marTop w:val="0"/>
      <w:marBottom w:val="0"/>
      <w:divBdr>
        <w:top w:val="none" w:sz="0" w:space="0" w:color="auto"/>
        <w:left w:val="none" w:sz="0" w:space="0" w:color="auto"/>
        <w:bottom w:val="none" w:sz="0" w:space="0" w:color="auto"/>
        <w:right w:val="none" w:sz="0" w:space="0" w:color="auto"/>
      </w:divBdr>
    </w:div>
    <w:div w:id="1431658851">
      <w:bodyDiv w:val="1"/>
      <w:marLeft w:val="0"/>
      <w:marRight w:val="0"/>
      <w:marTop w:val="0"/>
      <w:marBottom w:val="0"/>
      <w:divBdr>
        <w:top w:val="none" w:sz="0" w:space="0" w:color="auto"/>
        <w:left w:val="none" w:sz="0" w:space="0" w:color="auto"/>
        <w:bottom w:val="none" w:sz="0" w:space="0" w:color="auto"/>
        <w:right w:val="none" w:sz="0" w:space="0" w:color="auto"/>
      </w:divBdr>
    </w:div>
    <w:div w:id="1431701062">
      <w:bodyDiv w:val="1"/>
      <w:marLeft w:val="0"/>
      <w:marRight w:val="0"/>
      <w:marTop w:val="0"/>
      <w:marBottom w:val="0"/>
      <w:divBdr>
        <w:top w:val="none" w:sz="0" w:space="0" w:color="auto"/>
        <w:left w:val="none" w:sz="0" w:space="0" w:color="auto"/>
        <w:bottom w:val="none" w:sz="0" w:space="0" w:color="auto"/>
        <w:right w:val="none" w:sz="0" w:space="0" w:color="auto"/>
      </w:divBdr>
    </w:div>
    <w:div w:id="1432166640">
      <w:bodyDiv w:val="1"/>
      <w:marLeft w:val="0"/>
      <w:marRight w:val="0"/>
      <w:marTop w:val="0"/>
      <w:marBottom w:val="0"/>
      <w:divBdr>
        <w:top w:val="none" w:sz="0" w:space="0" w:color="auto"/>
        <w:left w:val="none" w:sz="0" w:space="0" w:color="auto"/>
        <w:bottom w:val="none" w:sz="0" w:space="0" w:color="auto"/>
        <w:right w:val="none" w:sz="0" w:space="0" w:color="auto"/>
      </w:divBdr>
    </w:div>
    <w:div w:id="1432702893">
      <w:bodyDiv w:val="1"/>
      <w:marLeft w:val="0"/>
      <w:marRight w:val="0"/>
      <w:marTop w:val="0"/>
      <w:marBottom w:val="0"/>
      <w:divBdr>
        <w:top w:val="none" w:sz="0" w:space="0" w:color="auto"/>
        <w:left w:val="none" w:sz="0" w:space="0" w:color="auto"/>
        <w:bottom w:val="none" w:sz="0" w:space="0" w:color="auto"/>
        <w:right w:val="none" w:sz="0" w:space="0" w:color="auto"/>
      </w:divBdr>
    </w:div>
    <w:div w:id="1432748339">
      <w:bodyDiv w:val="1"/>
      <w:marLeft w:val="0"/>
      <w:marRight w:val="0"/>
      <w:marTop w:val="0"/>
      <w:marBottom w:val="0"/>
      <w:divBdr>
        <w:top w:val="none" w:sz="0" w:space="0" w:color="auto"/>
        <w:left w:val="none" w:sz="0" w:space="0" w:color="auto"/>
        <w:bottom w:val="none" w:sz="0" w:space="0" w:color="auto"/>
        <w:right w:val="none" w:sz="0" w:space="0" w:color="auto"/>
      </w:divBdr>
    </w:div>
    <w:div w:id="1433089762">
      <w:bodyDiv w:val="1"/>
      <w:marLeft w:val="0"/>
      <w:marRight w:val="0"/>
      <w:marTop w:val="0"/>
      <w:marBottom w:val="0"/>
      <w:divBdr>
        <w:top w:val="none" w:sz="0" w:space="0" w:color="auto"/>
        <w:left w:val="none" w:sz="0" w:space="0" w:color="auto"/>
        <w:bottom w:val="none" w:sz="0" w:space="0" w:color="auto"/>
        <w:right w:val="none" w:sz="0" w:space="0" w:color="auto"/>
      </w:divBdr>
    </w:div>
    <w:div w:id="1434593775">
      <w:bodyDiv w:val="1"/>
      <w:marLeft w:val="0"/>
      <w:marRight w:val="0"/>
      <w:marTop w:val="0"/>
      <w:marBottom w:val="0"/>
      <w:divBdr>
        <w:top w:val="none" w:sz="0" w:space="0" w:color="auto"/>
        <w:left w:val="none" w:sz="0" w:space="0" w:color="auto"/>
        <w:bottom w:val="none" w:sz="0" w:space="0" w:color="auto"/>
        <w:right w:val="none" w:sz="0" w:space="0" w:color="auto"/>
      </w:divBdr>
    </w:div>
    <w:div w:id="1434594292">
      <w:bodyDiv w:val="1"/>
      <w:marLeft w:val="0"/>
      <w:marRight w:val="0"/>
      <w:marTop w:val="0"/>
      <w:marBottom w:val="0"/>
      <w:divBdr>
        <w:top w:val="none" w:sz="0" w:space="0" w:color="auto"/>
        <w:left w:val="none" w:sz="0" w:space="0" w:color="auto"/>
        <w:bottom w:val="none" w:sz="0" w:space="0" w:color="auto"/>
        <w:right w:val="none" w:sz="0" w:space="0" w:color="auto"/>
      </w:divBdr>
    </w:div>
    <w:div w:id="1435008977">
      <w:bodyDiv w:val="1"/>
      <w:marLeft w:val="0"/>
      <w:marRight w:val="0"/>
      <w:marTop w:val="0"/>
      <w:marBottom w:val="0"/>
      <w:divBdr>
        <w:top w:val="none" w:sz="0" w:space="0" w:color="auto"/>
        <w:left w:val="none" w:sz="0" w:space="0" w:color="auto"/>
        <w:bottom w:val="none" w:sz="0" w:space="0" w:color="auto"/>
        <w:right w:val="none" w:sz="0" w:space="0" w:color="auto"/>
      </w:divBdr>
    </w:div>
    <w:div w:id="1435711686">
      <w:bodyDiv w:val="1"/>
      <w:marLeft w:val="0"/>
      <w:marRight w:val="0"/>
      <w:marTop w:val="0"/>
      <w:marBottom w:val="0"/>
      <w:divBdr>
        <w:top w:val="none" w:sz="0" w:space="0" w:color="auto"/>
        <w:left w:val="none" w:sz="0" w:space="0" w:color="auto"/>
        <w:bottom w:val="none" w:sz="0" w:space="0" w:color="auto"/>
        <w:right w:val="none" w:sz="0" w:space="0" w:color="auto"/>
      </w:divBdr>
    </w:div>
    <w:div w:id="1436825208">
      <w:bodyDiv w:val="1"/>
      <w:marLeft w:val="0"/>
      <w:marRight w:val="0"/>
      <w:marTop w:val="0"/>
      <w:marBottom w:val="0"/>
      <w:divBdr>
        <w:top w:val="none" w:sz="0" w:space="0" w:color="auto"/>
        <w:left w:val="none" w:sz="0" w:space="0" w:color="auto"/>
        <w:bottom w:val="none" w:sz="0" w:space="0" w:color="auto"/>
        <w:right w:val="none" w:sz="0" w:space="0" w:color="auto"/>
      </w:divBdr>
    </w:div>
    <w:div w:id="1436901955">
      <w:bodyDiv w:val="1"/>
      <w:marLeft w:val="0"/>
      <w:marRight w:val="0"/>
      <w:marTop w:val="0"/>
      <w:marBottom w:val="0"/>
      <w:divBdr>
        <w:top w:val="none" w:sz="0" w:space="0" w:color="auto"/>
        <w:left w:val="none" w:sz="0" w:space="0" w:color="auto"/>
        <w:bottom w:val="none" w:sz="0" w:space="0" w:color="auto"/>
        <w:right w:val="none" w:sz="0" w:space="0" w:color="auto"/>
      </w:divBdr>
    </w:div>
    <w:div w:id="1436906201">
      <w:bodyDiv w:val="1"/>
      <w:marLeft w:val="0"/>
      <w:marRight w:val="0"/>
      <w:marTop w:val="0"/>
      <w:marBottom w:val="0"/>
      <w:divBdr>
        <w:top w:val="none" w:sz="0" w:space="0" w:color="auto"/>
        <w:left w:val="none" w:sz="0" w:space="0" w:color="auto"/>
        <w:bottom w:val="none" w:sz="0" w:space="0" w:color="auto"/>
        <w:right w:val="none" w:sz="0" w:space="0" w:color="auto"/>
      </w:divBdr>
    </w:div>
    <w:div w:id="1439065887">
      <w:bodyDiv w:val="1"/>
      <w:marLeft w:val="0"/>
      <w:marRight w:val="0"/>
      <w:marTop w:val="0"/>
      <w:marBottom w:val="0"/>
      <w:divBdr>
        <w:top w:val="none" w:sz="0" w:space="0" w:color="auto"/>
        <w:left w:val="none" w:sz="0" w:space="0" w:color="auto"/>
        <w:bottom w:val="none" w:sz="0" w:space="0" w:color="auto"/>
        <w:right w:val="none" w:sz="0" w:space="0" w:color="auto"/>
      </w:divBdr>
    </w:div>
    <w:div w:id="1439181917">
      <w:bodyDiv w:val="1"/>
      <w:marLeft w:val="0"/>
      <w:marRight w:val="0"/>
      <w:marTop w:val="0"/>
      <w:marBottom w:val="0"/>
      <w:divBdr>
        <w:top w:val="none" w:sz="0" w:space="0" w:color="auto"/>
        <w:left w:val="none" w:sz="0" w:space="0" w:color="auto"/>
        <w:bottom w:val="none" w:sz="0" w:space="0" w:color="auto"/>
        <w:right w:val="none" w:sz="0" w:space="0" w:color="auto"/>
      </w:divBdr>
    </w:div>
    <w:div w:id="1439250102">
      <w:bodyDiv w:val="1"/>
      <w:marLeft w:val="0"/>
      <w:marRight w:val="0"/>
      <w:marTop w:val="0"/>
      <w:marBottom w:val="0"/>
      <w:divBdr>
        <w:top w:val="none" w:sz="0" w:space="0" w:color="auto"/>
        <w:left w:val="none" w:sz="0" w:space="0" w:color="auto"/>
        <w:bottom w:val="none" w:sz="0" w:space="0" w:color="auto"/>
        <w:right w:val="none" w:sz="0" w:space="0" w:color="auto"/>
      </w:divBdr>
    </w:div>
    <w:div w:id="1440754097">
      <w:bodyDiv w:val="1"/>
      <w:marLeft w:val="0"/>
      <w:marRight w:val="0"/>
      <w:marTop w:val="0"/>
      <w:marBottom w:val="0"/>
      <w:divBdr>
        <w:top w:val="none" w:sz="0" w:space="0" w:color="auto"/>
        <w:left w:val="none" w:sz="0" w:space="0" w:color="auto"/>
        <w:bottom w:val="none" w:sz="0" w:space="0" w:color="auto"/>
        <w:right w:val="none" w:sz="0" w:space="0" w:color="auto"/>
      </w:divBdr>
    </w:div>
    <w:div w:id="1440831584">
      <w:bodyDiv w:val="1"/>
      <w:marLeft w:val="0"/>
      <w:marRight w:val="0"/>
      <w:marTop w:val="0"/>
      <w:marBottom w:val="0"/>
      <w:divBdr>
        <w:top w:val="none" w:sz="0" w:space="0" w:color="auto"/>
        <w:left w:val="none" w:sz="0" w:space="0" w:color="auto"/>
        <w:bottom w:val="none" w:sz="0" w:space="0" w:color="auto"/>
        <w:right w:val="none" w:sz="0" w:space="0" w:color="auto"/>
      </w:divBdr>
    </w:div>
    <w:div w:id="1440832412">
      <w:bodyDiv w:val="1"/>
      <w:marLeft w:val="0"/>
      <w:marRight w:val="0"/>
      <w:marTop w:val="0"/>
      <w:marBottom w:val="0"/>
      <w:divBdr>
        <w:top w:val="none" w:sz="0" w:space="0" w:color="auto"/>
        <w:left w:val="none" w:sz="0" w:space="0" w:color="auto"/>
        <w:bottom w:val="none" w:sz="0" w:space="0" w:color="auto"/>
        <w:right w:val="none" w:sz="0" w:space="0" w:color="auto"/>
      </w:divBdr>
    </w:div>
    <w:div w:id="1442186099">
      <w:bodyDiv w:val="1"/>
      <w:marLeft w:val="0"/>
      <w:marRight w:val="0"/>
      <w:marTop w:val="0"/>
      <w:marBottom w:val="0"/>
      <w:divBdr>
        <w:top w:val="none" w:sz="0" w:space="0" w:color="auto"/>
        <w:left w:val="none" w:sz="0" w:space="0" w:color="auto"/>
        <w:bottom w:val="none" w:sz="0" w:space="0" w:color="auto"/>
        <w:right w:val="none" w:sz="0" w:space="0" w:color="auto"/>
      </w:divBdr>
      <w:divsChild>
        <w:div w:id="778570178">
          <w:marLeft w:val="0"/>
          <w:marRight w:val="0"/>
          <w:marTop w:val="0"/>
          <w:marBottom w:val="0"/>
          <w:divBdr>
            <w:top w:val="none" w:sz="0" w:space="0" w:color="auto"/>
            <w:left w:val="none" w:sz="0" w:space="0" w:color="auto"/>
            <w:bottom w:val="none" w:sz="0" w:space="0" w:color="auto"/>
            <w:right w:val="none" w:sz="0" w:space="0" w:color="auto"/>
          </w:divBdr>
          <w:divsChild>
            <w:div w:id="1791166582">
              <w:marLeft w:val="0"/>
              <w:marRight w:val="0"/>
              <w:marTop w:val="0"/>
              <w:marBottom w:val="0"/>
              <w:divBdr>
                <w:top w:val="none" w:sz="0" w:space="0" w:color="auto"/>
                <w:left w:val="none" w:sz="0" w:space="0" w:color="auto"/>
                <w:bottom w:val="none" w:sz="0" w:space="0" w:color="auto"/>
                <w:right w:val="none" w:sz="0" w:space="0" w:color="auto"/>
              </w:divBdr>
              <w:divsChild>
                <w:div w:id="4028036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82334419">
          <w:marLeft w:val="0"/>
          <w:marRight w:val="0"/>
          <w:marTop w:val="0"/>
          <w:marBottom w:val="0"/>
          <w:divBdr>
            <w:top w:val="none" w:sz="0" w:space="0" w:color="auto"/>
            <w:left w:val="none" w:sz="0" w:space="0" w:color="auto"/>
            <w:bottom w:val="none" w:sz="0" w:space="0" w:color="auto"/>
            <w:right w:val="none" w:sz="0" w:space="0" w:color="auto"/>
          </w:divBdr>
          <w:divsChild>
            <w:div w:id="1266185262">
              <w:marLeft w:val="0"/>
              <w:marRight w:val="0"/>
              <w:marTop w:val="0"/>
              <w:marBottom w:val="0"/>
              <w:divBdr>
                <w:top w:val="none" w:sz="0" w:space="0" w:color="auto"/>
                <w:left w:val="none" w:sz="0" w:space="0" w:color="auto"/>
                <w:bottom w:val="none" w:sz="0" w:space="0" w:color="auto"/>
                <w:right w:val="none" w:sz="0" w:space="0" w:color="auto"/>
              </w:divBdr>
              <w:divsChild>
                <w:div w:id="2100055618">
                  <w:marLeft w:val="0"/>
                  <w:marRight w:val="0"/>
                  <w:marTop w:val="0"/>
                  <w:marBottom w:val="0"/>
                  <w:divBdr>
                    <w:top w:val="none" w:sz="0" w:space="0" w:color="auto"/>
                    <w:left w:val="none" w:sz="0" w:space="0" w:color="auto"/>
                    <w:bottom w:val="none" w:sz="0" w:space="0" w:color="auto"/>
                    <w:right w:val="none" w:sz="0" w:space="0" w:color="auto"/>
                  </w:divBdr>
                  <w:divsChild>
                    <w:div w:id="2050647357">
                      <w:marLeft w:val="0"/>
                      <w:marRight w:val="0"/>
                      <w:marTop w:val="0"/>
                      <w:marBottom w:val="0"/>
                      <w:divBdr>
                        <w:top w:val="none" w:sz="0" w:space="0" w:color="auto"/>
                        <w:left w:val="none" w:sz="0" w:space="0" w:color="auto"/>
                        <w:bottom w:val="none" w:sz="0" w:space="0" w:color="auto"/>
                        <w:right w:val="none" w:sz="0" w:space="0" w:color="auto"/>
                      </w:divBdr>
                      <w:divsChild>
                        <w:div w:id="1260328661">
                          <w:marLeft w:val="0"/>
                          <w:marRight w:val="0"/>
                          <w:marTop w:val="0"/>
                          <w:marBottom w:val="0"/>
                          <w:divBdr>
                            <w:top w:val="none" w:sz="0" w:space="0" w:color="auto"/>
                            <w:left w:val="none" w:sz="0" w:space="0" w:color="auto"/>
                            <w:bottom w:val="none" w:sz="0" w:space="0" w:color="auto"/>
                            <w:right w:val="none" w:sz="0" w:space="0" w:color="auto"/>
                          </w:divBdr>
                          <w:divsChild>
                            <w:div w:id="173562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61815">
      <w:bodyDiv w:val="1"/>
      <w:marLeft w:val="0"/>
      <w:marRight w:val="0"/>
      <w:marTop w:val="0"/>
      <w:marBottom w:val="0"/>
      <w:divBdr>
        <w:top w:val="none" w:sz="0" w:space="0" w:color="auto"/>
        <w:left w:val="none" w:sz="0" w:space="0" w:color="auto"/>
        <w:bottom w:val="none" w:sz="0" w:space="0" w:color="auto"/>
        <w:right w:val="none" w:sz="0" w:space="0" w:color="auto"/>
      </w:divBdr>
    </w:div>
    <w:div w:id="1444573175">
      <w:bodyDiv w:val="1"/>
      <w:marLeft w:val="0"/>
      <w:marRight w:val="0"/>
      <w:marTop w:val="0"/>
      <w:marBottom w:val="0"/>
      <w:divBdr>
        <w:top w:val="none" w:sz="0" w:space="0" w:color="auto"/>
        <w:left w:val="none" w:sz="0" w:space="0" w:color="auto"/>
        <w:bottom w:val="none" w:sz="0" w:space="0" w:color="auto"/>
        <w:right w:val="none" w:sz="0" w:space="0" w:color="auto"/>
      </w:divBdr>
    </w:div>
    <w:div w:id="1446342685">
      <w:bodyDiv w:val="1"/>
      <w:marLeft w:val="0"/>
      <w:marRight w:val="0"/>
      <w:marTop w:val="0"/>
      <w:marBottom w:val="0"/>
      <w:divBdr>
        <w:top w:val="none" w:sz="0" w:space="0" w:color="auto"/>
        <w:left w:val="none" w:sz="0" w:space="0" w:color="auto"/>
        <w:bottom w:val="none" w:sz="0" w:space="0" w:color="auto"/>
        <w:right w:val="none" w:sz="0" w:space="0" w:color="auto"/>
      </w:divBdr>
    </w:div>
    <w:div w:id="1447626142">
      <w:bodyDiv w:val="1"/>
      <w:marLeft w:val="0"/>
      <w:marRight w:val="0"/>
      <w:marTop w:val="0"/>
      <w:marBottom w:val="0"/>
      <w:divBdr>
        <w:top w:val="none" w:sz="0" w:space="0" w:color="auto"/>
        <w:left w:val="none" w:sz="0" w:space="0" w:color="auto"/>
        <w:bottom w:val="none" w:sz="0" w:space="0" w:color="auto"/>
        <w:right w:val="none" w:sz="0" w:space="0" w:color="auto"/>
      </w:divBdr>
    </w:div>
    <w:div w:id="1447893069">
      <w:bodyDiv w:val="1"/>
      <w:marLeft w:val="0"/>
      <w:marRight w:val="0"/>
      <w:marTop w:val="0"/>
      <w:marBottom w:val="0"/>
      <w:divBdr>
        <w:top w:val="none" w:sz="0" w:space="0" w:color="auto"/>
        <w:left w:val="none" w:sz="0" w:space="0" w:color="auto"/>
        <w:bottom w:val="none" w:sz="0" w:space="0" w:color="auto"/>
        <w:right w:val="none" w:sz="0" w:space="0" w:color="auto"/>
      </w:divBdr>
    </w:div>
    <w:div w:id="1447962463">
      <w:bodyDiv w:val="1"/>
      <w:marLeft w:val="0"/>
      <w:marRight w:val="0"/>
      <w:marTop w:val="0"/>
      <w:marBottom w:val="0"/>
      <w:divBdr>
        <w:top w:val="none" w:sz="0" w:space="0" w:color="auto"/>
        <w:left w:val="none" w:sz="0" w:space="0" w:color="auto"/>
        <w:bottom w:val="none" w:sz="0" w:space="0" w:color="auto"/>
        <w:right w:val="none" w:sz="0" w:space="0" w:color="auto"/>
      </w:divBdr>
    </w:div>
    <w:div w:id="1448506304">
      <w:bodyDiv w:val="1"/>
      <w:marLeft w:val="0"/>
      <w:marRight w:val="0"/>
      <w:marTop w:val="0"/>
      <w:marBottom w:val="0"/>
      <w:divBdr>
        <w:top w:val="none" w:sz="0" w:space="0" w:color="auto"/>
        <w:left w:val="none" w:sz="0" w:space="0" w:color="auto"/>
        <w:bottom w:val="none" w:sz="0" w:space="0" w:color="auto"/>
        <w:right w:val="none" w:sz="0" w:space="0" w:color="auto"/>
      </w:divBdr>
    </w:div>
    <w:div w:id="1449466937">
      <w:bodyDiv w:val="1"/>
      <w:marLeft w:val="0"/>
      <w:marRight w:val="0"/>
      <w:marTop w:val="0"/>
      <w:marBottom w:val="0"/>
      <w:divBdr>
        <w:top w:val="none" w:sz="0" w:space="0" w:color="auto"/>
        <w:left w:val="none" w:sz="0" w:space="0" w:color="auto"/>
        <w:bottom w:val="none" w:sz="0" w:space="0" w:color="auto"/>
        <w:right w:val="none" w:sz="0" w:space="0" w:color="auto"/>
      </w:divBdr>
    </w:div>
    <w:div w:id="1449812447">
      <w:bodyDiv w:val="1"/>
      <w:marLeft w:val="0"/>
      <w:marRight w:val="0"/>
      <w:marTop w:val="0"/>
      <w:marBottom w:val="0"/>
      <w:divBdr>
        <w:top w:val="none" w:sz="0" w:space="0" w:color="auto"/>
        <w:left w:val="none" w:sz="0" w:space="0" w:color="auto"/>
        <w:bottom w:val="none" w:sz="0" w:space="0" w:color="auto"/>
        <w:right w:val="none" w:sz="0" w:space="0" w:color="auto"/>
      </w:divBdr>
    </w:div>
    <w:div w:id="1450582653">
      <w:bodyDiv w:val="1"/>
      <w:marLeft w:val="0"/>
      <w:marRight w:val="0"/>
      <w:marTop w:val="0"/>
      <w:marBottom w:val="0"/>
      <w:divBdr>
        <w:top w:val="none" w:sz="0" w:space="0" w:color="auto"/>
        <w:left w:val="none" w:sz="0" w:space="0" w:color="auto"/>
        <w:bottom w:val="none" w:sz="0" w:space="0" w:color="auto"/>
        <w:right w:val="none" w:sz="0" w:space="0" w:color="auto"/>
      </w:divBdr>
    </w:div>
    <w:div w:id="1450663794">
      <w:bodyDiv w:val="1"/>
      <w:marLeft w:val="0"/>
      <w:marRight w:val="0"/>
      <w:marTop w:val="0"/>
      <w:marBottom w:val="0"/>
      <w:divBdr>
        <w:top w:val="none" w:sz="0" w:space="0" w:color="auto"/>
        <w:left w:val="none" w:sz="0" w:space="0" w:color="auto"/>
        <w:bottom w:val="none" w:sz="0" w:space="0" w:color="auto"/>
        <w:right w:val="none" w:sz="0" w:space="0" w:color="auto"/>
      </w:divBdr>
    </w:div>
    <w:div w:id="1450664166">
      <w:bodyDiv w:val="1"/>
      <w:marLeft w:val="0"/>
      <w:marRight w:val="0"/>
      <w:marTop w:val="0"/>
      <w:marBottom w:val="0"/>
      <w:divBdr>
        <w:top w:val="none" w:sz="0" w:space="0" w:color="auto"/>
        <w:left w:val="none" w:sz="0" w:space="0" w:color="auto"/>
        <w:bottom w:val="none" w:sz="0" w:space="0" w:color="auto"/>
        <w:right w:val="none" w:sz="0" w:space="0" w:color="auto"/>
      </w:divBdr>
    </w:div>
    <w:div w:id="1450706099">
      <w:bodyDiv w:val="1"/>
      <w:marLeft w:val="0"/>
      <w:marRight w:val="0"/>
      <w:marTop w:val="0"/>
      <w:marBottom w:val="0"/>
      <w:divBdr>
        <w:top w:val="none" w:sz="0" w:space="0" w:color="auto"/>
        <w:left w:val="none" w:sz="0" w:space="0" w:color="auto"/>
        <w:bottom w:val="none" w:sz="0" w:space="0" w:color="auto"/>
        <w:right w:val="none" w:sz="0" w:space="0" w:color="auto"/>
      </w:divBdr>
    </w:div>
    <w:div w:id="1451631876">
      <w:bodyDiv w:val="1"/>
      <w:marLeft w:val="0"/>
      <w:marRight w:val="0"/>
      <w:marTop w:val="0"/>
      <w:marBottom w:val="0"/>
      <w:divBdr>
        <w:top w:val="none" w:sz="0" w:space="0" w:color="auto"/>
        <w:left w:val="none" w:sz="0" w:space="0" w:color="auto"/>
        <w:bottom w:val="none" w:sz="0" w:space="0" w:color="auto"/>
        <w:right w:val="none" w:sz="0" w:space="0" w:color="auto"/>
      </w:divBdr>
    </w:div>
    <w:div w:id="1451975993">
      <w:bodyDiv w:val="1"/>
      <w:marLeft w:val="0"/>
      <w:marRight w:val="0"/>
      <w:marTop w:val="0"/>
      <w:marBottom w:val="0"/>
      <w:divBdr>
        <w:top w:val="none" w:sz="0" w:space="0" w:color="auto"/>
        <w:left w:val="none" w:sz="0" w:space="0" w:color="auto"/>
        <w:bottom w:val="none" w:sz="0" w:space="0" w:color="auto"/>
        <w:right w:val="none" w:sz="0" w:space="0" w:color="auto"/>
      </w:divBdr>
    </w:div>
    <w:div w:id="1452289349">
      <w:bodyDiv w:val="1"/>
      <w:marLeft w:val="0"/>
      <w:marRight w:val="0"/>
      <w:marTop w:val="0"/>
      <w:marBottom w:val="0"/>
      <w:divBdr>
        <w:top w:val="none" w:sz="0" w:space="0" w:color="auto"/>
        <w:left w:val="none" w:sz="0" w:space="0" w:color="auto"/>
        <w:bottom w:val="none" w:sz="0" w:space="0" w:color="auto"/>
        <w:right w:val="none" w:sz="0" w:space="0" w:color="auto"/>
      </w:divBdr>
    </w:div>
    <w:div w:id="1452480391">
      <w:bodyDiv w:val="1"/>
      <w:marLeft w:val="0"/>
      <w:marRight w:val="0"/>
      <w:marTop w:val="0"/>
      <w:marBottom w:val="0"/>
      <w:divBdr>
        <w:top w:val="none" w:sz="0" w:space="0" w:color="auto"/>
        <w:left w:val="none" w:sz="0" w:space="0" w:color="auto"/>
        <w:bottom w:val="none" w:sz="0" w:space="0" w:color="auto"/>
        <w:right w:val="none" w:sz="0" w:space="0" w:color="auto"/>
      </w:divBdr>
    </w:div>
    <w:div w:id="1452550196">
      <w:bodyDiv w:val="1"/>
      <w:marLeft w:val="0"/>
      <w:marRight w:val="0"/>
      <w:marTop w:val="0"/>
      <w:marBottom w:val="0"/>
      <w:divBdr>
        <w:top w:val="none" w:sz="0" w:space="0" w:color="auto"/>
        <w:left w:val="none" w:sz="0" w:space="0" w:color="auto"/>
        <w:bottom w:val="none" w:sz="0" w:space="0" w:color="auto"/>
        <w:right w:val="none" w:sz="0" w:space="0" w:color="auto"/>
      </w:divBdr>
    </w:div>
    <w:div w:id="1452821830">
      <w:bodyDiv w:val="1"/>
      <w:marLeft w:val="0"/>
      <w:marRight w:val="0"/>
      <w:marTop w:val="0"/>
      <w:marBottom w:val="0"/>
      <w:divBdr>
        <w:top w:val="none" w:sz="0" w:space="0" w:color="auto"/>
        <w:left w:val="none" w:sz="0" w:space="0" w:color="auto"/>
        <w:bottom w:val="none" w:sz="0" w:space="0" w:color="auto"/>
        <w:right w:val="none" w:sz="0" w:space="0" w:color="auto"/>
      </w:divBdr>
    </w:div>
    <w:div w:id="1453019571">
      <w:bodyDiv w:val="1"/>
      <w:marLeft w:val="0"/>
      <w:marRight w:val="0"/>
      <w:marTop w:val="0"/>
      <w:marBottom w:val="0"/>
      <w:divBdr>
        <w:top w:val="none" w:sz="0" w:space="0" w:color="auto"/>
        <w:left w:val="none" w:sz="0" w:space="0" w:color="auto"/>
        <w:bottom w:val="none" w:sz="0" w:space="0" w:color="auto"/>
        <w:right w:val="none" w:sz="0" w:space="0" w:color="auto"/>
      </w:divBdr>
    </w:div>
    <w:div w:id="1453282952">
      <w:bodyDiv w:val="1"/>
      <w:marLeft w:val="0"/>
      <w:marRight w:val="0"/>
      <w:marTop w:val="0"/>
      <w:marBottom w:val="0"/>
      <w:divBdr>
        <w:top w:val="none" w:sz="0" w:space="0" w:color="auto"/>
        <w:left w:val="none" w:sz="0" w:space="0" w:color="auto"/>
        <w:bottom w:val="none" w:sz="0" w:space="0" w:color="auto"/>
        <w:right w:val="none" w:sz="0" w:space="0" w:color="auto"/>
      </w:divBdr>
    </w:div>
    <w:div w:id="1456026597">
      <w:bodyDiv w:val="1"/>
      <w:marLeft w:val="0"/>
      <w:marRight w:val="0"/>
      <w:marTop w:val="0"/>
      <w:marBottom w:val="0"/>
      <w:divBdr>
        <w:top w:val="none" w:sz="0" w:space="0" w:color="auto"/>
        <w:left w:val="none" w:sz="0" w:space="0" w:color="auto"/>
        <w:bottom w:val="none" w:sz="0" w:space="0" w:color="auto"/>
        <w:right w:val="none" w:sz="0" w:space="0" w:color="auto"/>
      </w:divBdr>
    </w:div>
    <w:div w:id="1456942690">
      <w:bodyDiv w:val="1"/>
      <w:marLeft w:val="0"/>
      <w:marRight w:val="0"/>
      <w:marTop w:val="0"/>
      <w:marBottom w:val="0"/>
      <w:divBdr>
        <w:top w:val="none" w:sz="0" w:space="0" w:color="auto"/>
        <w:left w:val="none" w:sz="0" w:space="0" w:color="auto"/>
        <w:bottom w:val="none" w:sz="0" w:space="0" w:color="auto"/>
        <w:right w:val="none" w:sz="0" w:space="0" w:color="auto"/>
      </w:divBdr>
    </w:div>
    <w:div w:id="1458378286">
      <w:bodyDiv w:val="1"/>
      <w:marLeft w:val="0"/>
      <w:marRight w:val="0"/>
      <w:marTop w:val="0"/>
      <w:marBottom w:val="0"/>
      <w:divBdr>
        <w:top w:val="none" w:sz="0" w:space="0" w:color="auto"/>
        <w:left w:val="none" w:sz="0" w:space="0" w:color="auto"/>
        <w:bottom w:val="none" w:sz="0" w:space="0" w:color="auto"/>
        <w:right w:val="none" w:sz="0" w:space="0" w:color="auto"/>
      </w:divBdr>
    </w:div>
    <w:div w:id="1459177912">
      <w:bodyDiv w:val="1"/>
      <w:marLeft w:val="0"/>
      <w:marRight w:val="0"/>
      <w:marTop w:val="0"/>
      <w:marBottom w:val="0"/>
      <w:divBdr>
        <w:top w:val="none" w:sz="0" w:space="0" w:color="auto"/>
        <w:left w:val="none" w:sz="0" w:space="0" w:color="auto"/>
        <w:bottom w:val="none" w:sz="0" w:space="0" w:color="auto"/>
        <w:right w:val="none" w:sz="0" w:space="0" w:color="auto"/>
      </w:divBdr>
    </w:div>
    <w:div w:id="1459252667">
      <w:bodyDiv w:val="1"/>
      <w:marLeft w:val="0"/>
      <w:marRight w:val="0"/>
      <w:marTop w:val="0"/>
      <w:marBottom w:val="0"/>
      <w:divBdr>
        <w:top w:val="none" w:sz="0" w:space="0" w:color="auto"/>
        <w:left w:val="none" w:sz="0" w:space="0" w:color="auto"/>
        <w:bottom w:val="none" w:sz="0" w:space="0" w:color="auto"/>
        <w:right w:val="none" w:sz="0" w:space="0" w:color="auto"/>
      </w:divBdr>
    </w:div>
    <w:div w:id="1459883812">
      <w:bodyDiv w:val="1"/>
      <w:marLeft w:val="0"/>
      <w:marRight w:val="0"/>
      <w:marTop w:val="0"/>
      <w:marBottom w:val="0"/>
      <w:divBdr>
        <w:top w:val="none" w:sz="0" w:space="0" w:color="auto"/>
        <w:left w:val="none" w:sz="0" w:space="0" w:color="auto"/>
        <w:bottom w:val="none" w:sz="0" w:space="0" w:color="auto"/>
        <w:right w:val="none" w:sz="0" w:space="0" w:color="auto"/>
      </w:divBdr>
    </w:div>
    <w:div w:id="1460033720">
      <w:bodyDiv w:val="1"/>
      <w:marLeft w:val="0"/>
      <w:marRight w:val="0"/>
      <w:marTop w:val="0"/>
      <w:marBottom w:val="0"/>
      <w:divBdr>
        <w:top w:val="none" w:sz="0" w:space="0" w:color="auto"/>
        <w:left w:val="none" w:sz="0" w:space="0" w:color="auto"/>
        <w:bottom w:val="none" w:sz="0" w:space="0" w:color="auto"/>
        <w:right w:val="none" w:sz="0" w:space="0" w:color="auto"/>
      </w:divBdr>
    </w:div>
    <w:div w:id="1460146581">
      <w:bodyDiv w:val="1"/>
      <w:marLeft w:val="0"/>
      <w:marRight w:val="0"/>
      <w:marTop w:val="0"/>
      <w:marBottom w:val="0"/>
      <w:divBdr>
        <w:top w:val="none" w:sz="0" w:space="0" w:color="auto"/>
        <w:left w:val="none" w:sz="0" w:space="0" w:color="auto"/>
        <w:bottom w:val="none" w:sz="0" w:space="0" w:color="auto"/>
        <w:right w:val="none" w:sz="0" w:space="0" w:color="auto"/>
      </w:divBdr>
    </w:div>
    <w:div w:id="1460613741">
      <w:bodyDiv w:val="1"/>
      <w:marLeft w:val="0"/>
      <w:marRight w:val="0"/>
      <w:marTop w:val="0"/>
      <w:marBottom w:val="0"/>
      <w:divBdr>
        <w:top w:val="none" w:sz="0" w:space="0" w:color="auto"/>
        <w:left w:val="none" w:sz="0" w:space="0" w:color="auto"/>
        <w:bottom w:val="none" w:sz="0" w:space="0" w:color="auto"/>
        <w:right w:val="none" w:sz="0" w:space="0" w:color="auto"/>
      </w:divBdr>
    </w:div>
    <w:div w:id="1460687846">
      <w:bodyDiv w:val="1"/>
      <w:marLeft w:val="0"/>
      <w:marRight w:val="0"/>
      <w:marTop w:val="0"/>
      <w:marBottom w:val="0"/>
      <w:divBdr>
        <w:top w:val="none" w:sz="0" w:space="0" w:color="auto"/>
        <w:left w:val="none" w:sz="0" w:space="0" w:color="auto"/>
        <w:bottom w:val="none" w:sz="0" w:space="0" w:color="auto"/>
        <w:right w:val="none" w:sz="0" w:space="0" w:color="auto"/>
      </w:divBdr>
    </w:div>
    <w:div w:id="1461923917">
      <w:bodyDiv w:val="1"/>
      <w:marLeft w:val="0"/>
      <w:marRight w:val="0"/>
      <w:marTop w:val="0"/>
      <w:marBottom w:val="0"/>
      <w:divBdr>
        <w:top w:val="none" w:sz="0" w:space="0" w:color="auto"/>
        <w:left w:val="none" w:sz="0" w:space="0" w:color="auto"/>
        <w:bottom w:val="none" w:sz="0" w:space="0" w:color="auto"/>
        <w:right w:val="none" w:sz="0" w:space="0" w:color="auto"/>
      </w:divBdr>
    </w:div>
    <w:div w:id="1462727420">
      <w:bodyDiv w:val="1"/>
      <w:marLeft w:val="0"/>
      <w:marRight w:val="0"/>
      <w:marTop w:val="0"/>
      <w:marBottom w:val="0"/>
      <w:divBdr>
        <w:top w:val="none" w:sz="0" w:space="0" w:color="auto"/>
        <w:left w:val="none" w:sz="0" w:space="0" w:color="auto"/>
        <w:bottom w:val="none" w:sz="0" w:space="0" w:color="auto"/>
        <w:right w:val="none" w:sz="0" w:space="0" w:color="auto"/>
      </w:divBdr>
    </w:div>
    <w:div w:id="1462729491">
      <w:bodyDiv w:val="1"/>
      <w:marLeft w:val="0"/>
      <w:marRight w:val="0"/>
      <w:marTop w:val="0"/>
      <w:marBottom w:val="0"/>
      <w:divBdr>
        <w:top w:val="none" w:sz="0" w:space="0" w:color="auto"/>
        <w:left w:val="none" w:sz="0" w:space="0" w:color="auto"/>
        <w:bottom w:val="none" w:sz="0" w:space="0" w:color="auto"/>
        <w:right w:val="none" w:sz="0" w:space="0" w:color="auto"/>
      </w:divBdr>
    </w:div>
    <w:div w:id="1462839715">
      <w:bodyDiv w:val="1"/>
      <w:marLeft w:val="0"/>
      <w:marRight w:val="0"/>
      <w:marTop w:val="0"/>
      <w:marBottom w:val="0"/>
      <w:divBdr>
        <w:top w:val="none" w:sz="0" w:space="0" w:color="auto"/>
        <w:left w:val="none" w:sz="0" w:space="0" w:color="auto"/>
        <w:bottom w:val="none" w:sz="0" w:space="0" w:color="auto"/>
        <w:right w:val="none" w:sz="0" w:space="0" w:color="auto"/>
      </w:divBdr>
    </w:div>
    <w:div w:id="1462914858">
      <w:bodyDiv w:val="1"/>
      <w:marLeft w:val="0"/>
      <w:marRight w:val="0"/>
      <w:marTop w:val="0"/>
      <w:marBottom w:val="0"/>
      <w:divBdr>
        <w:top w:val="none" w:sz="0" w:space="0" w:color="auto"/>
        <w:left w:val="none" w:sz="0" w:space="0" w:color="auto"/>
        <w:bottom w:val="none" w:sz="0" w:space="0" w:color="auto"/>
        <w:right w:val="none" w:sz="0" w:space="0" w:color="auto"/>
      </w:divBdr>
    </w:div>
    <w:div w:id="1463379817">
      <w:bodyDiv w:val="1"/>
      <w:marLeft w:val="0"/>
      <w:marRight w:val="0"/>
      <w:marTop w:val="0"/>
      <w:marBottom w:val="0"/>
      <w:divBdr>
        <w:top w:val="none" w:sz="0" w:space="0" w:color="auto"/>
        <w:left w:val="none" w:sz="0" w:space="0" w:color="auto"/>
        <w:bottom w:val="none" w:sz="0" w:space="0" w:color="auto"/>
        <w:right w:val="none" w:sz="0" w:space="0" w:color="auto"/>
      </w:divBdr>
    </w:div>
    <w:div w:id="1463887439">
      <w:bodyDiv w:val="1"/>
      <w:marLeft w:val="0"/>
      <w:marRight w:val="0"/>
      <w:marTop w:val="0"/>
      <w:marBottom w:val="0"/>
      <w:divBdr>
        <w:top w:val="none" w:sz="0" w:space="0" w:color="auto"/>
        <w:left w:val="none" w:sz="0" w:space="0" w:color="auto"/>
        <w:bottom w:val="none" w:sz="0" w:space="0" w:color="auto"/>
        <w:right w:val="none" w:sz="0" w:space="0" w:color="auto"/>
      </w:divBdr>
    </w:div>
    <w:div w:id="1464536710">
      <w:bodyDiv w:val="1"/>
      <w:marLeft w:val="0"/>
      <w:marRight w:val="0"/>
      <w:marTop w:val="0"/>
      <w:marBottom w:val="0"/>
      <w:divBdr>
        <w:top w:val="none" w:sz="0" w:space="0" w:color="auto"/>
        <w:left w:val="none" w:sz="0" w:space="0" w:color="auto"/>
        <w:bottom w:val="none" w:sz="0" w:space="0" w:color="auto"/>
        <w:right w:val="none" w:sz="0" w:space="0" w:color="auto"/>
      </w:divBdr>
    </w:div>
    <w:div w:id="1464999007">
      <w:bodyDiv w:val="1"/>
      <w:marLeft w:val="0"/>
      <w:marRight w:val="0"/>
      <w:marTop w:val="0"/>
      <w:marBottom w:val="0"/>
      <w:divBdr>
        <w:top w:val="none" w:sz="0" w:space="0" w:color="auto"/>
        <w:left w:val="none" w:sz="0" w:space="0" w:color="auto"/>
        <w:bottom w:val="none" w:sz="0" w:space="0" w:color="auto"/>
        <w:right w:val="none" w:sz="0" w:space="0" w:color="auto"/>
      </w:divBdr>
    </w:div>
    <w:div w:id="1466777329">
      <w:bodyDiv w:val="1"/>
      <w:marLeft w:val="0"/>
      <w:marRight w:val="0"/>
      <w:marTop w:val="0"/>
      <w:marBottom w:val="0"/>
      <w:divBdr>
        <w:top w:val="none" w:sz="0" w:space="0" w:color="auto"/>
        <w:left w:val="none" w:sz="0" w:space="0" w:color="auto"/>
        <w:bottom w:val="none" w:sz="0" w:space="0" w:color="auto"/>
        <w:right w:val="none" w:sz="0" w:space="0" w:color="auto"/>
      </w:divBdr>
    </w:div>
    <w:div w:id="1466896284">
      <w:bodyDiv w:val="1"/>
      <w:marLeft w:val="0"/>
      <w:marRight w:val="0"/>
      <w:marTop w:val="0"/>
      <w:marBottom w:val="0"/>
      <w:divBdr>
        <w:top w:val="none" w:sz="0" w:space="0" w:color="auto"/>
        <w:left w:val="none" w:sz="0" w:space="0" w:color="auto"/>
        <w:bottom w:val="none" w:sz="0" w:space="0" w:color="auto"/>
        <w:right w:val="none" w:sz="0" w:space="0" w:color="auto"/>
      </w:divBdr>
    </w:div>
    <w:div w:id="1469591876">
      <w:bodyDiv w:val="1"/>
      <w:marLeft w:val="0"/>
      <w:marRight w:val="0"/>
      <w:marTop w:val="0"/>
      <w:marBottom w:val="0"/>
      <w:divBdr>
        <w:top w:val="none" w:sz="0" w:space="0" w:color="auto"/>
        <w:left w:val="none" w:sz="0" w:space="0" w:color="auto"/>
        <w:bottom w:val="none" w:sz="0" w:space="0" w:color="auto"/>
        <w:right w:val="none" w:sz="0" w:space="0" w:color="auto"/>
      </w:divBdr>
    </w:div>
    <w:div w:id="1470131361">
      <w:bodyDiv w:val="1"/>
      <w:marLeft w:val="0"/>
      <w:marRight w:val="0"/>
      <w:marTop w:val="0"/>
      <w:marBottom w:val="0"/>
      <w:divBdr>
        <w:top w:val="none" w:sz="0" w:space="0" w:color="auto"/>
        <w:left w:val="none" w:sz="0" w:space="0" w:color="auto"/>
        <w:bottom w:val="none" w:sz="0" w:space="0" w:color="auto"/>
        <w:right w:val="none" w:sz="0" w:space="0" w:color="auto"/>
      </w:divBdr>
    </w:div>
    <w:div w:id="1471052535">
      <w:bodyDiv w:val="1"/>
      <w:marLeft w:val="0"/>
      <w:marRight w:val="0"/>
      <w:marTop w:val="0"/>
      <w:marBottom w:val="0"/>
      <w:divBdr>
        <w:top w:val="none" w:sz="0" w:space="0" w:color="auto"/>
        <w:left w:val="none" w:sz="0" w:space="0" w:color="auto"/>
        <w:bottom w:val="none" w:sz="0" w:space="0" w:color="auto"/>
        <w:right w:val="none" w:sz="0" w:space="0" w:color="auto"/>
      </w:divBdr>
    </w:div>
    <w:div w:id="1472867497">
      <w:bodyDiv w:val="1"/>
      <w:marLeft w:val="0"/>
      <w:marRight w:val="0"/>
      <w:marTop w:val="0"/>
      <w:marBottom w:val="0"/>
      <w:divBdr>
        <w:top w:val="none" w:sz="0" w:space="0" w:color="auto"/>
        <w:left w:val="none" w:sz="0" w:space="0" w:color="auto"/>
        <w:bottom w:val="none" w:sz="0" w:space="0" w:color="auto"/>
        <w:right w:val="none" w:sz="0" w:space="0" w:color="auto"/>
      </w:divBdr>
    </w:div>
    <w:div w:id="1473671421">
      <w:bodyDiv w:val="1"/>
      <w:marLeft w:val="0"/>
      <w:marRight w:val="0"/>
      <w:marTop w:val="0"/>
      <w:marBottom w:val="0"/>
      <w:divBdr>
        <w:top w:val="none" w:sz="0" w:space="0" w:color="auto"/>
        <w:left w:val="none" w:sz="0" w:space="0" w:color="auto"/>
        <w:bottom w:val="none" w:sz="0" w:space="0" w:color="auto"/>
        <w:right w:val="none" w:sz="0" w:space="0" w:color="auto"/>
      </w:divBdr>
    </w:div>
    <w:div w:id="1473862789">
      <w:bodyDiv w:val="1"/>
      <w:marLeft w:val="0"/>
      <w:marRight w:val="0"/>
      <w:marTop w:val="0"/>
      <w:marBottom w:val="0"/>
      <w:divBdr>
        <w:top w:val="none" w:sz="0" w:space="0" w:color="auto"/>
        <w:left w:val="none" w:sz="0" w:space="0" w:color="auto"/>
        <w:bottom w:val="none" w:sz="0" w:space="0" w:color="auto"/>
        <w:right w:val="none" w:sz="0" w:space="0" w:color="auto"/>
      </w:divBdr>
    </w:div>
    <w:div w:id="1475754383">
      <w:bodyDiv w:val="1"/>
      <w:marLeft w:val="0"/>
      <w:marRight w:val="0"/>
      <w:marTop w:val="0"/>
      <w:marBottom w:val="0"/>
      <w:divBdr>
        <w:top w:val="none" w:sz="0" w:space="0" w:color="auto"/>
        <w:left w:val="none" w:sz="0" w:space="0" w:color="auto"/>
        <w:bottom w:val="none" w:sz="0" w:space="0" w:color="auto"/>
        <w:right w:val="none" w:sz="0" w:space="0" w:color="auto"/>
      </w:divBdr>
    </w:div>
    <w:div w:id="1475874514">
      <w:bodyDiv w:val="1"/>
      <w:marLeft w:val="0"/>
      <w:marRight w:val="0"/>
      <w:marTop w:val="0"/>
      <w:marBottom w:val="0"/>
      <w:divBdr>
        <w:top w:val="none" w:sz="0" w:space="0" w:color="auto"/>
        <w:left w:val="none" w:sz="0" w:space="0" w:color="auto"/>
        <w:bottom w:val="none" w:sz="0" w:space="0" w:color="auto"/>
        <w:right w:val="none" w:sz="0" w:space="0" w:color="auto"/>
      </w:divBdr>
    </w:div>
    <w:div w:id="1476142045">
      <w:bodyDiv w:val="1"/>
      <w:marLeft w:val="0"/>
      <w:marRight w:val="0"/>
      <w:marTop w:val="0"/>
      <w:marBottom w:val="0"/>
      <w:divBdr>
        <w:top w:val="none" w:sz="0" w:space="0" w:color="auto"/>
        <w:left w:val="none" w:sz="0" w:space="0" w:color="auto"/>
        <w:bottom w:val="none" w:sz="0" w:space="0" w:color="auto"/>
        <w:right w:val="none" w:sz="0" w:space="0" w:color="auto"/>
      </w:divBdr>
    </w:div>
    <w:div w:id="1476793854">
      <w:bodyDiv w:val="1"/>
      <w:marLeft w:val="0"/>
      <w:marRight w:val="0"/>
      <w:marTop w:val="0"/>
      <w:marBottom w:val="0"/>
      <w:divBdr>
        <w:top w:val="none" w:sz="0" w:space="0" w:color="auto"/>
        <w:left w:val="none" w:sz="0" w:space="0" w:color="auto"/>
        <w:bottom w:val="none" w:sz="0" w:space="0" w:color="auto"/>
        <w:right w:val="none" w:sz="0" w:space="0" w:color="auto"/>
      </w:divBdr>
    </w:div>
    <w:div w:id="1477065767">
      <w:bodyDiv w:val="1"/>
      <w:marLeft w:val="0"/>
      <w:marRight w:val="0"/>
      <w:marTop w:val="0"/>
      <w:marBottom w:val="0"/>
      <w:divBdr>
        <w:top w:val="none" w:sz="0" w:space="0" w:color="auto"/>
        <w:left w:val="none" w:sz="0" w:space="0" w:color="auto"/>
        <w:bottom w:val="none" w:sz="0" w:space="0" w:color="auto"/>
        <w:right w:val="none" w:sz="0" w:space="0" w:color="auto"/>
      </w:divBdr>
    </w:div>
    <w:div w:id="1478498422">
      <w:bodyDiv w:val="1"/>
      <w:marLeft w:val="0"/>
      <w:marRight w:val="0"/>
      <w:marTop w:val="0"/>
      <w:marBottom w:val="0"/>
      <w:divBdr>
        <w:top w:val="none" w:sz="0" w:space="0" w:color="auto"/>
        <w:left w:val="none" w:sz="0" w:space="0" w:color="auto"/>
        <w:bottom w:val="none" w:sz="0" w:space="0" w:color="auto"/>
        <w:right w:val="none" w:sz="0" w:space="0" w:color="auto"/>
      </w:divBdr>
    </w:div>
    <w:div w:id="1479302205">
      <w:bodyDiv w:val="1"/>
      <w:marLeft w:val="0"/>
      <w:marRight w:val="0"/>
      <w:marTop w:val="0"/>
      <w:marBottom w:val="0"/>
      <w:divBdr>
        <w:top w:val="none" w:sz="0" w:space="0" w:color="auto"/>
        <w:left w:val="none" w:sz="0" w:space="0" w:color="auto"/>
        <w:bottom w:val="none" w:sz="0" w:space="0" w:color="auto"/>
        <w:right w:val="none" w:sz="0" w:space="0" w:color="auto"/>
      </w:divBdr>
    </w:div>
    <w:div w:id="1479345603">
      <w:bodyDiv w:val="1"/>
      <w:marLeft w:val="0"/>
      <w:marRight w:val="0"/>
      <w:marTop w:val="0"/>
      <w:marBottom w:val="0"/>
      <w:divBdr>
        <w:top w:val="none" w:sz="0" w:space="0" w:color="auto"/>
        <w:left w:val="none" w:sz="0" w:space="0" w:color="auto"/>
        <w:bottom w:val="none" w:sz="0" w:space="0" w:color="auto"/>
        <w:right w:val="none" w:sz="0" w:space="0" w:color="auto"/>
      </w:divBdr>
    </w:div>
    <w:div w:id="1479809206">
      <w:bodyDiv w:val="1"/>
      <w:marLeft w:val="0"/>
      <w:marRight w:val="0"/>
      <w:marTop w:val="0"/>
      <w:marBottom w:val="0"/>
      <w:divBdr>
        <w:top w:val="none" w:sz="0" w:space="0" w:color="auto"/>
        <w:left w:val="none" w:sz="0" w:space="0" w:color="auto"/>
        <w:bottom w:val="none" w:sz="0" w:space="0" w:color="auto"/>
        <w:right w:val="none" w:sz="0" w:space="0" w:color="auto"/>
      </w:divBdr>
    </w:div>
    <w:div w:id="1480076781">
      <w:bodyDiv w:val="1"/>
      <w:marLeft w:val="0"/>
      <w:marRight w:val="0"/>
      <w:marTop w:val="0"/>
      <w:marBottom w:val="0"/>
      <w:divBdr>
        <w:top w:val="none" w:sz="0" w:space="0" w:color="auto"/>
        <w:left w:val="none" w:sz="0" w:space="0" w:color="auto"/>
        <w:bottom w:val="none" w:sz="0" w:space="0" w:color="auto"/>
        <w:right w:val="none" w:sz="0" w:space="0" w:color="auto"/>
      </w:divBdr>
    </w:div>
    <w:div w:id="1480608399">
      <w:bodyDiv w:val="1"/>
      <w:marLeft w:val="0"/>
      <w:marRight w:val="0"/>
      <w:marTop w:val="0"/>
      <w:marBottom w:val="0"/>
      <w:divBdr>
        <w:top w:val="none" w:sz="0" w:space="0" w:color="auto"/>
        <w:left w:val="none" w:sz="0" w:space="0" w:color="auto"/>
        <w:bottom w:val="none" w:sz="0" w:space="0" w:color="auto"/>
        <w:right w:val="none" w:sz="0" w:space="0" w:color="auto"/>
      </w:divBdr>
    </w:div>
    <w:div w:id="1480685069">
      <w:bodyDiv w:val="1"/>
      <w:marLeft w:val="0"/>
      <w:marRight w:val="0"/>
      <w:marTop w:val="0"/>
      <w:marBottom w:val="0"/>
      <w:divBdr>
        <w:top w:val="none" w:sz="0" w:space="0" w:color="auto"/>
        <w:left w:val="none" w:sz="0" w:space="0" w:color="auto"/>
        <w:bottom w:val="none" w:sz="0" w:space="0" w:color="auto"/>
        <w:right w:val="none" w:sz="0" w:space="0" w:color="auto"/>
      </w:divBdr>
    </w:div>
    <w:div w:id="1480878613">
      <w:bodyDiv w:val="1"/>
      <w:marLeft w:val="0"/>
      <w:marRight w:val="0"/>
      <w:marTop w:val="0"/>
      <w:marBottom w:val="0"/>
      <w:divBdr>
        <w:top w:val="none" w:sz="0" w:space="0" w:color="auto"/>
        <w:left w:val="none" w:sz="0" w:space="0" w:color="auto"/>
        <w:bottom w:val="none" w:sz="0" w:space="0" w:color="auto"/>
        <w:right w:val="none" w:sz="0" w:space="0" w:color="auto"/>
      </w:divBdr>
    </w:div>
    <w:div w:id="1481001218">
      <w:bodyDiv w:val="1"/>
      <w:marLeft w:val="0"/>
      <w:marRight w:val="0"/>
      <w:marTop w:val="0"/>
      <w:marBottom w:val="0"/>
      <w:divBdr>
        <w:top w:val="none" w:sz="0" w:space="0" w:color="auto"/>
        <w:left w:val="none" w:sz="0" w:space="0" w:color="auto"/>
        <w:bottom w:val="none" w:sz="0" w:space="0" w:color="auto"/>
        <w:right w:val="none" w:sz="0" w:space="0" w:color="auto"/>
      </w:divBdr>
    </w:div>
    <w:div w:id="1481146160">
      <w:bodyDiv w:val="1"/>
      <w:marLeft w:val="0"/>
      <w:marRight w:val="0"/>
      <w:marTop w:val="0"/>
      <w:marBottom w:val="0"/>
      <w:divBdr>
        <w:top w:val="none" w:sz="0" w:space="0" w:color="auto"/>
        <w:left w:val="none" w:sz="0" w:space="0" w:color="auto"/>
        <w:bottom w:val="none" w:sz="0" w:space="0" w:color="auto"/>
        <w:right w:val="none" w:sz="0" w:space="0" w:color="auto"/>
      </w:divBdr>
    </w:div>
    <w:div w:id="1481268344">
      <w:bodyDiv w:val="1"/>
      <w:marLeft w:val="0"/>
      <w:marRight w:val="0"/>
      <w:marTop w:val="0"/>
      <w:marBottom w:val="0"/>
      <w:divBdr>
        <w:top w:val="none" w:sz="0" w:space="0" w:color="auto"/>
        <w:left w:val="none" w:sz="0" w:space="0" w:color="auto"/>
        <w:bottom w:val="none" w:sz="0" w:space="0" w:color="auto"/>
        <w:right w:val="none" w:sz="0" w:space="0" w:color="auto"/>
      </w:divBdr>
    </w:div>
    <w:div w:id="1481539143">
      <w:bodyDiv w:val="1"/>
      <w:marLeft w:val="0"/>
      <w:marRight w:val="0"/>
      <w:marTop w:val="0"/>
      <w:marBottom w:val="0"/>
      <w:divBdr>
        <w:top w:val="none" w:sz="0" w:space="0" w:color="auto"/>
        <w:left w:val="none" w:sz="0" w:space="0" w:color="auto"/>
        <w:bottom w:val="none" w:sz="0" w:space="0" w:color="auto"/>
        <w:right w:val="none" w:sz="0" w:space="0" w:color="auto"/>
      </w:divBdr>
    </w:div>
    <w:div w:id="1481582904">
      <w:bodyDiv w:val="1"/>
      <w:marLeft w:val="0"/>
      <w:marRight w:val="0"/>
      <w:marTop w:val="0"/>
      <w:marBottom w:val="0"/>
      <w:divBdr>
        <w:top w:val="none" w:sz="0" w:space="0" w:color="auto"/>
        <w:left w:val="none" w:sz="0" w:space="0" w:color="auto"/>
        <w:bottom w:val="none" w:sz="0" w:space="0" w:color="auto"/>
        <w:right w:val="none" w:sz="0" w:space="0" w:color="auto"/>
      </w:divBdr>
    </w:div>
    <w:div w:id="1482456901">
      <w:bodyDiv w:val="1"/>
      <w:marLeft w:val="0"/>
      <w:marRight w:val="0"/>
      <w:marTop w:val="0"/>
      <w:marBottom w:val="0"/>
      <w:divBdr>
        <w:top w:val="none" w:sz="0" w:space="0" w:color="auto"/>
        <w:left w:val="none" w:sz="0" w:space="0" w:color="auto"/>
        <w:bottom w:val="none" w:sz="0" w:space="0" w:color="auto"/>
        <w:right w:val="none" w:sz="0" w:space="0" w:color="auto"/>
      </w:divBdr>
    </w:div>
    <w:div w:id="1482575735">
      <w:bodyDiv w:val="1"/>
      <w:marLeft w:val="0"/>
      <w:marRight w:val="0"/>
      <w:marTop w:val="0"/>
      <w:marBottom w:val="0"/>
      <w:divBdr>
        <w:top w:val="none" w:sz="0" w:space="0" w:color="auto"/>
        <w:left w:val="none" w:sz="0" w:space="0" w:color="auto"/>
        <w:bottom w:val="none" w:sz="0" w:space="0" w:color="auto"/>
        <w:right w:val="none" w:sz="0" w:space="0" w:color="auto"/>
      </w:divBdr>
    </w:div>
    <w:div w:id="1482963250">
      <w:bodyDiv w:val="1"/>
      <w:marLeft w:val="0"/>
      <w:marRight w:val="0"/>
      <w:marTop w:val="0"/>
      <w:marBottom w:val="0"/>
      <w:divBdr>
        <w:top w:val="none" w:sz="0" w:space="0" w:color="auto"/>
        <w:left w:val="none" w:sz="0" w:space="0" w:color="auto"/>
        <w:bottom w:val="none" w:sz="0" w:space="0" w:color="auto"/>
        <w:right w:val="none" w:sz="0" w:space="0" w:color="auto"/>
      </w:divBdr>
    </w:div>
    <w:div w:id="1485049484">
      <w:bodyDiv w:val="1"/>
      <w:marLeft w:val="0"/>
      <w:marRight w:val="0"/>
      <w:marTop w:val="0"/>
      <w:marBottom w:val="0"/>
      <w:divBdr>
        <w:top w:val="none" w:sz="0" w:space="0" w:color="auto"/>
        <w:left w:val="none" w:sz="0" w:space="0" w:color="auto"/>
        <w:bottom w:val="none" w:sz="0" w:space="0" w:color="auto"/>
        <w:right w:val="none" w:sz="0" w:space="0" w:color="auto"/>
      </w:divBdr>
    </w:div>
    <w:div w:id="1486317786">
      <w:bodyDiv w:val="1"/>
      <w:marLeft w:val="0"/>
      <w:marRight w:val="0"/>
      <w:marTop w:val="0"/>
      <w:marBottom w:val="0"/>
      <w:divBdr>
        <w:top w:val="none" w:sz="0" w:space="0" w:color="auto"/>
        <w:left w:val="none" w:sz="0" w:space="0" w:color="auto"/>
        <w:bottom w:val="none" w:sz="0" w:space="0" w:color="auto"/>
        <w:right w:val="none" w:sz="0" w:space="0" w:color="auto"/>
      </w:divBdr>
    </w:div>
    <w:div w:id="1487160645">
      <w:bodyDiv w:val="1"/>
      <w:marLeft w:val="0"/>
      <w:marRight w:val="0"/>
      <w:marTop w:val="0"/>
      <w:marBottom w:val="0"/>
      <w:divBdr>
        <w:top w:val="none" w:sz="0" w:space="0" w:color="auto"/>
        <w:left w:val="none" w:sz="0" w:space="0" w:color="auto"/>
        <w:bottom w:val="none" w:sz="0" w:space="0" w:color="auto"/>
        <w:right w:val="none" w:sz="0" w:space="0" w:color="auto"/>
      </w:divBdr>
    </w:div>
    <w:div w:id="1487480096">
      <w:bodyDiv w:val="1"/>
      <w:marLeft w:val="0"/>
      <w:marRight w:val="0"/>
      <w:marTop w:val="0"/>
      <w:marBottom w:val="0"/>
      <w:divBdr>
        <w:top w:val="none" w:sz="0" w:space="0" w:color="auto"/>
        <w:left w:val="none" w:sz="0" w:space="0" w:color="auto"/>
        <w:bottom w:val="none" w:sz="0" w:space="0" w:color="auto"/>
        <w:right w:val="none" w:sz="0" w:space="0" w:color="auto"/>
      </w:divBdr>
    </w:div>
    <w:div w:id="1488207280">
      <w:bodyDiv w:val="1"/>
      <w:marLeft w:val="0"/>
      <w:marRight w:val="0"/>
      <w:marTop w:val="0"/>
      <w:marBottom w:val="0"/>
      <w:divBdr>
        <w:top w:val="none" w:sz="0" w:space="0" w:color="auto"/>
        <w:left w:val="none" w:sz="0" w:space="0" w:color="auto"/>
        <w:bottom w:val="none" w:sz="0" w:space="0" w:color="auto"/>
        <w:right w:val="none" w:sz="0" w:space="0" w:color="auto"/>
      </w:divBdr>
    </w:div>
    <w:div w:id="1488744489">
      <w:bodyDiv w:val="1"/>
      <w:marLeft w:val="0"/>
      <w:marRight w:val="0"/>
      <w:marTop w:val="0"/>
      <w:marBottom w:val="0"/>
      <w:divBdr>
        <w:top w:val="none" w:sz="0" w:space="0" w:color="auto"/>
        <w:left w:val="none" w:sz="0" w:space="0" w:color="auto"/>
        <w:bottom w:val="none" w:sz="0" w:space="0" w:color="auto"/>
        <w:right w:val="none" w:sz="0" w:space="0" w:color="auto"/>
      </w:divBdr>
    </w:div>
    <w:div w:id="1490710331">
      <w:bodyDiv w:val="1"/>
      <w:marLeft w:val="0"/>
      <w:marRight w:val="0"/>
      <w:marTop w:val="0"/>
      <w:marBottom w:val="0"/>
      <w:divBdr>
        <w:top w:val="none" w:sz="0" w:space="0" w:color="auto"/>
        <w:left w:val="none" w:sz="0" w:space="0" w:color="auto"/>
        <w:bottom w:val="none" w:sz="0" w:space="0" w:color="auto"/>
        <w:right w:val="none" w:sz="0" w:space="0" w:color="auto"/>
      </w:divBdr>
    </w:div>
    <w:div w:id="1490903291">
      <w:bodyDiv w:val="1"/>
      <w:marLeft w:val="0"/>
      <w:marRight w:val="0"/>
      <w:marTop w:val="0"/>
      <w:marBottom w:val="0"/>
      <w:divBdr>
        <w:top w:val="none" w:sz="0" w:space="0" w:color="auto"/>
        <w:left w:val="none" w:sz="0" w:space="0" w:color="auto"/>
        <w:bottom w:val="none" w:sz="0" w:space="0" w:color="auto"/>
        <w:right w:val="none" w:sz="0" w:space="0" w:color="auto"/>
      </w:divBdr>
    </w:div>
    <w:div w:id="1491018588">
      <w:bodyDiv w:val="1"/>
      <w:marLeft w:val="0"/>
      <w:marRight w:val="0"/>
      <w:marTop w:val="0"/>
      <w:marBottom w:val="0"/>
      <w:divBdr>
        <w:top w:val="none" w:sz="0" w:space="0" w:color="auto"/>
        <w:left w:val="none" w:sz="0" w:space="0" w:color="auto"/>
        <w:bottom w:val="none" w:sz="0" w:space="0" w:color="auto"/>
        <w:right w:val="none" w:sz="0" w:space="0" w:color="auto"/>
      </w:divBdr>
    </w:div>
    <w:div w:id="1491093634">
      <w:bodyDiv w:val="1"/>
      <w:marLeft w:val="0"/>
      <w:marRight w:val="0"/>
      <w:marTop w:val="0"/>
      <w:marBottom w:val="0"/>
      <w:divBdr>
        <w:top w:val="none" w:sz="0" w:space="0" w:color="auto"/>
        <w:left w:val="none" w:sz="0" w:space="0" w:color="auto"/>
        <w:bottom w:val="none" w:sz="0" w:space="0" w:color="auto"/>
        <w:right w:val="none" w:sz="0" w:space="0" w:color="auto"/>
      </w:divBdr>
    </w:div>
    <w:div w:id="1491098704">
      <w:bodyDiv w:val="1"/>
      <w:marLeft w:val="0"/>
      <w:marRight w:val="0"/>
      <w:marTop w:val="0"/>
      <w:marBottom w:val="0"/>
      <w:divBdr>
        <w:top w:val="none" w:sz="0" w:space="0" w:color="auto"/>
        <w:left w:val="none" w:sz="0" w:space="0" w:color="auto"/>
        <w:bottom w:val="none" w:sz="0" w:space="0" w:color="auto"/>
        <w:right w:val="none" w:sz="0" w:space="0" w:color="auto"/>
      </w:divBdr>
    </w:div>
    <w:div w:id="1491100182">
      <w:bodyDiv w:val="1"/>
      <w:marLeft w:val="0"/>
      <w:marRight w:val="0"/>
      <w:marTop w:val="0"/>
      <w:marBottom w:val="0"/>
      <w:divBdr>
        <w:top w:val="none" w:sz="0" w:space="0" w:color="auto"/>
        <w:left w:val="none" w:sz="0" w:space="0" w:color="auto"/>
        <w:bottom w:val="none" w:sz="0" w:space="0" w:color="auto"/>
        <w:right w:val="none" w:sz="0" w:space="0" w:color="auto"/>
      </w:divBdr>
    </w:div>
    <w:div w:id="1491480832">
      <w:bodyDiv w:val="1"/>
      <w:marLeft w:val="0"/>
      <w:marRight w:val="0"/>
      <w:marTop w:val="0"/>
      <w:marBottom w:val="0"/>
      <w:divBdr>
        <w:top w:val="none" w:sz="0" w:space="0" w:color="auto"/>
        <w:left w:val="none" w:sz="0" w:space="0" w:color="auto"/>
        <w:bottom w:val="none" w:sz="0" w:space="0" w:color="auto"/>
        <w:right w:val="none" w:sz="0" w:space="0" w:color="auto"/>
      </w:divBdr>
    </w:div>
    <w:div w:id="1491822407">
      <w:bodyDiv w:val="1"/>
      <w:marLeft w:val="0"/>
      <w:marRight w:val="0"/>
      <w:marTop w:val="0"/>
      <w:marBottom w:val="0"/>
      <w:divBdr>
        <w:top w:val="none" w:sz="0" w:space="0" w:color="auto"/>
        <w:left w:val="none" w:sz="0" w:space="0" w:color="auto"/>
        <w:bottom w:val="none" w:sz="0" w:space="0" w:color="auto"/>
        <w:right w:val="none" w:sz="0" w:space="0" w:color="auto"/>
      </w:divBdr>
    </w:div>
    <w:div w:id="1492601214">
      <w:bodyDiv w:val="1"/>
      <w:marLeft w:val="0"/>
      <w:marRight w:val="0"/>
      <w:marTop w:val="0"/>
      <w:marBottom w:val="0"/>
      <w:divBdr>
        <w:top w:val="none" w:sz="0" w:space="0" w:color="auto"/>
        <w:left w:val="none" w:sz="0" w:space="0" w:color="auto"/>
        <w:bottom w:val="none" w:sz="0" w:space="0" w:color="auto"/>
        <w:right w:val="none" w:sz="0" w:space="0" w:color="auto"/>
      </w:divBdr>
    </w:div>
    <w:div w:id="1494056910">
      <w:bodyDiv w:val="1"/>
      <w:marLeft w:val="0"/>
      <w:marRight w:val="0"/>
      <w:marTop w:val="0"/>
      <w:marBottom w:val="0"/>
      <w:divBdr>
        <w:top w:val="none" w:sz="0" w:space="0" w:color="auto"/>
        <w:left w:val="none" w:sz="0" w:space="0" w:color="auto"/>
        <w:bottom w:val="none" w:sz="0" w:space="0" w:color="auto"/>
        <w:right w:val="none" w:sz="0" w:space="0" w:color="auto"/>
      </w:divBdr>
    </w:div>
    <w:div w:id="1494178880">
      <w:bodyDiv w:val="1"/>
      <w:marLeft w:val="0"/>
      <w:marRight w:val="0"/>
      <w:marTop w:val="0"/>
      <w:marBottom w:val="0"/>
      <w:divBdr>
        <w:top w:val="none" w:sz="0" w:space="0" w:color="auto"/>
        <w:left w:val="none" w:sz="0" w:space="0" w:color="auto"/>
        <w:bottom w:val="none" w:sz="0" w:space="0" w:color="auto"/>
        <w:right w:val="none" w:sz="0" w:space="0" w:color="auto"/>
      </w:divBdr>
    </w:div>
    <w:div w:id="1494490289">
      <w:bodyDiv w:val="1"/>
      <w:marLeft w:val="0"/>
      <w:marRight w:val="0"/>
      <w:marTop w:val="0"/>
      <w:marBottom w:val="0"/>
      <w:divBdr>
        <w:top w:val="none" w:sz="0" w:space="0" w:color="auto"/>
        <w:left w:val="none" w:sz="0" w:space="0" w:color="auto"/>
        <w:bottom w:val="none" w:sz="0" w:space="0" w:color="auto"/>
        <w:right w:val="none" w:sz="0" w:space="0" w:color="auto"/>
      </w:divBdr>
    </w:div>
    <w:div w:id="1494837286">
      <w:bodyDiv w:val="1"/>
      <w:marLeft w:val="0"/>
      <w:marRight w:val="0"/>
      <w:marTop w:val="0"/>
      <w:marBottom w:val="0"/>
      <w:divBdr>
        <w:top w:val="none" w:sz="0" w:space="0" w:color="auto"/>
        <w:left w:val="none" w:sz="0" w:space="0" w:color="auto"/>
        <w:bottom w:val="none" w:sz="0" w:space="0" w:color="auto"/>
        <w:right w:val="none" w:sz="0" w:space="0" w:color="auto"/>
      </w:divBdr>
    </w:div>
    <w:div w:id="1495222081">
      <w:bodyDiv w:val="1"/>
      <w:marLeft w:val="0"/>
      <w:marRight w:val="0"/>
      <w:marTop w:val="0"/>
      <w:marBottom w:val="0"/>
      <w:divBdr>
        <w:top w:val="none" w:sz="0" w:space="0" w:color="auto"/>
        <w:left w:val="none" w:sz="0" w:space="0" w:color="auto"/>
        <w:bottom w:val="none" w:sz="0" w:space="0" w:color="auto"/>
        <w:right w:val="none" w:sz="0" w:space="0" w:color="auto"/>
      </w:divBdr>
    </w:div>
    <w:div w:id="1495563013">
      <w:bodyDiv w:val="1"/>
      <w:marLeft w:val="0"/>
      <w:marRight w:val="0"/>
      <w:marTop w:val="0"/>
      <w:marBottom w:val="0"/>
      <w:divBdr>
        <w:top w:val="none" w:sz="0" w:space="0" w:color="auto"/>
        <w:left w:val="none" w:sz="0" w:space="0" w:color="auto"/>
        <w:bottom w:val="none" w:sz="0" w:space="0" w:color="auto"/>
        <w:right w:val="none" w:sz="0" w:space="0" w:color="auto"/>
      </w:divBdr>
    </w:div>
    <w:div w:id="1495609689">
      <w:bodyDiv w:val="1"/>
      <w:marLeft w:val="0"/>
      <w:marRight w:val="0"/>
      <w:marTop w:val="0"/>
      <w:marBottom w:val="0"/>
      <w:divBdr>
        <w:top w:val="none" w:sz="0" w:space="0" w:color="auto"/>
        <w:left w:val="none" w:sz="0" w:space="0" w:color="auto"/>
        <w:bottom w:val="none" w:sz="0" w:space="0" w:color="auto"/>
        <w:right w:val="none" w:sz="0" w:space="0" w:color="auto"/>
      </w:divBdr>
    </w:div>
    <w:div w:id="1496914587">
      <w:bodyDiv w:val="1"/>
      <w:marLeft w:val="0"/>
      <w:marRight w:val="0"/>
      <w:marTop w:val="0"/>
      <w:marBottom w:val="0"/>
      <w:divBdr>
        <w:top w:val="none" w:sz="0" w:space="0" w:color="auto"/>
        <w:left w:val="none" w:sz="0" w:space="0" w:color="auto"/>
        <w:bottom w:val="none" w:sz="0" w:space="0" w:color="auto"/>
        <w:right w:val="none" w:sz="0" w:space="0" w:color="auto"/>
      </w:divBdr>
    </w:div>
    <w:div w:id="1497258921">
      <w:bodyDiv w:val="1"/>
      <w:marLeft w:val="0"/>
      <w:marRight w:val="0"/>
      <w:marTop w:val="0"/>
      <w:marBottom w:val="0"/>
      <w:divBdr>
        <w:top w:val="none" w:sz="0" w:space="0" w:color="auto"/>
        <w:left w:val="none" w:sz="0" w:space="0" w:color="auto"/>
        <w:bottom w:val="none" w:sz="0" w:space="0" w:color="auto"/>
        <w:right w:val="none" w:sz="0" w:space="0" w:color="auto"/>
      </w:divBdr>
    </w:div>
    <w:div w:id="1497384209">
      <w:bodyDiv w:val="1"/>
      <w:marLeft w:val="0"/>
      <w:marRight w:val="0"/>
      <w:marTop w:val="0"/>
      <w:marBottom w:val="0"/>
      <w:divBdr>
        <w:top w:val="none" w:sz="0" w:space="0" w:color="auto"/>
        <w:left w:val="none" w:sz="0" w:space="0" w:color="auto"/>
        <w:bottom w:val="none" w:sz="0" w:space="0" w:color="auto"/>
        <w:right w:val="none" w:sz="0" w:space="0" w:color="auto"/>
      </w:divBdr>
    </w:div>
    <w:div w:id="1498300593">
      <w:bodyDiv w:val="1"/>
      <w:marLeft w:val="0"/>
      <w:marRight w:val="0"/>
      <w:marTop w:val="0"/>
      <w:marBottom w:val="0"/>
      <w:divBdr>
        <w:top w:val="none" w:sz="0" w:space="0" w:color="auto"/>
        <w:left w:val="none" w:sz="0" w:space="0" w:color="auto"/>
        <w:bottom w:val="none" w:sz="0" w:space="0" w:color="auto"/>
        <w:right w:val="none" w:sz="0" w:space="0" w:color="auto"/>
      </w:divBdr>
    </w:div>
    <w:div w:id="1498423362">
      <w:bodyDiv w:val="1"/>
      <w:marLeft w:val="0"/>
      <w:marRight w:val="0"/>
      <w:marTop w:val="0"/>
      <w:marBottom w:val="0"/>
      <w:divBdr>
        <w:top w:val="none" w:sz="0" w:space="0" w:color="auto"/>
        <w:left w:val="none" w:sz="0" w:space="0" w:color="auto"/>
        <w:bottom w:val="none" w:sz="0" w:space="0" w:color="auto"/>
        <w:right w:val="none" w:sz="0" w:space="0" w:color="auto"/>
      </w:divBdr>
    </w:div>
    <w:div w:id="1498884475">
      <w:bodyDiv w:val="1"/>
      <w:marLeft w:val="0"/>
      <w:marRight w:val="0"/>
      <w:marTop w:val="0"/>
      <w:marBottom w:val="0"/>
      <w:divBdr>
        <w:top w:val="none" w:sz="0" w:space="0" w:color="auto"/>
        <w:left w:val="none" w:sz="0" w:space="0" w:color="auto"/>
        <w:bottom w:val="none" w:sz="0" w:space="0" w:color="auto"/>
        <w:right w:val="none" w:sz="0" w:space="0" w:color="auto"/>
      </w:divBdr>
    </w:div>
    <w:div w:id="1499686521">
      <w:bodyDiv w:val="1"/>
      <w:marLeft w:val="0"/>
      <w:marRight w:val="0"/>
      <w:marTop w:val="0"/>
      <w:marBottom w:val="0"/>
      <w:divBdr>
        <w:top w:val="none" w:sz="0" w:space="0" w:color="auto"/>
        <w:left w:val="none" w:sz="0" w:space="0" w:color="auto"/>
        <w:bottom w:val="none" w:sz="0" w:space="0" w:color="auto"/>
        <w:right w:val="none" w:sz="0" w:space="0" w:color="auto"/>
      </w:divBdr>
    </w:div>
    <w:div w:id="1499691676">
      <w:bodyDiv w:val="1"/>
      <w:marLeft w:val="0"/>
      <w:marRight w:val="0"/>
      <w:marTop w:val="0"/>
      <w:marBottom w:val="0"/>
      <w:divBdr>
        <w:top w:val="none" w:sz="0" w:space="0" w:color="auto"/>
        <w:left w:val="none" w:sz="0" w:space="0" w:color="auto"/>
        <w:bottom w:val="none" w:sz="0" w:space="0" w:color="auto"/>
        <w:right w:val="none" w:sz="0" w:space="0" w:color="auto"/>
      </w:divBdr>
    </w:div>
    <w:div w:id="1499729956">
      <w:bodyDiv w:val="1"/>
      <w:marLeft w:val="0"/>
      <w:marRight w:val="0"/>
      <w:marTop w:val="0"/>
      <w:marBottom w:val="0"/>
      <w:divBdr>
        <w:top w:val="none" w:sz="0" w:space="0" w:color="auto"/>
        <w:left w:val="none" w:sz="0" w:space="0" w:color="auto"/>
        <w:bottom w:val="none" w:sz="0" w:space="0" w:color="auto"/>
        <w:right w:val="none" w:sz="0" w:space="0" w:color="auto"/>
      </w:divBdr>
    </w:div>
    <w:div w:id="1500537426">
      <w:bodyDiv w:val="1"/>
      <w:marLeft w:val="0"/>
      <w:marRight w:val="0"/>
      <w:marTop w:val="0"/>
      <w:marBottom w:val="0"/>
      <w:divBdr>
        <w:top w:val="none" w:sz="0" w:space="0" w:color="auto"/>
        <w:left w:val="none" w:sz="0" w:space="0" w:color="auto"/>
        <w:bottom w:val="none" w:sz="0" w:space="0" w:color="auto"/>
        <w:right w:val="none" w:sz="0" w:space="0" w:color="auto"/>
      </w:divBdr>
    </w:div>
    <w:div w:id="1501695319">
      <w:bodyDiv w:val="1"/>
      <w:marLeft w:val="0"/>
      <w:marRight w:val="0"/>
      <w:marTop w:val="0"/>
      <w:marBottom w:val="0"/>
      <w:divBdr>
        <w:top w:val="none" w:sz="0" w:space="0" w:color="auto"/>
        <w:left w:val="none" w:sz="0" w:space="0" w:color="auto"/>
        <w:bottom w:val="none" w:sz="0" w:space="0" w:color="auto"/>
        <w:right w:val="none" w:sz="0" w:space="0" w:color="auto"/>
      </w:divBdr>
    </w:div>
    <w:div w:id="1502156050">
      <w:bodyDiv w:val="1"/>
      <w:marLeft w:val="0"/>
      <w:marRight w:val="0"/>
      <w:marTop w:val="0"/>
      <w:marBottom w:val="0"/>
      <w:divBdr>
        <w:top w:val="none" w:sz="0" w:space="0" w:color="auto"/>
        <w:left w:val="none" w:sz="0" w:space="0" w:color="auto"/>
        <w:bottom w:val="none" w:sz="0" w:space="0" w:color="auto"/>
        <w:right w:val="none" w:sz="0" w:space="0" w:color="auto"/>
      </w:divBdr>
    </w:div>
    <w:div w:id="1502160651">
      <w:bodyDiv w:val="1"/>
      <w:marLeft w:val="0"/>
      <w:marRight w:val="0"/>
      <w:marTop w:val="0"/>
      <w:marBottom w:val="0"/>
      <w:divBdr>
        <w:top w:val="none" w:sz="0" w:space="0" w:color="auto"/>
        <w:left w:val="none" w:sz="0" w:space="0" w:color="auto"/>
        <w:bottom w:val="none" w:sz="0" w:space="0" w:color="auto"/>
        <w:right w:val="none" w:sz="0" w:space="0" w:color="auto"/>
      </w:divBdr>
    </w:div>
    <w:div w:id="1503472627">
      <w:bodyDiv w:val="1"/>
      <w:marLeft w:val="0"/>
      <w:marRight w:val="0"/>
      <w:marTop w:val="0"/>
      <w:marBottom w:val="0"/>
      <w:divBdr>
        <w:top w:val="none" w:sz="0" w:space="0" w:color="auto"/>
        <w:left w:val="none" w:sz="0" w:space="0" w:color="auto"/>
        <w:bottom w:val="none" w:sz="0" w:space="0" w:color="auto"/>
        <w:right w:val="none" w:sz="0" w:space="0" w:color="auto"/>
      </w:divBdr>
    </w:div>
    <w:div w:id="1503543749">
      <w:bodyDiv w:val="1"/>
      <w:marLeft w:val="0"/>
      <w:marRight w:val="0"/>
      <w:marTop w:val="0"/>
      <w:marBottom w:val="0"/>
      <w:divBdr>
        <w:top w:val="none" w:sz="0" w:space="0" w:color="auto"/>
        <w:left w:val="none" w:sz="0" w:space="0" w:color="auto"/>
        <w:bottom w:val="none" w:sz="0" w:space="0" w:color="auto"/>
        <w:right w:val="none" w:sz="0" w:space="0" w:color="auto"/>
      </w:divBdr>
    </w:div>
    <w:div w:id="1503623239">
      <w:bodyDiv w:val="1"/>
      <w:marLeft w:val="0"/>
      <w:marRight w:val="0"/>
      <w:marTop w:val="0"/>
      <w:marBottom w:val="0"/>
      <w:divBdr>
        <w:top w:val="none" w:sz="0" w:space="0" w:color="auto"/>
        <w:left w:val="none" w:sz="0" w:space="0" w:color="auto"/>
        <w:bottom w:val="none" w:sz="0" w:space="0" w:color="auto"/>
        <w:right w:val="none" w:sz="0" w:space="0" w:color="auto"/>
      </w:divBdr>
    </w:div>
    <w:div w:id="1504129916">
      <w:bodyDiv w:val="1"/>
      <w:marLeft w:val="0"/>
      <w:marRight w:val="0"/>
      <w:marTop w:val="0"/>
      <w:marBottom w:val="0"/>
      <w:divBdr>
        <w:top w:val="none" w:sz="0" w:space="0" w:color="auto"/>
        <w:left w:val="none" w:sz="0" w:space="0" w:color="auto"/>
        <w:bottom w:val="none" w:sz="0" w:space="0" w:color="auto"/>
        <w:right w:val="none" w:sz="0" w:space="0" w:color="auto"/>
      </w:divBdr>
    </w:div>
    <w:div w:id="1505129188">
      <w:bodyDiv w:val="1"/>
      <w:marLeft w:val="0"/>
      <w:marRight w:val="0"/>
      <w:marTop w:val="0"/>
      <w:marBottom w:val="0"/>
      <w:divBdr>
        <w:top w:val="none" w:sz="0" w:space="0" w:color="auto"/>
        <w:left w:val="none" w:sz="0" w:space="0" w:color="auto"/>
        <w:bottom w:val="none" w:sz="0" w:space="0" w:color="auto"/>
        <w:right w:val="none" w:sz="0" w:space="0" w:color="auto"/>
      </w:divBdr>
    </w:div>
    <w:div w:id="1505511024">
      <w:bodyDiv w:val="1"/>
      <w:marLeft w:val="0"/>
      <w:marRight w:val="0"/>
      <w:marTop w:val="0"/>
      <w:marBottom w:val="0"/>
      <w:divBdr>
        <w:top w:val="none" w:sz="0" w:space="0" w:color="auto"/>
        <w:left w:val="none" w:sz="0" w:space="0" w:color="auto"/>
        <w:bottom w:val="none" w:sz="0" w:space="0" w:color="auto"/>
        <w:right w:val="none" w:sz="0" w:space="0" w:color="auto"/>
      </w:divBdr>
    </w:div>
    <w:div w:id="1505701653">
      <w:bodyDiv w:val="1"/>
      <w:marLeft w:val="0"/>
      <w:marRight w:val="0"/>
      <w:marTop w:val="0"/>
      <w:marBottom w:val="0"/>
      <w:divBdr>
        <w:top w:val="none" w:sz="0" w:space="0" w:color="auto"/>
        <w:left w:val="none" w:sz="0" w:space="0" w:color="auto"/>
        <w:bottom w:val="none" w:sz="0" w:space="0" w:color="auto"/>
        <w:right w:val="none" w:sz="0" w:space="0" w:color="auto"/>
      </w:divBdr>
    </w:div>
    <w:div w:id="1505895706">
      <w:bodyDiv w:val="1"/>
      <w:marLeft w:val="0"/>
      <w:marRight w:val="0"/>
      <w:marTop w:val="0"/>
      <w:marBottom w:val="0"/>
      <w:divBdr>
        <w:top w:val="none" w:sz="0" w:space="0" w:color="auto"/>
        <w:left w:val="none" w:sz="0" w:space="0" w:color="auto"/>
        <w:bottom w:val="none" w:sz="0" w:space="0" w:color="auto"/>
        <w:right w:val="none" w:sz="0" w:space="0" w:color="auto"/>
      </w:divBdr>
    </w:div>
    <w:div w:id="1507012917">
      <w:bodyDiv w:val="1"/>
      <w:marLeft w:val="0"/>
      <w:marRight w:val="0"/>
      <w:marTop w:val="0"/>
      <w:marBottom w:val="0"/>
      <w:divBdr>
        <w:top w:val="none" w:sz="0" w:space="0" w:color="auto"/>
        <w:left w:val="none" w:sz="0" w:space="0" w:color="auto"/>
        <w:bottom w:val="none" w:sz="0" w:space="0" w:color="auto"/>
        <w:right w:val="none" w:sz="0" w:space="0" w:color="auto"/>
      </w:divBdr>
    </w:div>
    <w:div w:id="1507213766">
      <w:bodyDiv w:val="1"/>
      <w:marLeft w:val="0"/>
      <w:marRight w:val="0"/>
      <w:marTop w:val="0"/>
      <w:marBottom w:val="0"/>
      <w:divBdr>
        <w:top w:val="none" w:sz="0" w:space="0" w:color="auto"/>
        <w:left w:val="none" w:sz="0" w:space="0" w:color="auto"/>
        <w:bottom w:val="none" w:sz="0" w:space="0" w:color="auto"/>
        <w:right w:val="none" w:sz="0" w:space="0" w:color="auto"/>
      </w:divBdr>
    </w:div>
    <w:div w:id="1508135006">
      <w:bodyDiv w:val="1"/>
      <w:marLeft w:val="0"/>
      <w:marRight w:val="0"/>
      <w:marTop w:val="0"/>
      <w:marBottom w:val="0"/>
      <w:divBdr>
        <w:top w:val="none" w:sz="0" w:space="0" w:color="auto"/>
        <w:left w:val="none" w:sz="0" w:space="0" w:color="auto"/>
        <w:bottom w:val="none" w:sz="0" w:space="0" w:color="auto"/>
        <w:right w:val="none" w:sz="0" w:space="0" w:color="auto"/>
      </w:divBdr>
    </w:div>
    <w:div w:id="1509444124">
      <w:bodyDiv w:val="1"/>
      <w:marLeft w:val="0"/>
      <w:marRight w:val="0"/>
      <w:marTop w:val="0"/>
      <w:marBottom w:val="0"/>
      <w:divBdr>
        <w:top w:val="none" w:sz="0" w:space="0" w:color="auto"/>
        <w:left w:val="none" w:sz="0" w:space="0" w:color="auto"/>
        <w:bottom w:val="none" w:sz="0" w:space="0" w:color="auto"/>
        <w:right w:val="none" w:sz="0" w:space="0" w:color="auto"/>
      </w:divBdr>
    </w:div>
    <w:div w:id="1510632744">
      <w:bodyDiv w:val="1"/>
      <w:marLeft w:val="0"/>
      <w:marRight w:val="0"/>
      <w:marTop w:val="0"/>
      <w:marBottom w:val="0"/>
      <w:divBdr>
        <w:top w:val="none" w:sz="0" w:space="0" w:color="auto"/>
        <w:left w:val="none" w:sz="0" w:space="0" w:color="auto"/>
        <w:bottom w:val="none" w:sz="0" w:space="0" w:color="auto"/>
        <w:right w:val="none" w:sz="0" w:space="0" w:color="auto"/>
      </w:divBdr>
    </w:div>
    <w:div w:id="1511868592">
      <w:bodyDiv w:val="1"/>
      <w:marLeft w:val="0"/>
      <w:marRight w:val="0"/>
      <w:marTop w:val="0"/>
      <w:marBottom w:val="0"/>
      <w:divBdr>
        <w:top w:val="none" w:sz="0" w:space="0" w:color="auto"/>
        <w:left w:val="none" w:sz="0" w:space="0" w:color="auto"/>
        <w:bottom w:val="none" w:sz="0" w:space="0" w:color="auto"/>
        <w:right w:val="none" w:sz="0" w:space="0" w:color="auto"/>
      </w:divBdr>
    </w:div>
    <w:div w:id="1511943477">
      <w:bodyDiv w:val="1"/>
      <w:marLeft w:val="0"/>
      <w:marRight w:val="0"/>
      <w:marTop w:val="0"/>
      <w:marBottom w:val="0"/>
      <w:divBdr>
        <w:top w:val="none" w:sz="0" w:space="0" w:color="auto"/>
        <w:left w:val="none" w:sz="0" w:space="0" w:color="auto"/>
        <w:bottom w:val="none" w:sz="0" w:space="0" w:color="auto"/>
        <w:right w:val="none" w:sz="0" w:space="0" w:color="auto"/>
      </w:divBdr>
    </w:div>
    <w:div w:id="1513033395">
      <w:bodyDiv w:val="1"/>
      <w:marLeft w:val="0"/>
      <w:marRight w:val="0"/>
      <w:marTop w:val="0"/>
      <w:marBottom w:val="0"/>
      <w:divBdr>
        <w:top w:val="none" w:sz="0" w:space="0" w:color="auto"/>
        <w:left w:val="none" w:sz="0" w:space="0" w:color="auto"/>
        <w:bottom w:val="none" w:sz="0" w:space="0" w:color="auto"/>
        <w:right w:val="none" w:sz="0" w:space="0" w:color="auto"/>
      </w:divBdr>
    </w:div>
    <w:div w:id="1513110123">
      <w:bodyDiv w:val="1"/>
      <w:marLeft w:val="0"/>
      <w:marRight w:val="0"/>
      <w:marTop w:val="0"/>
      <w:marBottom w:val="0"/>
      <w:divBdr>
        <w:top w:val="none" w:sz="0" w:space="0" w:color="auto"/>
        <w:left w:val="none" w:sz="0" w:space="0" w:color="auto"/>
        <w:bottom w:val="none" w:sz="0" w:space="0" w:color="auto"/>
        <w:right w:val="none" w:sz="0" w:space="0" w:color="auto"/>
      </w:divBdr>
    </w:div>
    <w:div w:id="1515270177">
      <w:bodyDiv w:val="1"/>
      <w:marLeft w:val="0"/>
      <w:marRight w:val="0"/>
      <w:marTop w:val="0"/>
      <w:marBottom w:val="0"/>
      <w:divBdr>
        <w:top w:val="none" w:sz="0" w:space="0" w:color="auto"/>
        <w:left w:val="none" w:sz="0" w:space="0" w:color="auto"/>
        <w:bottom w:val="none" w:sz="0" w:space="0" w:color="auto"/>
        <w:right w:val="none" w:sz="0" w:space="0" w:color="auto"/>
      </w:divBdr>
    </w:div>
    <w:div w:id="1516724377">
      <w:bodyDiv w:val="1"/>
      <w:marLeft w:val="0"/>
      <w:marRight w:val="0"/>
      <w:marTop w:val="0"/>
      <w:marBottom w:val="0"/>
      <w:divBdr>
        <w:top w:val="none" w:sz="0" w:space="0" w:color="auto"/>
        <w:left w:val="none" w:sz="0" w:space="0" w:color="auto"/>
        <w:bottom w:val="none" w:sz="0" w:space="0" w:color="auto"/>
        <w:right w:val="none" w:sz="0" w:space="0" w:color="auto"/>
      </w:divBdr>
    </w:div>
    <w:div w:id="1517504541">
      <w:bodyDiv w:val="1"/>
      <w:marLeft w:val="0"/>
      <w:marRight w:val="0"/>
      <w:marTop w:val="0"/>
      <w:marBottom w:val="0"/>
      <w:divBdr>
        <w:top w:val="none" w:sz="0" w:space="0" w:color="auto"/>
        <w:left w:val="none" w:sz="0" w:space="0" w:color="auto"/>
        <w:bottom w:val="none" w:sz="0" w:space="0" w:color="auto"/>
        <w:right w:val="none" w:sz="0" w:space="0" w:color="auto"/>
      </w:divBdr>
    </w:div>
    <w:div w:id="1517620637">
      <w:bodyDiv w:val="1"/>
      <w:marLeft w:val="0"/>
      <w:marRight w:val="0"/>
      <w:marTop w:val="0"/>
      <w:marBottom w:val="0"/>
      <w:divBdr>
        <w:top w:val="none" w:sz="0" w:space="0" w:color="auto"/>
        <w:left w:val="none" w:sz="0" w:space="0" w:color="auto"/>
        <w:bottom w:val="none" w:sz="0" w:space="0" w:color="auto"/>
        <w:right w:val="none" w:sz="0" w:space="0" w:color="auto"/>
      </w:divBdr>
    </w:div>
    <w:div w:id="1519614028">
      <w:bodyDiv w:val="1"/>
      <w:marLeft w:val="0"/>
      <w:marRight w:val="0"/>
      <w:marTop w:val="0"/>
      <w:marBottom w:val="0"/>
      <w:divBdr>
        <w:top w:val="none" w:sz="0" w:space="0" w:color="auto"/>
        <w:left w:val="none" w:sz="0" w:space="0" w:color="auto"/>
        <w:bottom w:val="none" w:sz="0" w:space="0" w:color="auto"/>
        <w:right w:val="none" w:sz="0" w:space="0" w:color="auto"/>
      </w:divBdr>
    </w:div>
    <w:div w:id="1519928419">
      <w:bodyDiv w:val="1"/>
      <w:marLeft w:val="0"/>
      <w:marRight w:val="0"/>
      <w:marTop w:val="0"/>
      <w:marBottom w:val="0"/>
      <w:divBdr>
        <w:top w:val="none" w:sz="0" w:space="0" w:color="auto"/>
        <w:left w:val="none" w:sz="0" w:space="0" w:color="auto"/>
        <w:bottom w:val="none" w:sz="0" w:space="0" w:color="auto"/>
        <w:right w:val="none" w:sz="0" w:space="0" w:color="auto"/>
      </w:divBdr>
    </w:div>
    <w:div w:id="1520970792">
      <w:bodyDiv w:val="1"/>
      <w:marLeft w:val="0"/>
      <w:marRight w:val="0"/>
      <w:marTop w:val="0"/>
      <w:marBottom w:val="0"/>
      <w:divBdr>
        <w:top w:val="none" w:sz="0" w:space="0" w:color="auto"/>
        <w:left w:val="none" w:sz="0" w:space="0" w:color="auto"/>
        <w:bottom w:val="none" w:sz="0" w:space="0" w:color="auto"/>
        <w:right w:val="none" w:sz="0" w:space="0" w:color="auto"/>
      </w:divBdr>
    </w:div>
    <w:div w:id="1521971434">
      <w:bodyDiv w:val="1"/>
      <w:marLeft w:val="0"/>
      <w:marRight w:val="0"/>
      <w:marTop w:val="0"/>
      <w:marBottom w:val="0"/>
      <w:divBdr>
        <w:top w:val="none" w:sz="0" w:space="0" w:color="auto"/>
        <w:left w:val="none" w:sz="0" w:space="0" w:color="auto"/>
        <w:bottom w:val="none" w:sz="0" w:space="0" w:color="auto"/>
        <w:right w:val="none" w:sz="0" w:space="0" w:color="auto"/>
      </w:divBdr>
    </w:div>
    <w:div w:id="1522933004">
      <w:bodyDiv w:val="1"/>
      <w:marLeft w:val="0"/>
      <w:marRight w:val="0"/>
      <w:marTop w:val="0"/>
      <w:marBottom w:val="0"/>
      <w:divBdr>
        <w:top w:val="none" w:sz="0" w:space="0" w:color="auto"/>
        <w:left w:val="none" w:sz="0" w:space="0" w:color="auto"/>
        <w:bottom w:val="none" w:sz="0" w:space="0" w:color="auto"/>
        <w:right w:val="none" w:sz="0" w:space="0" w:color="auto"/>
      </w:divBdr>
    </w:div>
    <w:div w:id="1523394647">
      <w:bodyDiv w:val="1"/>
      <w:marLeft w:val="0"/>
      <w:marRight w:val="0"/>
      <w:marTop w:val="0"/>
      <w:marBottom w:val="0"/>
      <w:divBdr>
        <w:top w:val="none" w:sz="0" w:space="0" w:color="auto"/>
        <w:left w:val="none" w:sz="0" w:space="0" w:color="auto"/>
        <w:bottom w:val="none" w:sz="0" w:space="0" w:color="auto"/>
        <w:right w:val="none" w:sz="0" w:space="0" w:color="auto"/>
      </w:divBdr>
    </w:div>
    <w:div w:id="1525749156">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
    <w:div w:id="1526795573">
      <w:bodyDiv w:val="1"/>
      <w:marLeft w:val="0"/>
      <w:marRight w:val="0"/>
      <w:marTop w:val="0"/>
      <w:marBottom w:val="0"/>
      <w:divBdr>
        <w:top w:val="none" w:sz="0" w:space="0" w:color="auto"/>
        <w:left w:val="none" w:sz="0" w:space="0" w:color="auto"/>
        <w:bottom w:val="none" w:sz="0" w:space="0" w:color="auto"/>
        <w:right w:val="none" w:sz="0" w:space="0" w:color="auto"/>
      </w:divBdr>
    </w:div>
    <w:div w:id="1526940989">
      <w:bodyDiv w:val="1"/>
      <w:marLeft w:val="0"/>
      <w:marRight w:val="0"/>
      <w:marTop w:val="0"/>
      <w:marBottom w:val="0"/>
      <w:divBdr>
        <w:top w:val="none" w:sz="0" w:space="0" w:color="auto"/>
        <w:left w:val="none" w:sz="0" w:space="0" w:color="auto"/>
        <w:bottom w:val="none" w:sz="0" w:space="0" w:color="auto"/>
        <w:right w:val="none" w:sz="0" w:space="0" w:color="auto"/>
      </w:divBdr>
    </w:div>
    <w:div w:id="1527595727">
      <w:bodyDiv w:val="1"/>
      <w:marLeft w:val="0"/>
      <w:marRight w:val="0"/>
      <w:marTop w:val="0"/>
      <w:marBottom w:val="0"/>
      <w:divBdr>
        <w:top w:val="none" w:sz="0" w:space="0" w:color="auto"/>
        <w:left w:val="none" w:sz="0" w:space="0" w:color="auto"/>
        <w:bottom w:val="none" w:sz="0" w:space="0" w:color="auto"/>
        <w:right w:val="none" w:sz="0" w:space="0" w:color="auto"/>
      </w:divBdr>
    </w:div>
    <w:div w:id="1527668444">
      <w:bodyDiv w:val="1"/>
      <w:marLeft w:val="0"/>
      <w:marRight w:val="0"/>
      <w:marTop w:val="0"/>
      <w:marBottom w:val="0"/>
      <w:divBdr>
        <w:top w:val="none" w:sz="0" w:space="0" w:color="auto"/>
        <w:left w:val="none" w:sz="0" w:space="0" w:color="auto"/>
        <w:bottom w:val="none" w:sz="0" w:space="0" w:color="auto"/>
        <w:right w:val="none" w:sz="0" w:space="0" w:color="auto"/>
      </w:divBdr>
    </w:div>
    <w:div w:id="1528911587">
      <w:bodyDiv w:val="1"/>
      <w:marLeft w:val="0"/>
      <w:marRight w:val="0"/>
      <w:marTop w:val="0"/>
      <w:marBottom w:val="0"/>
      <w:divBdr>
        <w:top w:val="none" w:sz="0" w:space="0" w:color="auto"/>
        <w:left w:val="none" w:sz="0" w:space="0" w:color="auto"/>
        <w:bottom w:val="none" w:sz="0" w:space="0" w:color="auto"/>
        <w:right w:val="none" w:sz="0" w:space="0" w:color="auto"/>
      </w:divBdr>
    </w:div>
    <w:div w:id="1529173593">
      <w:bodyDiv w:val="1"/>
      <w:marLeft w:val="0"/>
      <w:marRight w:val="0"/>
      <w:marTop w:val="0"/>
      <w:marBottom w:val="0"/>
      <w:divBdr>
        <w:top w:val="none" w:sz="0" w:space="0" w:color="auto"/>
        <w:left w:val="none" w:sz="0" w:space="0" w:color="auto"/>
        <w:bottom w:val="none" w:sz="0" w:space="0" w:color="auto"/>
        <w:right w:val="none" w:sz="0" w:space="0" w:color="auto"/>
      </w:divBdr>
    </w:div>
    <w:div w:id="1531335676">
      <w:bodyDiv w:val="1"/>
      <w:marLeft w:val="0"/>
      <w:marRight w:val="0"/>
      <w:marTop w:val="0"/>
      <w:marBottom w:val="0"/>
      <w:divBdr>
        <w:top w:val="none" w:sz="0" w:space="0" w:color="auto"/>
        <w:left w:val="none" w:sz="0" w:space="0" w:color="auto"/>
        <w:bottom w:val="none" w:sz="0" w:space="0" w:color="auto"/>
        <w:right w:val="none" w:sz="0" w:space="0" w:color="auto"/>
      </w:divBdr>
    </w:div>
    <w:div w:id="1533346279">
      <w:bodyDiv w:val="1"/>
      <w:marLeft w:val="0"/>
      <w:marRight w:val="0"/>
      <w:marTop w:val="0"/>
      <w:marBottom w:val="0"/>
      <w:divBdr>
        <w:top w:val="none" w:sz="0" w:space="0" w:color="auto"/>
        <w:left w:val="none" w:sz="0" w:space="0" w:color="auto"/>
        <w:bottom w:val="none" w:sz="0" w:space="0" w:color="auto"/>
        <w:right w:val="none" w:sz="0" w:space="0" w:color="auto"/>
      </w:divBdr>
    </w:div>
    <w:div w:id="1533765777">
      <w:bodyDiv w:val="1"/>
      <w:marLeft w:val="0"/>
      <w:marRight w:val="0"/>
      <w:marTop w:val="0"/>
      <w:marBottom w:val="0"/>
      <w:divBdr>
        <w:top w:val="none" w:sz="0" w:space="0" w:color="auto"/>
        <w:left w:val="none" w:sz="0" w:space="0" w:color="auto"/>
        <w:bottom w:val="none" w:sz="0" w:space="0" w:color="auto"/>
        <w:right w:val="none" w:sz="0" w:space="0" w:color="auto"/>
      </w:divBdr>
    </w:div>
    <w:div w:id="1534270561">
      <w:bodyDiv w:val="1"/>
      <w:marLeft w:val="0"/>
      <w:marRight w:val="0"/>
      <w:marTop w:val="0"/>
      <w:marBottom w:val="0"/>
      <w:divBdr>
        <w:top w:val="none" w:sz="0" w:space="0" w:color="auto"/>
        <w:left w:val="none" w:sz="0" w:space="0" w:color="auto"/>
        <w:bottom w:val="none" w:sz="0" w:space="0" w:color="auto"/>
        <w:right w:val="none" w:sz="0" w:space="0" w:color="auto"/>
      </w:divBdr>
    </w:div>
    <w:div w:id="1534341549">
      <w:bodyDiv w:val="1"/>
      <w:marLeft w:val="0"/>
      <w:marRight w:val="0"/>
      <w:marTop w:val="0"/>
      <w:marBottom w:val="0"/>
      <w:divBdr>
        <w:top w:val="none" w:sz="0" w:space="0" w:color="auto"/>
        <w:left w:val="none" w:sz="0" w:space="0" w:color="auto"/>
        <w:bottom w:val="none" w:sz="0" w:space="0" w:color="auto"/>
        <w:right w:val="none" w:sz="0" w:space="0" w:color="auto"/>
      </w:divBdr>
    </w:div>
    <w:div w:id="1534880394">
      <w:bodyDiv w:val="1"/>
      <w:marLeft w:val="0"/>
      <w:marRight w:val="0"/>
      <w:marTop w:val="0"/>
      <w:marBottom w:val="0"/>
      <w:divBdr>
        <w:top w:val="none" w:sz="0" w:space="0" w:color="auto"/>
        <w:left w:val="none" w:sz="0" w:space="0" w:color="auto"/>
        <w:bottom w:val="none" w:sz="0" w:space="0" w:color="auto"/>
        <w:right w:val="none" w:sz="0" w:space="0" w:color="auto"/>
      </w:divBdr>
    </w:div>
    <w:div w:id="1535118110">
      <w:bodyDiv w:val="1"/>
      <w:marLeft w:val="0"/>
      <w:marRight w:val="0"/>
      <w:marTop w:val="0"/>
      <w:marBottom w:val="0"/>
      <w:divBdr>
        <w:top w:val="none" w:sz="0" w:space="0" w:color="auto"/>
        <w:left w:val="none" w:sz="0" w:space="0" w:color="auto"/>
        <w:bottom w:val="none" w:sz="0" w:space="0" w:color="auto"/>
        <w:right w:val="none" w:sz="0" w:space="0" w:color="auto"/>
      </w:divBdr>
    </w:div>
    <w:div w:id="1535538866">
      <w:bodyDiv w:val="1"/>
      <w:marLeft w:val="0"/>
      <w:marRight w:val="0"/>
      <w:marTop w:val="0"/>
      <w:marBottom w:val="0"/>
      <w:divBdr>
        <w:top w:val="none" w:sz="0" w:space="0" w:color="auto"/>
        <w:left w:val="none" w:sz="0" w:space="0" w:color="auto"/>
        <w:bottom w:val="none" w:sz="0" w:space="0" w:color="auto"/>
        <w:right w:val="none" w:sz="0" w:space="0" w:color="auto"/>
      </w:divBdr>
    </w:div>
    <w:div w:id="1536191051">
      <w:bodyDiv w:val="1"/>
      <w:marLeft w:val="0"/>
      <w:marRight w:val="0"/>
      <w:marTop w:val="0"/>
      <w:marBottom w:val="0"/>
      <w:divBdr>
        <w:top w:val="none" w:sz="0" w:space="0" w:color="auto"/>
        <w:left w:val="none" w:sz="0" w:space="0" w:color="auto"/>
        <w:bottom w:val="none" w:sz="0" w:space="0" w:color="auto"/>
        <w:right w:val="none" w:sz="0" w:space="0" w:color="auto"/>
      </w:divBdr>
    </w:div>
    <w:div w:id="1536458650">
      <w:bodyDiv w:val="1"/>
      <w:marLeft w:val="0"/>
      <w:marRight w:val="0"/>
      <w:marTop w:val="0"/>
      <w:marBottom w:val="0"/>
      <w:divBdr>
        <w:top w:val="none" w:sz="0" w:space="0" w:color="auto"/>
        <w:left w:val="none" w:sz="0" w:space="0" w:color="auto"/>
        <w:bottom w:val="none" w:sz="0" w:space="0" w:color="auto"/>
        <w:right w:val="none" w:sz="0" w:space="0" w:color="auto"/>
      </w:divBdr>
    </w:div>
    <w:div w:id="1536885946">
      <w:bodyDiv w:val="1"/>
      <w:marLeft w:val="0"/>
      <w:marRight w:val="0"/>
      <w:marTop w:val="0"/>
      <w:marBottom w:val="0"/>
      <w:divBdr>
        <w:top w:val="none" w:sz="0" w:space="0" w:color="auto"/>
        <w:left w:val="none" w:sz="0" w:space="0" w:color="auto"/>
        <w:bottom w:val="none" w:sz="0" w:space="0" w:color="auto"/>
        <w:right w:val="none" w:sz="0" w:space="0" w:color="auto"/>
      </w:divBdr>
    </w:div>
    <w:div w:id="1536893120">
      <w:bodyDiv w:val="1"/>
      <w:marLeft w:val="0"/>
      <w:marRight w:val="0"/>
      <w:marTop w:val="0"/>
      <w:marBottom w:val="0"/>
      <w:divBdr>
        <w:top w:val="none" w:sz="0" w:space="0" w:color="auto"/>
        <w:left w:val="none" w:sz="0" w:space="0" w:color="auto"/>
        <w:bottom w:val="none" w:sz="0" w:space="0" w:color="auto"/>
        <w:right w:val="none" w:sz="0" w:space="0" w:color="auto"/>
      </w:divBdr>
    </w:div>
    <w:div w:id="1538087091">
      <w:bodyDiv w:val="1"/>
      <w:marLeft w:val="0"/>
      <w:marRight w:val="0"/>
      <w:marTop w:val="0"/>
      <w:marBottom w:val="0"/>
      <w:divBdr>
        <w:top w:val="none" w:sz="0" w:space="0" w:color="auto"/>
        <w:left w:val="none" w:sz="0" w:space="0" w:color="auto"/>
        <w:bottom w:val="none" w:sz="0" w:space="0" w:color="auto"/>
        <w:right w:val="none" w:sz="0" w:space="0" w:color="auto"/>
      </w:divBdr>
    </w:div>
    <w:div w:id="1538354676">
      <w:bodyDiv w:val="1"/>
      <w:marLeft w:val="0"/>
      <w:marRight w:val="0"/>
      <w:marTop w:val="0"/>
      <w:marBottom w:val="0"/>
      <w:divBdr>
        <w:top w:val="none" w:sz="0" w:space="0" w:color="auto"/>
        <w:left w:val="none" w:sz="0" w:space="0" w:color="auto"/>
        <w:bottom w:val="none" w:sz="0" w:space="0" w:color="auto"/>
        <w:right w:val="none" w:sz="0" w:space="0" w:color="auto"/>
      </w:divBdr>
    </w:div>
    <w:div w:id="1538544107">
      <w:bodyDiv w:val="1"/>
      <w:marLeft w:val="0"/>
      <w:marRight w:val="0"/>
      <w:marTop w:val="0"/>
      <w:marBottom w:val="0"/>
      <w:divBdr>
        <w:top w:val="none" w:sz="0" w:space="0" w:color="auto"/>
        <w:left w:val="none" w:sz="0" w:space="0" w:color="auto"/>
        <w:bottom w:val="none" w:sz="0" w:space="0" w:color="auto"/>
        <w:right w:val="none" w:sz="0" w:space="0" w:color="auto"/>
      </w:divBdr>
    </w:div>
    <w:div w:id="1539705946">
      <w:bodyDiv w:val="1"/>
      <w:marLeft w:val="0"/>
      <w:marRight w:val="0"/>
      <w:marTop w:val="0"/>
      <w:marBottom w:val="0"/>
      <w:divBdr>
        <w:top w:val="none" w:sz="0" w:space="0" w:color="auto"/>
        <w:left w:val="none" w:sz="0" w:space="0" w:color="auto"/>
        <w:bottom w:val="none" w:sz="0" w:space="0" w:color="auto"/>
        <w:right w:val="none" w:sz="0" w:space="0" w:color="auto"/>
      </w:divBdr>
    </w:div>
    <w:div w:id="1540358876">
      <w:bodyDiv w:val="1"/>
      <w:marLeft w:val="0"/>
      <w:marRight w:val="0"/>
      <w:marTop w:val="0"/>
      <w:marBottom w:val="0"/>
      <w:divBdr>
        <w:top w:val="none" w:sz="0" w:space="0" w:color="auto"/>
        <w:left w:val="none" w:sz="0" w:space="0" w:color="auto"/>
        <w:bottom w:val="none" w:sz="0" w:space="0" w:color="auto"/>
        <w:right w:val="none" w:sz="0" w:space="0" w:color="auto"/>
      </w:divBdr>
    </w:div>
    <w:div w:id="1541547939">
      <w:bodyDiv w:val="1"/>
      <w:marLeft w:val="0"/>
      <w:marRight w:val="0"/>
      <w:marTop w:val="0"/>
      <w:marBottom w:val="0"/>
      <w:divBdr>
        <w:top w:val="none" w:sz="0" w:space="0" w:color="auto"/>
        <w:left w:val="none" w:sz="0" w:space="0" w:color="auto"/>
        <w:bottom w:val="none" w:sz="0" w:space="0" w:color="auto"/>
        <w:right w:val="none" w:sz="0" w:space="0" w:color="auto"/>
      </w:divBdr>
    </w:div>
    <w:div w:id="1542205180">
      <w:bodyDiv w:val="1"/>
      <w:marLeft w:val="0"/>
      <w:marRight w:val="0"/>
      <w:marTop w:val="0"/>
      <w:marBottom w:val="0"/>
      <w:divBdr>
        <w:top w:val="none" w:sz="0" w:space="0" w:color="auto"/>
        <w:left w:val="none" w:sz="0" w:space="0" w:color="auto"/>
        <w:bottom w:val="none" w:sz="0" w:space="0" w:color="auto"/>
        <w:right w:val="none" w:sz="0" w:space="0" w:color="auto"/>
      </w:divBdr>
    </w:div>
    <w:div w:id="1542863214">
      <w:bodyDiv w:val="1"/>
      <w:marLeft w:val="0"/>
      <w:marRight w:val="0"/>
      <w:marTop w:val="0"/>
      <w:marBottom w:val="0"/>
      <w:divBdr>
        <w:top w:val="none" w:sz="0" w:space="0" w:color="auto"/>
        <w:left w:val="none" w:sz="0" w:space="0" w:color="auto"/>
        <w:bottom w:val="none" w:sz="0" w:space="0" w:color="auto"/>
        <w:right w:val="none" w:sz="0" w:space="0" w:color="auto"/>
      </w:divBdr>
    </w:div>
    <w:div w:id="1544250366">
      <w:bodyDiv w:val="1"/>
      <w:marLeft w:val="0"/>
      <w:marRight w:val="0"/>
      <w:marTop w:val="0"/>
      <w:marBottom w:val="0"/>
      <w:divBdr>
        <w:top w:val="none" w:sz="0" w:space="0" w:color="auto"/>
        <w:left w:val="none" w:sz="0" w:space="0" w:color="auto"/>
        <w:bottom w:val="none" w:sz="0" w:space="0" w:color="auto"/>
        <w:right w:val="none" w:sz="0" w:space="0" w:color="auto"/>
      </w:divBdr>
    </w:div>
    <w:div w:id="1544443876">
      <w:bodyDiv w:val="1"/>
      <w:marLeft w:val="0"/>
      <w:marRight w:val="0"/>
      <w:marTop w:val="0"/>
      <w:marBottom w:val="0"/>
      <w:divBdr>
        <w:top w:val="none" w:sz="0" w:space="0" w:color="auto"/>
        <w:left w:val="none" w:sz="0" w:space="0" w:color="auto"/>
        <w:bottom w:val="none" w:sz="0" w:space="0" w:color="auto"/>
        <w:right w:val="none" w:sz="0" w:space="0" w:color="auto"/>
      </w:divBdr>
    </w:div>
    <w:div w:id="1547717663">
      <w:bodyDiv w:val="1"/>
      <w:marLeft w:val="0"/>
      <w:marRight w:val="0"/>
      <w:marTop w:val="0"/>
      <w:marBottom w:val="0"/>
      <w:divBdr>
        <w:top w:val="none" w:sz="0" w:space="0" w:color="auto"/>
        <w:left w:val="none" w:sz="0" w:space="0" w:color="auto"/>
        <w:bottom w:val="none" w:sz="0" w:space="0" w:color="auto"/>
        <w:right w:val="none" w:sz="0" w:space="0" w:color="auto"/>
      </w:divBdr>
    </w:div>
    <w:div w:id="1547795772">
      <w:bodyDiv w:val="1"/>
      <w:marLeft w:val="0"/>
      <w:marRight w:val="0"/>
      <w:marTop w:val="0"/>
      <w:marBottom w:val="0"/>
      <w:divBdr>
        <w:top w:val="none" w:sz="0" w:space="0" w:color="auto"/>
        <w:left w:val="none" w:sz="0" w:space="0" w:color="auto"/>
        <w:bottom w:val="none" w:sz="0" w:space="0" w:color="auto"/>
        <w:right w:val="none" w:sz="0" w:space="0" w:color="auto"/>
      </w:divBdr>
    </w:div>
    <w:div w:id="1549144950">
      <w:bodyDiv w:val="1"/>
      <w:marLeft w:val="0"/>
      <w:marRight w:val="0"/>
      <w:marTop w:val="0"/>
      <w:marBottom w:val="0"/>
      <w:divBdr>
        <w:top w:val="none" w:sz="0" w:space="0" w:color="auto"/>
        <w:left w:val="none" w:sz="0" w:space="0" w:color="auto"/>
        <w:bottom w:val="none" w:sz="0" w:space="0" w:color="auto"/>
        <w:right w:val="none" w:sz="0" w:space="0" w:color="auto"/>
      </w:divBdr>
    </w:div>
    <w:div w:id="1549411853">
      <w:bodyDiv w:val="1"/>
      <w:marLeft w:val="0"/>
      <w:marRight w:val="0"/>
      <w:marTop w:val="0"/>
      <w:marBottom w:val="0"/>
      <w:divBdr>
        <w:top w:val="none" w:sz="0" w:space="0" w:color="auto"/>
        <w:left w:val="none" w:sz="0" w:space="0" w:color="auto"/>
        <w:bottom w:val="none" w:sz="0" w:space="0" w:color="auto"/>
        <w:right w:val="none" w:sz="0" w:space="0" w:color="auto"/>
      </w:divBdr>
    </w:div>
    <w:div w:id="1550189462">
      <w:bodyDiv w:val="1"/>
      <w:marLeft w:val="0"/>
      <w:marRight w:val="0"/>
      <w:marTop w:val="0"/>
      <w:marBottom w:val="0"/>
      <w:divBdr>
        <w:top w:val="none" w:sz="0" w:space="0" w:color="auto"/>
        <w:left w:val="none" w:sz="0" w:space="0" w:color="auto"/>
        <w:bottom w:val="none" w:sz="0" w:space="0" w:color="auto"/>
        <w:right w:val="none" w:sz="0" w:space="0" w:color="auto"/>
      </w:divBdr>
    </w:div>
    <w:div w:id="1552110731">
      <w:bodyDiv w:val="1"/>
      <w:marLeft w:val="0"/>
      <w:marRight w:val="0"/>
      <w:marTop w:val="0"/>
      <w:marBottom w:val="0"/>
      <w:divBdr>
        <w:top w:val="none" w:sz="0" w:space="0" w:color="auto"/>
        <w:left w:val="none" w:sz="0" w:space="0" w:color="auto"/>
        <w:bottom w:val="none" w:sz="0" w:space="0" w:color="auto"/>
        <w:right w:val="none" w:sz="0" w:space="0" w:color="auto"/>
      </w:divBdr>
    </w:div>
    <w:div w:id="1552493247">
      <w:bodyDiv w:val="1"/>
      <w:marLeft w:val="0"/>
      <w:marRight w:val="0"/>
      <w:marTop w:val="0"/>
      <w:marBottom w:val="0"/>
      <w:divBdr>
        <w:top w:val="none" w:sz="0" w:space="0" w:color="auto"/>
        <w:left w:val="none" w:sz="0" w:space="0" w:color="auto"/>
        <w:bottom w:val="none" w:sz="0" w:space="0" w:color="auto"/>
        <w:right w:val="none" w:sz="0" w:space="0" w:color="auto"/>
      </w:divBdr>
    </w:div>
    <w:div w:id="1553229615">
      <w:bodyDiv w:val="1"/>
      <w:marLeft w:val="0"/>
      <w:marRight w:val="0"/>
      <w:marTop w:val="0"/>
      <w:marBottom w:val="0"/>
      <w:divBdr>
        <w:top w:val="none" w:sz="0" w:space="0" w:color="auto"/>
        <w:left w:val="none" w:sz="0" w:space="0" w:color="auto"/>
        <w:bottom w:val="none" w:sz="0" w:space="0" w:color="auto"/>
        <w:right w:val="none" w:sz="0" w:space="0" w:color="auto"/>
      </w:divBdr>
    </w:div>
    <w:div w:id="1553273422">
      <w:bodyDiv w:val="1"/>
      <w:marLeft w:val="0"/>
      <w:marRight w:val="0"/>
      <w:marTop w:val="0"/>
      <w:marBottom w:val="0"/>
      <w:divBdr>
        <w:top w:val="none" w:sz="0" w:space="0" w:color="auto"/>
        <w:left w:val="none" w:sz="0" w:space="0" w:color="auto"/>
        <w:bottom w:val="none" w:sz="0" w:space="0" w:color="auto"/>
        <w:right w:val="none" w:sz="0" w:space="0" w:color="auto"/>
      </w:divBdr>
    </w:div>
    <w:div w:id="1556819429">
      <w:bodyDiv w:val="1"/>
      <w:marLeft w:val="0"/>
      <w:marRight w:val="0"/>
      <w:marTop w:val="0"/>
      <w:marBottom w:val="0"/>
      <w:divBdr>
        <w:top w:val="none" w:sz="0" w:space="0" w:color="auto"/>
        <w:left w:val="none" w:sz="0" w:space="0" w:color="auto"/>
        <w:bottom w:val="none" w:sz="0" w:space="0" w:color="auto"/>
        <w:right w:val="none" w:sz="0" w:space="0" w:color="auto"/>
      </w:divBdr>
    </w:div>
    <w:div w:id="1557619063">
      <w:bodyDiv w:val="1"/>
      <w:marLeft w:val="0"/>
      <w:marRight w:val="0"/>
      <w:marTop w:val="0"/>
      <w:marBottom w:val="0"/>
      <w:divBdr>
        <w:top w:val="none" w:sz="0" w:space="0" w:color="auto"/>
        <w:left w:val="none" w:sz="0" w:space="0" w:color="auto"/>
        <w:bottom w:val="none" w:sz="0" w:space="0" w:color="auto"/>
        <w:right w:val="none" w:sz="0" w:space="0" w:color="auto"/>
      </w:divBdr>
    </w:div>
    <w:div w:id="1557624804">
      <w:bodyDiv w:val="1"/>
      <w:marLeft w:val="0"/>
      <w:marRight w:val="0"/>
      <w:marTop w:val="0"/>
      <w:marBottom w:val="0"/>
      <w:divBdr>
        <w:top w:val="none" w:sz="0" w:space="0" w:color="auto"/>
        <w:left w:val="none" w:sz="0" w:space="0" w:color="auto"/>
        <w:bottom w:val="none" w:sz="0" w:space="0" w:color="auto"/>
        <w:right w:val="none" w:sz="0" w:space="0" w:color="auto"/>
      </w:divBdr>
    </w:div>
    <w:div w:id="1557929367">
      <w:bodyDiv w:val="1"/>
      <w:marLeft w:val="0"/>
      <w:marRight w:val="0"/>
      <w:marTop w:val="0"/>
      <w:marBottom w:val="0"/>
      <w:divBdr>
        <w:top w:val="none" w:sz="0" w:space="0" w:color="auto"/>
        <w:left w:val="none" w:sz="0" w:space="0" w:color="auto"/>
        <w:bottom w:val="none" w:sz="0" w:space="0" w:color="auto"/>
        <w:right w:val="none" w:sz="0" w:space="0" w:color="auto"/>
      </w:divBdr>
    </w:div>
    <w:div w:id="1558855680">
      <w:bodyDiv w:val="1"/>
      <w:marLeft w:val="0"/>
      <w:marRight w:val="0"/>
      <w:marTop w:val="0"/>
      <w:marBottom w:val="0"/>
      <w:divBdr>
        <w:top w:val="none" w:sz="0" w:space="0" w:color="auto"/>
        <w:left w:val="none" w:sz="0" w:space="0" w:color="auto"/>
        <w:bottom w:val="none" w:sz="0" w:space="0" w:color="auto"/>
        <w:right w:val="none" w:sz="0" w:space="0" w:color="auto"/>
      </w:divBdr>
    </w:div>
    <w:div w:id="1559437194">
      <w:bodyDiv w:val="1"/>
      <w:marLeft w:val="0"/>
      <w:marRight w:val="0"/>
      <w:marTop w:val="0"/>
      <w:marBottom w:val="0"/>
      <w:divBdr>
        <w:top w:val="none" w:sz="0" w:space="0" w:color="auto"/>
        <w:left w:val="none" w:sz="0" w:space="0" w:color="auto"/>
        <w:bottom w:val="none" w:sz="0" w:space="0" w:color="auto"/>
        <w:right w:val="none" w:sz="0" w:space="0" w:color="auto"/>
      </w:divBdr>
    </w:div>
    <w:div w:id="1560703609">
      <w:bodyDiv w:val="1"/>
      <w:marLeft w:val="0"/>
      <w:marRight w:val="0"/>
      <w:marTop w:val="0"/>
      <w:marBottom w:val="0"/>
      <w:divBdr>
        <w:top w:val="none" w:sz="0" w:space="0" w:color="auto"/>
        <w:left w:val="none" w:sz="0" w:space="0" w:color="auto"/>
        <w:bottom w:val="none" w:sz="0" w:space="0" w:color="auto"/>
        <w:right w:val="none" w:sz="0" w:space="0" w:color="auto"/>
      </w:divBdr>
    </w:div>
    <w:div w:id="1560704653">
      <w:bodyDiv w:val="1"/>
      <w:marLeft w:val="0"/>
      <w:marRight w:val="0"/>
      <w:marTop w:val="0"/>
      <w:marBottom w:val="0"/>
      <w:divBdr>
        <w:top w:val="none" w:sz="0" w:space="0" w:color="auto"/>
        <w:left w:val="none" w:sz="0" w:space="0" w:color="auto"/>
        <w:bottom w:val="none" w:sz="0" w:space="0" w:color="auto"/>
        <w:right w:val="none" w:sz="0" w:space="0" w:color="auto"/>
      </w:divBdr>
    </w:div>
    <w:div w:id="1561284027">
      <w:bodyDiv w:val="1"/>
      <w:marLeft w:val="0"/>
      <w:marRight w:val="0"/>
      <w:marTop w:val="0"/>
      <w:marBottom w:val="0"/>
      <w:divBdr>
        <w:top w:val="none" w:sz="0" w:space="0" w:color="auto"/>
        <w:left w:val="none" w:sz="0" w:space="0" w:color="auto"/>
        <w:bottom w:val="none" w:sz="0" w:space="0" w:color="auto"/>
        <w:right w:val="none" w:sz="0" w:space="0" w:color="auto"/>
      </w:divBdr>
    </w:div>
    <w:div w:id="1561747491">
      <w:bodyDiv w:val="1"/>
      <w:marLeft w:val="0"/>
      <w:marRight w:val="0"/>
      <w:marTop w:val="0"/>
      <w:marBottom w:val="0"/>
      <w:divBdr>
        <w:top w:val="none" w:sz="0" w:space="0" w:color="auto"/>
        <w:left w:val="none" w:sz="0" w:space="0" w:color="auto"/>
        <w:bottom w:val="none" w:sz="0" w:space="0" w:color="auto"/>
        <w:right w:val="none" w:sz="0" w:space="0" w:color="auto"/>
      </w:divBdr>
    </w:div>
    <w:div w:id="1562324318">
      <w:bodyDiv w:val="1"/>
      <w:marLeft w:val="0"/>
      <w:marRight w:val="0"/>
      <w:marTop w:val="0"/>
      <w:marBottom w:val="0"/>
      <w:divBdr>
        <w:top w:val="none" w:sz="0" w:space="0" w:color="auto"/>
        <w:left w:val="none" w:sz="0" w:space="0" w:color="auto"/>
        <w:bottom w:val="none" w:sz="0" w:space="0" w:color="auto"/>
        <w:right w:val="none" w:sz="0" w:space="0" w:color="auto"/>
      </w:divBdr>
    </w:div>
    <w:div w:id="1563830977">
      <w:bodyDiv w:val="1"/>
      <w:marLeft w:val="0"/>
      <w:marRight w:val="0"/>
      <w:marTop w:val="0"/>
      <w:marBottom w:val="0"/>
      <w:divBdr>
        <w:top w:val="none" w:sz="0" w:space="0" w:color="auto"/>
        <w:left w:val="none" w:sz="0" w:space="0" w:color="auto"/>
        <w:bottom w:val="none" w:sz="0" w:space="0" w:color="auto"/>
        <w:right w:val="none" w:sz="0" w:space="0" w:color="auto"/>
      </w:divBdr>
    </w:div>
    <w:div w:id="1563905047">
      <w:bodyDiv w:val="1"/>
      <w:marLeft w:val="0"/>
      <w:marRight w:val="0"/>
      <w:marTop w:val="0"/>
      <w:marBottom w:val="0"/>
      <w:divBdr>
        <w:top w:val="none" w:sz="0" w:space="0" w:color="auto"/>
        <w:left w:val="none" w:sz="0" w:space="0" w:color="auto"/>
        <w:bottom w:val="none" w:sz="0" w:space="0" w:color="auto"/>
        <w:right w:val="none" w:sz="0" w:space="0" w:color="auto"/>
      </w:divBdr>
    </w:div>
    <w:div w:id="1564677462">
      <w:bodyDiv w:val="1"/>
      <w:marLeft w:val="0"/>
      <w:marRight w:val="0"/>
      <w:marTop w:val="0"/>
      <w:marBottom w:val="0"/>
      <w:divBdr>
        <w:top w:val="none" w:sz="0" w:space="0" w:color="auto"/>
        <w:left w:val="none" w:sz="0" w:space="0" w:color="auto"/>
        <w:bottom w:val="none" w:sz="0" w:space="0" w:color="auto"/>
        <w:right w:val="none" w:sz="0" w:space="0" w:color="auto"/>
      </w:divBdr>
    </w:div>
    <w:div w:id="1565481025">
      <w:bodyDiv w:val="1"/>
      <w:marLeft w:val="0"/>
      <w:marRight w:val="0"/>
      <w:marTop w:val="0"/>
      <w:marBottom w:val="0"/>
      <w:divBdr>
        <w:top w:val="none" w:sz="0" w:space="0" w:color="auto"/>
        <w:left w:val="none" w:sz="0" w:space="0" w:color="auto"/>
        <w:bottom w:val="none" w:sz="0" w:space="0" w:color="auto"/>
        <w:right w:val="none" w:sz="0" w:space="0" w:color="auto"/>
      </w:divBdr>
    </w:div>
    <w:div w:id="1565598697">
      <w:bodyDiv w:val="1"/>
      <w:marLeft w:val="0"/>
      <w:marRight w:val="0"/>
      <w:marTop w:val="0"/>
      <w:marBottom w:val="0"/>
      <w:divBdr>
        <w:top w:val="none" w:sz="0" w:space="0" w:color="auto"/>
        <w:left w:val="none" w:sz="0" w:space="0" w:color="auto"/>
        <w:bottom w:val="none" w:sz="0" w:space="0" w:color="auto"/>
        <w:right w:val="none" w:sz="0" w:space="0" w:color="auto"/>
      </w:divBdr>
    </w:div>
    <w:div w:id="1565720910">
      <w:bodyDiv w:val="1"/>
      <w:marLeft w:val="0"/>
      <w:marRight w:val="0"/>
      <w:marTop w:val="0"/>
      <w:marBottom w:val="0"/>
      <w:divBdr>
        <w:top w:val="none" w:sz="0" w:space="0" w:color="auto"/>
        <w:left w:val="none" w:sz="0" w:space="0" w:color="auto"/>
        <w:bottom w:val="none" w:sz="0" w:space="0" w:color="auto"/>
        <w:right w:val="none" w:sz="0" w:space="0" w:color="auto"/>
      </w:divBdr>
    </w:div>
    <w:div w:id="1566839350">
      <w:bodyDiv w:val="1"/>
      <w:marLeft w:val="0"/>
      <w:marRight w:val="0"/>
      <w:marTop w:val="0"/>
      <w:marBottom w:val="0"/>
      <w:divBdr>
        <w:top w:val="none" w:sz="0" w:space="0" w:color="auto"/>
        <w:left w:val="none" w:sz="0" w:space="0" w:color="auto"/>
        <w:bottom w:val="none" w:sz="0" w:space="0" w:color="auto"/>
        <w:right w:val="none" w:sz="0" w:space="0" w:color="auto"/>
      </w:divBdr>
    </w:div>
    <w:div w:id="1566987360">
      <w:bodyDiv w:val="1"/>
      <w:marLeft w:val="0"/>
      <w:marRight w:val="0"/>
      <w:marTop w:val="0"/>
      <w:marBottom w:val="0"/>
      <w:divBdr>
        <w:top w:val="none" w:sz="0" w:space="0" w:color="auto"/>
        <w:left w:val="none" w:sz="0" w:space="0" w:color="auto"/>
        <w:bottom w:val="none" w:sz="0" w:space="0" w:color="auto"/>
        <w:right w:val="none" w:sz="0" w:space="0" w:color="auto"/>
      </w:divBdr>
    </w:div>
    <w:div w:id="1567033258">
      <w:bodyDiv w:val="1"/>
      <w:marLeft w:val="0"/>
      <w:marRight w:val="0"/>
      <w:marTop w:val="0"/>
      <w:marBottom w:val="0"/>
      <w:divBdr>
        <w:top w:val="none" w:sz="0" w:space="0" w:color="auto"/>
        <w:left w:val="none" w:sz="0" w:space="0" w:color="auto"/>
        <w:bottom w:val="none" w:sz="0" w:space="0" w:color="auto"/>
        <w:right w:val="none" w:sz="0" w:space="0" w:color="auto"/>
      </w:divBdr>
    </w:div>
    <w:div w:id="1567258505">
      <w:bodyDiv w:val="1"/>
      <w:marLeft w:val="0"/>
      <w:marRight w:val="0"/>
      <w:marTop w:val="0"/>
      <w:marBottom w:val="0"/>
      <w:divBdr>
        <w:top w:val="none" w:sz="0" w:space="0" w:color="auto"/>
        <w:left w:val="none" w:sz="0" w:space="0" w:color="auto"/>
        <w:bottom w:val="none" w:sz="0" w:space="0" w:color="auto"/>
        <w:right w:val="none" w:sz="0" w:space="0" w:color="auto"/>
      </w:divBdr>
    </w:div>
    <w:div w:id="1567492774">
      <w:bodyDiv w:val="1"/>
      <w:marLeft w:val="0"/>
      <w:marRight w:val="0"/>
      <w:marTop w:val="0"/>
      <w:marBottom w:val="0"/>
      <w:divBdr>
        <w:top w:val="none" w:sz="0" w:space="0" w:color="auto"/>
        <w:left w:val="none" w:sz="0" w:space="0" w:color="auto"/>
        <w:bottom w:val="none" w:sz="0" w:space="0" w:color="auto"/>
        <w:right w:val="none" w:sz="0" w:space="0" w:color="auto"/>
      </w:divBdr>
    </w:div>
    <w:div w:id="1568223880">
      <w:bodyDiv w:val="1"/>
      <w:marLeft w:val="0"/>
      <w:marRight w:val="0"/>
      <w:marTop w:val="0"/>
      <w:marBottom w:val="0"/>
      <w:divBdr>
        <w:top w:val="none" w:sz="0" w:space="0" w:color="auto"/>
        <w:left w:val="none" w:sz="0" w:space="0" w:color="auto"/>
        <w:bottom w:val="none" w:sz="0" w:space="0" w:color="auto"/>
        <w:right w:val="none" w:sz="0" w:space="0" w:color="auto"/>
      </w:divBdr>
    </w:div>
    <w:div w:id="1568419989">
      <w:bodyDiv w:val="1"/>
      <w:marLeft w:val="0"/>
      <w:marRight w:val="0"/>
      <w:marTop w:val="0"/>
      <w:marBottom w:val="0"/>
      <w:divBdr>
        <w:top w:val="none" w:sz="0" w:space="0" w:color="auto"/>
        <w:left w:val="none" w:sz="0" w:space="0" w:color="auto"/>
        <w:bottom w:val="none" w:sz="0" w:space="0" w:color="auto"/>
        <w:right w:val="none" w:sz="0" w:space="0" w:color="auto"/>
      </w:divBdr>
    </w:div>
    <w:div w:id="1568570067">
      <w:bodyDiv w:val="1"/>
      <w:marLeft w:val="0"/>
      <w:marRight w:val="0"/>
      <w:marTop w:val="0"/>
      <w:marBottom w:val="0"/>
      <w:divBdr>
        <w:top w:val="none" w:sz="0" w:space="0" w:color="auto"/>
        <w:left w:val="none" w:sz="0" w:space="0" w:color="auto"/>
        <w:bottom w:val="none" w:sz="0" w:space="0" w:color="auto"/>
        <w:right w:val="none" w:sz="0" w:space="0" w:color="auto"/>
      </w:divBdr>
    </w:div>
    <w:div w:id="1569456436">
      <w:bodyDiv w:val="1"/>
      <w:marLeft w:val="0"/>
      <w:marRight w:val="0"/>
      <w:marTop w:val="0"/>
      <w:marBottom w:val="0"/>
      <w:divBdr>
        <w:top w:val="none" w:sz="0" w:space="0" w:color="auto"/>
        <w:left w:val="none" w:sz="0" w:space="0" w:color="auto"/>
        <w:bottom w:val="none" w:sz="0" w:space="0" w:color="auto"/>
        <w:right w:val="none" w:sz="0" w:space="0" w:color="auto"/>
      </w:divBdr>
    </w:div>
    <w:div w:id="1569923894">
      <w:bodyDiv w:val="1"/>
      <w:marLeft w:val="0"/>
      <w:marRight w:val="0"/>
      <w:marTop w:val="0"/>
      <w:marBottom w:val="0"/>
      <w:divBdr>
        <w:top w:val="none" w:sz="0" w:space="0" w:color="auto"/>
        <w:left w:val="none" w:sz="0" w:space="0" w:color="auto"/>
        <w:bottom w:val="none" w:sz="0" w:space="0" w:color="auto"/>
        <w:right w:val="none" w:sz="0" w:space="0" w:color="auto"/>
      </w:divBdr>
    </w:div>
    <w:div w:id="1570385570">
      <w:bodyDiv w:val="1"/>
      <w:marLeft w:val="0"/>
      <w:marRight w:val="0"/>
      <w:marTop w:val="0"/>
      <w:marBottom w:val="0"/>
      <w:divBdr>
        <w:top w:val="none" w:sz="0" w:space="0" w:color="auto"/>
        <w:left w:val="none" w:sz="0" w:space="0" w:color="auto"/>
        <w:bottom w:val="none" w:sz="0" w:space="0" w:color="auto"/>
        <w:right w:val="none" w:sz="0" w:space="0" w:color="auto"/>
      </w:divBdr>
    </w:div>
    <w:div w:id="1570463176">
      <w:bodyDiv w:val="1"/>
      <w:marLeft w:val="0"/>
      <w:marRight w:val="0"/>
      <w:marTop w:val="0"/>
      <w:marBottom w:val="0"/>
      <w:divBdr>
        <w:top w:val="none" w:sz="0" w:space="0" w:color="auto"/>
        <w:left w:val="none" w:sz="0" w:space="0" w:color="auto"/>
        <w:bottom w:val="none" w:sz="0" w:space="0" w:color="auto"/>
        <w:right w:val="none" w:sz="0" w:space="0" w:color="auto"/>
      </w:divBdr>
    </w:div>
    <w:div w:id="1570573151">
      <w:bodyDiv w:val="1"/>
      <w:marLeft w:val="0"/>
      <w:marRight w:val="0"/>
      <w:marTop w:val="0"/>
      <w:marBottom w:val="0"/>
      <w:divBdr>
        <w:top w:val="none" w:sz="0" w:space="0" w:color="auto"/>
        <w:left w:val="none" w:sz="0" w:space="0" w:color="auto"/>
        <w:bottom w:val="none" w:sz="0" w:space="0" w:color="auto"/>
        <w:right w:val="none" w:sz="0" w:space="0" w:color="auto"/>
      </w:divBdr>
    </w:div>
    <w:div w:id="1570647999">
      <w:bodyDiv w:val="1"/>
      <w:marLeft w:val="0"/>
      <w:marRight w:val="0"/>
      <w:marTop w:val="0"/>
      <w:marBottom w:val="0"/>
      <w:divBdr>
        <w:top w:val="none" w:sz="0" w:space="0" w:color="auto"/>
        <w:left w:val="none" w:sz="0" w:space="0" w:color="auto"/>
        <w:bottom w:val="none" w:sz="0" w:space="0" w:color="auto"/>
        <w:right w:val="none" w:sz="0" w:space="0" w:color="auto"/>
      </w:divBdr>
    </w:div>
    <w:div w:id="1572738471">
      <w:bodyDiv w:val="1"/>
      <w:marLeft w:val="0"/>
      <w:marRight w:val="0"/>
      <w:marTop w:val="0"/>
      <w:marBottom w:val="0"/>
      <w:divBdr>
        <w:top w:val="none" w:sz="0" w:space="0" w:color="auto"/>
        <w:left w:val="none" w:sz="0" w:space="0" w:color="auto"/>
        <w:bottom w:val="none" w:sz="0" w:space="0" w:color="auto"/>
        <w:right w:val="none" w:sz="0" w:space="0" w:color="auto"/>
      </w:divBdr>
    </w:div>
    <w:div w:id="1573858091">
      <w:bodyDiv w:val="1"/>
      <w:marLeft w:val="0"/>
      <w:marRight w:val="0"/>
      <w:marTop w:val="0"/>
      <w:marBottom w:val="0"/>
      <w:divBdr>
        <w:top w:val="none" w:sz="0" w:space="0" w:color="auto"/>
        <w:left w:val="none" w:sz="0" w:space="0" w:color="auto"/>
        <w:bottom w:val="none" w:sz="0" w:space="0" w:color="auto"/>
        <w:right w:val="none" w:sz="0" w:space="0" w:color="auto"/>
      </w:divBdr>
    </w:div>
    <w:div w:id="1574782051">
      <w:bodyDiv w:val="1"/>
      <w:marLeft w:val="0"/>
      <w:marRight w:val="0"/>
      <w:marTop w:val="0"/>
      <w:marBottom w:val="0"/>
      <w:divBdr>
        <w:top w:val="none" w:sz="0" w:space="0" w:color="auto"/>
        <w:left w:val="none" w:sz="0" w:space="0" w:color="auto"/>
        <w:bottom w:val="none" w:sz="0" w:space="0" w:color="auto"/>
        <w:right w:val="none" w:sz="0" w:space="0" w:color="auto"/>
      </w:divBdr>
    </w:div>
    <w:div w:id="1576284765">
      <w:bodyDiv w:val="1"/>
      <w:marLeft w:val="0"/>
      <w:marRight w:val="0"/>
      <w:marTop w:val="0"/>
      <w:marBottom w:val="0"/>
      <w:divBdr>
        <w:top w:val="none" w:sz="0" w:space="0" w:color="auto"/>
        <w:left w:val="none" w:sz="0" w:space="0" w:color="auto"/>
        <w:bottom w:val="none" w:sz="0" w:space="0" w:color="auto"/>
        <w:right w:val="none" w:sz="0" w:space="0" w:color="auto"/>
      </w:divBdr>
    </w:div>
    <w:div w:id="1576624312">
      <w:bodyDiv w:val="1"/>
      <w:marLeft w:val="0"/>
      <w:marRight w:val="0"/>
      <w:marTop w:val="0"/>
      <w:marBottom w:val="0"/>
      <w:divBdr>
        <w:top w:val="none" w:sz="0" w:space="0" w:color="auto"/>
        <w:left w:val="none" w:sz="0" w:space="0" w:color="auto"/>
        <w:bottom w:val="none" w:sz="0" w:space="0" w:color="auto"/>
        <w:right w:val="none" w:sz="0" w:space="0" w:color="auto"/>
      </w:divBdr>
    </w:div>
    <w:div w:id="1577086770">
      <w:bodyDiv w:val="1"/>
      <w:marLeft w:val="0"/>
      <w:marRight w:val="0"/>
      <w:marTop w:val="0"/>
      <w:marBottom w:val="0"/>
      <w:divBdr>
        <w:top w:val="none" w:sz="0" w:space="0" w:color="auto"/>
        <w:left w:val="none" w:sz="0" w:space="0" w:color="auto"/>
        <w:bottom w:val="none" w:sz="0" w:space="0" w:color="auto"/>
        <w:right w:val="none" w:sz="0" w:space="0" w:color="auto"/>
      </w:divBdr>
    </w:div>
    <w:div w:id="1578323314">
      <w:bodyDiv w:val="1"/>
      <w:marLeft w:val="0"/>
      <w:marRight w:val="0"/>
      <w:marTop w:val="0"/>
      <w:marBottom w:val="0"/>
      <w:divBdr>
        <w:top w:val="none" w:sz="0" w:space="0" w:color="auto"/>
        <w:left w:val="none" w:sz="0" w:space="0" w:color="auto"/>
        <w:bottom w:val="none" w:sz="0" w:space="0" w:color="auto"/>
        <w:right w:val="none" w:sz="0" w:space="0" w:color="auto"/>
      </w:divBdr>
    </w:div>
    <w:div w:id="1578586792">
      <w:bodyDiv w:val="1"/>
      <w:marLeft w:val="0"/>
      <w:marRight w:val="0"/>
      <w:marTop w:val="0"/>
      <w:marBottom w:val="0"/>
      <w:divBdr>
        <w:top w:val="none" w:sz="0" w:space="0" w:color="auto"/>
        <w:left w:val="none" w:sz="0" w:space="0" w:color="auto"/>
        <w:bottom w:val="none" w:sz="0" w:space="0" w:color="auto"/>
        <w:right w:val="none" w:sz="0" w:space="0" w:color="auto"/>
      </w:divBdr>
    </w:div>
    <w:div w:id="1579095631">
      <w:bodyDiv w:val="1"/>
      <w:marLeft w:val="0"/>
      <w:marRight w:val="0"/>
      <w:marTop w:val="0"/>
      <w:marBottom w:val="0"/>
      <w:divBdr>
        <w:top w:val="none" w:sz="0" w:space="0" w:color="auto"/>
        <w:left w:val="none" w:sz="0" w:space="0" w:color="auto"/>
        <w:bottom w:val="none" w:sz="0" w:space="0" w:color="auto"/>
        <w:right w:val="none" w:sz="0" w:space="0" w:color="auto"/>
      </w:divBdr>
    </w:div>
    <w:div w:id="1579174307">
      <w:bodyDiv w:val="1"/>
      <w:marLeft w:val="0"/>
      <w:marRight w:val="0"/>
      <w:marTop w:val="0"/>
      <w:marBottom w:val="0"/>
      <w:divBdr>
        <w:top w:val="none" w:sz="0" w:space="0" w:color="auto"/>
        <w:left w:val="none" w:sz="0" w:space="0" w:color="auto"/>
        <w:bottom w:val="none" w:sz="0" w:space="0" w:color="auto"/>
        <w:right w:val="none" w:sz="0" w:space="0" w:color="auto"/>
      </w:divBdr>
    </w:div>
    <w:div w:id="1580362830">
      <w:bodyDiv w:val="1"/>
      <w:marLeft w:val="0"/>
      <w:marRight w:val="0"/>
      <w:marTop w:val="0"/>
      <w:marBottom w:val="0"/>
      <w:divBdr>
        <w:top w:val="none" w:sz="0" w:space="0" w:color="auto"/>
        <w:left w:val="none" w:sz="0" w:space="0" w:color="auto"/>
        <w:bottom w:val="none" w:sz="0" w:space="0" w:color="auto"/>
        <w:right w:val="none" w:sz="0" w:space="0" w:color="auto"/>
      </w:divBdr>
    </w:div>
    <w:div w:id="1581061678">
      <w:bodyDiv w:val="1"/>
      <w:marLeft w:val="0"/>
      <w:marRight w:val="0"/>
      <w:marTop w:val="0"/>
      <w:marBottom w:val="0"/>
      <w:divBdr>
        <w:top w:val="none" w:sz="0" w:space="0" w:color="auto"/>
        <w:left w:val="none" w:sz="0" w:space="0" w:color="auto"/>
        <w:bottom w:val="none" w:sz="0" w:space="0" w:color="auto"/>
        <w:right w:val="none" w:sz="0" w:space="0" w:color="auto"/>
      </w:divBdr>
    </w:div>
    <w:div w:id="1581523110">
      <w:bodyDiv w:val="1"/>
      <w:marLeft w:val="0"/>
      <w:marRight w:val="0"/>
      <w:marTop w:val="0"/>
      <w:marBottom w:val="0"/>
      <w:divBdr>
        <w:top w:val="none" w:sz="0" w:space="0" w:color="auto"/>
        <w:left w:val="none" w:sz="0" w:space="0" w:color="auto"/>
        <w:bottom w:val="none" w:sz="0" w:space="0" w:color="auto"/>
        <w:right w:val="none" w:sz="0" w:space="0" w:color="auto"/>
      </w:divBdr>
    </w:div>
    <w:div w:id="1581714692">
      <w:bodyDiv w:val="1"/>
      <w:marLeft w:val="0"/>
      <w:marRight w:val="0"/>
      <w:marTop w:val="0"/>
      <w:marBottom w:val="0"/>
      <w:divBdr>
        <w:top w:val="none" w:sz="0" w:space="0" w:color="auto"/>
        <w:left w:val="none" w:sz="0" w:space="0" w:color="auto"/>
        <w:bottom w:val="none" w:sz="0" w:space="0" w:color="auto"/>
        <w:right w:val="none" w:sz="0" w:space="0" w:color="auto"/>
      </w:divBdr>
    </w:div>
    <w:div w:id="1582525789">
      <w:bodyDiv w:val="1"/>
      <w:marLeft w:val="0"/>
      <w:marRight w:val="0"/>
      <w:marTop w:val="0"/>
      <w:marBottom w:val="0"/>
      <w:divBdr>
        <w:top w:val="none" w:sz="0" w:space="0" w:color="auto"/>
        <w:left w:val="none" w:sz="0" w:space="0" w:color="auto"/>
        <w:bottom w:val="none" w:sz="0" w:space="0" w:color="auto"/>
        <w:right w:val="none" w:sz="0" w:space="0" w:color="auto"/>
      </w:divBdr>
    </w:div>
    <w:div w:id="1582712058">
      <w:bodyDiv w:val="1"/>
      <w:marLeft w:val="0"/>
      <w:marRight w:val="0"/>
      <w:marTop w:val="0"/>
      <w:marBottom w:val="0"/>
      <w:divBdr>
        <w:top w:val="none" w:sz="0" w:space="0" w:color="auto"/>
        <w:left w:val="none" w:sz="0" w:space="0" w:color="auto"/>
        <w:bottom w:val="none" w:sz="0" w:space="0" w:color="auto"/>
        <w:right w:val="none" w:sz="0" w:space="0" w:color="auto"/>
      </w:divBdr>
    </w:div>
    <w:div w:id="1583684366">
      <w:bodyDiv w:val="1"/>
      <w:marLeft w:val="0"/>
      <w:marRight w:val="0"/>
      <w:marTop w:val="0"/>
      <w:marBottom w:val="0"/>
      <w:divBdr>
        <w:top w:val="none" w:sz="0" w:space="0" w:color="auto"/>
        <w:left w:val="none" w:sz="0" w:space="0" w:color="auto"/>
        <w:bottom w:val="none" w:sz="0" w:space="0" w:color="auto"/>
        <w:right w:val="none" w:sz="0" w:space="0" w:color="auto"/>
      </w:divBdr>
    </w:div>
    <w:div w:id="1585607859">
      <w:bodyDiv w:val="1"/>
      <w:marLeft w:val="0"/>
      <w:marRight w:val="0"/>
      <w:marTop w:val="0"/>
      <w:marBottom w:val="0"/>
      <w:divBdr>
        <w:top w:val="none" w:sz="0" w:space="0" w:color="auto"/>
        <w:left w:val="none" w:sz="0" w:space="0" w:color="auto"/>
        <w:bottom w:val="none" w:sz="0" w:space="0" w:color="auto"/>
        <w:right w:val="none" w:sz="0" w:space="0" w:color="auto"/>
      </w:divBdr>
    </w:div>
    <w:div w:id="1586763478">
      <w:bodyDiv w:val="1"/>
      <w:marLeft w:val="0"/>
      <w:marRight w:val="0"/>
      <w:marTop w:val="0"/>
      <w:marBottom w:val="0"/>
      <w:divBdr>
        <w:top w:val="none" w:sz="0" w:space="0" w:color="auto"/>
        <w:left w:val="none" w:sz="0" w:space="0" w:color="auto"/>
        <w:bottom w:val="none" w:sz="0" w:space="0" w:color="auto"/>
        <w:right w:val="none" w:sz="0" w:space="0" w:color="auto"/>
      </w:divBdr>
    </w:div>
    <w:div w:id="1586766380">
      <w:bodyDiv w:val="1"/>
      <w:marLeft w:val="0"/>
      <w:marRight w:val="0"/>
      <w:marTop w:val="0"/>
      <w:marBottom w:val="0"/>
      <w:divBdr>
        <w:top w:val="none" w:sz="0" w:space="0" w:color="auto"/>
        <w:left w:val="none" w:sz="0" w:space="0" w:color="auto"/>
        <w:bottom w:val="none" w:sz="0" w:space="0" w:color="auto"/>
        <w:right w:val="none" w:sz="0" w:space="0" w:color="auto"/>
      </w:divBdr>
    </w:div>
    <w:div w:id="1588030413">
      <w:bodyDiv w:val="1"/>
      <w:marLeft w:val="0"/>
      <w:marRight w:val="0"/>
      <w:marTop w:val="0"/>
      <w:marBottom w:val="0"/>
      <w:divBdr>
        <w:top w:val="none" w:sz="0" w:space="0" w:color="auto"/>
        <w:left w:val="none" w:sz="0" w:space="0" w:color="auto"/>
        <w:bottom w:val="none" w:sz="0" w:space="0" w:color="auto"/>
        <w:right w:val="none" w:sz="0" w:space="0" w:color="auto"/>
      </w:divBdr>
    </w:div>
    <w:div w:id="1588491111">
      <w:bodyDiv w:val="1"/>
      <w:marLeft w:val="0"/>
      <w:marRight w:val="0"/>
      <w:marTop w:val="0"/>
      <w:marBottom w:val="0"/>
      <w:divBdr>
        <w:top w:val="none" w:sz="0" w:space="0" w:color="auto"/>
        <w:left w:val="none" w:sz="0" w:space="0" w:color="auto"/>
        <w:bottom w:val="none" w:sz="0" w:space="0" w:color="auto"/>
        <w:right w:val="none" w:sz="0" w:space="0" w:color="auto"/>
      </w:divBdr>
    </w:div>
    <w:div w:id="1588492838">
      <w:bodyDiv w:val="1"/>
      <w:marLeft w:val="0"/>
      <w:marRight w:val="0"/>
      <w:marTop w:val="0"/>
      <w:marBottom w:val="0"/>
      <w:divBdr>
        <w:top w:val="none" w:sz="0" w:space="0" w:color="auto"/>
        <w:left w:val="none" w:sz="0" w:space="0" w:color="auto"/>
        <w:bottom w:val="none" w:sz="0" w:space="0" w:color="auto"/>
        <w:right w:val="none" w:sz="0" w:space="0" w:color="auto"/>
      </w:divBdr>
    </w:div>
    <w:div w:id="1589196818">
      <w:bodyDiv w:val="1"/>
      <w:marLeft w:val="0"/>
      <w:marRight w:val="0"/>
      <w:marTop w:val="0"/>
      <w:marBottom w:val="0"/>
      <w:divBdr>
        <w:top w:val="none" w:sz="0" w:space="0" w:color="auto"/>
        <w:left w:val="none" w:sz="0" w:space="0" w:color="auto"/>
        <w:bottom w:val="none" w:sz="0" w:space="0" w:color="auto"/>
        <w:right w:val="none" w:sz="0" w:space="0" w:color="auto"/>
      </w:divBdr>
    </w:div>
    <w:div w:id="1589658445">
      <w:bodyDiv w:val="1"/>
      <w:marLeft w:val="0"/>
      <w:marRight w:val="0"/>
      <w:marTop w:val="0"/>
      <w:marBottom w:val="0"/>
      <w:divBdr>
        <w:top w:val="none" w:sz="0" w:space="0" w:color="auto"/>
        <w:left w:val="none" w:sz="0" w:space="0" w:color="auto"/>
        <w:bottom w:val="none" w:sz="0" w:space="0" w:color="auto"/>
        <w:right w:val="none" w:sz="0" w:space="0" w:color="auto"/>
      </w:divBdr>
    </w:div>
    <w:div w:id="1589844922">
      <w:bodyDiv w:val="1"/>
      <w:marLeft w:val="0"/>
      <w:marRight w:val="0"/>
      <w:marTop w:val="0"/>
      <w:marBottom w:val="0"/>
      <w:divBdr>
        <w:top w:val="none" w:sz="0" w:space="0" w:color="auto"/>
        <w:left w:val="none" w:sz="0" w:space="0" w:color="auto"/>
        <w:bottom w:val="none" w:sz="0" w:space="0" w:color="auto"/>
        <w:right w:val="none" w:sz="0" w:space="0" w:color="auto"/>
      </w:divBdr>
    </w:div>
    <w:div w:id="1590188778">
      <w:bodyDiv w:val="1"/>
      <w:marLeft w:val="0"/>
      <w:marRight w:val="0"/>
      <w:marTop w:val="0"/>
      <w:marBottom w:val="0"/>
      <w:divBdr>
        <w:top w:val="none" w:sz="0" w:space="0" w:color="auto"/>
        <w:left w:val="none" w:sz="0" w:space="0" w:color="auto"/>
        <w:bottom w:val="none" w:sz="0" w:space="0" w:color="auto"/>
        <w:right w:val="none" w:sz="0" w:space="0" w:color="auto"/>
      </w:divBdr>
    </w:div>
    <w:div w:id="1590263494">
      <w:bodyDiv w:val="1"/>
      <w:marLeft w:val="0"/>
      <w:marRight w:val="0"/>
      <w:marTop w:val="0"/>
      <w:marBottom w:val="0"/>
      <w:divBdr>
        <w:top w:val="none" w:sz="0" w:space="0" w:color="auto"/>
        <w:left w:val="none" w:sz="0" w:space="0" w:color="auto"/>
        <w:bottom w:val="none" w:sz="0" w:space="0" w:color="auto"/>
        <w:right w:val="none" w:sz="0" w:space="0" w:color="auto"/>
      </w:divBdr>
    </w:div>
    <w:div w:id="1590696163">
      <w:bodyDiv w:val="1"/>
      <w:marLeft w:val="0"/>
      <w:marRight w:val="0"/>
      <w:marTop w:val="0"/>
      <w:marBottom w:val="0"/>
      <w:divBdr>
        <w:top w:val="none" w:sz="0" w:space="0" w:color="auto"/>
        <w:left w:val="none" w:sz="0" w:space="0" w:color="auto"/>
        <w:bottom w:val="none" w:sz="0" w:space="0" w:color="auto"/>
        <w:right w:val="none" w:sz="0" w:space="0" w:color="auto"/>
      </w:divBdr>
    </w:div>
    <w:div w:id="1591045670">
      <w:bodyDiv w:val="1"/>
      <w:marLeft w:val="0"/>
      <w:marRight w:val="0"/>
      <w:marTop w:val="0"/>
      <w:marBottom w:val="0"/>
      <w:divBdr>
        <w:top w:val="none" w:sz="0" w:space="0" w:color="auto"/>
        <w:left w:val="none" w:sz="0" w:space="0" w:color="auto"/>
        <w:bottom w:val="none" w:sz="0" w:space="0" w:color="auto"/>
        <w:right w:val="none" w:sz="0" w:space="0" w:color="auto"/>
      </w:divBdr>
    </w:div>
    <w:div w:id="1591312036">
      <w:bodyDiv w:val="1"/>
      <w:marLeft w:val="0"/>
      <w:marRight w:val="0"/>
      <w:marTop w:val="0"/>
      <w:marBottom w:val="0"/>
      <w:divBdr>
        <w:top w:val="none" w:sz="0" w:space="0" w:color="auto"/>
        <w:left w:val="none" w:sz="0" w:space="0" w:color="auto"/>
        <w:bottom w:val="none" w:sz="0" w:space="0" w:color="auto"/>
        <w:right w:val="none" w:sz="0" w:space="0" w:color="auto"/>
      </w:divBdr>
    </w:div>
    <w:div w:id="1591542483">
      <w:bodyDiv w:val="1"/>
      <w:marLeft w:val="0"/>
      <w:marRight w:val="0"/>
      <w:marTop w:val="0"/>
      <w:marBottom w:val="0"/>
      <w:divBdr>
        <w:top w:val="none" w:sz="0" w:space="0" w:color="auto"/>
        <w:left w:val="none" w:sz="0" w:space="0" w:color="auto"/>
        <w:bottom w:val="none" w:sz="0" w:space="0" w:color="auto"/>
        <w:right w:val="none" w:sz="0" w:space="0" w:color="auto"/>
      </w:divBdr>
    </w:div>
    <w:div w:id="1591625165">
      <w:bodyDiv w:val="1"/>
      <w:marLeft w:val="0"/>
      <w:marRight w:val="0"/>
      <w:marTop w:val="0"/>
      <w:marBottom w:val="0"/>
      <w:divBdr>
        <w:top w:val="none" w:sz="0" w:space="0" w:color="auto"/>
        <w:left w:val="none" w:sz="0" w:space="0" w:color="auto"/>
        <w:bottom w:val="none" w:sz="0" w:space="0" w:color="auto"/>
        <w:right w:val="none" w:sz="0" w:space="0" w:color="auto"/>
      </w:divBdr>
    </w:div>
    <w:div w:id="1591962104">
      <w:bodyDiv w:val="1"/>
      <w:marLeft w:val="0"/>
      <w:marRight w:val="0"/>
      <w:marTop w:val="0"/>
      <w:marBottom w:val="0"/>
      <w:divBdr>
        <w:top w:val="none" w:sz="0" w:space="0" w:color="auto"/>
        <w:left w:val="none" w:sz="0" w:space="0" w:color="auto"/>
        <w:bottom w:val="none" w:sz="0" w:space="0" w:color="auto"/>
        <w:right w:val="none" w:sz="0" w:space="0" w:color="auto"/>
      </w:divBdr>
    </w:div>
    <w:div w:id="1592159216">
      <w:bodyDiv w:val="1"/>
      <w:marLeft w:val="0"/>
      <w:marRight w:val="0"/>
      <w:marTop w:val="0"/>
      <w:marBottom w:val="0"/>
      <w:divBdr>
        <w:top w:val="none" w:sz="0" w:space="0" w:color="auto"/>
        <w:left w:val="none" w:sz="0" w:space="0" w:color="auto"/>
        <w:bottom w:val="none" w:sz="0" w:space="0" w:color="auto"/>
        <w:right w:val="none" w:sz="0" w:space="0" w:color="auto"/>
      </w:divBdr>
    </w:div>
    <w:div w:id="1593274512">
      <w:bodyDiv w:val="1"/>
      <w:marLeft w:val="0"/>
      <w:marRight w:val="0"/>
      <w:marTop w:val="0"/>
      <w:marBottom w:val="0"/>
      <w:divBdr>
        <w:top w:val="none" w:sz="0" w:space="0" w:color="auto"/>
        <w:left w:val="none" w:sz="0" w:space="0" w:color="auto"/>
        <w:bottom w:val="none" w:sz="0" w:space="0" w:color="auto"/>
        <w:right w:val="none" w:sz="0" w:space="0" w:color="auto"/>
      </w:divBdr>
    </w:div>
    <w:div w:id="1594507855">
      <w:bodyDiv w:val="1"/>
      <w:marLeft w:val="0"/>
      <w:marRight w:val="0"/>
      <w:marTop w:val="0"/>
      <w:marBottom w:val="0"/>
      <w:divBdr>
        <w:top w:val="none" w:sz="0" w:space="0" w:color="auto"/>
        <w:left w:val="none" w:sz="0" w:space="0" w:color="auto"/>
        <w:bottom w:val="none" w:sz="0" w:space="0" w:color="auto"/>
        <w:right w:val="none" w:sz="0" w:space="0" w:color="auto"/>
      </w:divBdr>
    </w:div>
    <w:div w:id="1594780492">
      <w:bodyDiv w:val="1"/>
      <w:marLeft w:val="0"/>
      <w:marRight w:val="0"/>
      <w:marTop w:val="0"/>
      <w:marBottom w:val="0"/>
      <w:divBdr>
        <w:top w:val="none" w:sz="0" w:space="0" w:color="auto"/>
        <w:left w:val="none" w:sz="0" w:space="0" w:color="auto"/>
        <w:bottom w:val="none" w:sz="0" w:space="0" w:color="auto"/>
        <w:right w:val="none" w:sz="0" w:space="0" w:color="auto"/>
      </w:divBdr>
    </w:div>
    <w:div w:id="1594783706">
      <w:bodyDiv w:val="1"/>
      <w:marLeft w:val="0"/>
      <w:marRight w:val="0"/>
      <w:marTop w:val="0"/>
      <w:marBottom w:val="0"/>
      <w:divBdr>
        <w:top w:val="none" w:sz="0" w:space="0" w:color="auto"/>
        <w:left w:val="none" w:sz="0" w:space="0" w:color="auto"/>
        <w:bottom w:val="none" w:sz="0" w:space="0" w:color="auto"/>
        <w:right w:val="none" w:sz="0" w:space="0" w:color="auto"/>
      </w:divBdr>
    </w:div>
    <w:div w:id="1595282828">
      <w:bodyDiv w:val="1"/>
      <w:marLeft w:val="0"/>
      <w:marRight w:val="0"/>
      <w:marTop w:val="0"/>
      <w:marBottom w:val="0"/>
      <w:divBdr>
        <w:top w:val="none" w:sz="0" w:space="0" w:color="auto"/>
        <w:left w:val="none" w:sz="0" w:space="0" w:color="auto"/>
        <w:bottom w:val="none" w:sz="0" w:space="0" w:color="auto"/>
        <w:right w:val="none" w:sz="0" w:space="0" w:color="auto"/>
      </w:divBdr>
    </w:div>
    <w:div w:id="1598558255">
      <w:bodyDiv w:val="1"/>
      <w:marLeft w:val="0"/>
      <w:marRight w:val="0"/>
      <w:marTop w:val="0"/>
      <w:marBottom w:val="0"/>
      <w:divBdr>
        <w:top w:val="none" w:sz="0" w:space="0" w:color="auto"/>
        <w:left w:val="none" w:sz="0" w:space="0" w:color="auto"/>
        <w:bottom w:val="none" w:sz="0" w:space="0" w:color="auto"/>
        <w:right w:val="none" w:sz="0" w:space="0" w:color="auto"/>
      </w:divBdr>
    </w:div>
    <w:div w:id="1599672915">
      <w:bodyDiv w:val="1"/>
      <w:marLeft w:val="0"/>
      <w:marRight w:val="0"/>
      <w:marTop w:val="0"/>
      <w:marBottom w:val="0"/>
      <w:divBdr>
        <w:top w:val="none" w:sz="0" w:space="0" w:color="auto"/>
        <w:left w:val="none" w:sz="0" w:space="0" w:color="auto"/>
        <w:bottom w:val="none" w:sz="0" w:space="0" w:color="auto"/>
        <w:right w:val="none" w:sz="0" w:space="0" w:color="auto"/>
      </w:divBdr>
    </w:div>
    <w:div w:id="1599874207">
      <w:bodyDiv w:val="1"/>
      <w:marLeft w:val="0"/>
      <w:marRight w:val="0"/>
      <w:marTop w:val="0"/>
      <w:marBottom w:val="0"/>
      <w:divBdr>
        <w:top w:val="none" w:sz="0" w:space="0" w:color="auto"/>
        <w:left w:val="none" w:sz="0" w:space="0" w:color="auto"/>
        <w:bottom w:val="none" w:sz="0" w:space="0" w:color="auto"/>
        <w:right w:val="none" w:sz="0" w:space="0" w:color="auto"/>
      </w:divBdr>
    </w:div>
    <w:div w:id="1600334928">
      <w:bodyDiv w:val="1"/>
      <w:marLeft w:val="0"/>
      <w:marRight w:val="0"/>
      <w:marTop w:val="0"/>
      <w:marBottom w:val="0"/>
      <w:divBdr>
        <w:top w:val="none" w:sz="0" w:space="0" w:color="auto"/>
        <w:left w:val="none" w:sz="0" w:space="0" w:color="auto"/>
        <w:bottom w:val="none" w:sz="0" w:space="0" w:color="auto"/>
        <w:right w:val="none" w:sz="0" w:space="0" w:color="auto"/>
      </w:divBdr>
    </w:div>
    <w:div w:id="1602688327">
      <w:bodyDiv w:val="1"/>
      <w:marLeft w:val="0"/>
      <w:marRight w:val="0"/>
      <w:marTop w:val="0"/>
      <w:marBottom w:val="0"/>
      <w:divBdr>
        <w:top w:val="none" w:sz="0" w:space="0" w:color="auto"/>
        <w:left w:val="none" w:sz="0" w:space="0" w:color="auto"/>
        <w:bottom w:val="none" w:sz="0" w:space="0" w:color="auto"/>
        <w:right w:val="none" w:sz="0" w:space="0" w:color="auto"/>
      </w:divBdr>
    </w:div>
    <w:div w:id="1603103095">
      <w:bodyDiv w:val="1"/>
      <w:marLeft w:val="0"/>
      <w:marRight w:val="0"/>
      <w:marTop w:val="0"/>
      <w:marBottom w:val="0"/>
      <w:divBdr>
        <w:top w:val="none" w:sz="0" w:space="0" w:color="auto"/>
        <w:left w:val="none" w:sz="0" w:space="0" w:color="auto"/>
        <w:bottom w:val="none" w:sz="0" w:space="0" w:color="auto"/>
        <w:right w:val="none" w:sz="0" w:space="0" w:color="auto"/>
      </w:divBdr>
    </w:div>
    <w:div w:id="1603147287">
      <w:bodyDiv w:val="1"/>
      <w:marLeft w:val="0"/>
      <w:marRight w:val="0"/>
      <w:marTop w:val="0"/>
      <w:marBottom w:val="0"/>
      <w:divBdr>
        <w:top w:val="none" w:sz="0" w:space="0" w:color="auto"/>
        <w:left w:val="none" w:sz="0" w:space="0" w:color="auto"/>
        <w:bottom w:val="none" w:sz="0" w:space="0" w:color="auto"/>
        <w:right w:val="none" w:sz="0" w:space="0" w:color="auto"/>
      </w:divBdr>
    </w:div>
    <w:div w:id="1603488593">
      <w:bodyDiv w:val="1"/>
      <w:marLeft w:val="0"/>
      <w:marRight w:val="0"/>
      <w:marTop w:val="0"/>
      <w:marBottom w:val="0"/>
      <w:divBdr>
        <w:top w:val="none" w:sz="0" w:space="0" w:color="auto"/>
        <w:left w:val="none" w:sz="0" w:space="0" w:color="auto"/>
        <w:bottom w:val="none" w:sz="0" w:space="0" w:color="auto"/>
        <w:right w:val="none" w:sz="0" w:space="0" w:color="auto"/>
      </w:divBdr>
    </w:div>
    <w:div w:id="1603688686">
      <w:bodyDiv w:val="1"/>
      <w:marLeft w:val="0"/>
      <w:marRight w:val="0"/>
      <w:marTop w:val="0"/>
      <w:marBottom w:val="0"/>
      <w:divBdr>
        <w:top w:val="none" w:sz="0" w:space="0" w:color="auto"/>
        <w:left w:val="none" w:sz="0" w:space="0" w:color="auto"/>
        <w:bottom w:val="none" w:sz="0" w:space="0" w:color="auto"/>
        <w:right w:val="none" w:sz="0" w:space="0" w:color="auto"/>
      </w:divBdr>
    </w:div>
    <w:div w:id="1604418271">
      <w:bodyDiv w:val="1"/>
      <w:marLeft w:val="0"/>
      <w:marRight w:val="0"/>
      <w:marTop w:val="0"/>
      <w:marBottom w:val="0"/>
      <w:divBdr>
        <w:top w:val="none" w:sz="0" w:space="0" w:color="auto"/>
        <w:left w:val="none" w:sz="0" w:space="0" w:color="auto"/>
        <w:bottom w:val="none" w:sz="0" w:space="0" w:color="auto"/>
        <w:right w:val="none" w:sz="0" w:space="0" w:color="auto"/>
      </w:divBdr>
    </w:div>
    <w:div w:id="1605265358">
      <w:bodyDiv w:val="1"/>
      <w:marLeft w:val="0"/>
      <w:marRight w:val="0"/>
      <w:marTop w:val="0"/>
      <w:marBottom w:val="0"/>
      <w:divBdr>
        <w:top w:val="none" w:sz="0" w:space="0" w:color="auto"/>
        <w:left w:val="none" w:sz="0" w:space="0" w:color="auto"/>
        <w:bottom w:val="none" w:sz="0" w:space="0" w:color="auto"/>
        <w:right w:val="none" w:sz="0" w:space="0" w:color="auto"/>
      </w:divBdr>
    </w:div>
    <w:div w:id="1608076564">
      <w:bodyDiv w:val="1"/>
      <w:marLeft w:val="0"/>
      <w:marRight w:val="0"/>
      <w:marTop w:val="0"/>
      <w:marBottom w:val="0"/>
      <w:divBdr>
        <w:top w:val="none" w:sz="0" w:space="0" w:color="auto"/>
        <w:left w:val="none" w:sz="0" w:space="0" w:color="auto"/>
        <w:bottom w:val="none" w:sz="0" w:space="0" w:color="auto"/>
        <w:right w:val="none" w:sz="0" w:space="0" w:color="auto"/>
      </w:divBdr>
    </w:div>
    <w:div w:id="1608465237">
      <w:bodyDiv w:val="1"/>
      <w:marLeft w:val="0"/>
      <w:marRight w:val="0"/>
      <w:marTop w:val="0"/>
      <w:marBottom w:val="0"/>
      <w:divBdr>
        <w:top w:val="none" w:sz="0" w:space="0" w:color="auto"/>
        <w:left w:val="none" w:sz="0" w:space="0" w:color="auto"/>
        <w:bottom w:val="none" w:sz="0" w:space="0" w:color="auto"/>
        <w:right w:val="none" w:sz="0" w:space="0" w:color="auto"/>
      </w:divBdr>
    </w:div>
    <w:div w:id="1608848458">
      <w:bodyDiv w:val="1"/>
      <w:marLeft w:val="0"/>
      <w:marRight w:val="0"/>
      <w:marTop w:val="0"/>
      <w:marBottom w:val="0"/>
      <w:divBdr>
        <w:top w:val="none" w:sz="0" w:space="0" w:color="auto"/>
        <w:left w:val="none" w:sz="0" w:space="0" w:color="auto"/>
        <w:bottom w:val="none" w:sz="0" w:space="0" w:color="auto"/>
        <w:right w:val="none" w:sz="0" w:space="0" w:color="auto"/>
      </w:divBdr>
    </w:div>
    <w:div w:id="1609043808">
      <w:bodyDiv w:val="1"/>
      <w:marLeft w:val="0"/>
      <w:marRight w:val="0"/>
      <w:marTop w:val="0"/>
      <w:marBottom w:val="0"/>
      <w:divBdr>
        <w:top w:val="none" w:sz="0" w:space="0" w:color="auto"/>
        <w:left w:val="none" w:sz="0" w:space="0" w:color="auto"/>
        <w:bottom w:val="none" w:sz="0" w:space="0" w:color="auto"/>
        <w:right w:val="none" w:sz="0" w:space="0" w:color="auto"/>
      </w:divBdr>
    </w:div>
    <w:div w:id="1609309651">
      <w:bodyDiv w:val="1"/>
      <w:marLeft w:val="0"/>
      <w:marRight w:val="0"/>
      <w:marTop w:val="0"/>
      <w:marBottom w:val="0"/>
      <w:divBdr>
        <w:top w:val="none" w:sz="0" w:space="0" w:color="auto"/>
        <w:left w:val="none" w:sz="0" w:space="0" w:color="auto"/>
        <w:bottom w:val="none" w:sz="0" w:space="0" w:color="auto"/>
        <w:right w:val="none" w:sz="0" w:space="0" w:color="auto"/>
      </w:divBdr>
    </w:div>
    <w:div w:id="1609971733">
      <w:bodyDiv w:val="1"/>
      <w:marLeft w:val="0"/>
      <w:marRight w:val="0"/>
      <w:marTop w:val="0"/>
      <w:marBottom w:val="0"/>
      <w:divBdr>
        <w:top w:val="none" w:sz="0" w:space="0" w:color="auto"/>
        <w:left w:val="none" w:sz="0" w:space="0" w:color="auto"/>
        <w:bottom w:val="none" w:sz="0" w:space="0" w:color="auto"/>
        <w:right w:val="none" w:sz="0" w:space="0" w:color="auto"/>
      </w:divBdr>
    </w:div>
    <w:div w:id="1610115574">
      <w:bodyDiv w:val="1"/>
      <w:marLeft w:val="0"/>
      <w:marRight w:val="0"/>
      <w:marTop w:val="0"/>
      <w:marBottom w:val="0"/>
      <w:divBdr>
        <w:top w:val="none" w:sz="0" w:space="0" w:color="auto"/>
        <w:left w:val="none" w:sz="0" w:space="0" w:color="auto"/>
        <w:bottom w:val="none" w:sz="0" w:space="0" w:color="auto"/>
        <w:right w:val="none" w:sz="0" w:space="0" w:color="auto"/>
      </w:divBdr>
    </w:div>
    <w:div w:id="1610156895">
      <w:bodyDiv w:val="1"/>
      <w:marLeft w:val="0"/>
      <w:marRight w:val="0"/>
      <w:marTop w:val="0"/>
      <w:marBottom w:val="0"/>
      <w:divBdr>
        <w:top w:val="none" w:sz="0" w:space="0" w:color="auto"/>
        <w:left w:val="none" w:sz="0" w:space="0" w:color="auto"/>
        <w:bottom w:val="none" w:sz="0" w:space="0" w:color="auto"/>
        <w:right w:val="none" w:sz="0" w:space="0" w:color="auto"/>
      </w:divBdr>
    </w:div>
    <w:div w:id="1610815138">
      <w:bodyDiv w:val="1"/>
      <w:marLeft w:val="0"/>
      <w:marRight w:val="0"/>
      <w:marTop w:val="0"/>
      <w:marBottom w:val="0"/>
      <w:divBdr>
        <w:top w:val="none" w:sz="0" w:space="0" w:color="auto"/>
        <w:left w:val="none" w:sz="0" w:space="0" w:color="auto"/>
        <w:bottom w:val="none" w:sz="0" w:space="0" w:color="auto"/>
        <w:right w:val="none" w:sz="0" w:space="0" w:color="auto"/>
      </w:divBdr>
    </w:div>
    <w:div w:id="1611234470">
      <w:bodyDiv w:val="1"/>
      <w:marLeft w:val="0"/>
      <w:marRight w:val="0"/>
      <w:marTop w:val="0"/>
      <w:marBottom w:val="0"/>
      <w:divBdr>
        <w:top w:val="none" w:sz="0" w:space="0" w:color="auto"/>
        <w:left w:val="none" w:sz="0" w:space="0" w:color="auto"/>
        <w:bottom w:val="none" w:sz="0" w:space="0" w:color="auto"/>
        <w:right w:val="none" w:sz="0" w:space="0" w:color="auto"/>
      </w:divBdr>
    </w:div>
    <w:div w:id="1612742554">
      <w:bodyDiv w:val="1"/>
      <w:marLeft w:val="0"/>
      <w:marRight w:val="0"/>
      <w:marTop w:val="0"/>
      <w:marBottom w:val="0"/>
      <w:divBdr>
        <w:top w:val="none" w:sz="0" w:space="0" w:color="auto"/>
        <w:left w:val="none" w:sz="0" w:space="0" w:color="auto"/>
        <w:bottom w:val="none" w:sz="0" w:space="0" w:color="auto"/>
        <w:right w:val="none" w:sz="0" w:space="0" w:color="auto"/>
      </w:divBdr>
    </w:div>
    <w:div w:id="1613249039">
      <w:bodyDiv w:val="1"/>
      <w:marLeft w:val="0"/>
      <w:marRight w:val="0"/>
      <w:marTop w:val="0"/>
      <w:marBottom w:val="0"/>
      <w:divBdr>
        <w:top w:val="none" w:sz="0" w:space="0" w:color="auto"/>
        <w:left w:val="none" w:sz="0" w:space="0" w:color="auto"/>
        <w:bottom w:val="none" w:sz="0" w:space="0" w:color="auto"/>
        <w:right w:val="none" w:sz="0" w:space="0" w:color="auto"/>
      </w:divBdr>
    </w:div>
    <w:div w:id="1613585840">
      <w:bodyDiv w:val="1"/>
      <w:marLeft w:val="0"/>
      <w:marRight w:val="0"/>
      <w:marTop w:val="0"/>
      <w:marBottom w:val="0"/>
      <w:divBdr>
        <w:top w:val="none" w:sz="0" w:space="0" w:color="auto"/>
        <w:left w:val="none" w:sz="0" w:space="0" w:color="auto"/>
        <w:bottom w:val="none" w:sz="0" w:space="0" w:color="auto"/>
        <w:right w:val="none" w:sz="0" w:space="0" w:color="auto"/>
      </w:divBdr>
    </w:div>
    <w:div w:id="1613630036">
      <w:bodyDiv w:val="1"/>
      <w:marLeft w:val="0"/>
      <w:marRight w:val="0"/>
      <w:marTop w:val="0"/>
      <w:marBottom w:val="0"/>
      <w:divBdr>
        <w:top w:val="none" w:sz="0" w:space="0" w:color="auto"/>
        <w:left w:val="none" w:sz="0" w:space="0" w:color="auto"/>
        <w:bottom w:val="none" w:sz="0" w:space="0" w:color="auto"/>
        <w:right w:val="none" w:sz="0" w:space="0" w:color="auto"/>
      </w:divBdr>
    </w:div>
    <w:div w:id="1613705644">
      <w:bodyDiv w:val="1"/>
      <w:marLeft w:val="0"/>
      <w:marRight w:val="0"/>
      <w:marTop w:val="0"/>
      <w:marBottom w:val="0"/>
      <w:divBdr>
        <w:top w:val="none" w:sz="0" w:space="0" w:color="auto"/>
        <w:left w:val="none" w:sz="0" w:space="0" w:color="auto"/>
        <w:bottom w:val="none" w:sz="0" w:space="0" w:color="auto"/>
        <w:right w:val="none" w:sz="0" w:space="0" w:color="auto"/>
      </w:divBdr>
    </w:div>
    <w:div w:id="1614439745">
      <w:bodyDiv w:val="1"/>
      <w:marLeft w:val="0"/>
      <w:marRight w:val="0"/>
      <w:marTop w:val="0"/>
      <w:marBottom w:val="0"/>
      <w:divBdr>
        <w:top w:val="none" w:sz="0" w:space="0" w:color="auto"/>
        <w:left w:val="none" w:sz="0" w:space="0" w:color="auto"/>
        <w:bottom w:val="none" w:sz="0" w:space="0" w:color="auto"/>
        <w:right w:val="none" w:sz="0" w:space="0" w:color="auto"/>
      </w:divBdr>
    </w:div>
    <w:div w:id="1614828000">
      <w:bodyDiv w:val="1"/>
      <w:marLeft w:val="0"/>
      <w:marRight w:val="0"/>
      <w:marTop w:val="0"/>
      <w:marBottom w:val="0"/>
      <w:divBdr>
        <w:top w:val="none" w:sz="0" w:space="0" w:color="auto"/>
        <w:left w:val="none" w:sz="0" w:space="0" w:color="auto"/>
        <w:bottom w:val="none" w:sz="0" w:space="0" w:color="auto"/>
        <w:right w:val="none" w:sz="0" w:space="0" w:color="auto"/>
      </w:divBdr>
    </w:div>
    <w:div w:id="1615791622">
      <w:bodyDiv w:val="1"/>
      <w:marLeft w:val="0"/>
      <w:marRight w:val="0"/>
      <w:marTop w:val="0"/>
      <w:marBottom w:val="0"/>
      <w:divBdr>
        <w:top w:val="none" w:sz="0" w:space="0" w:color="auto"/>
        <w:left w:val="none" w:sz="0" w:space="0" w:color="auto"/>
        <w:bottom w:val="none" w:sz="0" w:space="0" w:color="auto"/>
        <w:right w:val="none" w:sz="0" w:space="0" w:color="auto"/>
      </w:divBdr>
    </w:div>
    <w:div w:id="1615869264">
      <w:bodyDiv w:val="1"/>
      <w:marLeft w:val="0"/>
      <w:marRight w:val="0"/>
      <w:marTop w:val="0"/>
      <w:marBottom w:val="0"/>
      <w:divBdr>
        <w:top w:val="none" w:sz="0" w:space="0" w:color="auto"/>
        <w:left w:val="none" w:sz="0" w:space="0" w:color="auto"/>
        <w:bottom w:val="none" w:sz="0" w:space="0" w:color="auto"/>
        <w:right w:val="none" w:sz="0" w:space="0" w:color="auto"/>
      </w:divBdr>
    </w:div>
    <w:div w:id="1616713936">
      <w:bodyDiv w:val="1"/>
      <w:marLeft w:val="0"/>
      <w:marRight w:val="0"/>
      <w:marTop w:val="0"/>
      <w:marBottom w:val="0"/>
      <w:divBdr>
        <w:top w:val="none" w:sz="0" w:space="0" w:color="auto"/>
        <w:left w:val="none" w:sz="0" w:space="0" w:color="auto"/>
        <w:bottom w:val="none" w:sz="0" w:space="0" w:color="auto"/>
        <w:right w:val="none" w:sz="0" w:space="0" w:color="auto"/>
      </w:divBdr>
    </w:div>
    <w:div w:id="1617832471">
      <w:bodyDiv w:val="1"/>
      <w:marLeft w:val="0"/>
      <w:marRight w:val="0"/>
      <w:marTop w:val="0"/>
      <w:marBottom w:val="0"/>
      <w:divBdr>
        <w:top w:val="none" w:sz="0" w:space="0" w:color="auto"/>
        <w:left w:val="none" w:sz="0" w:space="0" w:color="auto"/>
        <w:bottom w:val="none" w:sz="0" w:space="0" w:color="auto"/>
        <w:right w:val="none" w:sz="0" w:space="0" w:color="auto"/>
      </w:divBdr>
    </w:div>
    <w:div w:id="1618557643">
      <w:bodyDiv w:val="1"/>
      <w:marLeft w:val="0"/>
      <w:marRight w:val="0"/>
      <w:marTop w:val="0"/>
      <w:marBottom w:val="0"/>
      <w:divBdr>
        <w:top w:val="none" w:sz="0" w:space="0" w:color="auto"/>
        <w:left w:val="none" w:sz="0" w:space="0" w:color="auto"/>
        <w:bottom w:val="none" w:sz="0" w:space="0" w:color="auto"/>
        <w:right w:val="none" w:sz="0" w:space="0" w:color="auto"/>
      </w:divBdr>
    </w:div>
    <w:div w:id="1618676215">
      <w:bodyDiv w:val="1"/>
      <w:marLeft w:val="0"/>
      <w:marRight w:val="0"/>
      <w:marTop w:val="0"/>
      <w:marBottom w:val="0"/>
      <w:divBdr>
        <w:top w:val="none" w:sz="0" w:space="0" w:color="auto"/>
        <w:left w:val="none" w:sz="0" w:space="0" w:color="auto"/>
        <w:bottom w:val="none" w:sz="0" w:space="0" w:color="auto"/>
        <w:right w:val="none" w:sz="0" w:space="0" w:color="auto"/>
      </w:divBdr>
    </w:div>
    <w:div w:id="1619488408">
      <w:bodyDiv w:val="1"/>
      <w:marLeft w:val="0"/>
      <w:marRight w:val="0"/>
      <w:marTop w:val="0"/>
      <w:marBottom w:val="0"/>
      <w:divBdr>
        <w:top w:val="none" w:sz="0" w:space="0" w:color="auto"/>
        <w:left w:val="none" w:sz="0" w:space="0" w:color="auto"/>
        <w:bottom w:val="none" w:sz="0" w:space="0" w:color="auto"/>
        <w:right w:val="none" w:sz="0" w:space="0" w:color="auto"/>
      </w:divBdr>
    </w:div>
    <w:div w:id="1621692552">
      <w:bodyDiv w:val="1"/>
      <w:marLeft w:val="0"/>
      <w:marRight w:val="0"/>
      <w:marTop w:val="0"/>
      <w:marBottom w:val="0"/>
      <w:divBdr>
        <w:top w:val="none" w:sz="0" w:space="0" w:color="auto"/>
        <w:left w:val="none" w:sz="0" w:space="0" w:color="auto"/>
        <w:bottom w:val="none" w:sz="0" w:space="0" w:color="auto"/>
        <w:right w:val="none" w:sz="0" w:space="0" w:color="auto"/>
      </w:divBdr>
    </w:div>
    <w:div w:id="1622027311">
      <w:bodyDiv w:val="1"/>
      <w:marLeft w:val="0"/>
      <w:marRight w:val="0"/>
      <w:marTop w:val="0"/>
      <w:marBottom w:val="0"/>
      <w:divBdr>
        <w:top w:val="none" w:sz="0" w:space="0" w:color="auto"/>
        <w:left w:val="none" w:sz="0" w:space="0" w:color="auto"/>
        <w:bottom w:val="none" w:sz="0" w:space="0" w:color="auto"/>
        <w:right w:val="none" w:sz="0" w:space="0" w:color="auto"/>
      </w:divBdr>
    </w:div>
    <w:div w:id="1623532937">
      <w:bodyDiv w:val="1"/>
      <w:marLeft w:val="0"/>
      <w:marRight w:val="0"/>
      <w:marTop w:val="0"/>
      <w:marBottom w:val="0"/>
      <w:divBdr>
        <w:top w:val="none" w:sz="0" w:space="0" w:color="auto"/>
        <w:left w:val="none" w:sz="0" w:space="0" w:color="auto"/>
        <w:bottom w:val="none" w:sz="0" w:space="0" w:color="auto"/>
        <w:right w:val="none" w:sz="0" w:space="0" w:color="auto"/>
      </w:divBdr>
    </w:div>
    <w:div w:id="1624312799">
      <w:bodyDiv w:val="1"/>
      <w:marLeft w:val="0"/>
      <w:marRight w:val="0"/>
      <w:marTop w:val="0"/>
      <w:marBottom w:val="0"/>
      <w:divBdr>
        <w:top w:val="none" w:sz="0" w:space="0" w:color="auto"/>
        <w:left w:val="none" w:sz="0" w:space="0" w:color="auto"/>
        <w:bottom w:val="none" w:sz="0" w:space="0" w:color="auto"/>
        <w:right w:val="none" w:sz="0" w:space="0" w:color="auto"/>
      </w:divBdr>
    </w:div>
    <w:div w:id="1624574650">
      <w:bodyDiv w:val="1"/>
      <w:marLeft w:val="0"/>
      <w:marRight w:val="0"/>
      <w:marTop w:val="0"/>
      <w:marBottom w:val="0"/>
      <w:divBdr>
        <w:top w:val="none" w:sz="0" w:space="0" w:color="auto"/>
        <w:left w:val="none" w:sz="0" w:space="0" w:color="auto"/>
        <w:bottom w:val="none" w:sz="0" w:space="0" w:color="auto"/>
        <w:right w:val="none" w:sz="0" w:space="0" w:color="auto"/>
      </w:divBdr>
    </w:div>
    <w:div w:id="1625574249">
      <w:bodyDiv w:val="1"/>
      <w:marLeft w:val="0"/>
      <w:marRight w:val="0"/>
      <w:marTop w:val="0"/>
      <w:marBottom w:val="0"/>
      <w:divBdr>
        <w:top w:val="none" w:sz="0" w:space="0" w:color="auto"/>
        <w:left w:val="none" w:sz="0" w:space="0" w:color="auto"/>
        <w:bottom w:val="none" w:sz="0" w:space="0" w:color="auto"/>
        <w:right w:val="none" w:sz="0" w:space="0" w:color="auto"/>
      </w:divBdr>
    </w:div>
    <w:div w:id="1626229742">
      <w:bodyDiv w:val="1"/>
      <w:marLeft w:val="0"/>
      <w:marRight w:val="0"/>
      <w:marTop w:val="0"/>
      <w:marBottom w:val="0"/>
      <w:divBdr>
        <w:top w:val="none" w:sz="0" w:space="0" w:color="auto"/>
        <w:left w:val="none" w:sz="0" w:space="0" w:color="auto"/>
        <w:bottom w:val="none" w:sz="0" w:space="0" w:color="auto"/>
        <w:right w:val="none" w:sz="0" w:space="0" w:color="auto"/>
      </w:divBdr>
    </w:div>
    <w:div w:id="1626963611">
      <w:bodyDiv w:val="1"/>
      <w:marLeft w:val="0"/>
      <w:marRight w:val="0"/>
      <w:marTop w:val="0"/>
      <w:marBottom w:val="0"/>
      <w:divBdr>
        <w:top w:val="none" w:sz="0" w:space="0" w:color="auto"/>
        <w:left w:val="none" w:sz="0" w:space="0" w:color="auto"/>
        <w:bottom w:val="none" w:sz="0" w:space="0" w:color="auto"/>
        <w:right w:val="none" w:sz="0" w:space="0" w:color="auto"/>
      </w:divBdr>
    </w:div>
    <w:div w:id="1627003194">
      <w:bodyDiv w:val="1"/>
      <w:marLeft w:val="0"/>
      <w:marRight w:val="0"/>
      <w:marTop w:val="0"/>
      <w:marBottom w:val="0"/>
      <w:divBdr>
        <w:top w:val="none" w:sz="0" w:space="0" w:color="auto"/>
        <w:left w:val="none" w:sz="0" w:space="0" w:color="auto"/>
        <w:bottom w:val="none" w:sz="0" w:space="0" w:color="auto"/>
        <w:right w:val="none" w:sz="0" w:space="0" w:color="auto"/>
      </w:divBdr>
    </w:div>
    <w:div w:id="1627421475">
      <w:bodyDiv w:val="1"/>
      <w:marLeft w:val="0"/>
      <w:marRight w:val="0"/>
      <w:marTop w:val="0"/>
      <w:marBottom w:val="0"/>
      <w:divBdr>
        <w:top w:val="none" w:sz="0" w:space="0" w:color="auto"/>
        <w:left w:val="none" w:sz="0" w:space="0" w:color="auto"/>
        <w:bottom w:val="none" w:sz="0" w:space="0" w:color="auto"/>
        <w:right w:val="none" w:sz="0" w:space="0" w:color="auto"/>
      </w:divBdr>
    </w:div>
    <w:div w:id="1628850444">
      <w:bodyDiv w:val="1"/>
      <w:marLeft w:val="0"/>
      <w:marRight w:val="0"/>
      <w:marTop w:val="0"/>
      <w:marBottom w:val="0"/>
      <w:divBdr>
        <w:top w:val="none" w:sz="0" w:space="0" w:color="auto"/>
        <w:left w:val="none" w:sz="0" w:space="0" w:color="auto"/>
        <w:bottom w:val="none" w:sz="0" w:space="0" w:color="auto"/>
        <w:right w:val="none" w:sz="0" w:space="0" w:color="auto"/>
      </w:divBdr>
    </w:div>
    <w:div w:id="1629044571">
      <w:bodyDiv w:val="1"/>
      <w:marLeft w:val="0"/>
      <w:marRight w:val="0"/>
      <w:marTop w:val="0"/>
      <w:marBottom w:val="0"/>
      <w:divBdr>
        <w:top w:val="none" w:sz="0" w:space="0" w:color="auto"/>
        <w:left w:val="none" w:sz="0" w:space="0" w:color="auto"/>
        <w:bottom w:val="none" w:sz="0" w:space="0" w:color="auto"/>
        <w:right w:val="none" w:sz="0" w:space="0" w:color="auto"/>
      </w:divBdr>
    </w:div>
    <w:div w:id="1629165662">
      <w:bodyDiv w:val="1"/>
      <w:marLeft w:val="0"/>
      <w:marRight w:val="0"/>
      <w:marTop w:val="0"/>
      <w:marBottom w:val="0"/>
      <w:divBdr>
        <w:top w:val="none" w:sz="0" w:space="0" w:color="auto"/>
        <w:left w:val="none" w:sz="0" w:space="0" w:color="auto"/>
        <w:bottom w:val="none" w:sz="0" w:space="0" w:color="auto"/>
        <w:right w:val="none" w:sz="0" w:space="0" w:color="auto"/>
      </w:divBdr>
    </w:div>
    <w:div w:id="1629357747">
      <w:bodyDiv w:val="1"/>
      <w:marLeft w:val="0"/>
      <w:marRight w:val="0"/>
      <w:marTop w:val="0"/>
      <w:marBottom w:val="0"/>
      <w:divBdr>
        <w:top w:val="none" w:sz="0" w:space="0" w:color="auto"/>
        <w:left w:val="none" w:sz="0" w:space="0" w:color="auto"/>
        <w:bottom w:val="none" w:sz="0" w:space="0" w:color="auto"/>
        <w:right w:val="none" w:sz="0" w:space="0" w:color="auto"/>
      </w:divBdr>
    </w:div>
    <w:div w:id="1630472978">
      <w:bodyDiv w:val="1"/>
      <w:marLeft w:val="0"/>
      <w:marRight w:val="0"/>
      <w:marTop w:val="0"/>
      <w:marBottom w:val="0"/>
      <w:divBdr>
        <w:top w:val="none" w:sz="0" w:space="0" w:color="auto"/>
        <w:left w:val="none" w:sz="0" w:space="0" w:color="auto"/>
        <w:bottom w:val="none" w:sz="0" w:space="0" w:color="auto"/>
        <w:right w:val="none" w:sz="0" w:space="0" w:color="auto"/>
      </w:divBdr>
    </w:div>
    <w:div w:id="1631091248">
      <w:bodyDiv w:val="1"/>
      <w:marLeft w:val="0"/>
      <w:marRight w:val="0"/>
      <w:marTop w:val="0"/>
      <w:marBottom w:val="0"/>
      <w:divBdr>
        <w:top w:val="none" w:sz="0" w:space="0" w:color="auto"/>
        <w:left w:val="none" w:sz="0" w:space="0" w:color="auto"/>
        <w:bottom w:val="none" w:sz="0" w:space="0" w:color="auto"/>
        <w:right w:val="none" w:sz="0" w:space="0" w:color="auto"/>
      </w:divBdr>
    </w:div>
    <w:div w:id="1631789775">
      <w:bodyDiv w:val="1"/>
      <w:marLeft w:val="0"/>
      <w:marRight w:val="0"/>
      <w:marTop w:val="0"/>
      <w:marBottom w:val="0"/>
      <w:divBdr>
        <w:top w:val="none" w:sz="0" w:space="0" w:color="auto"/>
        <w:left w:val="none" w:sz="0" w:space="0" w:color="auto"/>
        <w:bottom w:val="none" w:sz="0" w:space="0" w:color="auto"/>
        <w:right w:val="none" w:sz="0" w:space="0" w:color="auto"/>
      </w:divBdr>
    </w:div>
    <w:div w:id="1631865112">
      <w:bodyDiv w:val="1"/>
      <w:marLeft w:val="0"/>
      <w:marRight w:val="0"/>
      <w:marTop w:val="0"/>
      <w:marBottom w:val="0"/>
      <w:divBdr>
        <w:top w:val="none" w:sz="0" w:space="0" w:color="auto"/>
        <w:left w:val="none" w:sz="0" w:space="0" w:color="auto"/>
        <w:bottom w:val="none" w:sz="0" w:space="0" w:color="auto"/>
        <w:right w:val="none" w:sz="0" w:space="0" w:color="auto"/>
      </w:divBdr>
    </w:div>
    <w:div w:id="1632708369">
      <w:bodyDiv w:val="1"/>
      <w:marLeft w:val="0"/>
      <w:marRight w:val="0"/>
      <w:marTop w:val="0"/>
      <w:marBottom w:val="0"/>
      <w:divBdr>
        <w:top w:val="none" w:sz="0" w:space="0" w:color="auto"/>
        <w:left w:val="none" w:sz="0" w:space="0" w:color="auto"/>
        <w:bottom w:val="none" w:sz="0" w:space="0" w:color="auto"/>
        <w:right w:val="none" w:sz="0" w:space="0" w:color="auto"/>
      </w:divBdr>
    </w:div>
    <w:div w:id="1633048923">
      <w:bodyDiv w:val="1"/>
      <w:marLeft w:val="0"/>
      <w:marRight w:val="0"/>
      <w:marTop w:val="0"/>
      <w:marBottom w:val="0"/>
      <w:divBdr>
        <w:top w:val="none" w:sz="0" w:space="0" w:color="auto"/>
        <w:left w:val="none" w:sz="0" w:space="0" w:color="auto"/>
        <w:bottom w:val="none" w:sz="0" w:space="0" w:color="auto"/>
        <w:right w:val="none" w:sz="0" w:space="0" w:color="auto"/>
      </w:divBdr>
    </w:div>
    <w:div w:id="1633628735">
      <w:bodyDiv w:val="1"/>
      <w:marLeft w:val="0"/>
      <w:marRight w:val="0"/>
      <w:marTop w:val="0"/>
      <w:marBottom w:val="0"/>
      <w:divBdr>
        <w:top w:val="none" w:sz="0" w:space="0" w:color="auto"/>
        <w:left w:val="none" w:sz="0" w:space="0" w:color="auto"/>
        <w:bottom w:val="none" w:sz="0" w:space="0" w:color="auto"/>
        <w:right w:val="none" w:sz="0" w:space="0" w:color="auto"/>
      </w:divBdr>
    </w:div>
    <w:div w:id="1634015809">
      <w:bodyDiv w:val="1"/>
      <w:marLeft w:val="0"/>
      <w:marRight w:val="0"/>
      <w:marTop w:val="0"/>
      <w:marBottom w:val="0"/>
      <w:divBdr>
        <w:top w:val="none" w:sz="0" w:space="0" w:color="auto"/>
        <w:left w:val="none" w:sz="0" w:space="0" w:color="auto"/>
        <w:bottom w:val="none" w:sz="0" w:space="0" w:color="auto"/>
        <w:right w:val="none" w:sz="0" w:space="0" w:color="auto"/>
      </w:divBdr>
    </w:div>
    <w:div w:id="1634359764">
      <w:bodyDiv w:val="1"/>
      <w:marLeft w:val="0"/>
      <w:marRight w:val="0"/>
      <w:marTop w:val="0"/>
      <w:marBottom w:val="0"/>
      <w:divBdr>
        <w:top w:val="none" w:sz="0" w:space="0" w:color="auto"/>
        <w:left w:val="none" w:sz="0" w:space="0" w:color="auto"/>
        <w:bottom w:val="none" w:sz="0" w:space="0" w:color="auto"/>
        <w:right w:val="none" w:sz="0" w:space="0" w:color="auto"/>
      </w:divBdr>
    </w:div>
    <w:div w:id="1634944366">
      <w:bodyDiv w:val="1"/>
      <w:marLeft w:val="0"/>
      <w:marRight w:val="0"/>
      <w:marTop w:val="0"/>
      <w:marBottom w:val="0"/>
      <w:divBdr>
        <w:top w:val="none" w:sz="0" w:space="0" w:color="auto"/>
        <w:left w:val="none" w:sz="0" w:space="0" w:color="auto"/>
        <w:bottom w:val="none" w:sz="0" w:space="0" w:color="auto"/>
        <w:right w:val="none" w:sz="0" w:space="0" w:color="auto"/>
      </w:divBdr>
    </w:div>
    <w:div w:id="1635675538">
      <w:bodyDiv w:val="1"/>
      <w:marLeft w:val="0"/>
      <w:marRight w:val="0"/>
      <w:marTop w:val="0"/>
      <w:marBottom w:val="0"/>
      <w:divBdr>
        <w:top w:val="none" w:sz="0" w:space="0" w:color="auto"/>
        <w:left w:val="none" w:sz="0" w:space="0" w:color="auto"/>
        <w:bottom w:val="none" w:sz="0" w:space="0" w:color="auto"/>
        <w:right w:val="none" w:sz="0" w:space="0" w:color="auto"/>
      </w:divBdr>
    </w:div>
    <w:div w:id="1635788424">
      <w:bodyDiv w:val="1"/>
      <w:marLeft w:val="0"/>
      <w:marRight w:val="0"/>
      <w:marTop w:val="0"/>
      <w:marBottom w:val="0"/>
      <w:divBdr>
        <w:top w:val="none" w:sz="0" w:space="0" w:color="auto"/>
        <w:left w:val="none" w:sz="0" w:space="0" w:color="auto"/>
        <w:bottom w:val="none" w:sz="0" w:space="0" w:color="auto"/>
        <w:right w:val="none" w:sz="0" w:space="0" w:color="auto"/>
      </w:divBdr>
    </w:div>
    <w:div w:id="1635987446">
      <w:bodyDiv w:val="1"/>
      <w:marLeft w:val="0"/>
      <w:marRight w:val="0"/>
      <w:marTop w:val="0"/>
      <w:marBottom w:val="0"/>
      <w:divBdr>
        <w:top w:val="none" w:sz="0" w:space="0" w:color="auto"/>
        <w:left w:val="none" w:sz="0" w:space="0" w:color="auto"/>
        <w:bottom w:val="none" w:sz="0" w:space="0" w:color="auto"/>
        <w:right w:val="none" w:sz="0" w:space="0" w:color="auto"/>
      </w:divBdr>
    </w:div>
    <w:div w:id="1636443443">
      <w:bodyDiv w:val="1"/>
      <w:marLeft w:val="0"/>
      <w:marRight w:val="0"/>
      <w:marTop w:val="0"/>
      <w:marBottom w:val="0"/>
      <w:divBdr>
        <w:top w:val="none" w:sz="0" w:space="0" w:color="auto"/>
        <w:left w:val="none" w:sz="0" w:space="0" w:color="auto"/>
        <w:bottom w:val="none" w:sz="0" w:space="0" w:color="auto"/>
        <w:right w:val="none" w:sz="0" w:space="0" w:color="auto"/>
      </w:divBdr>
    </w:div>
    <w:div w:id="1637252133">
      <w:bodyDiv w:val="1"/>
      <w:marLeft w:val="0"/>
      <w:marRight w:val="0"/>
      <w:marTop w:val="0"/>
      <w:marBottom w:val="0"/>
      <w:divBdr>
        <w:top w:val="none" w:sz="0" w:space="0" w:color="auto"/>
        <w:left w:val="none" w:sz="0" w:space="0" w:color="auto"/>
        <w:bottom w:val="none" w:sz="0" w:space="0" w:color="auto"/>
        <w:right w:val="none" w:sz="0" w:space="0" w:color="auto"/>
      </w:divBdr>
    </w:div>
    <w:div w:id="1637564495">
      <w:bodyDiv w:val="1"/>
      <w:marLeft w:val="0"/>
      <w:marRight w:val="0"/>
      <w:marTop w:val="0"/>
      <w:marBottom w:val="0"/>
      <w:divBdr>
        <w:top w:val="none" w:sz="0" w:space="0" w:color="auto"/>
        <w:left w:val="none" w:sz="0" w:space="0" w:color="auto"/>
        <w:bottom w:val="none" w:sz="0" w:space="0" w:color="auto"/>
        <w:right w:val="none" w:sz="0" w:space="0" w:color="auto"/>
      </w:divBdr>
    </w:div>
    <w:div w:id="1638221134">
      <w:bodyDiv w:val="1"/>
      <w:marLeft w:val="0"/>
      <w:marRight w:val="0"/>
      <w:marTop w:val="0"/>
      <w:marBottom w:val="0"/>
      <w:divBdr>
        <w:top w:val="none" w:sz="0" w:space="0" w:color="auto"/>
        <w:left w:val="none" w:sz="0" w:space="0" w:color="auto"/>
        <w:bottom w:val="none" w:sz="0" w:space="0" w:color="auto"/>
        <w:right w:val="none" w:sz="0" w:space="0" w:color="auto"/>
      </w:divBdr>
    </w:div>
    <w:div w:id="1638603600">
      <w:bodyDiv w:val="1"/>
      <w:marLeft w:val="0"/>
      <w:marRight w:val="0"/>
      <w:marTop w:val="0"/>
      <w:marBottom w:val="0"/>
      <w:divBdr>
        <w:top w:val="none" w:sz="0" w:space="0" w:color="auto"/>
        <w:left w:val="none" w:sz="0" w:space="0" w:color="auto"/>
        <w:bottom w:val="none" w:sz="0" w:space="0" w:color="auto"/>
        <w:right w:val="none" w:sz="0" w:space="0" w:color="auto"/>
      </w:divBdr>
    </w:div>
    <w:div w:id="1639142050">
      <w:bodyDiv w:val="1"/>
      <w:marLeft w:val="0"/>
      <w:marRight w:val="0"/>
      <w:marTop w:val="0"/>
      <w:marBottom w:val="0"/>
      <w:divBdr>
        <w:top w:val="none" w:sz="0" w:space="0" w:color="auto"/>
        <w:left w:val="none" w:sz="0" w:space="0" w:color="auto"/>
        <w:bottom w:val="none" w:sz="0" w:space="0" w:color="auto"/>
        <w:right w:val="none" w:sz="0" w:space="0" w:color="auto"/>
      </w:divBdr>
    </w:div>
    <w:div w:id="1642153632">
      <w:bodyDiv w:val="1"/>
      <w:marLeft w:val="0"/>
      <w:marRight w:val="0"/>
      <w:marTop w:val="0"/>
      <w:marBottom w:val="0"/>
      <w:divBdr>
        <w:top w:val="none" w:sz="0" w:space="0" w:color="auto"/>
        <w:left w:val="none" w:sz="0" w:space="0" w:color="auto"/>
        <w:bottom w:val="none" w:sz="0" w:space="0" w:color="auto"/>
        <w:right w:val="none" w:sz="0" w:space="0" w:color="auto"/>
      </w:divBdr>
    </w:div>
    <w:div w:id="1642494467">
      <w:bodyDiv w:val="1"/>
      <w:marLeft w:val="0"/>
      <w:marRight w:val="0"/>
      <w:marTop w:val="0"/>
      <w:marBottom w:val="0"/>
      <w:divBdr>
        <w:top w:val="none" w:sz="0" w:space="0" w:color="auto"/>
        <w:left w:val="none" w:sz="0" w:space="0" w:color="auto"/>
        <w:bottom w:val="none" w:sz="0" w:space="0" w:color="auto"/>
        <w:right w:val="none" w:sz="0" w:space="0" w:color="auto"/>
      </w:divBdr>
    </w:div>
    <w:div w:id="1643118686">
      <w:bodyDiv w:val="1"/>
      <w:marLeft w:val="0"/>
      <w:marRight w:val="0"/>
      <w:marTop w:val="0"/>
      <w:marBottom w:val="0"/>
      <w:divBdr>
        <w:top w:val="none" w:sz="0" w:space="0" w:color="auto"/>
        <w:left w:val="none" w:sz="0" w:space="0" w:color="auto"/>
        <w:bottom w:val="none" w:sz="0" w:space="0" w:color="auto"/>
        <w:right w:val="none" w:sz="0" w:space="0" w:color="auto"/>
      </w:divBdr>
    </w:div>
    <w:div w:id="1643343437">
      <w:bodyDiv w:val="1"/>
      <w:marLeft w:val="0"/>
      <w:marRight w:val="0"/>
      <w:marTop w:val="0"/>
      <w:marBottom w:val="0"/>
      <w:divBdr>
        <w:top w:val="none" w:sz="0" w:space="0" w:color="auto"/>
        <w:left w:val="none" w:sz="0" w:space="0" w:color="auto"/>
        <w:bottom w:val="none" w:sz="0" w:space="0" w:color="auto"/>
        <w:right w:val="none" w:sz="0" w:space="0" w:color="auto"/>
      </w:divBdr>
    </w:div>
    <w:div w:id="1643344059">
      <w:bodyDiv w:val="1"/>
      <w:marLeft w:val="0"/>
      <w:marRight w:val="0"/>
      <w:marTop w:val="0"/>
      <w:marBottom w:val="0"/>
      <w:divBdr>
        <w:top w:val="none" w:sz="0" w:space="0" w:color="auto"/>
        <w:left w:val="none" w:sz="0" w:space="0" w:color="auto"/>
        <w:bottom w:val="none" w:sz="0" w:space="0" w:color="auto"/>
        <w:right w:val="none" w:sz="0" w:space="0" w:color="auto"/>
      </w:divBdr>
    </w:div>
    <w:div w:id="1643972015">
      <w:bodyDiv w:val="1"/>
      <w:marLeft w:val="0"/>
      <w:marRight w:val="0"/>
      <w:marTop w:val="0"/>
      <w:marBottom w:val="0"/>
      <w:divBdr>
        <w:top w:val="none" w:sz="0" w:space="0" w:color="auto"/>
        <w:left w:val="none" w:sz="0" w:space="0" w:color="auto"/>
        <w:bottom w:val="none" w:sz="0" w:space="0" w:color="auto"/>
        <w:right w:val="none" w:sz="0" w:space="0" w:color="auto"/>
      </w:divBdr>
    </w:div>
    <w:div w:id="1644502907">
      <w:bodyDiv w:val="1"/>
      <w:marLeft w:val="0"/>
      <w:marRight w:val="0"/>
      <w:marTop w:val="0"/>
      <w:marBottom w:val="0"/>
      <w:divBdr>
        <w:top w:val="none" w:sz="0" w:space="0" w:color="auto"/>
        <w:left w:val="none" w:sz="0" w:space="0" w:color="auto"/>
        <w:bottom w:val="none" w:sz="0" w:space="0" w:color="auto"/>
        <w:right w:val="none" w:sz="0" w:space="0" w:color="auto"/>
      </w:divBdr>
    </w:div>
    <w:div w:id="1644697635">
      <w:bodyDiv w:val="1"/>
      <w:marLeft w:val="0"/>
      <w:marRight w:val="0"/>
      <w:marTop w:val="0"/>
      <w:marBottom w:val="0"/>
      <w:divBdr>
        <w:top w:val="none" w:sz="0" w:space="0" w:color="auto"/>
        <w:left w:val="none" w:sz="0" w:space="0" w:color="auto"/>
        <w:bottom w:val="none" w:sz="0" w:space="0" w:color="auto"/>
        <w:right w:val="none" w:sz="0" w:space="0" w:color="auto"/>
      </w:divBdr>
    </w:div>
    <w:div w:id="1645500236">
      <w:bodyDiv w:val="1"/>
      <w:marLeft w:val="0"/>
      <w:marRight w:val="0"/>
      <w:marTop w:val="0"/>
      <w:marBottom w:val="0"/>
      <w:divBdr>
        <w:top w:val="none" w:sz="0" w:space="0" w:color="auto"/>
        <w:left w:val="none" w:sz="0" w:space="0" w:color="auto"/>
        <w:bottom w:val="none" w:sz="0" w:space="0" w:color="auto"/>
        <w:right w:val="none" w:sz="0" w:space="0" w:color="auto"/>
      </w:divBdr>
    </w:div>
    <w:div w:id="1646279257">
      <w:bodyDiv w:val="1"/>
      <w:marLeft w:val="0"/>
      <w:marRight w:val="0"/>
      <w:marTop w:val="0"/>
      <w:marBottom w:val="0"/>
      <w:divBdr>
        <w:top w:val="none" w:sz="0" w:space="0" w:color="auto"/>
        <w:left w:val="none" w:sz="0" w:space="0" w:color="auto"/>
        <w:bottom w:val="none" w:sz="0" w:space="0" w:color="auto"/>
        <w:right w:val="none" w:sz="0" w:space="0" w:color="auto"/>
      </w:divBdr>
    </w:div>
    <w:div w:id="1646468232">
      <w:bodyDiv w:val="1"/>
      <w:marLeft w:val="0"/>
      <w:marRight w:val="0"/>
      <w:marTop w:val="0"/>
      <w:marBottom w:val="0"/>
      <w:divBdr>
        <w:top w:val="none" w:sz="0" w:space="0" w:color="auto"/>
        <w:left w:val="none" w:sz="0" w:space="0" w:color="auto"/>
        <w:bottom w:val="none" w:sz="0" w:space="0" w:color="auto"/>
        <w:right w:val="none" w:sz="0" w:space="0" w:color="auto"/>
      </w:divBdr>
    </w:div>
    <w:div w:id="1646545812">
      <w:bodyDiv w:val="1"/>
      <w:marLeft w:val="0"/>
      <w:marRight w:val="0"/>
      <w:marTop w:val="0"/>
      <w:marBottom w:val="0"/>
      <w:divBdr>
        <w:top w:val="none" w:sz="0" w:space="0" w:color="auto"/>
        <w:left w:val="none" w:sz="0" w:space="0" w:color="auto"/>
        <w:bottom w:val="none" w:sz="0" w:space="0" w:color="auto"/>
        <w:right w:val="none" w:sz="0" w:space="0" w:color="auto"/>
      </w:divBdr>
    </w:div>
    <w:div w:id="1647083000">
      <w:bodyDiv w:val="1"/>
      <w:marLeft w:val="0"/>
      <w:marRight w:val="0"/>
      <w:marTop w:val="0"/>
      <w:marBottom w:val="0"/>
      <w:divBdr>
        <w:top w:val="none" w:sz="0" w:space="0" w:color="auto"/>
        <w:left w:val="none" w:sz="0" w:space="0" w:color="auto"/>
        <w:bottom w:val="none" w:sz="0" w:space="0" w:color="auto"/>
        <w:right w:val="none" w:sz="0" w:space="0" w:color="auto"/>
      </w:divBdr>
    </w:div>
    <w:div w:id="1648047072">
      <w:bodyDiv w:val="1"/>
      <w:marLeft w:val="0"/>
      <w:marRight w:val="0"/>
      <w:marTop w:val="0"/>
      <w:marBottom w:val="0"/>
      <w:divBdr>
        <w:top w:val="none" w:sz="0" w:space="0" w:color="auto"/>
        <w:left w:val="none" w:sz="0" w:space="0" w:color="auto"/>
        <w:bottom w:val="none" w:sz="0" w:space="0" w:color="auto"/>
        <w:right w:val="none" w:sz="0" w:space="0" w:color="auto"/>
      </w:divBdr>
    </w:div>
    <w:div w:id="1648440262">
      <w:bodyDiv w:val="1"/>
      <w:marLeft w:val="0"/>
      <w:marRight w:val="0"/>
      <w:marTop w:val="0"/>
      <w:marBottom w:val="0"/>
      <w:divBdr>
        <w:top w:val="none" w:sz="0" w:space="0" w:color="auto"/>
        <w:left w:val="none" w:sz="0" w:space="0" w:color="auto"/>
        <w:bottom w:val="none" w:sz="0" w:space="0" w:color="auto"/>
        <w:right w:val="none" w:sz="0" w:space="0" w:color="auto"/>
      </w:divBdr>
    </w:div>
    <w:div w:id="1649169966">
      <w:bodyDiv w:val="1"/>
      <w:marLeft w:val="0"/>
      <w:marRight w:val="0"/>
      <w:marTop w:val="0"/>
      <w:marBottom w:val="0"/>
      <w:divBdr>
        <w:top w:val="none" w:sz="0" w:space="0" w:color="auto"/>
        <w:left w:val="none" w:sz="0" w:space="0" w:color="auto"/>
        <w:bottom w:val="none" w:sz="0" w:space="0" w:color="auto"/>
        <w:right w:val="none" w:sz="0" w:space="0" w:color="auto"/>
      </w:divBdr>
    </w:div>
    <w:div w:id="1649817462">
      <w:bodyDiv w:val="1"/>
      <w:marLeft w:val="0"/>
      <w:marRight w:val="0"/>
      <w:marTop w:val="0"/>
      <w:marBottom w:val="0"/>
      <w:divBdr>
        <w:top w:val="none" w:sz="0" w:space="0" w:color="auto"/>
        <w:left w:val="none" w:sz="0" w:space="0" w:color="auto"/>
        <w:bottom w:val="none" w:sz="0" w:space="0" w:color="auto"/>
        <w:right w:val="none" w:sz="0" w:space="0" w:color="auto"/>
      </w:divBdr>
    </w:div>
    <w:div w:id="1651640688">
      <w:bodyDiv w:val="1"/>
      <w:marLeft w:val="0"/>
      <w:marRight w:val="0"/>
      <w:marTop w:val="0"/>
      <w:marBottom w:val="0"/>
      <w:divBdr>
        <w:top w:val="none" w:sz="0" w:space="0" w:color="auto"/>
        <w:left w:val="none" w:sz="0" w:space="0" w:color="auto"/>
        <w:bottom w:val="none" w:sz="0" w:space="0" w:color="auto"/>
        <w:right w:val="none" w:sz="0" w:space="0" w:color="auto"/>
      </w:divBdr>
    </w:div>
    <w:div w:id="1652169947">
      <w:bodyDiv w:val="1"/>
      <w:marLeft w:val="0"/>
      <w:marRight w:val="0"/>
      <w:marTop w:val="0"/>
      <w:marBottom w:val="0"/>
      <w:divBdr>
        <w:top w:val="none" w:sz="0" w:space="0" w:color="auto"/>
        <w:left w:val="none" w:sz="0" w:space="0" w:color="auto"/>
        <w:bottom w:val="none" w:sz="0" w:space="0" w:color="auto"/>
        <w:right w:val="none" w:sz="0" w:space="0" w:color="auto"/>
      </w:divBdr>
    </w:div>
    <w:div w:id="1653560700">
      <w:bodyDiv w:val="1"/>
      <w:marLeft w:val="0"/>
      <w:marRight w:val="0"/>
      <w:marTop w:val="0"/>
      <w:marBottom w:val="0"/>
      <w:divBdr>
        <w:top w:val="none" w:sz="0" w:space="0" w:color="auto"/>
        <w:left w:val="none" w:sz="0" w:space="0" w:color="auto"/>
        <w:bottom w:val="none" w:sz="0" w:space="0" w:color="auto"/>
        <w:right w:val="none" w:sz="0" w:space="0" w:color="auto"/>
      </w:divBdr>
    </w:div>
    <w:div w:id="1653748949">
      <w:bodyDiv w:val="1"/>
      <w:marLeft w:val="0"/>
      <w:marRight w:val="0"/>
      <w:marTop w:val="0"/>
      <w:marBottom w:val="0"/>
      <w:divBdr>
        <w:top w:val="none" w:sz="0" w:space="0" w:color="auto"/>
        <w:left w:val="none" w:sz="0" w:space="0" w:color="auto"/>
        <w:bottom w:val="none" w:sz="0" w:space="0" w:color="auto"/>
        <w:right w:val="none" w:sz="0" w:space="0" w:color="auto"/>
      </w:divBdr>
    </w:div>
    <w:div w:id="1653824920">
      <w:bodyDiv w:val="1"/>
      <w:marLeft w:val="0"/>
      <w:marRight w:val="0"/>
      <w:marTop w:val="0"/>
      <w:marBottom w:val="0"/>
      <w:divBdr>
        <w:top w:val="none" w:sz="0" w:space="0" w:color="auto"/>
        <w:left w:val="none" w:sz="0" w:space="0" w:color="auto"/>
        <w:bottom w:val="none" w:sz="0" w:space="0" w:color="auto"/>
        <w:right w:val="none" w:sz="0" w:space="0" w:color="auto"/>
      </w:divBdr>
    </w:div>
    <w:div w:id="1655524238">
      <w:bodyDiv w:val="1"/>
      <w:marLeft w:val="0"/>
      <w:marRight w:val="0"/>
      <w:marTop w:val="0"/>
      <w:marBottom w:val="0"/>
      <w:divBdr>
        <w:top w:val="none" w:sz="0" w:space="0" w:color="auto"/>
        <w:left w:val="none" w:sz="0" w:space="0" w:color="auto"/>
        <w:bottom w:val="none" w:sz="0" w:space="0" w:color="auto"/>
        <w:right w:val="none" w:sz="0" w:space="0" w:color="auto"/>
      </w:divBdr>
    </w:div>
    <w:div w:id="1656106656">
      <w:bodyDiv w:val="1"/>
      <w:marLeft w:val="0"/>
      <w:marRight w:val="0"/>
      <w:marTop w:val="0"/>
      <w:marBottom w:val="0"/>
      <w:divBdr>
        <w:top w:val="none" w:sz="0" w:space="0" w:color="auto"/>
        <w:left w:val="none" w:sz="0" w:space="0" w:color="auto"/>
        <w:bottom w:val="none" w:sz="0" w:space="0" w:color="auto"/>
        <w:right w:val="none" w:sz="0" w:space="0" w:color="auto"/>
      </w:divBdr>
    </w:div>
    <w:div w:id="1656689277">
      <w:bodyDiv w:val="1"/>
      <w:marLeft w:val="0"/>
      <w:marRight w:val="0"/>
      <w:marTop w:val="0"/>
      <w:marBottom w:val="0"/>
      <w:divBdr>
        <w:top w:val="none" w:sz="0" w:space="0" w:color="auto"/>
        <w:left w:val="none" w:sz="0" w:space="0" w:color="auto"/>
        <w:bottom w:val="none" w:sz="0" w:space="0" w:color="auto"/>
        <w:right w:val="none" w:sz="0" w:space="0" w:color="auto"/>
      </w:divBdr>
    </w:div>
    <w:div w:id="1660039520">
      <w:bodyDiv w:val="1"/>
      <w:marLeft w:val="0"/>
      <w:marRight w:val="0"/>
      <w:marTop w:val="0"/>
      <w:marBottom w:val="0"/>
      <w:divBdr>
        <w:top w:val="none" w:sz="0" w:space="0" w:color="auto"/>
        <w:left w:val="none" w:sz="0" w:space="0" w:color="auto"/>
        <w:bottom w:val="none" w:sz="0" w:space="0" w:color="auto"/>
        <w:right w:val="none" w:sz="0" w:space="0" w:color="auto"/>
      </w:divBdr>
    </w:div>
    <w:div w:id="1660383041">
      <w:bodyDiv w:val="1"/>
      <w:marLeft w:val="0"/>
      <w:marRight w:val="0"/>
      <w:marTop w:val="0"/>
      <w:marBottom w:val="0"/>
      <w:divBdr>
        <w:top w:val="none" w:sz="0" w:space="0" w:color="auto"/>
        <w:left w:val="none" w:sz="0" w:space="0" w:color="auto"/>
        <w:bottom w:val="none" w:sz="0" w:space="0" w:color="auto"/>
        <w:right w:val="none" w:sz="0" w:space="0" w:color="auto"/>
      </w:divBdr>
    </w:div>
    <w:div w:id="1661231582">
      <w:bodyDiv w:val="1"/>
      <w:marLeft w:val="0"/>
      <w:marRight w:val="0"/>
      <w:marTop w:val="0"/>
      <w:marBottom w:val="0"/>
      <w:divBdr>
        <w:top w:val="none" w:sz="0" w:space="0" w:color="auto"/>
        <w:left w:val="none" w:sz="0" w:space="0" w:color="auto"/>
        <w:bottom w:val="none" w:sz="0" w:space="0" w:color="auto"/>
        <w:right w:val="none" w:sz="0" w:space="0" w:color="auto"/>
      </w:divBdr>
    </w:div>
    <w:div w:id="1661302650">
      <w:bodyDiv w:val="1"/>
      <w:marLeft w:val="0"/>
      <w:marRight w:val="0"/>
      <w:marTop w:val="0"/>
      <w:marBottom w:val="0"/>
      <w:divBdr>
        <w:top w:val="none" w:sz="0" w:space="0" w:color="auto"/>
        <w:left w:val="none" w:sz="0" w:space="0" w:color="auto"/>
        <w:bottom w:val="none" w:sz="0" w:space="0" w:color="auto"/>
        <w:right w:val="none" w:sz="0" w:space="0" w:color="auto"/>
      </w:divBdr>
    </w:div>
    <w:div w:id="1661687441">
      <w:bodyDiv w:val="1"/>
      <w:marLeft w:val="0"/>
      <w:marRight w:val="0"/>
      <w:marTop w:val="0"/>
      <w:marBottom w:val="0"/>
      <w:divBdr>
        <w:top w:val="none" w:sz="0" w:space="0" w:color="auto"/>
        <w:left w:val="none" w:sz="0" w:space="0" w:color="auto"/>
        <w:bottom w:val="none" w:sz="0" w:space="0" w:color="auto"/>
        <w:right w:val="none" w:sz="0" w:space="0" w:color="auto"/>
      </w:divBdr>
    </w:div>
    <w:div w:id="1661737194">
      <w:bodyDiv w:val="1"/>
      <w:marLeft w:val="0"/>
      <w:marRight w:val="0"/>
      <w:marTop w:val="0"/>
      <w:marBottom w:val="0"/>
      <w:divBdr>
        <w:top w:val="none" w:sz="0" w:space="0" w:color="auto"/>
        <w:left w:val="none" w:sz="0" w:space="0" w:color="auto"/>
        <w:bottom w:val="none" w:sz="0" w:space="0" w:color="auto"/>
        <w:right w:val="none" w:sz="0" w:space="0" w:color="auto"/>
      </w:divBdr>
    </w:div>
    <w:div w:id="1661998803">
      <w:bodyDiv w:val="1"/>
      <w:marLeft w:val="0"/>
      <w:marRight w:val="0"/>
      <w:marTop w:val="0"/>
      <w:marBottom w:val="0"/>
      <w:divBdr>
        <w:top w:val="none" w:sz="0" w:space="0" w:color="auto"/>
        <w:left w:val="none" w:sz="0" w:space="0" w:color="auto"/>
        <w:bottom w:val="none" w:sz="0" w:space="0" w:color="auto"/>
        <w:right w:val="none" w:sz="0" w:space="0" w:color="auto"/>
      </w:divBdr>
    </w:div>
    <w:div w:id="1662657699">
      <w:bodyDiv w:val="1"/>
      <w:marLeft w:val="0"/>
      <w:marRight w:val="0"/>
      <w:marTop w:val="0"/>
      <w:marBottom w:val="0"/>
      <w:divBdr>
        <w:top w:val="none" w:sz="0" w:space="0" w:color="auto"/>
        <w:left w:val="none" w:sz="0" w:space="0" w:color="auto"/>
        <w:bottom w:val="none" w:sz="0" w:space="0" w:color="auto"/>
        <w:right w:val="none" w:sz="0" w:space="0" w:color="auto"/>
      </w:divBdr>
    </w:div>
    <w:div w:id="1664045528">
      <w:bodyDiv w:val="1"/>
      <w:marLeft w:val="0"/>
      <w:marRight w:val="0"/>
      <w:marTop w:val="0"/>
      <w:marBottom w:val="0"/>
      <w:divBdr>
        <w:top w:val="none" w:sz="0" w:space="0" w:color="auto"/>
        <w:left w:val="none" w:sz="0" w:space="0" w:color="auto"/>
        <w:bottom w:val="none" w:sz="0" w:space="0" w:color="auto"/>
        <w:right w:val="none" w:sz="0" w:space="0" w:color="auto"/>
      </w:divBdr>
    </w:div>
    <w:div w:id="1665008192">
      <w:bodyDiv w:val="1"/>
      <w:marLeft w:val="0"/>
      <w:marRight w:val="0"/>
      <w:marTop w:val="0"/>
      <w:marBottom w:val="0"/>
      <w:divBdr>
        <w:top w:val="none" w:sz="0" w:space="0" w:color="auto"/>
        <w:left w:val="none" w:sz="0" w:space="0" w:color="auto"/>
        <w:bottom w:val="none" w:sz="0" w:space="0" w:color="auto"/>
        <w:right w:val="none" w:sz="0" w:space="0" w:color="auto"/>
      </w:divBdr>
    </w:div>
    <w:div w:id="1665012798">
      <w:bodyDiv w:val="1"/>
      <w:marLeft w:val="0"/>
      <w:marRight w:val="0"/>
      <w:marTop w:val="0"/>
      <w:marBottom w:val="0"/>
      <w:divBdr>
        <w:top w:val="none" w:sz="0" w:space="0" w:color="auto"/>
        <w:left w:val="none" w:sz="0" w:space="0" w:color="auto"/>
        <w:bottom w:val="none" w:sz="0" w:space="0" w:color="auto"/>
        <w:right w:val="none" w:sz="0" w:space="0" w:color="auto"/>
      </w:divBdr>
    </w:div>
    <w:div w:id="1665401829">
      <w:bodyDiv w:val="1"/>
      <w:marLeft w:val="0"/>
      <w:marRight w:val="0"/>
      <w:marTop w:val="0"/>
      <w:marBottom w:val="0"/>
      <w:divBdr>
        <w:top w:val="none" w:sz="0" w:space="0" w:color="auto"/>
        <w:left w:val="none" w:sz="0" w:space="0" w:color="auto"/>
        <w:bottom w:val="none" w:sz="0" w:space="0" w:color="auto"/>
        <w:right w:val="none" w:sz="0" w:space="0" w:color="auto"/>
      </w:divBdr>
    </w:div>
    <w:div w:id="1665933962">
      <w:bodyDiv w:val="1"/>
      <w:marLeft w:val="0"/>
      <w:marRight w:val="0"/>
      <w:marTop w:val="0"/>
      <w:marBottom w:val="0"/>
      <w:divBdr>
        <w:top w:val="none" w:sz="0" w:space="0" w:color="auto"/>
        <w:left w:val="none" w:sz="0" w:space="0" w:color="auto"/>
        <w:bottom w:val="none" w:sz="0" w:space="0" w:color="auto"/>
        <w:right w:val="none" w:sz="0" w:space="0" w:color="auto"/>
      </w:divBdr>
    </w:div>
    <w:div w:id="1666468490">
      <w:bodyDiv w:val="1"/>
      <w:marLeft w:val="0"/>
      <w:marRight w:val="0"/>
      <w:marTop w:val="0"/>
      <w:marBottom w:val="0"/>
      <w:divBdr>
        <w:top w:val="none" w:sz="0" w:space="0" w:color="auto"/>
        <w:left w:val="none" w:sz="0" w:space="0" w:color="auto"/>
        <w:bottom w:val="none" w:sz="0" w:space="0" w:color="auto"/>
        <w:right w:val="none" w:sz="0" w:space="0" w:color="auto"/>
      </w:divBdr>
    </w:div>
    <w:div w:id="1666545141">
      <w:bodyDiv w:val="1"/>
      <w:marLeft w:val="0"/>
      <w:marRight w:val="0"/>
      <w:marTop w:val="0"/>
      <w:marBottom w:val="0"/>
      <w:divBdr>
        <w:top w:val="none" w:sz="0" w:space="0" w:color="auto"/>
        <w:left w:val="none" w:sz="0" w:space="0" w:color="auto"/>
        <w:bottom w:val="none" w:sz="0" w:space="0" w:color="auto"/>
        <w:right w:val="none" w:sz="0" w:space="0" w:color="auto"/>
      </w:divBdr>
    </w:div>
    <w:div w:id="1666783538">
      <w:bodyDiv w:val="1"/>
      <w:marLeft w:val="0"/>
      <w:marRight w:val="0"/>
      <w:marTop w:val="0"/>
      <w:marBottom w:val="0"/>
      <w:divBdr>
        <w:top w:val="none" w:sz="0" w:space="0" w:color="auto"/>
        <w:left w:val="none" w:sz="0" w:space="0" w:color="auto"/>
        <w:bottom w:val="none" w:sz="0" w:space="0" w:color="auto"/>
        <w:right w:val="none" w:sz="0" w:space="0" w:color="auto"/>
      </w:divBdr>
    </w:div>
    <w:div w:id="1667513439">
      <w:bodyDiv w:val="1"/>
      <w:marLeft w:val="0"/>
      <w:marRight w:val="0"/>
      <w:marTop w:val="0"/>
      <w:marBottom w:val="0"/>
      <w:divBdr>
        <w:top w:val="none" w:sz="0" w:space="0" w:color="auto"/>
        <w:left w:val="none" w:sz="0" w:space="0" w:color="auto"/>
        <w:bottom w:val="none" w:sz="0" w:space="0" w:color="auto"/>
        <w:right w:val="none" w:sz="0" w:space="0" w:color="auto"/>
      </w:divBdr>
    </w:div>
    <w:div w:id="1667783476">
      <w:bodyDiv w:val="1"/>
      <w:marLeft w:val="0"/>
      <w:marRight w:val="0"/>
      <w:marTop w:val="0"/>
      <w:marBottom w:val="0"/>
      <w:divBdr>
        <w:top w:val="none" w:sz="0" w:space="0" w:color="auto"/>
        <w:left w:val="none" w:sz="0" w:space="0" w:color="auto"/>
        <w:bottom w:val="none" w:sz="0" w:space="0" w:color="auto"/>
        <w:right w:val="none" w:sz="0" w:space="0" w:color="auto"/>
      </w:divBdr>
    </w:div>
    <w:div w:id="1668050709">
      <w:bodyDiv w:val="1"/>
      <w:marLeft w:val="0"/>
      <w:marRight w:val="0"/>
      <w:marTop w:val="0"/>
      <w:marBottom w:val="0"/>
      <w:divBdr>
        <w:top w:val="none" w:sz="0" w:space="0" w:color="auto"/>
        <w:left w:val="none" w:sz="0" w:space="0" w:color="auto"/>
        <w:bottom w:val="none" w:sz="0" w:space="0" w:color="auto"/>
        <w:right w:val="none" w:sz="0" w:space="0" w:color="auto"/>
      </w:divBdr>
    </w:div>
    <w:div w:id="1668828570">
      <w:bodyDiv w:val="1"/>
      <w:marLeft w:val="0"/>
      <w:marRight w:val="0"/>
      <w:marTop w:val="0"/>
      <w:marBottom w:val="0"/>
      <w:divBdr>
        <w:top w:val="none" w:sz="0" w:space="0" w:color="auto"/>
        <w:left w:val="none" w:sz="0" w:space="0" w:color="auto"/>
        <w:bottom w:val="none" w:sz="0" w:space="0" w:color="auto"/>
        <w:right w:val="none" w:sz="0" w:space="0" w:color="auto"/>
      </w:divBdr>
    </w:div>
    <w:div w:id="1669746530">
      <w:bodyDiv w:val="1"/>
      <w:marLeft w:val="0"/>
      <w:marRight w:val="0"/>
      <w:marTop w:val="0"/>
      <w:marBottom w:val="0"/>
      <w:divBdr>
        <w:top w:val="none" w:sz="0" w:space="0" w:color="auto"/>
        <w:left w:val="none" w:sz="0" w:space="0" w:color="auto"/>
        <w:bottom w:val="none" w:sz="0" w:space="0" w:color="auto"/>
        <w:right w:val="none" w:sz="0" w:space="0" w:color="auto"/>
      </w:divBdr>
    </w:div>
    <w:div w:id="1670792678">
      <w:bodyDiv w:val="1"/>
      <w:marLeft w:val="0"/>
      <w:marRight w:val="0"/>
      <w:marTop w:val="0"/>
      <w:marBottom w:val="0"/>
      <w:divBdr>
        <w:top w:val="none" w:sz="0" w:space="0" w:color="auto"/>
        <w:left w:val="none" w:sz="0" w:space="0" w:color="auto"/>
        <w:bottom w:val="none" w:sz="0" w:space="0" w:color="auto"/>
        <w:right w:val="none" w:sz="0" w:space="0" w:color="auto"/>
      </w:divBdr>
    </w:div>
    <w:div w:id="1671566235">
      <w:bodyDiv w:val="1"/>
      <w:marLeft w:val="0"/>
      <w:marRight w:val="0"/>
      <w:marTop w:val="0"/>
      <w:marBottom w:val="0"/>
      <w:divBdr>
        <w:top w:val="none" w:sz="0" w:space="0" w:color="auto"/>
        <w:left w:val="none" w:sz="0" w:space="0" w:color="auto"/>
        <w:bottom w:val="none" w:sz="0" w:space="0" w:color="auto"/>
        <w:right w:val="none" w:sz="0" w:space="0" w:color="auto"/>
      </w:divBdr>
    </w:div>
    <w:div w:id="1672217412">
      <w:bodyDiv w:val="1"/>
      <w:marLeft w:val="0"/>
      <w:marRight w:val="0"/>
      <w:marTop w:val="0"/>
      <w:marBottom w:val="0"/>
      <w:divBdr>
        <w:top w:val="none" w:sz="0" w:space="0" w:color="auto"/>
        <w:left w:val="none" w:sz="0" w:space="0" w:color="auto"/>
        <w:bottom w:val="none" w:sz="0" w:space="0" w:color="auto"/>
        <w:right w:val="none" w:sz="0" w:space="0" w:color="auto"/>
      </w:divBdr>
    </w:div>
    <w:div w:id="1672609870">
      <w:bodyDiv w:val="1"/>
      <w:marLeft w:val="0"/>
      <w:marRight w:val="0"/>
      <w:marTop w:val="0"/>
      <w:marBottom w:val="0"/>
      <w:divBdr>
        <w:top w:val="none" w:sz="0" w:space="0" w:color="auto"/>
        <w:left w:val="none" w:sz="0" w:space="0" w:color="auto"/>
        <w:bottom w:val="none" w:sz="0" w:space="0" w:color="auto"/>
        <w:right w:val="none" w:sz="0" w:space="0" w:color="auto"/>
      </w:divBdr>
    </w:div>
    <w:div w:id="1673214888">
      <w:bodyDiv w:val="1"/>
      <w:marLeft w:val="0"/>
      <w:marRight w:val="0"/>
      <w:marTop w:val="0"/>
      <w:marBottom w:val="0"/>
      <w:divBdr>
        <w:top w:val="none" w:sz="0" w:space="0" w:color="auto"/>
        <w:left w:val="none" w:sz="0" w:space="0" w:color="auto"/>
        <w:bottom w:val="none" w:sz="0" w:space="0" w:color="auto"/>
        <w:right w:val="none" w:sz="0" w:space="0" w:color="auto"/>
      </w:divBdr>
    </w:div>
    <w:div w:id="1674258443">
      <w:bodyDiv w:val="1"/>
      <w:marLeft w:val="0"/>
      <w:marRight w:val="0"/>
      <w:marTop w:val="0"/>
      <w:marBottom w:val="0"/>
      <w:divBdr>
        <w:top w:val="none" w:sz="0" w:space="0" w:color="auto"/>
        <w:left w:val="none" w:sz="0" w:space="0" w:color="auto"/>
        <w:bottom w:val="none" w:sz="0" w:space="0" w:color="auto"/>
        <w:right w:val="none" w:sz="0" w:space="0" w:color="auto"/>
      </w:divBdr>
    </w:div>
    <w:div w:id="1675566351">
      <w:bodyDiv w:val="1"/>
      <w:marLeft w:val="0"/>
      <w:marRight w:val="0"/>
      <w:marTop w:val="0"/>
      <w:marBottom w:val="0"/>
      <w:divBdr>
        <w:top w:val="none" w:sz="0" w:space="0" w:color="auto"/>
        <w:left w:val="none" w:sz="0" w:space="0" w:color="auto"/>
        <w:bottom w:val="none" w:sz="0" w:space="0" w:color="auto"/>
        <w:right w:val="none" w:sz="0" w:space="0" w:color="auto"/>
      </w:divBdr>
    </w:div>
    <w:div w:id="1675911592">
      <w:bodyDiv w:val="1"/>
      <w:marLeft w:val="0"/>
      <w:marRight w:val="0"/>
      <w:marTop w:val="0"/>
      <w:marBottom w:val="0"/>
      <w:divBdr>
        <w:top w:val="none" w:sz="0" w:space="0" w:color="auto"/>
        <w:left w:val="none" w:sz="0" w:space="0" w:color="auto"/>
        <w:bottom w:val="none" w:sz="0" w:space="0" w:color="auto"/>
        <w:right w:val="none" w:sz="0" w:space="0" w:color="auto"/>
      </w:divBdr>
    </w:div>
    <w:div w:id="1676566306">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148179">
      <w:bodyDiv w:val="1"/>
      <w:marLeft w:val="0"/>
      <w:marRight w:val="0"/>
      <w:marTop w:val="0"/>
      <w:marBottom w:val="0"/>
      <w:divBdr>
        <w:top w:val="none" w:sz="0" w:space="0" w:color="auto"/>
        <w:left w:val="none" w:sz="0" w:space="0" w:color="auto"/>
        <w:bottom w:val="none" w:sz="0" w:space="0" w:color="auto"/>
        <w:right w:val="none" w:sz="0" w:space="0" w:color="auto"/>
      </w:divBdr>
    </w:div>
    <w:div w:id="1677344677">
      <w:bodyDiv w:val="1"/>
      <w:marLeft w:val="0"/>
      <w:marRight w:val="0"/>
      <w:marTop w:val="0"/>
      <w:marBottom w:val="0"/>
      <w:divBdr>
        <w:top w:val="none" w:sz="0" w:space="0" w:color="auto"/>
        <w:left w:val="none" w:sz="0" w:space="0" w:color="auto"/>
        <w:bottom w:val="none" w:sz="0" w:space="0" w:color="auto"/>
        <w:right w:val="none" w:sz="0" w:space="0" w:color="auto"/>
      </w:divBdr>
    </w:div>
    <w:div w:id="1677659338">
      <w:bodyDiv w:val="1"/>
      <w:marLeft w:val="0"/>
      <w:marRight w:val="0"/>
      <w:marTop w:val="0"/>
      <w:marBottom w:val="0"/>
      <w:divBdr>
        <w:top w:val="none" w:sz="0" w:space="0" w:color="auto"/>
        <w:left w:val="none" w:sz="0" w:space="0" w:color="auto"/>
        <w:bottom w:val="none" w:sz="0" w:space="0" w:color="auto"/>
        <w:right w:val="none" w:sz="0" w:space="0" w:color="auto"/>
      </w:divBdr>
    </w:div>
    <w:div w:id="1677923367">
      <w:bodyDiv w:val="1"/>
      <w:marLeft w:val="0"/>
      <w:marRight w:val="0"/>
      <w:marTop w:val="0"/>
      <w:marBottom w:val="0"/>
      <w:divBdr>
        <w:top w:val="none" w:sz="0" w:space="0" w:color="auto"/>
        <w:left w:val="none" w:sz="0" w:space="0" w:color="auto"/>
        <w:bottom w:val="none" w:sz="0" w:space="0" w:color="auto"/>
        <w:right w:val="none" w:sz="0" w:space="0" w:color="auto"/>
      </w:divBdr>
    </w:div>
    <w:div w:id="1678144371">
      <w:bodyDiv w:val="1"/>
      <w:marLeft w:val="0"/>
      <w:marRight w:val="0"/>
      <w:marTop w:val="0"/>
      <w:marBottom w:val="0"/>
      <w:divBdr>
        <w:top w:val="none" w:sz="0" w:space="0" w:color="auto"/>
        <w:left w:val="none" w:sz="0" w:space="0" w:color="auto"/>
        <w:bottom w:val="none" w:sz="0" w:space="0" w:color="auto"/>
        <w:right w:val="none" w:sz="0" w:space="0" w:color="auto"/>
      </w:divBdr>
    </w:div>
    <w:div w:id="1678388020">
      <w:bodyDiv w:val="1"/>
      <w:marLeft w:val="0"/>
      <w:marRight w:val="0"/>
      <w:marTop w:val="0"/>
      <w:marBottom w:val="0"/>
      <w:divBdr>
        <w:top w:val="none" w:sz="0" w:space="0" w:color="auto"/>
        <w:left w:val="none" w:sz="0" w:space="0" w:color="auto"/>
        <w:bottom w:val="none" w:sz="0" w:space="0" w:color="auto"/>
        <w:right w:val="none" w:sz="0" w:space="0" w:color="auto"/>
      </w:divBdr>
    </w:div>
    <w:div w:id="1679115911">
      <w:bodyDiv w:val="1"/>
      <w:marLeft w:val="0"/>
      <w:marRight w:val="0"/>
      <w:marTop w:val="0"/>
      <w:marBottom w:val="0"/>
      <w:divBdr>
        <w:top w:val="none" w:sz="0" w:space="0" w:color="auto"/>
        <w:left w:val="none" w:sz="0" w:space="0" w:color="auto"/>
        <w:bottom w:val="none" w:sz="0" w:space="0" w:color="auto"/>
        <w:right w:val="none" w:sz="0" w:space="0" w:color="auto"/>
      </w:divBdr>
    </w:div>
    <w:div w:id="1679380959">
      <w:bodyDiv w:val="1"/>
      <w:marLeft w:val="0"/>
      <w:marRight w:val="0"/>
      <w:marTop w:val="0"/>
      <w:marBottom w:val="0"/>
      <w:divBdr>
        <w:top w:val="none" w:sz="0" w:space="0" w:color="auto"/>
        <w:left w:val="none" w:sz="0" w:space="0" w:color="auto"/>
        <w:bottom w:val="none" w:sz="0" w:space="0" w:color="auto"/>
        <w:right w:val="none" w:sz="0" w:space="0" w:color="auto"/>
      </w:divBdr>
    </w:div>
    <w:div w:id="1679381978">
      <w:bodyDiv w:val="1"/>
      <w:marLeft w:val="0"/>
      <w:marRight w:val="0"/>
      <w:marTop w:val="0"/>
      <w:marBottom w:val="0"/>
      <w:divBdr>
        <w:top w:val="none" w:sz="0" w:space="0" w:color="auto"/>
        <w:left w:val="none" w:sz="0" w:space="0" w:color="auto"/>
        <w:bottom w:val="none" w:sz="0" w:space="0" w:color="auto"/>
        <w:right w:val="none" w:sz="0" w:space="0" w:color="auto"/>
      </w:divBdr>
    </w:div>
    <w:div w:id="1679498746">
      <w:bodyDiv w:val="1"/>
      <w:marLeft w:val="0"/>
      <w:marRight w:val="0"/>
      <w:marTop w:val="0"/>
      <w:marBottom w:val="0"/>
      <w:divBdr>
        <w:top w:val="none" w:sz="0" w:space="0" w:color="auto"/>
        <w:left w:val="none" w:sz="0" w:space="0" w:color="auto"/>
        <w:bottom w:val="none" w:sz="0" w:space="0" w:color="auto"/>
        <w:right w:val="none" w:sz="0" w:space="0" w:color="auto"/>
      </w:divBdr>
    </w:div>
    <w:div w:id="1679648515">
      <w:bodyDiv w:val="1"/>
      <w:marLeft w:val="0"/>
      <w:marRight w:val="0"/>
      <w:marTop w:val="0"/>
      <w:marBottom w:val="0"/>
      <w:divBdr>
        <w:top w:val="none" w:sz="0" w:space="0" w:color="auto"/>
        <w:left w:val="none" w:sz="0" w:space="0" w:color="auto"/>
        <w:bottom w:val="none" w:sz="0" w:space="0" w:color="auto"/>
        <w:right w:val="none" w:sz="0" w:space="0" w:color="auto"/>
      </w:divBdr>
    </w:div>
    <w:div w:id="1679842432">
      <w:bodyDiv w:val="1"/>
      <w:marLeft w:val="0"/>
      <w:marRight w:val="0"/>
      <w:marTop w:val="0"/>
      <w:marBottom w:val="0"/>
      <w:divBdr>
        <w:top w:val="none" w:sz="0" w:space="0" w:color="auto"/>
        <w:left w:val="none" w:sz="0" w:space="0" w:color="auto"/>
        <w:bottom w:val="none" w:sz="0" w:space="0" w:color="auto"/>
        <w:right w:val="none" w:sz="0" w:space="0" w:color="auto"/>
      </w:divBdr>
    </w:div>
    <w:div w:id="1682392816">
      <w:bodyDiv w:val="1"/>
      <w:marLeft w:val="0"/>
      <w:marRight w:val="0"/>
      <w:marTop w:val="0"/>
      <w:marBottom w:val="0"/>
      <w:divBdr>
        <w:top w:val="none" w:sz="0" w:space="0" w:color="auto"/>
        <w:left w:val="none" w:sz="0" w:space="0" w:color="auto"/>
        <w:bottom w:val="none" w:sz="0" w:space="0" w:color="auto"/>
        <w:right w:val="none" w:sz="0" w:space="0" w:color="auto"/>
      </w:divBdr>
    </w:div>
    <w:div w:id="1683126374">
      <w:bodyDiv w:val="1"/>
      <w:marLeft w:val="0"/>
      <w:marRight w:val="0"/>
      <w:marTop w:val="0"/>
      <w:marBottom w:val="0"/>
      <w:divBdr>
        <w:top w:val="none" w:sz="0" w:space="0" w:color="auto"/>
        <w:left w:val="none" w:sz="0" w:space="0" w:color="auto"/>
        <w:bottom w:val="none" w:sz="0" w:space="0" w:color="auto"/>
        <w:right w:val="none" w:sz="0" w:space="0" w:color="auto"/>
      </w:divBdr>
    </w:div>
    <w:div w:id="1683161668">
      <w:bodyDiv w:val="1"/>
      <w:marLeft w:val="0"/>
      <w:marRight w:val="0"/>
      <w:marTop w:val="0"/>
      <w:marBottom w:val="0"/>
      <w:divBdr>
        <w:top w:val="none" w:sz="0" w:space="0" w:color="auto"/>
        <w:left w:val="none" w:sz="0" w:space="0" w:color="auto"/>
        <w:bottom w:val="none" w:sz="0" w:space="0" w:color="auto"/>
        <w:right w:val="none" w:sz="0" w:space="0" w:color="auto"/>
      </w:divBdr>
    </w:div>
    <w:div w:id="1683513041">
      <w:bodyDiv w:val="1"/>
      <w:marLeft w:val="0"/>
      <w:marRight w:val="0"/>
      <w:marTop w:val="0"/>
      <w:marBottom w:val="0"/>
      <w:divBdr>
        <w:top w:val="none" w:sz="0" w:space="0" w:color="auto"/>
        <w:left w:val="none" w:sz="0" w:space="0" w:color="auto"/>
        <w:bottom w:val="none" w:sz="0" w:space="0" w:color="auto"/>
        <w:right w:val="none" w:sz="0" w:space="0" w:color="auto"/>
      </w:divBdr>
    </w:div>
    <w:div w:id="1684237319">
      <w:bodyDiv w:val="1"/>
      <w:marLeft w:val="0"/>
      <w:marRight w:val="0"/>
      <w:marTop w:val="0"/>
      <w:marBottom w:val="0"/>
      <w:divBdr>
        <w:top w:val="none" w:sz="0" w:space="0" w:color="auto"/>
        <w:left w:val="none" w:sz="0" w:space="0" w:color="auto"/>
        <w:bottom w:val="none" w:sz="0" w:space="0" w:color="auto"/>
        <w:right w:val="none" w:sz="0" w:space="0" w:color="auto"/>
      </w:divBdr>
    </w:div>
    <w:div w:id="1685403293">
      <w:bodyDiv w:val="1"/>
      <w:marLeft w:val="0"/>
      <w:marRight w:val="0"/>
      <w:marTop w:val="0"/>
      <w:marBottom w:val="0"/>
      <w:divBdr>
        <w:top w:val="none" w:sz="0" w:space="0" w:color="auto"/>
        <w:left w:val="none" w:sz="0" w:space="0" w:color="auto"/>
        <w:bottom w:val="none" w:sz="0" w:space="0" w:color="auto"/>
        <w:right w:val="none" w:sz="0" w:space="0" w:color="auto"/>
      </w:divBdr>
    </w:div>
    <w:div w:id="1685664393">
      <w:bodyDiv w:val="1"/>
      <w:marLeft w:val="0"/>
      <w:marRight w:val="0"/>
      <w:marTop w:val="0"/>
      <w:marBottom w:val="0"/>
      <w:divBdr>
        <w:top w:val="none" w:sz="0" w:space="0" w:color="auto"/>
        <w:left w:val="none" w:sz="0" w:space="0" w:color="auto"/>
        <w:bottom w:val="none" w:sz="0" w:space="0" w:color="auto"/>
        <w:right w:val="none" w:sz="0" w:space="0" w:color="auto"/>
      </w:divBdr>
    </w:div>
    <w:div w:id="1685741200">
      <w:bodyDiv w:val="1"/>
      <w:marLeft w:val="0"/>
      <w:marRight w:val="0"/>
      <w:marTop w:val="0"/>
      <w:marBottom w:val="0"/>
      <w:divBdr>
        <w:top w:val="none" w:sz="0" w:space="0" w:color="auto"/>
        <w:left w:val="none" w:sz="0" w:space="0" w:color="auto"/>
        <w:bottom w:val="none" w:sz="0" w:space="0" w:color="auto"/>
        <w:right w:val="none" w:sz="0" w:space="0" w:color="auto"/>
      </w:divBdr>
    </w:div>
    <w:div w:id="1686442179">
      <w:bodyDiv w:val="1"/>
      <w:marLeft w:val="0"/>
      <w:marRight w:val="0"/>
      <w:marTop w:val="0"/>
      <w:marBottom w:val="0"/>
      <w:divBdr>
        <w:top w:val="none" w:sz="0" w:space="0" w:color="auto"/>
        <w:left w:val="none" w:sz="0" w:space="0" w:color="auto"/>
        <w:bottom w:val="none" w:sz="0" w:space="0" w:color="auto"/>
        <w:right w:val="none" w:sz="0" w:space="0" w:color="auto"/>
      </w:divBdr>
    </w:div>
    <w:div w:id="1686784683">
      <w:bodyDiv w:val="1"/>
      <w:marLeft w:val="0"/>
      <w:marRight w:val="0"/>
      <w:marTop w:val="0"/>
      <w:marBottom w:val="0"/>
      <w:divBdr>
        <w:top w:val="none" w:sz="0" w:space="0" w:color="auto"/>
        <w:left w:val="none" w:sz="0" w:space="0" w:color="auto"/>
        <w:bottom w:val="none" w:sz="0" w:space="0" w:color="auto"/>
        <w:right w:val="none" w:sz="0" w:space="0" w:color="auto"/>
      </w:divBdr>
    </w:div>
    <w:div w:id="1687708044">
      <w:bodyDiv w:val="1"/>
      <w:marLeft w:val="0"/>
      <w:marRight w:val="0"/>
      <w:marTop w:val="0"/>
      <w:marBottom w:val="0"/>
      <w:divBdr>
        <w:top w:val="none" w:sz="0" w:space="0" w:color="auto"/>
        <w:left w:val="none" w:sz="0" w:space="0" w:color="auto"/>
        <w:bottom w:val="none" w:sz="0" w:space="0" w:color="auto"/>
        <w:right w:val="none" w:sz="0" w:space="0" w:color="auto"/>
      </w:divBdr>
    </w:div>
    <w:div w:id="1687712232">
      <w:bodyDiv w:val="1"/>
      <w:marLeft w:val="0"/>
      <w:marRight w:val="0"/>
      <w:marTop w:val="0"/>
      <w:marBottom w:val="0"/>
      <w:divBdr>
        <w:top w:val="none" w:sz="0" w:space="0" w:color="auto"/>
        <w:left w:val="none" w:sz="0" w:space="0" w:color="auto"/>
        <w:bottom w:val="none" w:sz="0" w:space="0" w:color="auto"/>
        <w:right w:val="none" w:sz="0" w:space="0" w:color="auto"/>
      </w:divBdr>
    </w:div>
    <w:div w:id="1687714199">
      <w:bodyDiv w:val="1"/>
      <w:marLeft w:val="0"/>
      <w:marRight w:val="0"/>
      <w:marTop w:val="0"/>
      <w:marBottom w:val="0"/>
      <w:divBdr>
        <w:top w:val="none" w:sz="0" w:space="0" w:color="auto"/>
        <w:left w:val="none" w:sz="0" w:space="0" w:color="auto"/>
        <w:bottom w:val="none" w:sz="0" w:space="0" w:color="auto"/>
        <w:right w:val="none" w:sz="0" w:space="0" w:color="auto"/>
      </w:divBdr>
    </w:div>
    <w:div w:id="1689021111">
      <w:bodyDiv w:val="1"/>
      <w:marLeft w:val="0"/>
      <w:marRight w:val="0"/>
      <w:marTop w:val="0"/>
      <w:marBottom w:val="0"/>
      <w:divBdr>
        <w:top w:val="none" w:sz="0" w:space="0" w:color="auto"/>
        <w:left w:val="none" w:sz="0" w:space="0" w:color="auto"/>
        <w:bottom w:val="none" w:sz="0" w:space="0" w:color="auto"/>
        <w:right w:val="none" w:sz="0" w:space="0" w:color="auto"/>
      </w:divBdr>
    </w:div>
    <w:div w:id="1691562468">
      <w:bodyDiv w:val="1"/>
      <w:marLeft w:val="0"/>
      <w:marRight w:val="0"/>
      <w:marTop w:val="0"/>
      <w:marBottom w:val="0"/>
      <w:divBdr>
        <w:top w:val="none" w:sz="0" w:space="0" w:color="auto"/>
        <w:left w:val="none" w:sz="0" w:space="0" w:color="auto"/>
        <w:bottom w:val="none" w:sz="0" w:space="0" w:color="auto"/>
        <w:right w:val="none" w:sz="0" w:space="0" w:color="auto"/>
      </w:divBdr>
    </w:div>
    <w:div w:id="1691569212">
      <w:bodyDiv w:val="1"/>
      <w:marLeft w:val="0"/>
      <w:marRight w:val="0"/>
      <w:marTop w:val="0"/>
      <w:marBottom w:val="0"/>
      <w:divBdr>
        <w:top w:val="none" w:sz="0" w:space="0" w:color="auto"/>
        <w:left w:val="none" w:sz="0" w:space="0" w:color="auto"/>
        <w:bottom w:val="none" w:sz="0" w:space="0" w:color="auto"/>
        <w:right w:val="none" w:sz="0" w:space="0" w:color="auto"/>
      </w:divBdr>
    </w:div>
    <w:div w:id="1691645086">
      <w:bodyDiv w:val="1"/>
      <w:marLeft w:val="0"/>
      <w:marRight w:val="0"/>
      <w:marTop w:val="0"/>
      <w:marBottom w:val="0"/>
      <w:divBdr>
        <w:top w:val="none" w:sz="0" w:space="0" w:color="auto"/>
        <w:left w:val="none" w:sz="0" w:space="0" w:color="auto"/>
        <w:bottom w:val="none" w:sz="0" w:space="0" w:color="auto"/>
        <w:right w:val="none" w:sz="0" w:space="0" w:color="auto"/>
      </w:divBdr>
    </w:div>
    <w:div w:id="1691837112">
      <w:bodyDiv w:val="1"/>
      <w:marLeft w:val="0"/>
      <w:marRight w:val="0"/>
      <w:marTop w:val="0"/>
      <w:marBottom w:val="0"/>
      <w:divBdr>
        <w:top w:val="none" w:sz="0" w:space="0" w:color="auto"/>
        <w:left w:val="none" w:sz="0" w:space="0" w:color="auto"/>
        <w:bottom w:val="none" w:sz="0" w:space="0" w:color="auto"/>
        <w:right w:val="none" w:sz="0" w:space="0" w:color="auto"/>
      </w:divBdr>
    </w:div>
    <w:div w:id="1693654225">
      <w:bodyDiv w:val="1"/>
      <w:marLeft w:val="0"/>
      <w:marRight w:val="0"/>
      <w:marTop w:val="0"/>
      <w:marBottom w:val="0"/>
      <w:divBdr>
        <w:top w:val="none" w:sz="0" w:space="0" w:color="auto"/>
        <w:left w:val="none" w:sz="0" w:space="0" w:color="auto"/>
        <w:bottom w:val="none" w:sz="0" w:space="0" w:color="auto"/>
        <w:right w:val="none" w:sz="0" w:space="0" w:color="auto"/>
      </w:divBdr>
    </w:div>
    <w:div w:id="1693989915">
      <w:bodyDiv w:val="1"/>
      <w:marLeft w:val="0"/>
      <w:marRight w:val="0"/>
      <w:marTop w:val="0"/>
      <w:marBottom w:val="0"/>
      <w:divBdr>
        <w:top w:val="none" w:sz="0" w:space="0" w:color="auto"/>
        <w:left w:val="none" w:sz="0" w:space="0" w:color="auto"/>
        <w:bottom w:val="none" w:sz="0" w:space="0" w:color="auto"/>
        <w:right w:val="none" w:sz="0" w:space="0" w:color="auto"/>
      </w:divBdr>
    </w:div>
    <w:div w:id="1694065863">
      <w:bodyDiv w:val="1"/>
      <w:marLeft w:val="0"/>
      <w:marRight w:val="0"/>
      <w:marTop w:val="0"/>
      <w:marBottom w:val="0"/>
      <w:divBdr>
        <w:top w:val="none" w:sz="0" w:space="0" w:color="auto"/>
        <w:left w:val="none" w:sz="0" w:space="0" w:color="auto"/>
        <w:bottom w:val="none" w:sz="0" w:space="0" w:color="auto"/>
        <w:right w:val="none" w:sz="0" w:space="0" w:color="auto"/>
      </w:divBdr>
    </w:div>
    <w:div w:id="1694574446">
      <w:bodyDiv w:val="1"/>
      <w:marLeft w:val="0"/>
      <w:marRight w:val="0"/>
      <w:marTop w:val="0"/>
      <w:marBottom w:val="0"/>
      <w:divBdr>
        <w:top w:val="none" w:sz="0" w:space="0" w:color="auto"/>
        <w:left w:val="none" w:sz="0" w:space="0" w:color="auto"/>
        <w:bottom w:val="none" w:sz="0" w:space="0" w:color="auto"/>
        <w:right w:val="none" w:sz="0" w:space="0" w:color="auto"/>
      </w:divBdr>
    </w:div>
    <w:div w:id="1694838164">
      <w:bodyDiv w:val="1"/>
      <w:marLeft w:val="0"/>
      <w:marRight w:val="0"/>
      <w:marTop w:val="0"/>
      <w:marBottom w:val="0"/>
      <w:divBdr>
        <w:top w:val="none" w:sz="0" w:space="0" w:color="auto"/>
        <w:left w:val="none" w:sz="0" w:space="0" w:color="auto"/>
        <w:bottom w:val="none" w:sz="0" w:space="0" w:color="auto"/>
        <w:right w:val="none" w:sz="0" w:space="0" w:color="auto"/>
      </w:divBdr>
    </w:div>
    <w:div w:id="1696075754">
      <w:bodyDiv w:val="1"/>
      <w:marLeft w:val="0"/>
      <w:marRight w:val="0"/>
      <w:marTop w:val="0"/>
      <w:marBottom w:val="0"/>
      <w:divBdr>
        <w:top w:val="none" w:sz="0" w:space="0" w:color="auto"/>
        <w:left w:val="none" w:sz="0" w:space="0" w:color="auto"/>
        <w:bottom w:val="none" w:sz="0" w:space="0" w:color="auto"/>
        <w:right w:val="none" w:sz="0" w:space="0" w:color="auto"/>
      </w:divBdr>
    </w:div>
    <w:div w:id="1696421408">
      <w:bodyDiv w:val="1"/>
      <w:marLeft w:val="0"/>
      <w:marRight w:val="0"/>
      <w:marTop w:val="0"/>
      <w:marBottom w:val="0"/>
      <w:divBdr>
        <w:top w:val="none" w:sz="0" w:space="0" w:color="auto"/>
        <w:left w:val="none" w:sz="0" w:space="0" w:color="auto"/>
        <w:bottom w:val="none" w:sz="0" w:space="0" w:color="auto"/>
        <w:right w:val="none" w:sz="0" w:space="0" w:color="auto"/>
      </w:divBdr>
    </w:div>
    <w:div w:id="1698584460">
      <w:bodyDiv w:val="1"/>
      <w:marLeft w:val="0"/>
      <w:marRight w:val="0"/>
      <w:marTop w:val="0"/>
      <w:marBottom w:val="0"/>
      <w:divBdr>
        <w:top w:val="none" w:sz="0" w:space="0" w:color="auto"/>
        <w:left w:val="none" w:sz="0" w:space="0" w:color="auto"/>
        <w:bottom w:val="none" w:sz="0" w:space="0" w:color="auto"/>
        <w:right w:val="none" w:sz="0" w:space="0" w:color="auto"/>
      </w:divBdr>
    </w:div>
    <w:div w:id="1699231885">
      <w:bodyDiv w:val="1"/>
      <w:marLeft w:val="0"/>
      <w:marRight w:val="0"/>
      <w:marTop w:val="0"/>
      <w:marBottom w:val="0"/>
      <w:divBdr>
        <w:top w:val="none" w:sz="0" w:space="0" w:color="auto"/>
        <w:left w:val="none" w:sz="0" w:space="0" w:color="auto"/>
        <w:bottom w:val="none" w:sz="0" w:space="0" w:color="auto"/>
        <w:right w:val="none" w:sz="0" w:space="0" w:color="auto"/>
      </w:divBdr>
    </w:div>
    <w:div w:id="1699621630">
      <w:bodyDiv w:val="1"/>
      <w:marLeft w:val="0"/>
      <w:marRight w:val="0"/>
      <w:marTop w:val="0"/>
      <w:marBottom w:val="0"/>
      <w:divBdr>
        <w:top w:val="none" w:sz="0" w:space="0" w:color="auto"/>
        <w:left w:val="none" w:sz="0" w:space="0" w:color="auto"/>
        <w:bottom w:val="none" w:sz="0" w:space="0" w:color="auto"/>
        <w:right w:val="none" w:sz="0" w:space="0" w:color="auto"/>
      </w:divBdr>
    </w:div>
    <w:div w:id="1700086569">
      <w:bodyDiv w:val="1"/>
      <w:marLeft w:val="0"/>
      <w:marRight w:val="0"/>
      <w:marTop w:val="0"/>
      <w:marBottom w:val="0"/>
      <w:divBdr>
        <w:top w:val="none" w:sz="0" w:space="0" w:color="auto"/>
        <w:left w:val="none" w:sz="0" w:space="0" w:color="auto"/>
        <w:bottom w:val="none" w:sz="0" w:space="0" w:color="auto"/>
        <w:right w:val="none" w:sz="0" w:space="0" w:color="auto"/>
      </w:divBdr>
    </w:div>
    <w:div w:id="1700857888">
      <w:bodyDiv w:val="1"/>
      <w:marLeft w:val="0"/>
      <w:marRight w:val="0"/>
      <w:marTop w:val="0"/>
      <w:marBottom w:val="0"/>
      <w:divBdr>
        <w:top w:val="none" w:sz="0" w:space="0" w:color="auto"/>
        <w:left w:val="none" w:sz="0" w:space="0" w:color="auto"/>
        <w:bottom w:val="none" w:sz="0" w:space="0" w:color="auto"/>
        <w:right w:val="none" w:sz="0" w:space="0" w:color="auto"/>
      </w:divBdr>
    </w:div>
    <w:div w:id="1702239436">
      <w:bodyDiv w:val="1"/>
      <w:marLeft w:val="0"/>
      <w:marRight w:val="0"/>
      <w:marTop w:val="0"/>
      <w:marBottom w:val="0"/>
      <w:divBdr>
        <w:top w:val="none" w:sz="0" w:space="0" w:color="auto"/>
        <w:left w:val="none" w:sz="0" w:space="0" w:color="auto"/>
        <w:bottom w:val="none" w:sz="0" w:space="0" w:color="auto"/>
        <w:right w:val="none" w:sz="0" w:space="0" w:color="auto"/>
      </w:divBdr>
    </w:div>
    <w:div w:id="1702243590">
      <w:bodyDiv w:val="1"/>
      <w:marLeft w:val="0"/>
      <w:marRight w:val="0"/>
      <w:marTop w:val="0"/>
      <w:marBottom w:val="0"/>
      <w:divBdr>
        <w:top w:val="none" w:sz="0" w:space="0" w:color="auto"/>
        <w:left w:val="none" w:sz="0" w:space="0" w:color="auto"/>
        <w:bottom w:val="none" w:sz="0" w:space="0" w:color="auto"/>
        <w:right w:val="none" w:sz="0" w:space="0" w:color="auto"/>
      </w:divBdr>
    </w:div>
    <w:div w:id="1702900018">
      <w:bodyDiv w:val="1"/>
      <w:marLeft w:val="0"/>
      <w:marRight w:val="0"/>
      <w:marTop w:val="0"/>
      <w:marBottom w:val="0"/>
      <w:divBdr>
        <w:top w:val="none" w:sz="0" w:space="0" w:color="auto"/>
        <w:left w:val="none" w:sz="0" w:space="0" w:color="auto"/>
        <w:bottom w:val="none" w:sz="0" w:space="0" w:color="auto"/>
        <w:right w:val="none" w:sz="0" w:space="0" w:color="auto"/>
      </w:divBdr>
    </w:div>
    <w:div w:id="1703285568">
      <w:bodyDiv w:val="1"/>
      <w:marLeft w:val="0"/>
      <w:marRight w:val="0"/>
      <w:marTop w:val="0"/>
      <w:marBottom w:val="0"/>
      <w:divBdr>
        <w:top w:val="none" w:sz="0" w:space="0" w:color="auto"/>
        <w:left w:val="none" w:sz="0" w:space="0" w:color="auto"/>
        <w:bottom w:val="none" w:sz="0" w:space="0" w:color="auto"/>
        <w:right w:val="none" w:sz="0" w:space="0" w:color="auto"/>
      </w:divBdr>
    </w:div>
    <w:div w:id="1703287164">
      <w:bodyDiv w:val="1"/>
      <w:marLeft w:val="0"/>
      <w:marRight w:val="0"/>
      <w:marTop w:val="0"/>
      <w:marBottom w:val="0"/>
      <w:divBdr>
        <w:top w:val="none" w:sz="0" w:space="0" w:color="auto"/>
        <w:left w:val="none" w:sz="0" w:space="0" w:color="auto"/>
        <w:bottom w:val="none" w:sz="0" w:space="0" w:color="auto"/>
        <w:right w:val="none" w:sz="0" w:space="0" w:color="auto"/>
      </w:divBdr>
    </w:div>
    <w:div w:id="1703509204">
      <w:bodyDiv w:val="1"/>
      <w:marLeft w:val="0"/>
      <w:marRight w:val="0"/>
      <w:marTop w:val="0"/>
      <w:marBottom w:val="0"/>
      <w:divBdr>
        <w:top w:val="none" w:sz="0" w:space="0" w:color="auto"/>
        <w:left w:val="none" w:sz="0" w:space="0" w:color="auto"/>
        <w:bottom w:val="none" w:sz="0" w:space="0" w:color="auto"/>
        <w:right w:val="none" w:sz="0" w:space="0" w:color="auto"/>
      </w:divBdr>
    </w:div>
    <w:div w:id="1704212676">
      <w:bodyDiv w:val="1"/>
      <w:marLeft w:val="0"/>
      <w:marRight w:val="0"/>
      <w:marTop w:val="0"/>
      <w:marBottom w:val="0"/>
      <w:divBdr>
        <w:top w:val="none" w:sz="0" w:space="0" w:color="auto"/>
        <w:left w:val="none" w:sz="0" w:space="0" w:color="auto"/>
        <w:bottom w:val="none" w:sz="0" w:space="0" w:color="auto"/>
        <w:right w:val="none" w:sz="0" w:space="0" w:color="auto"/>
      </w:divBdr>
    </w:div>
    <w:div w:id="1704549600">
      <w:bodyDiv w:val="1"/>
      <w:marLeft w:val="0"/>
      <w:marRight w:val="0"/>
      <w:marTop w:val="0"/>
      <w:marBottom w:val="0"/>
      <w:divBdr>
        <w:top w:val="none" w:sz="0" w:space="0" w:color="auto"/>
        <w:left w:val="none" w:sz="0" w:space="0" w:color="auto"/>
        <w:bottom w:val="none" w:sz="0" w:space="0" w:color="auto"/>
        <w:right w:val="none" w:sz="0" w:space="0" w:color="auto"/>
      </w:divBdr>
    </w:div>
    <w:div w:id="1705401238">
      <w:bodyDiv w:val="1"/>
      <w:marLeft w:val="0"/>
      <w:marRight w:val="0"/>
      <w:marTop w:val="0"/>
      <w:marBottom w:val="0"/>
      <w:divBdr>
        <w:top w:val="none" w:sz="0" w:space="0" w:color="auto"/>
        <w:left w:val="none" w:sz="0" w:space="0" w:color="auto"/>
        <w:bottom w:val="none" w:sz="0" w:space="0" w:color="auto"/>
        <w:right w:val="none" w:sz="0" w:space="0" w:color="auto"/>
      </w:divBdr>
    </w:div>
    <w:div w:id="1705978944">
      <w:bodyDiv w:val="1"/>
      <w:marLeft w:val="0"/>
      <w:marRight w:val="0"/>
      <w:marTop w:val="0"/>
      <w:marBottom w:val="0"/>
      <w:divBdr>
        <w:top w:val="none" w:sz="0" w:space="0" w:color="auto"/>
        <w:left w:val="none" w:sz="0" w:space="0" w:color="auto"/>
        <w:bottom w:val="none" w:sz="0" w:space="0" w:color="auto"/>
        <w:right w:val="none" w:sz="0" w:space="0" w:color="auto"/>
      </w:divBdr>
    </w:div>
    <w:div w:id="1705980937">
      <w:bodyDiv w:val="1"/>
      <w:marLeft w:val="0"/>
      <w:marRight w:val="0"/>
      <w:marTop w:val="0"/>
      <w:marBottom w:val="0"/>
      <w:divBdr>
        <w:top w:val="none" w:sz="0" w:space="0" w:color="auto"/>
        <w:left w:val="none" w:sz="0" w:space="0" w:color="auto"/>
        <w:bottom w:val="none" w:sz="0" w:space="0" w:color="auto"/>
        <w:right w:val="none" w:sz="0" w:space="0" w:color="auto"/>
      </w:divBdr>
    </w:div>
    <w:div w:id="1706059734">
      <w:bodyDiv w:val="1"/>
      <w:marLeft w:val="0"/>
      <w:marRight w:val="0"/>
      <w:marTop w:val="0"/>
      <w:marBottom w:val="0"/>
      <w:divBdr>
        <w:top w:val="none" w:sz="0" w:space="0" w:color="auto"/>
        <w:left w:val="none" w:sz="0" w:space="0" w:color="auto"/>
        <w:bottom w:val="none" w:sz="0" w:space="0" w:color="auto"/>
        <w:right w:val="none" w:sz="0" w:space="0" w:color="auto"/>
      </w:divBdr>
    </w:div>
    <w:div w:id="1706979182">
      <w:bodyDiv w:val="1"/>
      <w:marLeft w:val="0"/>
      <w:marRight w:val="0"/>
      <w:marTop w:val="0"/>
      <w:marBottom w:val="0"/>
      <w:divBdr>
        <w:top w:val="none" w:sz="0" w:space="0" w:color="auto"/>
        <w:left w:val="none" w:sz="0" w:space="0" w:color="auto"/>
        <w:bottom w:val="none" w:sz="0" w:space="0" w:color="auto"/>
        <w:right w:val="none" w:sz="0" w:space="0" w:color="auto"/>
      </w:divBdr>
    </w:div>
    <w:div w:id="1706982128">
      <w:bodyDiv w:val="1"/>
      <w:marLeft w:val="0"/>
      <w:marRight w:val="0"/>
      <w:marTop w:val="0"/>
      <w:marBottom w:val="0"/>
      <w:divBdr>
        <w:top w:val="none" w:sz="0" w:space="0" w:color="auto"/>
        <w:left w:val="none" w:sz="0" w:space="0" w:color="auto"/>
        <w:bottom w:val="none" w:sz="0" w:space="0" w:color="auto"/>
        <w:right w:val="none" w:sz="0" w:space="0" w:color="auto"/>
      </w:divBdr>
    </w:div>
    <w:div w:id="1707680434">
      <w:bodyDiv w:val="1"/>
      <w:marLeft w:val="0"/>
      <w:marRight w:val="0"/>
      <w:marTop w:val="0"/>
      <w:marBottom w:val="0"/>
      <w:divBdr>
        <w:top w:val="none" w:sz="0" w:space="0" w:color="auto"/>
        <w:left w:val="none" w:sz="0" w:space="0" w:color="auto"/>
        <w:bottom w:val="none" w:sz="0" w:space="0" w:color="auto"/>
        <w:right w:val="none" w:sz="0" w:space="0" w:color="auto"/>
      </w:divBdr>
    </w:div>
    <w:div w:id="1707945033">
      <w:bodyDiv w:val="1"/>
      <w:marLeft w:val="0"/>
      <w:marRight w:val="0"/>
      <w:marTop w:val="0"/>
      <w:marBottom w:val="0"/>
      <w:divBdr>
        <w:top w:val="none" w:sz="0" w:space="0" w:color="auto"/>
        <w:left w:val="none" w:sz="0" w:space="0" w:color="auto"/>
        <w:bottom w:val="none" w:sz="0" w:space="0" w:color="auto"/>
        <w:right w:val="none" w:sz="0" w:space="0" w:color="auto"/>
      </w:divBdr>
    </w:div>
    <w:div w:id="1708796758">
      <w:bodyDiv w:val="1"/>
      <w:marLeft w:val="0"/>
      <w:marRight w:val="0"/>
      <w:marTop w:val="0"/>
      <w:marBottom w:val="0"/>
      <w:divBdr>
        <w:top w:val="none" w:sz="0" w:space="0" w:color="auto"/>
        <w:left w:val="none" w:sz="0" w:space="0" w:color="auto"/>
        <w:bottom w:val="none" w:sz="0" w:space="0" w:color="auto"/>
        <w:right w:val="none" w:sz="0" w:space="0" w:color="auto"/>
      </w:divBdr>
    </w:div>
    <w:div w:id="1708918047">
      <w:bodyDiv w:val="1"/>
      <w:marLeft w:val="0"/>
      <w:marRight w:val="0"/>
      <w:marTop w:val="0"/>
      <w:marBottom w:val="0"/>
      <w:divBdr>
        <w:top w:val="none" w:sz="0" w:space="0" w:color="auto"/>
        <w:left w:val="none" w:sz="0" w:space="0" w:color="auto"/>
        <w:bottom w:val="none" w:sz="0" w:space="0" w:color="auto"/>
        <w:right w:val="none" w:sz="0" w:space="0" w:color="auto"/>
      </w:divBdr>
    </w:div>
    <w:div w:id="1709335469">
      <w:bodyDiv w:val="1"/>
      <w:marLeft w:val="0"/>
      <w:marRight w:val="0"/>
      <w:marTop w:val="0"/>
      <w:marBottom w:val="0"/>
      <w:divBdr>
        <w:top w:val="none" w:sz="0" w:space="0" w:color="auto"/>
        <w:left w:val="none" w:sz="0" w:space="0" w:color="auto"/>
        <w:bottom w:val="none" w:sz="0" w:space="0" w:color="auto"/>
        <w:right w:val="none" w:sz="0" w:space="0" w:color="auto"/>
      </w:divBdr>
    </w:div>
    <w:div w:id="1710227778">
      <w:bodyDiv w:val="1"/>
      <w:marLeft w:val="0"/>
      <w:marRight w:val="0"/>
      <w:marTop w:val="0"/>
      <w:marBottom w:val="0"/>
      <w:divBdr>
        <w:top w:val="none" w:sz="0" w:space="0" w:color="auto"/>
        <w:left w:val="none" w:sz="0" w:space="0" w:color="auto"/>
        <w:bottom w:val="none" w:sz="0" w:space="0" w:color="auto"/>
        <w:right w:val="none" w:sz="0" w:space="0" w:color="auto"/>
      </w:divBdr>
    </w:div>
    <w:div w:id="1710372527">
      <w:bodyDiv w:val="1"/>
      <w:marLeft w:val="0"/>
      <w:marRight w:val="0"/>
      <w:marTop w:val="0"/>
      <w:marBottom w:val="0"/>
      <w:divBdr>
        <w:top w:val="none" w:sz="0" w:space="0" w:color="auto"/>
        <w:left w:val="none" w:sz="0" w:space="0" w:color="auto"/>
        <w:bottom w:val="none" w:sz="0" w:space="0" w:color="auto"/>
        <w:right w:val="none" w:sz="0" w:space="0" w:color="auto"/>
      </w:divBdr>
    </w:div>
    <w:div w:id="1710915016">
      <w:bodyDiv w:val="1"/>
      <w:marLeft w:val="0"/>
      <w:marRight w:val="0"/>
      <w:marTop w:val="0"/>
      <w:marBottom w:val="0"/>
      <w:divBdr>
        <w:top w:val="none" w:sz="0" w:space="0" w:color="auto"/>
        <w:left w:val="none" w:sz="0" w:space="0" w:color="auto"/>
        <w:bottom w:val="none" w:sz="0" w:space="0" w:color="auto"/>
        <w:right w:val="none" w:sz="0" w:space="0" w:color="auto"/>
      </w:divBdr>
    </w:div>
    <w:div w:id="1711031620">
      <w:bodyDiv w:val="1"/>
      <w:marLeft w:val="0"/>
      <w:marRight w:val="0"/>
      <w:marTop w:val="0"/>
      <w:marBottom w:val="0"/>
      <w:divBdr>
        <w:top w:val="none" w:sz="0" w:space="0" w:color="auto"/>
        <w:left w:val="none" w:sz="0" w:space="0" w:color="auto"/>
        <w:bottom w:val="none" w:sz="0" w:space="0" w:color="auto"/>
        <w:right w:val="none" w:sz="0" w:space="0" w:color="auto"/>
      </w:divBdr>
    </w:div>
    <w:div w:id="1711300582">
      <w:bodyDiv w:val="1"/>
      <w:marLeft w:val="0"/>
      <w:marRight w:val="0"/>
      <w:marTop w:val="0"/>
      <w:marBottom w:val="0"/>
      <w:divBdr>
        <w:top w:val="none" w:sz="0" w:space="0" w:color="auto"/>
        <w:left w:val="none" w:sz="0" w:space="0" w:color="auto"/>
        <w:bottom w:val="none" w:sz="0" w:space="0" w:color="auto"/>
        <w:right w:val="none" w:sz="0" w:space="0" w:color="auto"/>
      </w:divBdr>
    </w:div>
    <w:div w:id="1711493347">
      <w:bodyDiv w:val="1"/>
      <w:marLeft w:val="0"/>
      <w:marRight w:val="0"/>
      <w:marTop w:val="0"/>
      <w:marBottom w:val="0"/>
      <w:divBdr>
        <w:top w:val="none" w:sz="0" w:space="0" w:color="auto"/>
        <w:left w:val="none" w:sz="0" w:space="0" w:color="auto"/>
        <w:bottom w:val="none" w:sz="0" w:space="0" w:color="auto"/>
        <w:right w:val="none" w:sz="0" w:space="0" w:color="auto"/>
      </w:divBdr>
    </w:div>
    <w:div w:id="1712147093">
      <w:bodyDiv w:val="1"/>
      <w:marLeft w:val="0"/>
      <w:marRight w:val="0"/>
      <w:marTop w:val="0"/>
      <w:marBottom w:val="0"/>
      <w:divBdr>
        <w:top w:val="none" w:sz="0" w:space="0" w:color="auto"/>
        <w:left w:val="none" w:sz="0" w:space="0" w:color="auto"/>
        <w:bottom w:val="none" w:sz="0" w:space="0" w:color="auto"/>
        <w:right w:val="none" w:sz="0" w:space="0" w:color="auto"/>
      </w:divBdr>
    </w:div>
    <w:div w:id="1713268691">
      <w:bodyDiv w:val="1"/>
      <w:marLeft w:val="0"/>
      <w:marRight w:val="0"/>
      <w:marTop w:val="0"/>
      <w:marBottom w:val="0"/>
      <w:divBdr>
        <w:top w:val="none" w:sz="0" w:space="0" w:color="auto"/>
        <w:left w:val="none" w:sz="0" w:space="0" w:color="auto"/>
        <w:bottom w:val="none" w:sz="0" w:space="0" w:color="auto"/>
        <w:right w:val="none" w:sz="0" w:space="0" w:color="auto"/>
      </w:divBdr>
    </w:div>
    <w:div w:id="1713381410">
      <w:bodyDiv w:val="1"/>
      <w:marLeft w:val="0"/>
      <w:marRight w:val="0"/>
      <w:marTop w:val="0"/>
      <w:marBottom w:val="0"/>
      <w:divBdr>
        <w:top w:val="none" w:sz="0" w:space="0" w:color="auto"/>
        <w:left w:val="none" w:sz="0" w:space="0" w:color="auto"/>
        <w:bottom w:val="none" w:sz="0" w:space="0" w:color="auto"/>
        <w:right w:val="none" w:sz="0" w:space="0" w:color="auto"/>
      </w:divBdr>
    </w:div>
    <w:div w:id="1713455054">
      <w:bodyDiv w:val="1"/>
      <w:marLeft w:val="0"/>
      <w:marRight w:val="0"/>
      <w:marTop w:val="0"/>
      <w:marBottom w:val="0"/>
      <w:divBdr>
        <w:top w:val="none" w:sz="0" w:space="0" w:color="auto"/>
        <w:left w:val="none" w:sz="0" w:space="0" w:color="auto"/>
        <w:bottom w:val="none" w:sz="0" w:space="0" w:color="auto"/>
        <w:right w:val="none" w:sz="0" w:space="0" w:color="auto"/>
      </w:divBdr>
    </w:div>
    <w:div w:id="1714186585">
      <w:bodyDiv w:val="1"/>
      <w:marLeft w:val="0"/>
      <w:marRight w:val="0"/>
      <w:marTop w:val="0"/>
      <w:marBottom w:val="0"/>
      <w:divBdr>
        <w:top w:val="none" w:sz="0" w:space="0" w:color="auto"/>
        <w:left w:val="none" w:sz="0" w:space="0" w:color="auto"/>
        <w:bottom w:val="none" w:sz="0" w:space="0" w:color="auto"/>
        <w:right w:val="none" w:sz="0" w:space="0" w:color="auto"/>
      </w:divBdr>
    </w:div>
    <w:div w:id="1714504192">
      <w:bodyDiv w:val="1"/>
      <w:marLeft w:val="0"/>
      <w:marRight w:val="0"/>
      <w:marTop w:val="0"/>
      <w:marBottom w:val="0"/>
      <w:divBdr>
        <w:top w:val="none" w:sz="0" w:space="0" w:color="auto"/>
        <w:left w:val="none" w:sz="0" w:space="0" w:color="auto"/>
        <w:bottom w:val="none" w:sz="0" w:space="0" w:color="auto"/>
        <w:right w:val="none" w:sz="0" w:space="0" w:color="auto"/>
      </w:divBdr>
    </w:div>
    <w:div w:id="1715544462">
      <w:bodyDiv w:val="1"/>
      <w:marLeft w:val="0"/>
      <w:marRight w:val="0"/>
      <w:marTop w:val="0"/>
      <w:marBottom w:val="0"/>
      <w:divBdr>
        <w:top w:val="none" w:sz="0" w:space="0" w:color="auto"/>
        <w:left w:val="none" w:sz="0" w:space="0" w:color="auto"/>
        <w:bottom w:val="none" w:sz="0" w:space="0" w:color="auto"/>
        <w:right w:val="none" w:sz="0" w:space="0" w:color="auto"/>
      </w:divBdr>
    </w:div>
    <w:div w:id="1716734974">
      <w:bodyDiv w:val="1"/>
      <w:marLeft w:val="0"/>
      <w:marRight w:val="0"/>
      <w:marTop w:val="0"/>
      <w:marBottom w:val="0"/>
      <w:divBdr>
        <w:top w:val="none" w:sz="0" w:space="0" w:color="auto"/>
        <w:left w:val="none" w:sz="0" w:space="0" w:color="auto"/>
        <w:bottom w:val="none" w:sz="0" w:space="0" w:color="auto"/>
        <w:right w:val="none" w:sz="0" w:space="0" w:color="auto"/>
      </w:divBdr>
    </w:div>
    <w:div w:id="1718317342">
      <w:bodyDiv w:val="1"/>
      <w:marLeft w:val="0"/>
      <w:marRight w:val="0"/>
      <w:marTop w:val="0"/>
      <w:marBottom w:val="0"/>
      <w:divBdr>
        <w:top w:val="none" w:sz="0" w:space="0" w:color="auto"/>
        <w:left w:val="none" w:sz="0" w:space="0" w:color="auto"/>
        <w:bottom w:val="none" w:sz="0" w:space="0" w:color="auto"/>
        <w:right w:val="none" w:sz="0" w:space="0" w:color="auto"/>
      </w:divBdr>
    </w:div>
    <w:div w:id="1719086546">
      <w:bodyDiv w:val="1"/>
      <w:marLeft w:val="0"/>
      <w:marRight w:val="0"/>
      <w:marTop w:val="0"/>
      <w:marBottom w:val="0"/>
      <w:divBdr>
        <w:top w:val="none" w:sz="0" w:space="0" w:color="auto"/>
        <w:left w:val="none" w:sz="0" w:space="0" w:color="auto"/>
        <w:bottom w:val="none" w:sz="0" w:space="0" w:color="auto"/>
        <w:right w:val="none" w:sz="0" w:space="0" w:color="auto"/>
      </w:divBdr>
    </w:div>
    <w:div w:id="1719278651">
      <w:bodyDiv w:val="1"/>
      <w:marLeft w:val="0"/>
      <w:marRight w:val="0"/>
      <w:marTop w:val="0"/>
      <w:marBottom w:val="0"/>
      <w:divBdr>
        <w:top w:val="none" w:sz="0" w:space="0" w:color="auto"/>
        <w:left w:val="none" w:sz="0" w:space="0" w:color="auto"/>
        <w:bottom w:val="none" w:sz="0" w:space="0" w:color="auto"/>
        <w:right w:val="none" w:sz="0" w:space="0" w:color="auto"/>
      </w:divBdr>
    </w:div>
    <w:div w:id="1719478188">
      <w:bodyDiv w:val="1"/>
      <w:marLeft w:val="0"/>
      <w:marRight w:val="0"/>
      <w:marTop w:val="0"/>
      <w:marBottom w:val="0"/>
      <w:divBdr>
        <w:top w:val="none" w:sz="0" w:space="0" w:color="auto"/>
        <w:left w:val="none" w:sz="0" w:space="0" w:color="auto"/>
        <w:bottom w:val="none" w:sz="0" w:space="0" w:color="auto"/>
        <w:right w:val="none" w:sz="0" w:space="0" w:color="auto"/>
      </w:divBdr>
    </w:div>
    <w:div w:id="1719935358">
      <w:bodyDiv w:val="1"/>
      <w:marLeft w:val="0"/>
      <w:marRight w:val="0"/>
      <w:marTop w:val="0"/>
      <w:marBottom w:val="0"/>
      <w:divBdr>
        <w:top w:val="none" w:sz="0" w:space="0" w:color="auto"/>
        <w:left w:val="none" w:sz="0" w:space="0" w:color="auto"/>
        <w:bottom w:val="none" w:sz="0" w:space="0" w:color="auto"/>
        <w:right w:val="none" w:sz="0" w:space="0" w:color="auto"/>
      </w:divBdr>
    </w:div>
    <w:div w:id="1721442945">
      <w:bodyDiv w:val="1"/>
      <w:marLeft w:val="0"/>
      <w:marRight w:val="0"/>
      <w:marTop w:val="0"/>
      <w:marBottom w:val="0"/>
      <w:divBdr>
        <w:top w:val="none" w:sz="0" w:space="0" w:color="auto"/>
        <w:left w:val="none" w:sz="0" w:space="0" w:color="auto"/>
        <w:bottom w:val="none" w:sz="0" w:space="0" w:color="auto"/>
        <w:right w:val="none" w:sz="0" w:space="0" w:color="auto"/>
      </w:divBdr>
    </w:div>
    <w:div w:id="1722559827">
      <w:bodyDiv w:val="1"/>
      <w:marLeft w:val="0"/>
      <w:marRight w:val="0"/>
      <w:marTop w:val="0"/>
      <w:marBottom w:val="0"/>
      <w:divBdr>
        <w:top w:val="none" w:sz="0" w:space="0" w:color="auto"/>
        <w:left w:val="none" w:sz="0" w:space="0" w:color="auto"/>
        <w:bottom w:val="none" w:sz="0" w:space="0" w:color="auto"/>
        <w:right w:val="none" w:sz="0" w:space="0" w:color="auto"/>
      </w:divBdr>
    </w:div>
    <w:div w:id="1722823669">
      <w:bodyDiv w:val="1"/>
      <w:marLeft w:val="0"/>
      <w:marRight w:val="0"/>
      <w:marTop w:val="0"/>
      <w:marBottom w:val="0"/>
      <w:divBdr>
        <w:top w:val="none" w:sz="0" w:space="0" w:color="auto"/>
        <w:left w:val="none" w:sz="0" w:space="0" w:color="auto"/>
        <w:bottom w:val="none" w:sz="0" w:space="0" w:color="auto"/>
        <w:right w:val="none" w:sz="0" w:space="0" w:color="auto"/>
      </w:divBdr>
    </w:div>
    <w:div w:id="1723023247">
      <w:bodyDiv w:val="1"/>
      <w:marLeft w:val="0"/>
      <w:marRight w:val="0"/>
      <w:marTop w:val="0"/>
      <w:marBottom w:val="0"/>
      <w:divBdr>
        <w:top w:val="none" w:sz="0" w:space="0" w:color="auto"/>
        <w:left w:val="none" w:sz="0" w:space="0" w:color="auto"/>
        <w:bottom w:val="none" w:sz="0" w:space="0" w:color="auto"/>
        <w:right w:val="none" w:sz="0" w:space="0" w:color="auto"/>
      </w:divBdr>
    </w:div>
    <w:div w:id="1723552730">
      <w:bodyDiv w:val="1"/>
      <w:marLeft w:val="0"/>
      <w:marRight w:val="0"/>
      <w:marTop w:val="0"/>
      <w:marBottom w:val="0"/>
      <w:divBdr>
        <w:top w:val="none" w:sz="0" w:space="0" w:color="auto"/>
        <w:left w:val="none" w:sz="0" w:space="0" w:color="auto"/>
        <w:bottom w:val="none" w:sz="0" w:space="0" w:color="auto"/>
        <w:right w:val="none" w:sz="0" w:space="0" w:color="auto"/>
      </w:divBdr>
    </w:div>
    <w:div w:id="1723940658">
      <w:bodyDiv w:val="1"/>
      <w:marLeft w:val="0"/>
      <w:marRight w:val="0"/>
      <w:marTop w:val="0"/>
      <w:marBottom w:val="0"/>
      <w:divBdr>
        <w:top w:val="none" w:sz="0" w:space="0" w:color="auto"/>
        <w:left w:val="none" w:sz="0" w:space="0" w:color="auto"/>
        <w:bottom w:val="none" w:sz="0" w:space="0" w:color="auto"/>
        <w:right w:val="none" w:sz="0" w:space="0" w:color="auto"/>
      </w:divBdr>
    </w:div>
    <w:div w:id="1723943919">
      <w:bodyDiv w:val="1"/>
      <w:marLeft w:val="0"/>
      <w:marRight w:val="0"/>
      <w:marTop w:val="0"/>
      <w:marBottom w:val="0"/>
      <w:divBdr>
        <w:top w:val="none" w:sz="0" w:space="0" w:color="auto"/>
        <w:left w:val="none" w:sz="0" w:space="0" w:color="auto"/>
        <w:bottom w:val="none" w:sz="0" w:space="0" w:color="auto"/>
        <w:right w:val="none" w:sz="0" w:space="0" w:color="auto"/>
      </w:divBdr>
    </w:div>
    <w:div w:id="1724866599">
      <w:bodyDiv w:val="1"/>
      <w:marLeft w:val="0"/>
      <w:marRight w:val="0"/>
      <w:marTop w:val="0"/>
      <w:marBottom w:val="0"/>
      <w:divBdr>
        <w:top w:val="none" w:sz="0" w:space="0" w:color="auto"/>
        <w:left w:val="none" w:sz="0" w:space="0" w:color="auto"/>
        <w:bottom w:val="none" w:sz="0" w:space="0" w:color="auto"/>
        <w:right w:val="none" w:sz="0" w:space="0" w:color="auto"/>
      </w:divBdr>
    </w:div>
    <w:div w:id="1725712207">
      <w:bodyDiv w:val="1"/>
      <w:marLeft w:val="0"/>
      <w:marRight w:val="0"/>
      <w:marTop w:val="0"/>
      <w:marBottom w:val="0"/>
      <w:divBdr>
        <w:top w:val="none" w:sz="0" w:space="0" w:color="auto"/>
        <w:left w:val="none" w:sz="0" w:space="0" w:color="auto"/>
        <w:bottom w:val="none" w:sz="0" w:space="0" w:color="auto"/>
        <w:right w:val="none" w:sz="0" w:space="0" w:color="auto"/>
      </w:divBdr>
    </w:div>
    <w:div w:id="1725837901">
      <w:bodyDiv w:val="1"/>
      <w:marLeft w:val="0"/>
      <w:marRight w:val="0"/>
      <w:marTop w:val="0"/>
      <w:marBottom w:val="0"/>
      <w:divBdr>
        <w:top w:val="none" w:sz="0" w:space="0" w:color="auto"/>
        <w:left w:val="none" w:sz="0" w:space="0" w:color="auto"/>
        <w:bottom w:val="none" w:sz="0" w:space="0" w:color="auto"/>
        <w:right w:val="none" w:sz="0" w:space="0" w:color="auto"/>
      </w:divBdr>
    </w:div>
    <w:div w:id="1726176248">
      <w:bodyDiv w:val="1"/>
      <w:marLeft w:val="0"/>
      <w:marRight w:val="0"/>
      <w:marTop w:val="0"/>
      <w:marBottom w:val="0"/>
      <w:divBdr>
        <w:top w:val="none" w:sz="0" w:space="0" w:color="auto"/>
        <w:left w:val="none" w:sz="0" w:space="0" w:color="auto"/>
        <w:bottom w:val="none" w:sz="0" w:space="0" w:color="auto"/>
        <w:right w:val="none" w:sz="0" w:space="0" w:color="auto"/>
      </w:divBdr>
    </w:div>
    <w:div w:id="1726219433">
      <w:bodyDiv w:val="1"/>
      <w:marLeft w:val="0"/>
      <w:marRight w:val="0"/>
      <w:marTop w:val="0"/>
      <w:marBottom w:val="0"/>
      <w:divBdr>
        <w:top w:val="none" w:sz="0" w:space="0" w:color="auto"/>
        <w:left w:val="none" w:sz="0" w:space="0" w:color="auto"/>
        <w:bottom w:val="none" w:sz="0" w:space="0" w:color="auto"/>
        <w:right w:val="none" w:sz="0" w:space="0" w:color="auto"/>
      </w:divBdr>
    </w:div>
    <w:div w:id="1726560785">
      <w:bodyDiv w:val="1"/>
      <w:marLeft w:val="0"/>
      <w:marRight w:val="0"/>
      <w:marTop w:val="0"/>
      <w:marBottom w:val="0"/>
      <w:divBdr>
        <w:top w:val="none" w:sz="0" w:space="0" w:color="auto"/>
        <w:left w:val="none" w:sz="0" w:space="0" w:color="auto"/>
        <w:bottom w:val="none" w:sz="0" w:space="0" w:color="auto"/>
        <w:right w:val="none" w:sz="0" w:space="0" w:color="auto"/>
      </w:divBdr>
    </w:div>
    <w:div w:id="1727099225">
      <w:bodyDiv w:val="1"/>
      <w:marLeft w:val="0"/>
      <w:marRight w:val="0"/>
      <w:marTop w:val="0"/>
      <w:marBottom w:val="0"/>
      <w:divBdr>
        <w:top w:val="none" w:sz="0" w:space="0" w:color="auto"/>
        <w:left w:val="none" w:sz="0" w:space="0" w:color="auto"/>
        <w:bottom w:val="none" w:sz="0" w:space="0" w:color="auto"/>
        <w:right w:val="none" w:sz="0" w:space="0" w:color="auto"/>
      </w:divBdr>
    </w:div>
    <w:div w:id="1727801050">
      <w:bodyDiv w:val="1"/>
      <w:marLeft w:val="0"/>
      <w:marRight w:val="0"/>
      <w:marTop w:val="0"/>
      <w:marBottom w:val="0"/>
      <w:divBdr>
        <w:top w:val="none" w:sz="0" w:space="0" w:color="auto"/>
        <w:left w:val="none" w:sz="0" w:space="0" w:color="auto"/>
        <w:bottom w:val="none" w:sz="0" w:space="0" w:color="auto"/>
        <w:right w:val="none" w:sz="0" w:space="0" w:color="auto"/>
      </w:divBdr>
    </w:div>
    <w:div w:id="1728451022">
      <w:bodyDiv w:val="1"/>
      <w:marLeft w:val="0"/>
      <w:marRight w:val="0"/>
      <w:marTop w:val="0"/>
      <w:marBottom w:val="0"/>
      <w:divBdr>
        <w:top w:val="none" w:sz="0" w:space="0" w:color="auto"/>
        <w:left w:val="none" w:sz="0" w:space="0" w:color="auto"/>
        <w:bottom w:val="none" w:sz="0" w:space="0" w:color="auto"/>
        <w:right w:val="none" w:sz="0" w:space="0" w:color="auto"/>
      </w:divBdr>
    </w:div>
    <w:div w:id="1728531137">
      <w:bodyDiv w:val="1"/>
      <w:marLeft w:val="0"/>
      <w:marRight w:val="0"/>
      <w:marTop w:val="0"/>
      <w:marBottom w:val="0"/>
      <w:divBdr>
        <w:top w:val="none" w:sz="0" w:space="0" w:color="auto"/>
        <w:left w:val="none" w:sz="0" w:space="0" w:color="auto"/>
        <w:bottom w:val="none" w:sz="0" w:space="0" w:color="auto"/>
        <w:right w:val="none" w:sz="0" w:space="0" w:color="auto"/>
      </w:divBdr>
    </w:div>
    <w:div w:id="1730181638">
      <w:bodyDiv w:val="1"/>
      <w:marLeft w:val="0"/>
      <w:marRight w:val="0"/>
      <w:marTop w:val="0"/>
      <w:marBottom w:val="0"/>
      <w:divBdr>
        <w:top w:val="none" w:sz="0" w:space="0" w:color="auto"/>
        <w:left w:val="none" w:sz="0" w:space="0" w:color="auto"/>
        <w:bottom w:val="none" w:sz="0" w:space="0" w:color="auto"/>
        <w:right w:val="none" w:sz="0" w:space="0" w:color="auto"/>
      </w:divBdr>
    </w:div>
    <w:div w:id="1731810162">
      <w:bodyDiv w:val="1"/>
      <w:marLeft w:val="0"/>
      <w:marRight w:val="0"/>
      <w:marTop w:val="0"/>
      <w:marBottom w:val="0"/>
      <w:divBdr>
        <w:top w:val="none" w:sz="0" w:space="0" w:color="auto"/>
        <w:left w:val="none" w:sz="0" w:space="0" w:color="auto"/>
        <w:bottom w:val="none" w:sz="0" w:space="0" w:color="auto"/>
        <w:right w:val="none" w:sz="0" w:space="0" w:color="auto"/>
      </w:divBdr>
    </w:div>
    <w:div w:id="1732462758">
      <w:bodyDiv w:val="1"/>
      <w:marLeft w:val="0"/>
      <w:marRight w:val="0"/>
      <w:marTop w:val="0"/>
      <w:marBottom w:val="0"/>
      <w:divBdr>
        <w:top w:val="none" w:sz="0" w:space="0" w:color="auto"/>
        <w:left w:val="none" w:sz="0" w:space="0" w:color="auto"/>
        <w:bottom w:val="none" w:sz="0" w:space="0" w:color="auto"/>
        <w:right w:val="none" w:sz="0" w:space="0" w:color="auto"/>
      </w:divBdr>
    </w:div>
    <w:div w:id="1732993674">
      <w:bodyDiv w:val="1"/>
      <w:marLeft w:val="0"/>
      <w:marRight w:val="0"/>
      <w:marTop w:val="0"/>
      <w:marBottom w:val="0"/>
      <w:divBdr>
        <w:top w:val="none" w:sz="0" w:space="0" w:color="auto"/>
        <w:left w:val="none" w:sz="0" w:space="0" w:color="auto"/>
        <w:bottom w:val="none" w:sz="0" w:space="0" w:color="auto"/>
        <w:right w:val="none" w:sz="0" w:space="0" w:color="auto"/>
      </w:divBdr>
    </w:div>
    <w:div w:id="1733774940">
      <w:bodyDiv w:val="1"/>
      <w:marLeft w:val="0"/>
      <w:marRight w:val="0"/>
      <w:marTop w:val="0"/>
      <w:marBottom w:val="0"/>
      <w:divBdr>
        <w:top w:val="none" w:sz="0" w:space="0" w:color="auto"/>
        <w:left w:val="none" w:sz="0" w:space="0" w:color="auto"/>
        <w:bottom w:val="none" w:sz="0" w:space="0" w:color="auto"/>
        <w:right w:val="none" w:sz="0" w:space="0" w:color="auto"/>
      </w:divBdr>
    </w:div>
    <w:div w:id="1737775974">
      <w:bodyDiv w:val="1"/>
      <w:marLeft w:val="0"/>
      <w:marRight w:val="0"/>
      <w:marTop w:val="0"/>
      <w:marBottom w:val="0"/>
      <w:divBdr>
        <w:top w:val="none" w:sz="0" w:space="0" w:color="auto"/>
        <w:left w:val="none" w:sz="0" w:space="0" w:color="auto"/>
        <w:bottom w:val="none" w:sz="0" w:space="0" w:color="auto"/>
        <w:right w:val="none" w:sz="0" w:space="0" w:color="auto"/>
      </w:divBdr>
    </w:div>
    <w:div w:id="1738236812">
      <w:bodyDiv w:val="1"/>
      <w:marLeft w:val="0"/>
      <w:marRight w:val="0"/>
      <w:marTop w:val="0"/>
      <w:marBottom w:val="0"/>
      <w:divBdr>
        <w:top w:val="none" w:sz="0" w:space="0" w:color="auto"/>
        <w:left w:val="none" w:sz="0" w:space="0" w:color="auto"/>
        <w:bottom w:val="none" w:sz="0" w:space="0" w:color="auto"/>
        <w:right w:val="none" w:sz="0" w:space="0" w:color="auto"/>
      </w:divBdr>
    </w:div>
    <w:div w:id="1739396968">
      <w:bodyDiv w:val="1"/>
      <w:marLeft w:val="0"/>
      <w:marRight w:val="0"/>
      <w:marTop w:val="0"/>
      <w:marBottom w:val="0"/>
      <w:divBdr>
        <w:top w:val="none" w:sz="0" w:space="0" w:color="auto"/>
        <w:left w:val="none" w:sz="0" w:space="0" w:color="auto"/>
        <w:bottom w:val="none" w:sz="0" w:space="0" w:color="auto"/>
        <w:right w:val="none" w:sz="0" w:space="0" w:color="auto"/>
      </w:divBdr>
    </w:div>
    <w:div w:id="1740445254">
      <w:bodyDiv w:val="1"/>
      <w:marLeft w:val="0"/>
      <w:marRight w:val="0"/>
      <w:marTop w:val="0"/>
      <w:marBottom w:val="0"/>
      <w:divBdr>
        <w:top w:val="none" w:sz="0" w:space="0" w:color="auto"/>
        <w:left w:val="none" w:sz="0" w:space="0" w:color="auto"/>
        <w:bottom w:val="none" w:sz="0" w:space="0" w:color="auto"/>
        <w:right w:val="none" w:sz="0" w:space="0" w:color="auto"/>
      </w:divBdr>
    </w:div>
    <w:div w:id="1741369125">
      <w:bodyDiv w:val="1"/>
      <w:marLeft w:val="0"/>
      <w:marRight w:val="0"/>
      <w:marTop w:val="0"/>
      <w:marBottom w:val="0"/>
      <w:divBdr>
        <w:top w:val="none" w:sz="0" w:space="0" w:color="auto"/>
        <w:left w:val="none" w:sz="0" w:space="0" w:color="auto"/>
        <w:bottom w:val="none" w:sz="0" w:space="0" w:color="auto"/>
        <w:right w:val="none" w:sz="0" w:space="0" w:color="auto"/>
      </w:divBdr>
    </w:div>
    <w:div w:id="1741520687">
      <w:bodyDiv w:val="1"/>
      <w:marLeft w:val="0"/>
      <w:marRight w:val="0"/>
      <w:marTop w:val="0"/>
      <w:marBottom w:val="0"/>
      <w:divBdr>
        <w:top w:val="none" w:sz="0" w:space="0" w:color="auto"/>
        <w:left w:val="none" w:sz="0" w:space="0" w:color="auto"/>
        <w:bottom w:val="none" w:sz="0" w:space="0" w:color="auto"/>
        <w:right w:val="none" w:sz="0" w:space="0" w:color="auto"/>
      </w:divBdr>
    </w:div>
    <w:div w:id="1742291434">
      <w:bodyDiv w:val="1"/>
      <w:marLeft w:val="0"/>
      <w:marRight w:val="0"/>
      <w:marTop w:val="0"/>
      <w:marBottom w:val="0"/>
      <w:divBdr>
        <w:top w:val="none" w:sz="0" w:space="0" w:color="auto"/>
        <w:left w:val="none" w:sz="0" w:space="0" w:color="auto"/>
        <w:bottom w:val="none" w:sz="0" w:space="0" w:color="auto"/>
        <w:right w:val="none" w:sz="0" w:space="0" w:color="auto"/>
      </w:divBdr>
    </w:div>
    <w:div w:id="1742562074">
      <w:bodyDiv w:val="1"/>
      <w:marLeft w:val="0"/>
      <w:marRight w:val="0"/>
      <w:marTop w:val="0"/>
      <w:marBottom w:val="0"/>
      <w:divBdr>
        <w:top w:val="none" w:sz="0" w:space="0" w:color="auto"/>
        <w:left w:val="none" w:sz="0" w:space="0" w:color="auto"/>
        <w:bottom w:val="none" w:sz="0" w:space="0" w:color="auto"/>
        <w:right w:val="none" w:sz="0" w:space="0" w:color="auto"/>
      </w:divBdr>
    </w:div>
    <w:div w:id="1744447741">
      <w:bodyDiv w:val="1"/>
      <w:marLeft w:val="0"/>
      <w:marRight w:val="0"/>
      <w:marTop w:val="0"/>
      <w:marBottom w:val="0"/>
      <w:divBdr>
        <w:top w:val="none" w:sz="0" w:space="0" w:color="auto"/>
        <w:left w:val="none" w:sz="0" w:space="0" w:color="auto"/>
        <w:bottom w:val="none" w:sz="0" w:space="0" w:color="auto"/>
        <w:right w:val="none" w:sz="0" w:space="0" w:color="auto"/>
      </w:divBdr>
    </w:div>
    <w:div w:id="1744788726">
      <w:bodyDiv w:val="1"/>
      <w:marLeft w:val="0"/>
      <w:marRight w:val="0"/>
      <w:marTop w:val="0"/>
      <w:marBottom w:val="0"/>
      <w:divBdr>
        <w:top w:val="none" w:sz="0" w:space="0" w:color="auto"/>
        <w:left w:val="none" w:sz="0" w:space="0" w:color="auto"/>
        <w:bottom w:val="none" w:sz="0" w:space="0" w:color="auto"/>
        <w:right w:val="none" w:sz="0" w:space="0" w:color="auto"/>
      </w:divBdr>
    </w:div>
    <w:div w:id="1745103542">
      <w:bodyDiv w:val="1"/>
      <w:marLeft w:val="0"/>
      <w:marRight w:val="0"/>
      <w:marTop w:val="0"/>
      <w:marBottom w:val="0"/>
      <w:divBdr>
        <w:top w:val="none" w:sz="0" w:space="0" w:color="auto"/>
        <w:left w:val="none" w:sz="0" w:space="0" w:color="auto"/>
        <w:bottom w:val="none" w:sz="0" w:space="0" w:color="auto"/>
        <w:right w:val="none" w:sz="0" w:space="0" w:color="auto"/>
      </w:divBdr>
    </w:div>
    <w:div w:id="1745447536">
      <w:bodyDiv w:val="1"/>
      <w:marLeft w:val="0"/>
      <w:marRight w:val="0"/>
      <w:marTop w:val="0"/>
      <w:marBottom w:val="0"/>
      <w:divBdr>
        <w:top w:val="none" w:sz="0" w:space="0" w:color="auto"/>
        <w:left w:val="none" w:sz="0" w:space="0" w:color="auto"/>
        <w:bottom w:val="none" w:sz="0" w:space="0" w:color="auto"/>
        <w:right w:val="none" w:sz="0" w:space="0" w:color="auto"/>
      </w:divBdr>
    </w:div>
    <w:div w:id="1746026483">
      <w:bodyDiv w:val="1"/>
      <w:marLeft w:val="0"/>
      <w:marRight w:val="0"/>
      <w:marTop w:val="0"/>
      <w:marBottom w:val="0"/>
      <w:divBdr>
        <w:top w:val="none" w:sz="0" w:space="0" w:color="auto"/>
        <w:left w:val="none" w:sz="0" w:space="0" w:color="auto"/>
        <w:bottom w:val="none" w:sz="0" w:space="0" w:color="auto"/>
        <w:right w:val="none" w:sz="0" w:space="0" w:color="auto"/>
      </w:divBdr>
    </w:div>
    <w:div w:id="1746758663">
      <w:bodyDiv w:val="1"/>
      <w:marLeft w:val="0"/>
      <w:marRight w:val="0"/>
      <w:marTop w:val="0"/>
      <w:marBottom w:val="0"/>
      <w:divBdr>
        <w:top w:val="none" w:sz="0" w:space="0" w:color="auto"/>
        <w:left w:val="none" w:sz="0" w:space="0" w:color="auto"/>
        <w:bottom w:val="none" w:sz="0" w:space="0" w:color="auto"/>
        <w:right w:val="none" w:sz="0" w:space="0" w:color="auto"/>
      </w:divBdr>
    </w:div>
    <w:div w:id="1747454755">
      <w:bodyDiv w:val="1"/>
      <w:marLeft w:val="0"/>
      <w:marRight w:val="0"/>
      <w:marTop w:val="0"/>
      <w:marBottom w:val="0"/>
      <w:divBdr>
        <w:top w:val="none" w:sz="0" w:space="0" w:color="auto"/>
        <w:left w:val="none" w:sz="0" w:space="0" w:color="auto"/>
        <w:bottom w:val="none" w:sz="0" w:space="0" w:color="auto"/>
        <w:right w:val="none" w:sz="0" w:space="0" w:color="auto"/>
      </w:divBdr>
    </w:div>
    <w:div w:id="1747461014">
      <w:bodyDiv w:val="1"/>
      <w:marLeft w:val="0"/>
      <w:marRight w:val="0"/>
      <w:marTop w:val="0"/>
      <w:marBottom w:val="0"/>
      <w:divBdr>
        <w:top w:val="none" w:sz="0" w:space="0" w:color="auto"/>
        <w:left w:val="none" w:sz="0" w:space="0" w:color="auto"/>
        <w:bottom w:val="none" w:sz="0" w:space="0" w:color="auto"/>
        <w:right w:val="none" w:sz="0" w:space="0" w:color="auto"/>
      </w:divBdr>
    </w:div>
    <w:div w:id="1747875274">
      <w:bodyDiv w:val="1"/>
      <w:marLeft w:val="0"/>
      <w:marRight w:val="0"/>
      <w:marTop w:val="0"/>
      <w:marBottom w:val="0"/>
      <w:divBdr>
        <w:top w:val="none" w:sz="0" w:space="0" w:color="auto"/>
        <w:left w:val="none" w:sz="0" w:space="0" w:color="auto"/>
        <w:bottom w:val="none" w:sz="0" w:space="0" w:color="auto"/>
        <w:right w:val="none" w:sz="0" w:space="0" w:color="auto"/>
      </w:divBdr>
    </w:div>
    <w:div w:id="1748841908">
      <w:bodyDiv w:val="1"/>
      <w:marLeft w:val="0"/>
      <w:marRight w:val="0"/>
      <w:marTop w:val="0"/>
      <w:marBottom w:val="0"/>
      <w:divBdr>
        <w:top w:val="none" w:sz="0" w:space="0" w:color="auto"/>
        <w:left w:val="none" w:sz="0" w:space="0" w:color="auto"/>
        <w:bottom w:val="none" w:sz="0" w:space="0" w:color="auto"/>
        <w:right w:val="none" w:sz="0" w:space="0" w:color="auto"/>
      </w:divBdr>
    </w:div>
    <w:div w:id="1749225573">
      <w:bodyDiv w:val="1"/>
      <w:marLeft w:val="0"/>
      <w:marRight w:val="0"/>
      <w:marTop w:val="0"/>
      <w:marBottom w:val="0"/>
      <w:divBdr>
        <w:top w:val="none" w:sz="0" w:space="0" w:color="auto"/>
        <w:left w:val="none" w:sz="0" w:space="0" w:color="auto"/>
        <w:bottom w:val="none" w:sz="0" w:space="0" w:color="auto"/>
        <w:right w:val="none" w:sz="0" w:space="0" w:color="auto"/>
      </w:divBdr>
    </w:div>
    <w:div w:id="1749618600">
      <w:bodyDiv w:val="1"/>
      <w:marLeft w:val="0"/>
      <w:marRight w:val="0"/>
      <w:marTop w:val="0"/>
      <w:marBottom w:val="0"/>
      <w:divBdr>
        <w:top w:val="none" w:sz="0" w:space="0" w:color="auto"/>
        <w:left w:val="none" w:sz="0" w:space="0" w:color="auto"/>
        <w:bottom w:val="none" w:sz="0" w:space="0" w:color="auto"/>
        <w:right w:val="none" w:sz="0" w:space="0" w:color="auto"/>
      </w:divBdr>
    </w:div>
    <w:div w:id="1749887371">
      <w:bodyDiv w:val="1"/>
      <w:marLeft w:val="0"/>
      <w:marRight w:val="0"/>
      <w:marTop w:val="0"/>
      <w:marBottom w:val="0"/>
      <w:divBdr>
        <w:top w:val="none" w:sz="0" w:space="0" w:color="auto"/>
        <w:left w:val="none" w:sz="0" w:space="0" w:color="auto"/>
        <w:bottom w:val="none" w:sz="0" w:space="0" w:color="auto"/>
        <w:right w:val="none" w:sz="0" w:space="0" w:color="auto"/>
      </w:divBdr>
    </w:div>
    <w:div w:id="1750272645">
      <w:bodyDiv w:val="1"/>
      <w:marLeft w:val="0"/>
      <w:marRight w:val="0"/>
      <w:marTop w:val="0"/>
      <w:marBottom w:val="0"/>
      <w:divBdr>
        <w:top w:val="none" w:sz="0" w:space="0" w:color="auto"/>
        <w:left w:val="none" w:sz="0" w:space="0" w:color="auto"/>
        <w:bottom w:val="none" w:sz="0" w:space="0" w:color="auto"/>
        <w:right w:val="none" w:sz="0" w:space="0" w:color="auto"/>
      </w:divBdr>
    </w:div>
    <w:div w:id="1750687609">
      <w:bodyDiv w:val="1"/>
      <w:marLeft w:val="0"/>
      <w:marRight w:val="0"/>
      <w:marTop w:val="0"/>
      <w:marBottom w:val="0"/>
      <w:divBdr>
        <w:top w:val="none" w:sz="0" w:space="0" w:color="auto"/>
        <w:left w:val="none" w:sz="0" w:space="0" w:color="auto"/>
        <w:bottom w:val="none" w:sz="0" w:space="0" w:color="auto"/>
        <w:right w:val="none" w:sz="0" w:space="0" w:color="auto"/>
      </w:divBdr>
    </w:div>
    <w:div w:id="1750693938">
      <w:bodyDiv w:val="1"/>
      <w:marLeft w:val="0"/>
      <w:marRight w:val="0"/>
      <w:marTop w:val="0"/>
      <w:marBottom w:val="0"/>
      <w:divBdr>
        <w:top w:val="none" w:sz="0" w:space="0" w:color="auto"/>
        <w:left w:val="none" w:sz="0" w:space="0" w:color="auto"/>
        <w:bottom w:val="none" w:sz="0" w:space="0" w:color="auto"/>
        <w:right w:val="none" w:sz="0" w:space="0" w:color="auto"/>
      </w:divBdr>
    </w:div>
    <w:div w:id="1751348443">
      <w:bodyDiv w:val="1"/>
      <w:marLeft w:val="0"/>
      <w:marRight w:val="0"/>
      <w:marTop w:val="0"/>
      <w:marBottom w:val="0"/>
      <w:divBdr>
        <w:top w:val="none" w:sz="0" w:space="0" w:color="auto"/>
        <w:left w:val="none" w:sz="0" w:space="0" w:color="auto"/>
        <w:bottom w:val="none" w:sz="0" w:space="0" w:color="auto"/>
        <w:right w:val="none" w:sz="0" w:space="0" w:color="auto"/>
      </w:divBdr>
    </w:div>
    <w:div w:id="1751808438">
      <w:bodyDiv w:val="1"/>
      <w:marLeft w:val="0"/>
      <w:marRight w:val="0"/>
      <w:marTop w:val="0"/>
      <w:marBottom w:val="0"/>
      <w:divBdr>
        <w:top w:val="none" w:sz="0" w:space="0" w:color="auto"/>
        <w:left w:val="none" w:sz="0" w:space="0" w:color="auto"/>
        <w:bottom w:val="none" w:sz="0" w:space="0" w:color="auto"/>
        <w:right w:val="none" w:sz="0" w:space="0" w:color="auto"/>
      </w:divBdr>
    </w:div>
    <w:div w:id="1752193853">
      <w:bodyDiv w:val="1"/>
      <w:marLeft w:val="0"/>
      <w:marRight w:val="0"/>
      <w:marTop w:val="0"/>
      <w:marBottom w:val="0"/>
      <w:divBdr>
        <w:top w:val="none" w:sz="0" w:space="0" w:color="auto"/>
        <w:left w:val="none" w:sz="0" w:space="0" w:color="auto"/>
        <w:bottom w:val="none" w:sz="0" w:space="0" w:color="auto"/>
        <w:right w:val="none" w:sz="0" w:space="0" w:color="auto"/>
      </w:divBdr>
    </w:div>
    <w:div w:id="1752698300">
      <w:bodyDiv w:val="1"/>
      <w:marLeft w:val="0"/>
      <w:marRight w:val="0"/>
      <w:marTop w:val="0"/>
      <w:marBottom w:val="0"/>
      <w:divBdr>
        <w:top w:val="none" w:sz="0" w:space="0" w:color="auto"/>
        <w:left w:val="none" w:sz="0" w:space="0" w:color="auto"/>
        <w:bottom w:val="none" w:sz="0" w:space="0" w:color="auto"/>
        <w:right w:val="none" w:sz="0" w:space="0" w:color="auto"/>
      </w:divBdr>
    </w:div>
    <w:div w:id="1753307075">
      <w:bodyDiv w:val="1"/>
      <w:marLeft w:val="0"/>
      <w:marRight w:val="0"/>
      <w:marTop w:val="0"/>
      <w:marBottom w:val="0"/>
      <w:divBdr>
        <w:top w:val="none" w:sz="0" w:space="0" w:color="auto"/>
        <w:left w:val="none" w:sz="0" w:space="0" w:color="auto"/>
        <w:bottom w:val="none" w:sz="0" w:space="0" w:color="auto"/>
        <w:right w:val="none" w:sz="0" w:space="0" w:color="auto"/>
      </w:divBdr>
    </w:div>
    <w:div w:id="1754350431">
      <w:bodyDiv w:val="1"/>
      <w:marLeft w:val="0"/>
      <w:marRight w:val="0"/>
      <w:marTop w:val="0"/>
      <w:marBottom w:val="0"/>
      <w:divBdr>
        <w:top w:val="none" w:sz="0" w:space="0" w:color="auto"/>
        <w:left w:val="none" w:sz="0" w:space="0" w:color="auto"/>
        <w:bottom w:val="none" w:sz="0" w:space="0" w:color="auto"/>
        <w:right w:val="none" w:sz="0" w:space="0" w:color="auto"/>
      </w:divBdr>
    </w:div>
    <w:div w:id="1756437724">
      <w:bodyDiv w:val="1"/>
      <w:marLeft w:val="0"/>
      <w:marRight w:val="0"/>
      <w:marTop w:val="0"/>
      <w:marBottom w:val="0"/>
      <w:divBdr>
        <w:top w:val="none" w:sz="0" w:space="0" w:color="auto"/>
        <w:left w:val="none" w:sz="0" w:space="0" w:color="auto"/>
        <w:bottom w:val="none" w:sz="0" w:space="0" w:color="auto"/>
        <w:right w:val="none" w:sz="0" w:space="0" w:color="auto"/>
      </w:divBdr>
    </w:div>
    <w:div w:id="1758667578">
      <w:bodyDiv w:val="1"/>
      <w:marLeft w:val="0"/>
      <w:marRight w:val="0"/>
      <w:marTop w:val="0"/>
      <w:marBottom w:val="0"/>
      <w:divBdr>
        <w:top w:val="none" w:sz="0" w:space="0" w:color="auto"/>
        <w:left w:val="none" w:sz="0" w:space="0" w:color="auto"/>
        <w:bottom w:val="none" w:sz="0" w:space="0" w:color="auto"/>
        <w:right w:val="none" w:sz="0" w:space="0" w:color="auto"/>
      </w:divBdr>
    </w:div>
    <w:div w:id="1759062887">
      <w:bodyDiv w:val="1"/>
      <w:marLeft w:val="0"/>
      <w:marRight w:val="0"/>
      <w:marTop w:val="0"/>
      <w:marBottom w:val="0"/>
      <w:divBdr>
        <w:top w:val="none" w:sz="0" w:space="0" w:color="auto"/>
        <w:left w:val="none" w:sz="0" w:space="0" w:color="auto"/>
        <w:bottom w:val="none" w:sz="0" w:space="0" w:color="auto"/>
        <w:right w:val="none" w:sz="0" w:space="0" w:color="auto"/>
      </w:divBdr>
    </w:div>
    <w:div w:id="1760132260">
      <w:bodyDiv w:val="1"/>
      <w:marLeft w:val="0"/>
      <w:marRight w:val="0"/>
      <w:marTop w:val="0"/>
      <w:marBottom w:val="0"/>
      <w:divBdr>
        <w:top w:val="none" w:sz="0" w:space="0" w:color="auto"/>
        <w:left w:val="none" w:sz="0" w:space="0" w:color="auto"/>
        <w:bottom w:val="none" w:sz="0" w:space="0" w:color="auto"/>
        <w:right w:val="none" w:sz="0" w:space="0" w:color="auto"/>
      </w:divBdr>
    </w:div>
    <w:div w:id="1760322753">
      <w:bodyDiv w:val="1"/>
      <w:marLeft w:val="0"/>
      <w:marRight w:val="0"/>
      <w:marTop w:val="0"/>
      <w:marBottom w:val="0"/>
      <w:divBdr>
        <w:top w:val="none" w:sz="0" w:space="0" w:color="auto"/>
        <w:left w:val="none" w:sz="0" w:space="0" w:color="auto"/>
        <w:bottom w:val="none" w:sz="0" w:space="0" w:color="auto"/>
        <w:right w:val="none" w:sz="0" w:space="0" w:color="auto"/>
      </w:divBdr>
    </w:div>
    <w:div w:id="1760442608">
      <w:bodyDiv w:val="1"/>
      <w:marLeft w:val="0"/>
      <w:marRight w:val="0"/>
      <w:marTop w:val="0"/>
      <w:marBottom w:val="0"/>
      <w:divBdr>
        <w:top w:val="none" w:sz="0" w:space="0" w:color="auto"/>
        <w:left w:val="none" w:sz="0" w:space="0" w:color="auto"/>
        <w:bottom w:val="none" w:sz="0" w:space="0" w:color="auto"/>
        <w:right w:val="none" w:sz="0" w:space="0" w:color="auto"/>
      </w:divBdr>
    </w:div>
    <w:div w:id="1761221982">
      <w:bodyDiv w:val="1"/>
      <w:marLeft w:val="0"/>
      <w:marRight w:val="0"/>
      <w:marTop w:val="0"/>
      <w:marBottom w:val="0"/>
      <w:divBdr>
        <w:top w:val="none" w:sz="0" w:space="0" w:color="auto"/>
        <w:left w:val="none" w:sz="0" w:space="0" w:color="auto"/>
        <w:bottom w:val="none" w:sz="0" w:space="0" w:color="auto"/>
        <w:right w:val="none" w:sz="0" w:space="0" w:color="auto"/>
      </w:divBdr>
    </w:div>
    <w:div w:id="1761415643">
      <w:bodyDiv w:val="1"/>
      <w:marLeft w:val="0"/>
      <w:marRight w:val="0"/>
      <w:marTop w:val="0"/>
      <w:marBottom w:val="0"/>
      <w:divBdr>
        <w:top w:val="none" w:sz="0" w:space="0" w:color="auto"/>
        <w:left w:val="none" w:sz="0" w:space="0" w:color="auto"/>
        <w:bottom w:val="none" w:sz="0" w:space="0" w:color="auto"/>
        <w:right w:val="none" w:sz="0" w:space="0" w:color="auto"/>
      </w:divBdr>
    </w:div>
    <w:div w:id="1762337200">
      <w:bodyDiv w:val="1"/>
      <w:marLeft w:val="0"/>
      <w:marRight w:val="0"/>
      <w:marTop w:val="0"/>
      <w:marBottom w:val="0"/>
      <w:divBdr>
        <w:top w:val="none" w:sz="0" w:space="0" w:color="auto"/>
        <w:left w:val="none" w:sz="0" w:space="0" w:color="auto"/>
        <w:bottom w:val="none" w:sz="0" w:space="0" w:color="auto"/>
        <w:right w:val="none" w:sz="0" w:space="0" w:color="auto"/>
      </w:divBdr>
    </w:div>
    <w:div w:id="1762754308">
      <w:bodyDiv w:val="1"/>
      <w:marLeft w:val="0"/>
      <w:marRight w:val="0"/>
      <w:marTop w:val="0"/>
      <w:marBottom w:val="0"/>
      <w:divBdr>
        <w:top w:val="none" w:sz="0" w:space="0" w:color="auto"/>
        <w:left w:val="none" w:sz="0" w:space="0" w:color="auto"/>
        <w:bottom w:val="none" w:sz="0" w:space="0" w:color="auto"/>
        <w:right w:val="none" w:sz="0" w:space="0" w:color="auto"/>
      </w:divBdr>
    </w:div>
    <w:div w:id="1762869865">
      <w:bodyDiv w:val="1"/>
      <w:marLeft w:val="0"/>
      <w:marRight w:val="0"/>
      <w:marTop w:val="0"/>
      <w:marBottom w:val="0"/>
      <w:divBdr>
        <w:top w:val="none" w:sz="0" w:space="0" w:color="auto"/>
        <w:left w:val="none" w:sz="0" w:space="0" w:color="auto"/>
        <w:bottom w:val="none" w:sz="0" w:space="0" w:color="auto"/>
        <w:right w:val="none" w:sz="0" w:space="0" w:color="auto"/>
      </w:divBdr>
    </w:div>
    <w:div w:id="1763452135">
      <w:bodyDiv w:val="1"/>
      <w:marLeft w:val="0"/>
      <w:marRight w:val="0"/>
      <w:marTop w:val="0"/>
      <w:marBottom w:val="0"/>
      <w:divBdr>
        <w:top w:val="none" w:sz="0" w:space="0" w:color="auto"/>
        <w:left w:val="none" w:sz="0" w:space="0" w:color="auto"/>
        <w:bottom w:val="none" w:sz="0" w:space="0" w:color="auto"/>
        <w:right w:val="none" w:sz="0" w:space="0" w:color="auto"/>
      </w:divBdr>
    </w:div>
    <w:div w:id="1763723437">
      <w:bodyDiv w:val="1"/>
      <w:marLeft w:val="0"/>
      <w:marRight w:val="0"/>
      <w:marTop w:val="0"/>
      <w:marBottom w:val="0"/>
      <w:divBdr>
        <w:top w:val="none" w:sz="0" w:space="0" w:color="auto"/>
        <w:left w:val="none" w:sz="0" w:space="0" w:color="auto"/>
        <w:bottom w:val="none" w:sz="0" w:space="0" w:color="auto"/>
        <w:right w:val="none" w:sz="0" w:space="0" w:color="auto"/>
      </w:divBdr>
    </w:div>
    <w:div w:id="1764761293">
      <w:bodyDiv w:val="1"/>
      <w:marLeft w:val="0"/>
      <w:marRight w:val="0"/>
      <w:marTop w:val="0"/>
      <w:marBottom w:val="0"/>
      <w:divBdr>
        <w:top w:val="none" w:sz="0" w:space="0" w:color="auto"/>
        <w:left w:val="none" w:sz="0" w:space="0" w:color="auto"/>
        <w:bottom w:val="none" w:sz="0" w:space="0" w:color="auto"/>
        <w:right w:val="none" w:sz="0" w:space="0" w:color="auto"/>
      </w:divBdr>
    </w:div>
    <w:div w:id="1765345279">
      <w:bodyDiv w:val="1"/>
      <w:marLeft w:val="0"/>
      <w:marRight w:val="0"/>
      <w:marTop w:val="0"/>
      <w:marBottom w:val="0"/>
      <w:divBdr>
        <w:top w:val="none" w:sz="0" w:space="0" w:color="auto"/>
        <w:left w:val="none" w:sz="0" w:space="0" w:color="auto"/>
        <w:bottom w:val="none" w:sz="0" w:space="0" w:color="auto"/>
        <w:right w:val="none" w:sz="0" w:space="0" w:color="auto"/>
      </w:divBdr>
    </w:div>
    <w:div w:id="1765345971">
      <w:bodyDiv w:val="1"/>
      <w:marLeft w:val="0"/>
      <w:marRight w:val="0"/>
      <w:marTop w:val="0"/>
      <w:marBottom w:val="0"/>
      <w:divBdr>
        <w:top w:val="none" w:sz="0" w:space="0" w:color="auto"/>
        <w:left w:val="none" w:sz="0" w:space="0" w:color="auto"/>
        <w:bottom w:val="none" w:sz="0" w:space="0" w:color="auto"/>
        <w:right w:val="none" w:sz="0" w:space="0" w:color="auto"/>
      </w:divBdr>
    </w:div>
    <w:div w:id="1765417766">
      <w:bodyDiv w:val="1"/>
      <w:marLeft w:val="0"/>
      <w:marRight w:val="0"/>
      <w:marTop w:val="0"/>
      <w:marBottom w:val="0"/>
      <w:divBdr>
        <w:top w:val="none" w:sz="0" w:space="0" w:color="auto"/>
        <w:left w:val="none" w:sz="0" w:space="0" w:color="auto"/>
        <w:bottom w:val="none" w:sz="0" w:space="0" w:color="auto"/>
        <w:right w:val="none" w:sz="0" w:space="0" w:color="auto"/>
      </w:divBdr>
    </w:div>
    <w:div w:id="1765765919">
      <w:bodyDiv w:val="1"/>
      <w:marLeft w:val="0"/>
      <w:marRight w:val="0"/>
      <w:marTop w:val="0"/>
      <w:marBottom w:val="0"/>
      <w:divBdr>
        <w:top w:val="none" w:sz="0" w:space="0" w:color="auto"/>
        <w:left w:val="none" w:sz="0" w:space="0" w:color="auto"/>
        <w:bottom w:val="none" w:sz="0" w:space="0" w:color="auto"/>
        <w:right w:val="none" w:sz="0" w:space="0" w:color="auto"/>
      </w:divBdr>
    </w:div>
    <w:div w:id="1766346771">
      <w:bodyDiv w:val="1"/>
      <w:marLeft w:val="0"/>
      <w:marRight w:val="0"/>
      <w:marTop w:val="0"/>
      <w:marBottom w:val="0"/>
      <w:divBdr>
        <w:top w:val="none" w:sz="0" w:space="0" w:color="auto"/>
        <w:left w:val="none" w:sz="0" w:space="0" w:color="auto"/>
        <w:bottom w:val="none" w:sz="0" w:space="0" w:color="auto"/>
        <w:right w:val="none" w:sz="0" w:space="0" w:color="auto"/>
      </w:divBdr>
    </w:div>
    <w:div w:id="1766655541">
      <w:bodyDiv w:val="1"/>
      <w:marLeft w:val="0"/>
      <w:marRight w:val="0"/>
      <w:marTop w:val="0"/>
      <w:marBottom w:val="0"/>
      <w:divBdr>
        <w:top w:val="none" w:sz="0" w:space="0" w:color="auto"/>
        <w:left w:val="none" w:sz="0" w:space="0" w:color="auto"/>
        <w:bottom w:val="none" w:sz="0" w:space="0" w:color="auto"/>
        <w:right w:val="none" w:sz="0" w:space="0" w:color="auto"/>
      </w:divBdr>
    </w:div>
    <w:div w:id="1767921713">
      <w:bodyDiv w:val="1"/>
      <w:marLeft w:val="0"/>
      <w:marRight w:val="0"/>
      <w:marTop w:val="0"/>
      <w:marBottom w:val="0"/>
      <w:divBdr>
        <w:top w:val="none" w:sz="0" w:space="0" w:color="auto"/>
        <w:left w:val="none" w:sz="0" w:space="0" w:color="auto"/>
        <w:bottom w:val="none" w:sz="0" w:space="0" w:color="auto"/>
        <w:right w:val="none" w:sz="0" w:space="0" w:color="auto"/>
      </w:divBdr>
    </w:div>
    <w:div w:id="1768117654">
      <w:bodyDiv w:val="1"/>
      <w:marLeft w:val="0"/>
      <w:marRight w:val="0"/>
      <w:marTop w:val="0"/>
      <w:marBottom w:val="0"/>
      <w:divBdr>
        <w:top w:val="none" w:sz="0" w:space="0" w:color="auto"/>
        <w:left w:val="none" w:sz="0" w:space="0" w:color="auto"/>
        <w:bottom w:val="none" w:sz="0" w:space="0" w:color="auto"/>
        <w:right w:val="none" w:sz="0" w:space="0" w:color="auto"/>
      </w:divBdr>
    </w:div>
    <w:div w:id="1768190125">
      <w:bodyDiv w:val="1"/>
      <w:marLeft w:val="0"/>
      <w:marRight w:val="0"/>
      <w:marTop w:val="0"/>
      <w:marBottom w:val="0"/>
      <w:divBdr>
        <w:top w:val="none" w:sz="0" w:space="0" w:color="auto"/>
        <w:left w:val="none" w:sz="0" w:space="0" w:color="auto"/>
        <w:bottom w:val="none" w:sz="0" w:space="0" w:color="auto"/>
        <w:right w:val="none" w:sz="0" w:space="0" w:color="auto"/>
      </w:divBdr>
    </w:div>
    <w:div w:id="1769349560">
      <w:bodyDiv w:val="1"/>
      <w:marLeft w:val="0"/>
      <w:marRight w:val="0"/>
      <w:marTop w:val="0"/>
      <w:marBottom w:val="0"/>
      <w:divBdr>
        <w:top w:val="none" w:sz="0" w:space="0" w:color="auto"/>
        <w:left w:val="none" w:sz="0" w:space="0" w:color="auto"/>
        <w:bottom w:val="none" w:sz="0" w:space="0" w:color="auto"/>
        <w:right w:val="none" w:sz="0" w:space="0" w:color="auto"/>
      </w:divBdr>
    </w:div>
    <w:div w:id="1770851455">
      <w:bodyDiv w:val="1"/>
      <w:marLeft w:val="0"/>
      <w:marRight w:val="0"/>
      <w:marTop w:val="0"/>
      <w:marBottom w:val="0"/>
      <w:divBdr>
        <w:top w:val="none" w:sz="0" w:space="0" w:color="auto"/>
        <w:left w:val="none" w:sz="0" w:space="0" w:color="auto"/>
        <w:bottom w:val="none" w:sz="0" w:space="0" w:color="auto"/>
        <w:right w:val="none" w:sz="0" w:space="0" w:color="auto"/>
      </w:divBdr>
    </w:div>
    <w:div w:id="1772554634">
      <w:bodyDiv w:val="1"/>
      <w:marLeft w:val="0"/>
      <w:marRight w:val="0"/>
      <w:marTop w:val="0"/>
      <w:marBottom w:val="0"/>
      <w:divBdr>
        <w:top w:val="none" w:sz="0" w:space="0" w:color="auto"/>
        <w:left w:val="none" w:sz="0" w:space="0" w:color="auto"/>
        <w:bottom w:val="none" w:sz="0" w:space="0" w:color="auto"/>
        <w:right w:val="none" w:sz="0" w:space="0" w:color="auto"/>
      </w:divBdr>
    </w:div>
    <w:div w:id="1772701442">
      <w:bodyDiv w:val="1"/>
      <w:marLeft w:val="0"/>
      <w:marRight w:val="0"/>
      <w:marTop w:val="0"/>
      <w:marBottom w:val="0"/>
      <w:divBdr>
        <w:top w:val="none" w:sz="0" w:space="0" w:color="auto"/>
        <w:left w:val="none" w:sz="0" w:space="0" w:color="auto"/>
        <w:bottom w:val="none" w:sz="0" w:space="0" w:color="auto"/>
        <w:right w:val="none" w:sz="0" w:space="0" w:color="auto"/>
      </w:divBdr>
    </w:div>
    <w:div w:id="1772965543">
      <w:bodyDiv w:val="1"/>
      <w:marLeft w:val="0"/>
      <w:marRight w:val="0"/>
      <w:marTop w:val="0"/>
      <w:marBottom w:val="0"/>
      <w:divBdr>
        <w:top w:val="none" w:sz="0" w:space="0" w:color="auto"/>
        <w:left w:val="none" w:sz="0" w:space="0" w:color="auto"/>
        <w:bottom w:val="none" w:sz="0" w:space="0" w:color="auto"/>
        <w:right w:val="none" w:sz="0" w:space="0" w:color="auto"/>
      </w:divBdr>
    </w:div>
    <w:div w:id="1774477998">
      <w:bodyDiv w:val="1"/>
      <w:marLeft w:val="0"/>
      <w:marRight w:val="0"/>
      <w:marTop w:val="0"/>
      <w:marBottom w:val="0"/>
      <w:divBdr>
        <w:top w:val="none" w:sz="0" w:space="0" w:color="auto"/>
        <w:left w:val="none" w:sz="0" w:space="0" w:color="auto"/>
        <w:bottom w:val="none" w:sz="0" w:space="0" w:color="auto"/>
        <w:right w:val="none" w:sz="0" w:space="0" w:color="auto"/>
      </w:divBdr>
    </w:div>
    <w:div w:id="1775176088">
      <w:bodyDiv w:val="1"/>
      <w:marLeft w:val="0"/>
      <w:marRight w:val="0"/>
      <w:marTop w:val="0"/>
      <w:marBottom w:val="0"/>
      <w:divBdr>
        <w:top w:val="none" w:sz="0" w:space="0" w:color="auto"/>
        <w:left w:val="none" w:sz="0" w:space="0" w:color="auto"/>
        <w:bottom w:val="none" w:sz="0" w:space="0" w:color="auto"/>
        <w:right w:val="none" w:sz="0" w:space="0" w:color="auto"/>
      </w:divBdr>
    </w:div>
    <w:div w:id="1775204704">
      <w:bodyDiv w:val="1"/>
      <w:marLeft w:val="0"/>
      <w:marRight w:val="0"/>
      <w:marTop w:val="0"/>
      <w:marBottom w:val="0"/>
      <w:divBdr>
        <w:top w:val="none" w:sz="0" w:space="0" w:color="auto"/>
        <w:left w:val="none" w:sz="0" w:space="0" w:color="auto"/>
        <w:bottom w:val="none" w:sz="0" w:space="0" w:color="auto"/>
        <w:right w:val="none" w:sz="0" w:space="0" w:color="auto"/>
      </w:divBdr>
    </w:div>
    <w:div w:id="1776444410">
      <w:bodyDiv w:val="1"/>
      <w:marLeft w:val="0"/>
      <w:marRight w:val="0"/>
      <w:marTop w:val="0"/>
      <w:marBottom w:val="0"/>
      <w:divBdr>
        <w:top w:val="none" w:sz="0" w:space="0" w:color="auto"/>
        <w:left w:val="none" w:sz="0" w:space="0" w:color="auto"/>
        <w:bottom w:val="none" w:sz="0" w:space="0" w:color="auto"/>
        <w:right w:val="none" w:sz="0" w:space="0" w:color="auto"/>
      </w:divBdr>
    </w:div>
    <w:div w:id="1777942690">
      <w:bodyDiv w:val="1"/>
      <w:marLeft w:val="0"/>
      <w:marRight w:val="0"/>
      <w:marTop w:val="0"/>
      <w:marBottom w:val="0"/>
      <w:divBdr>
        <w:top w:val="none" w:sz="0" w:space="0" w:color="auto"/>
        <w:left w:val="none" w:sz="0" w:space="0" w:color="auto"/>
        <w:bottom w:val="none" w:sz="0" w:space="0" w:color="auto"/>
        <w:right w:val="none" w:sz="0" w:space="0" w:color="auto"/>
      </w:divBdr>
    </w:div>
    <w:div w:id="1778407493">
      <w:bodyDiv w:val="1"/>
      <w:marLeft w:val="0"/>
      <w:marRight w:val="0"/>
      <w:marTop w:val="0"/>
      <w:marBottom w:val="0"/>
      <w:divBdr>
        <w:top w:val="none" w:sz="0" w:space="0" w:color="auto"/>
        <w:left w:val="none" w:sz="0" w:space="0" w:color="auto"/>
        <w:bottom w:val="none" w:sz="0" w:space="0" w:color="auto"/>
        <w:right w:val="none" w:sz="0" w:space="0" w:color="auto"/>
      </w:divBdr>
    </w:div>
    <w:div w:id="1778717795">
      <w:bodyDiv w:val="1"/>
      <w:marLeft w:val="0"/>
      <w:marRight w:val="0"/>
      <w:marTop w:val="0"/>
      <w:marBottom w:val="0"/>
      <w:divBdr>
        <w:top w:val="none" w:sz="0" w:space="0" w:color="auto"/>
        <w:left w:val="none" w:sz="0" w:space="0" w:color="auto"/>
        <w:bottom w:val="none" w:sz="0" w:space="0" w:color="auto"/>
        <w:right w:val="none" w:sz="0" w:space="0" w:color="auto"/>
      </w:divBdr>
    </w:div>
    <w:div w:id="1778986644">
      <w:bodyDiv w:val="1"/>
      <w:marLeft w:val="0"/>
      <w:marRight w:val="0"/>
      <w:marTop w:val="0"/>
      <w:marBottom w:val="0"/>
      <w:divBdr>
        <w:top w:val="none" w:sz="0" w:space="0" w:color="auto"/>
        <w:left w:val="none" w:sz="0" w:space="0" w:color="auto"/>
        <w:bottom w:val="none" w:sz="0" w:space="0" w:color="auto"/>
        <w:right w:val="none" w:sz="0" w:space="0" w:color="auto"/>
      </w:divBdr>
    </w:div>
    <w:div w:id="1780685611">
      <w:bodyDiv w:val="1"/>
      <w:marLeft w:val="0"/>
      <w:marRight w:val="0"/>
      <w:marTop w:val="0"/>
      <w:marBottom w:val="0"/>
      <w:divBdr>
        <w:top w:val="none" w:sz="0" w:space="0" w:color="auto"/>
        <w:left w:val="none" w:sz="0" w:space="0" w:color="auto"/>
        <w:bottom w:val="none" w:sz="0" w:space="0" w:color="auto"/>
        <w:right w:val="none" w:sz="0" w:space="0" w:color="auto"/>
      </w:divBdr>
    </w:div>
    <w:div w:id="1781023437">
      <w:bodyDiv w:val="1"/>
      <w:marLeft w:val="0"/>
      <w:marRight w:val="0"/>
      <w:marTop w:val="0"/>
      <w:marBottom w:val="0"/>
      <w:divBdr>
        <w:top w:val="none" w:sz="0" w:space="0" w:color="auto"/>
        <w:left w:val="none" w:sz="0" w:space="0" w:color="auto"/>
        <w:bottom w:val="none" w:sz="0" w:space="0" w:color="auto"/>
        <w:right w:val="none" w:sz="0" w:space="0" w:color="auto"/>
      </w:divBdr>
    </w:div>
    <w:div w:id="1781871545">
      <w:bodyDiv w:val="1"/>
      <w:marLeft w:val="0"/>
      <w:marRight w:val="0"/>
      <w:marTop w:val="0"/>
      <w:marBottom w:val="0"/>
      <w:divBdr>
        <w:top w:val="none" w:sz="0" w:space="0" w:color="auto"/>
        <w:left w:val="none" w:sz="0" w:space="0" w:color="auto"/>
        <w:bottom w:val="none" w:sz="0" w:space="0" w:color="auto"/>
        <w:right w:val="none" w:sz="0" w:space="0" w:color="auto"/>
      </w:divBdr>
    </w:div>
    <w:div w:id="1782071432">
      <w:bodyDiv w:val="1"/>
      <w:marLeft w:val="0"/>
      <w:marRight w:val="0"/>
      <w:marTop w:val="0"/>
      <w:marBottom w:val="0"/>
      <w:divBdr>
        <w:top w:val="none" w:sz="0" w:space="0" w:color="auto"/>
        <w:left w:val="none" w:sz="0" w:space="0" w:color="auto"/>
        <w:bottom w:val="none" w:sz="0" w:space="0" w:color="auto"/>
        <w:right w:val="none" w:sz="0" w:space="0" w:color="auto"/>
      </w:divBdr>
    </w:div>
    <w:div w:id="1783186434">
      <w:bodyDiv w:val="1"/>
      <w:marLeft w:val="0"/>
      <w:marRight w:val="0"/>
      <w:marTop w:val="0"/>
      <w:marBottom w:val="0"/>
      <w:divBdr>
        <w:top w:val="none" w:sz="0" w:space="0" w:color="auto"/>
        <w:left w:val="none" w:sz="0" w:space="0" w:color="auto"/>
        <w:bottom w:val="none" w:sz="0" w:space="0" w:color="auto"/>
        <w:right w:val="none" w:sz="0" w:space="0" w:color="auto"/>
      </w:divBdr>
    </w:div>
    <w:div w:id="1784500682">
      <w:bodyDiv w:val="1"/>
      <w:marLeft w:val="0"/>
      <w:marRight w:val="0"/>
      <w:marTop w:val="0"/>
      <w:marBottom w:val="0"/>
      <w:divBdr>
        <w:top w:val="none" w:sz="0" w:space="0" w:color="auto"/>
        <w:left w:val="none" w:sz="0" w:space="0" w:color="auto"/>
        <w:bottom w:val="none" w:sz="0" w:space="0" w:color="auto"/>
        <w:right w:val="none" w:sz="0" w:space="0" w:color="auto"/>
      </w:divBdr>
    </w:div>
    <w:div w:id="1785146486">
      <w:bodyDiv w:val="1"/>
      <w:marLeft w:val="0"/>
      <w:marRight w:val="0"/>
      <w:marTop w:val="0"/>
      <w:marBottom w:val="0"/>
      <w:divBdr>
        <w:top w:val="none" w:sz="0" w:space="0" w:color="auto"/>
        <w:left w:val="none" w:sz="0" w:space="0" w:color="auto"/>
        <w:bottom w:val="none" w:sz="0" w:space="0" w:color="auto"/>
        <w:right w:val="none" w:sz="0" w:space="0" w:color="auto"/>
      </w:divBdr>
    </w:div>
    <w:div w:id="1785416948">
      <w:bodyDiv w:val="1"/>
      <w:marLeft w:val="0"/>
      <w:marRight w:val="0"/>
      <w:marTop w:val="0"/>
      <w:marBottom w:val="0"/>
      <w:divBdr>
        <w:top w:val="none" w:sz="0" w:space="0" w:color="auto"/>
        <w:left w:val="none" w:sz="0" w:space="0" w:color="auto"/>
        <w:bottom w:val="none" w:sz="0" w:space="0" w:color="auto"/>
        <w:right w:val="none" w:sz="0" w:space="0" w:color="auto"/>
      </w:divBdr>
    </w:div>
    <w:div w:id="1787239522">
      <w:bodyDiv w:val="1"/>
      <w:marLeft w:val="0"/>
      <w:marRight w:val="0"/>
      <w:marTop w:val="0"/>
      <w:marBottom w:val="0"/>
      <w:divBdr>
        <w:top w:val="none" w:sz="0" w:space="0" w:color="auto"/>
        <w:left w:val="none" w:sz="0" w:space="0" w:color="auto"/>
        <w:bottom w:val="none" w:sz="0" w:space="0" w:color="auto"/>
        <w:right w:val="none" w:sz="0" w:space="0" w:color="auto"/>
      </w:divBdr>
    </w:div>
    <w:div w:id="1790775363">
      <w:bodyDiv w:val="1"/>
      <w:marLeft w:val="0"/>
      <w:marRight w:val="0"/>
      <w:marTop w:val="0"/>
      <w:marBottom w:val="0"/>
      <w:divBdr>
        <w:top w:val="none" w:sz="0" w:space="0" w:color="auto"/>
        <w:left w:val="none" w:sz="0" w:space="0" w:color="auto"/>
        <w:bottom w:val="none" w:sz="0" w:space="0" w:color="auto"/>
        <w:right w:val="none" w:sz="0" w:space="0" w:color="auto"/>
      </w:divBdr>
    </w:div>
    <w:div w:id="1792239595">
      <w:bodyDiv w:val="1"/>
      <w:marLeft w:val="0"/>
      <w:marRight w:val="0"/>
      <w:marTop w:val="0"/>
      <w:marBottom w:val="0"/>
      <w:divBdr>
        <w:top w:val="none" w:sz="0" w:space="0" w:color="auto"/>
        <w:left w:val="none" w:sz="0" w:space="0" w:color="auto"/>
        <w:bottom w:val="none" w:sz="0" w:space="0" w:color="auto"/>
        <w:right w:val="none" w:sz="0" w:space="0" w:color="auto"/>
      </w:divBdr>
    </w:div>
    <w:div w:id="1792704036">
      <w:bodyDiv w:val="1"/>
      <w:marLeft w:val="0"/>
      <w:marRight w:val="0"/>
      <w:marTop w:val="0"/>
      <w:marBottom w:val="0"/>
      <w:divBdr>
        <w:top w:val="none" w:sz="0" w:space="0" w:color="auto"/>
        <w:left w:val="none" w:sz="0" w:space="0" w:color="auto"/>
        <w:bottom w:val="none" w:sz="0" w:space="0" w:color="auto"/>
        <w:right w:val="none" w:sz="0" w:space="0" w:color="auto"/>
      </w:divBdr>
    </w:div>
    <w:div w:id="1792817339">
      <w:bodyDiv w:val="1"/>
      <w:marLeft w:val="0"/>
      <w:marRight w:val="0"/>
      <w:marTop w:val="0"/>
      <w:marBottom w:val="0"/>
      <w:divBdr>
        <w:top w:val="none" w:sz="0" w:space="0" w:color="auto"/>
        <w:left w:val="none" w:sz="0" w:space="0" w:color="auto"/>
        <w:bottom w:val="none" w:sz="0" w:space="0" w:color="auto"/>
        <w:right w:val="none" w:sz="0" w:space="0" w:color="auto"/>
      </w:divBdr>
    </w:div>
    <w:div w:id="1793015540">
      <w:bodyDiv w:val="1"/>
      <w:marLeft w:val="0"/>
      <w:marRight w:val="0"/>
      <w:marTop w:val="0"/>
      <w:marBottom w:val="0"/>
      <w:divBdr>
        <w:top w:val="none" w:sz="0" w:space="0" w:color="auto"/>
        <w:left w:val="none" w:sz="0" w:space="0" w:color="auto"/>
        <w:bottom w:val="none" w:sz="0" w:space="0" w:color="auto"/>
        <w:right w:val="none" w:sz="0" w:space="0" w:color="auto"/>
      </w:divBdr>
    </w:div>
    <w:div w:id="1794131799">
      <w:bodyDiv w:val="1"/>
      <w:marLeft w:val="0"/>
      <w:marRight w:val="0"/>
      <w:marTop w:val="0"/>
      <w:marBottom w:val="0"/>
      <w:divBdr>
        <w:top w:val="none" w:sz="0" w:space="0" w:color="auto"/>
        <w:left w:val="none" w:sz="0" w:space="0" w:color="auto"/>
        <w:bottom w:val="none" w:sz="0" w:space="0" w:color="auto"/>
        <w:right w:val="none" w:sz="0" w:space="0" w:color="auto"/>
      </w:divBdr>
    </w:div>
    <w:div w:id="1794400407">
      <w:bodyDiv w:val="1"/>
      <w:marLeft w:val="0"/>
      <w:marRight w:val="0"/>
      <w:marTop w:val="0"/>
      <w:marBottom w:val="0"/>
      <w:divBdr>
        <w:top w:val="none" w:sz="0" w:space="0" w:color="auto"/>
        <w:left w:val="none" w:sz="0" w:space="0" w:color="auto"/>
        <w:bottom w:val="none" w:sz="0" w:space="0" w:color="auto"/>
        <w:right w:val="none" w:sz="0" w:space="0" w:color="auto"/>
      </w:divBdr>
    </w:div>
    <w:div w:id="1795250001">
      <w:bodyDiv w:val="1"/>
      <w:marLeft w:val="0"/>
      <w:marRight w:val="0"/>
      <w:marTop w:val="0"/>
      <w:marBottom w:val="0"/>
      <w:divBdr>
        <w:top w:val="none" w:sz="0" w:space="0" w:color="auto"/>
        <w:left w:val="none" w:sz="0" w:space="0" w:color="auto"/>
        <w:bottom w:val="none" w:sz="0" w:space="0" w:color="auto"/>
        <w:right w:val="none" w:sz="0" w:space="0" w:color="auto"/>
      </w:divBdr>
    </w:div>
    <w:div w:id="1797136227">
      <w:bodyDiv w:val="1"/>
      <w:marLeft w:val="0"/>
      <w:marRight w:val="0"/>
      <w:marTop w:val="0"/>
      <w:marBottom w:val="0"/>
      <w:divBdr>
        <w:top w:val="none" w:sz="0" w:space="0" w:color="auto"/>
        <w:left w:val="none" w:sz="0" w:space="0" w:color="auto"/>
        <w:bottom w:val="none" w:sz="0" w:space="0" w:color="auto"/>
        <w:right w:val="none" w:sz="0" w:space="0" w:color="auto"/>
      </w:divBdr>
    </w:div>
    <w:div w:id="1797600406">
      <w:bodyDiv w:val="1"/>
      <w:marLeft w:val="0"/>
      <w:marRight w:val="0"/>
      <w:marTop w:val="0"/>
      <w:marBottom w:val="0"/>
      <w:divBdr>
        <w:top w:val="none" w:sz="0" w:space="0" w:color="auto"/>
        <w:left w:val="none" w:sz="0" w:space="0" w:color="auto"/>
        <w:bottom w:val="none" w:sz="0" w:space="0" w:color="auto"/>
        <w:right w:val="none" w:sz="0" w:space="0" w:color="auto"/>
      </w:divBdr>
    </w:div>
    <w:div w:id="1798332509">
      <w:bodyDiv w:val="1"/>
      <w:marLeft w:val="0"/>
      <w:marRight w:val="0"/>
      <w:marTop w:val="0"/>
      <w:marBottom w:val="0"/>
      <w:divBdr>
        <w:top w:val="none" w:sz="0" w:space="0" w:color="auto"/>
        <w:left w:val="none" w:sz="0" w:space="0" w:color="auto"/>
        <w:bottom w:val="none" w:sz="0" w:space="0" w:color="auto"/>
        <w:right w:val="none" w:sz="0" w:space="0" w:color="auto"/>
      </w:divBdr>
    </w:div>
    <w:div w:id="1798790559">
      <w:bodyDiv w:val="1"/>
      <w:marLeft w:val="0"/>
      <w:marRight w:val="0"/>
      <w:marTop w:val="0"/>
      <w:marBottom w:val="0"/>
      <w:divBdr>
        <w:top w:val="none" w:sz="0" w:space="0" w:color="auto"/>
        <w:left w:val="none" w:sz="0" w:space="0" w:color="auto"/>
        <w:bottom w:val="none" w:sz="0" w:space="0" w:color="auto"/>
        <w:right w:val="none" w:sz="0" w:space="0" w:color="auto"/>
      </w:divBdr>
    </w:div>
    <w:div w:id="1799181555">
      <w:bodyDiv w:val="1"/>
      <w:marLeft w:val="0"/>
      <w:marRight w:val="0"/>
      <w:marTop w:val="0"/>
      <w:marBottom w:val="0"/>
      <w:divBdr>
        <w:top w:val="none" w:sz="0" w:space="0" w:color="auto"/>
        <w:left w:val="none" w:sz="0" w:space="0" w:color="auto"/>
        <w:bottom w:val="none" w:sz="0" w:space="0" w:color="auto"/>
        <w:right w:val="none" w:sz="0" w:space="0" w:color="auto"/>
      </w:divBdr>
    </w:div>
    <w:div w:id="1799446035">
      <w:bodyDiv w:val="1"/>
      <w:marLeft w:val="0"/>
      <w:marRight w:val="0"/>
      <w:marTop w:val="0"/>
      <w:marBottom w:val="0"/>
      <w:divBdr>
        <w:top w:val="none" w:sz="0" w:space="0" w:color="auto"/>
        <w:left w:val="none" w:sz="0" w:space="0" w:color="auto"/>
        <w:bottom w:val="none" w:sz="0" w:space="0" w:color="auto"/>
        <w:right w:val="none" w:sz="0" w:space="0" w:color="auto"/>
      </w:divBdr>
    </w:div>
    <w:div w:id="1800411372">
      <w:bodyDiv w:val="1"/>
      <w:marLeft w:val="0"/>
      <w:marRight w:val="0"/>
      <w:marTop w:val="0"/>
      <w:marBottom w:val="0"/>
      <w:divBdr>
        <w:top w:val="none" w:sz="0" w:space="0" w:color="auto"/>
        <w:left w:val="none" w:sz="0" w:space="0" w:color="auto"/>
        <w:bottom w:val="none" w:sz="0" w:space="0" w:color="auto"/>
        <w:right w:val="none" w:sz="0" w:space="0" w:color="auto"/>
      </w:divBdr>
    </w:div>
    <w:div w:id="1800495298">
      <w:bodyDiv w:val="1"/>
      <w:marLeft w:val="0"/>
      <w:marRight w:val="0"/>
      <w:marTop w:val="0"/>
      <w:marBottom w:val="0"/>
      <w:divBdr>
        <w:top w:val="none" w:sz="0" w:space="0" w:color="auto"/>
        <w:left w:val="none" w:sz="0" w:space="0" w:color="auto"/>
        <w:bottom w:val="none" w:sz="0" w:space="0" w:color="auto"/>
        <w:right w:val="none" w:sz="0" w:space="0" w:color="auto"/>
      </w:divBdr>
    </w:div>
    <w:div w:id="1801000444">
      <w:bodyDiv w:val="1"/>
      <w:marLeft w:val="0"/>
      <w:marRight w:val="0"/>
      <w:marTop w:val="0"/>
      <w:marBottom w:val="0"/>
      <w:divBdr>
        <w:top w:val="none" w:sz="0" w:space="0" w:color="auto"/>
        <w:left w:val="none" w:sz="0" w:space="0" w:color="auto"/>
        <w:bottom w:val="none" w:sz="0" w:space="0" w:color="auto"/>
        <w:right w:val="none" w:sz="0" w:space="0" w:color="auto"/>
      </w:divBdr>
    </w:div>
    <w:div w:id="1801996010">
      <w:bodyDiv w:val="1"/>
      <w:marLeft w:val="0"/>
      <w:marRight w:val="0"/>
      <w:marTop w:val="0"/>
      <w:marBottom w:val="0"/>
      <w:divBdr>
        <w:top w:val="none" w:sz="0" w:space="0" w:color="auto"/>
        <w:left w:val="none" w:sz="0" w:space="0" w:color="auto"/>
        <w:bottom w:val="none" w:sz="0" w:space="0" w:color="auto"/>
        <w:right w:val="none" w:sz="0" w:space="0" w:color="auto"/>
      </w:divBdr>
    </w:div>
    <w:div w:id="1802460885">
      <w:bodyDiv w:val="1"/>
      <w:marLeft w:val="0"/>
      <w:marRight w:val="0"/>
      <w:marTop w:val="0"/>
      <w:marBottom w:val="0"/>
      <w:divBdr>
        <w:top w:val="none" w:sz="0" w:space="0" w:color="auto"/>
        <w:left w:val="none" w:sz="0" w:space="0" w:color="auto"/>
        <w:bottom w:val="none" w:sz="0" w:space="0" w:color="auto"/>
        <w:right w:val="none" w:sz="0" w:space="0" w:color="auto"/>
      </w:divBdr>
    </w:div>
    <w:div w:id="1803380285">
      <w:bodyDiv w:val="1"/>
      <w:marLeft w:val="0"/>
      <w:marRight w:val="0"/>
      <w:marTop w:val="0"/>
      <w:marBottom w:val="0"/>
      <w:divBdr>
        <w:top w:val="none" w:sz="0" w:space="0" w:color="auto"/>
        <w:left w:val="none" w:sz="0" w:space="0" w:color="auto"/>
        <w:bottom w:val="none" w:sz="0" w:space="0" w:color="auto"/>
        <w:right w:val="none" w:sz="0" w:space="0" w:color="auto"/>
      </w:divBdr>
    </w:div>
    <w:div w:id="1803574861">
      <w:bodyDiv w:val="1"/>
      <w:marLeft w:val="0"/>
      <w:marRight w:val="0"/>
      <w:marTop w:val="0"/>
      <w:marBottom w:val="0"/>
      <w:divBdr>
        <w:top w:val="none" w:sz="0" w:space="0" w:color="auto"/>
        <w:left w:val="none" w:sz="0" w:space="0" w:color="auto"/>
        <w:bottom w:val="none" w:sz="0" w:space="0" w:color="auto"/>
        <w:right w:val="none" w:sz="0" w:space="0" w:color="auto"/>
      </w:divBdr>
    </w:div>
    <w:div w:id="1804157572">
      <w:bodyDiv w:val="1"/>
      <w:marLeft w:val="0"/>
      <w:marRight w:val="0"/>
      <w:marTop w:val="0"/>
      <w:marBottom w:val="0"/>
      <w:divBdr>
        <w:top w:val="none" w:sz="0" w:space="0" w:color="auto"/>
        <w:left w:val="none" w:sz="0" w:space="0" w:color="auto"/>
        <w:bottom w:val="none" w:sz="0" w:space="0" w:color="auto"/>
        <w:right w:val="none" w:sz="0" w:space="0" w:color="auto"/>
      </w:divBdr>
    </w:div>
    <w:div w:id="1805542212">
      <w:bodyDiv w:val="1"/>
      <w:marLeft w:val="0"/>
      <w:marRight w:val="0"/>
      <w:marTop w:val="0"/>
      <w:marBottom w:val="0"/>
      <w:divBdr>
        <w:top w:val="none" w:sz="0" w:space="0" w:color="auto"/>
        <w:left w:val="none" w:sz="0" w:space="0" w:color="auto"/>
        <w:bottom w:val="none" w:sz="0" w:space="0" w:color="auto"/>
        <w:right w:val="none" w:sz="0" w:space="0" w:color="auto"/>
      </w:divBdr>
    </w:div>
    <w:div w:id="1807039609">
      <w:bodyDiv w:val="1"/>
      <w:marLeft w:val="0"/>
      <w:marRight w:val="0"/>
      <w:marTop w:val="0"/>
      <w:marBottom w:val="0"/>
      <w:divBdr>
        <w:top w:val="none" w:sz="0" w:space="0" w:color="auto"/>
        <w:left w:val="none" w:sz="0" w:space="0" w:color="auto"/>
        <w:bottom w:val="none" w:sz="0" w:space="0" w:color="auto"/>
        <w:right w:val="none" w:sz="0" w:space="0" w:color="auto"/>
      </w:divBdr>
    </w:div>
    <w:div w:id="1808743020">
      <w:bodyDiv w:val="1"/>
      <w:marLeft w:val="0"/>
      <w:marRight w:val="0"/>
      <w:marTop w:val="0"/>
      <w:marBottom w:val="0"/>
      <w:divBdr>
        <w:top w:val="none" w:sz="0" w:space="0" w:color="auto"/>
        <w:left w:val="none" w:sz="0" w:space="0" w:color="auto"/>
        <w:bottom w:val="none" w:sz="0" w:space="0" w:color="auto"/>
        <w:right w:val="none" w:sz="0" w:space="0" w:color="auto"/>
      </w:divBdr>
    </w:div>
    <w:div w:id="1809207078">
      <w:bodyDiv w:val="1"/>
      <w:marLeft w:val="0"/>
      <w:marRight w:val="0"/>
      <w:marTop w:val="0"/>
      <w:marBottom w:val="0"/>
      <w:divBdr>
        <w:top w:val="none" w:sz="0" w:space="0" w:color="auto"/>
        <w:left w:val="none" w:sz="0" w:space="0" w:color="auto"/>
        <w:bottom w:val="none" w:sz="0" w:space="0" w:color="auto"/>
        <w:right w:val="none" w:sz="0" w:space="0" w:color="auto"/>
      </w:divBdr>
    </w:div>
    <w:div w:id="1809742197">
      <w:bodyDiv w:val="1"/>
      <w:marLeft w:val="0"/>
      <w:marRight w:val="0"/>
      <w:marTop w:val="0"/>
      <w:marBottom w:val="0"/>
      <w:divBdr>
        <w:top w:val="none" w:sz="0" w:space="0" w:color="auto"/>
        <w:left w:val="none" w:sz="0" w:space="0" w:color="auto"/>
        <w:bottom w:val="none" w:sz="0" w:space="0" w:color="auto"/>
        <w:right w:val="none" w:sz="0" w:space="0" w:color="auto"/>
      </w:divBdr>
    </w:div>
    <w:div w:id="1809781997">
      <w:bodyDiv w:val="1"/>
      <w:marLeft w:val="0"/>
      <w:marRight w:val="0"/>
      <w:marTop w:val="0"/>
      <w:marBottom w:val="0"/>
      <w:divBdr>
        <w:top w:val="none" w:sz="0" w:space="0" w:color="auto"/>
        <w:left w:val="none" w:sz="0" w:space="0" w:color="auto"/>
        <w:bottom w:val="none" w:sz="0" w:space="0" w:color="auto"/>
        <w:right w:val="none" w:sz="0" w:space="0" w:color="auto"/>
      </w:divBdr>
    </w:div>
    <w:div w:id="1810242828">
      <w:bodyDiv w:val="1"/>
      <w:marLeft w:val="0"/>
      <w:marRight w:val="0"/>
      <w:marTop w:val="0"/>
      <w:marBottom w:val="0"/>
      <w:divBdr>
        <w:top w:val="none" w:sz="0" w:space="0" w:color="auto"/>
        <w:left w:val="none" w:sz="0" w:space="0" w:color="auto"/>
        <w:bottom w:val="none" w:sz="0" w:space="0" w:color="auto"/>
        <w:right w:val="none" w:sz="0" w:space="0" w:color="auto"/>
      </w:divBdr>
    </w:div>
    <w:div w:id="1811360503">
      <w:bodyDiv w:val="1"/>
      <w:marLeft w:val="0"/>
      <w:marRight w:val="0"/>
      <w:marTop w:val="0"/>
      <w:marBottom w:val="0"/>
      <w:divBdr>
        <w:top w:val="none" w:sz="0" w:space="0" w:color="auto"/>
        <w:left w:val="none" w:sz="0" w:space="0" w:color="auto"/>
        <w:bottom w:val="none" w:sz="0" w:space="0" w:color="auto"/>
        <w:right w:val="none" w:sz="0" w:space="0" w:color="auto"/>
      </w:divBdr>
    </w:div>
    <w:div w:id="1812399624">
      <w:bodyDiv w:val="1"/>
      <w:marLeft w:val="0"/>
      <w:marRight w:val="0"/>
      <w:marTop w:val="0"/>
      <w:marBottom w:val="0"/>
      <w:divBdr>
        <w:top w:val="none" w:sz="0" w:space="0" w:color="auto"/>
        <w:left w:val="none" w:sz="0" w:space="0" w:color="auto"/>
        <w:bottom w:val="none" w:sz="0" w:space="0" w:color="auto"/>
        <w:right w:val="none" w:sz="0" w:space="0" w:color="auto"/>
      </w:divBdr>
    </w:div>
    <w:div w:id="1812402344">
      <w:bodyDiv w:val="1"/>
      <w:marLeft w:val="0"/>
      <w:marRight w:val="0"/>
      <w:marTop w:val="0"/>
      <w:marBottom w:val="0"/>
      <w:divBdr>
        <w:top w:val="none" w:sz="0" w:space="0" w:color="auto"/>
        <w:left w:val="none" w:sz="0" w:space="0" w:color="auto"/>
        <w:bottom w:val="none" w:sz="0" w:space="0" w:color="auto"/>
        <w:right w:val="none" w:sz="0" w:space="0" w:color="auto"/>
      </w:divBdr>
    </w:div>
    <w:div w:id="1812476080">
      <w:bodyDiv w:val="1"/>
      <w:marLeft w:val="0"/>
      <w:marRight w:val="0"/>
      <w:marTop w:val="0"/>
      <w:marBottom w:val="0"/>
      <w:divBdr>
        <w:top w:val="none" w:sz="0" w:space="0" w:color="auto"/>
        <w:left w:val="none" w:sz="0" w:space="0" w:color="auto"/>
        <w:bottom w:val="none" w:sz="0" w:space="0" w:color="auto"/>
        <w:right w:val="none" w:sz="0" w:space="0" w:color="auto"/>
      </w:divBdr>
    </w:div>
    <w:div w:id="1812599039">
      <w:bodyDiv w:val="1"/>
      <w:marLeft w:val="0"/>
      <w:marRight w:val="0"/>
      <w:marTop w:val="0"/>
      <w:marBottom w:val="0"/>
      <w:divBdr>
        <w:top w:val="none" w:sz="0" w:space="0" w:color="auto"/>
        <w:left w:val="none" w:sz="0" w:space="0" w:color="auto"/>
        <w:bottom w:val="none" w:sz="0" w:space="0" w:color="auto"/>
        <w:right w:val="none" w:sz="0" w:space="0" w:color="auto"/>
      </w:divBdr>
    </w:div>
    <w:div w:id="1813213387">
      <w:bodyDiv w:val="1"/>
      <w:marLeft w:val="0"/>
      <w:marRight w:val="0"/>
      <w:marTop w:val="0"/>
      <w:marBottom w:val="0"/>
      <w:divBdr>
        <w:top w:val="none" w:sz="0" w:space="0" w:color="auto"/>
        <w:left w:val="none" w:sz="0" w:space="0" w:color="auto"/>
        <w:bottom w:val="none" w:sz="0" w:space="0" w:color="auto"/>
        <w:right w:val="none" w:sz="0" w:space="0" w:color="auto"/>
      </w:divBdr>
    </w:div>
    <w:div w:id="1813213673">
      <w:bodyDiv w:val="1"/>
      <w:marLeft w:val="0"/>
      <w:marRight w:val="0"/>
      <w:marTop w:val="0"/>
      <w:marBottom w:val="0"/>
      <w:divBdr>
        <w:top w:val="none" w:sz="0" w:space="0" w:color="auto"/>
        <w:left w:val="none" w:sz="0" w:space="0" w:color="auto"/>
        <w:bottom w:val="none" w:sz="0" w:space="0" w:color="auto"/>
        <w:right w:val="none" w:sz="0" w:space="0" w:color="auto"/>
      </w:divBdr>
    </w:div>
    <w:div w:id="1814172947">
      <w:bodyDiv w:val="1"/>
      <w:marLeft w:val="0"/>
      <w:marRight w:val="0"/>
      <w:marTop w:val="0"/>
      <w:marBottom w:val="0"/>
      <w:divBdr>
        <w:top w:val="none" w:sz="0" w:space="0" w:color="auto"/>
        <w:left w:val="none" w:sz="0" w:space="0" w:color="auto"/>
        <w:bottom w:val="none" w:sz="0" w:space="0" w:color="auto"/>
        <w:right w:val="none" w:sz="0" w:space="0" w:color="auto"/>
      </w:divBdr>
    </w:div>
    <w:div w:id="1814519669">
      <w:bodyDiv w:val="1"/>
      <w:marLeft w:val="0"/>
      <w:marRight w:val="0"/>
      <w:marTop w:val="0"/>
      <w:marBottom w:val="0"/>
      <w:divBdr>
        <w:top w:val="none" w:sz="0" w:space="0" w:color="auto"/>
        <w:left w:val="none" w:sz="0" w:space="0" w:color="auto"/>
        <w:bottom w:val="none" w:sz="0" w:space="0" w:color="auto"/>
        <w:right w:val="none" w:sz="0" w:space="0" w:color="auto"/>
      </w:divBdr>
    </w:div>
    <w:div w:id="1815218152">
      <w:bodyDiv w:val="1"/>
      <w:marLeft w:val="0"/>
      <w:marRight w:val="0"/>
      <w:marTop w:val="0"/>
      <w:marBottom w:val="0"/>
      <w:divBdr>
        <w:top w:val="none" w:sz="0" w:space="0" w:color="auto"/>
        <w:left w:val="none" w:sz="0" w:space="0" w:color="auto"/>
        <w:bottom w:val="none" w:sz="0" w:space="0" w:color="auto"/>
        <w:right w:val="none" w:sz="0" w:space="0" w:color="auto"/>
      </w:divBdr>
    </w:div>
    <w:div w:id="1815756251">
      <w:bodyDiv w:val="1"/>
      <w:marLeft w:val="0"/>
      <w:marRight w:val="0"/>
      <w:marTop w:val="0"/>
      <w:marBottom w:val="0"/>
      <w:divBdr>
        <w:top w:val="none" w:sz="0" w:space="0" w:color="auto"/>
        <w:left w:val="none" w:sz="0" w:space="0" w:color="auto"/>
        <w:bottom w:val="none" w:sz="0" w:space="0" w:color="auto"/>
        <w:right w:val="none" w:sz="0" w:space="0" w:color="auto"/>
      </w:divBdr>
    </w:div>
    <w:div w:id="1816483730">
      <w:bodyDiv w:val="1"/>
      <w:marLeft w:val="0"/>
      <w:marRight w:val="0"/>
      <w:marTop w:val="0"/>
      <w:marBottom w:val="0"/>
      <w:divBdr>
        <w:top w:val="none" w:sz="0" w:space="0" w:color="auto"/>
        <w:left w:val="none" w:sz="0" w:space="0" w:color="auto"/>
        <w:bottom w:val="none" w:sz="0" w:space="0" w:color="auto"/>
        <w:right w:val="none" w:sz="0" w:space="0" w:color="auto"/>
      </w:divBdr>
    </w:div>
    <w:div w:id="1816608897">
      <w:bodyDiv w:val="1"/>
      <w:marLeft w:val="0"/>
      <w:marRight w:val="0"/>
      <w:marTop w:val="0"/>
      <w:marBottom w:val="0"/>
      <w:divBdr>
        <w:top w:val="none" w:sz="0" w:space="0" w:color="auto"/>
        <w:left w:val="none" w:sz="0" w:space="0" w:color="auto"/>
        <w:bottom w:val="none" w:sz="0" w:space="0" w:color="auto"/>
        <w:right w:val="none" w:sz="0" w:space="0" w:color="auto"/>
      </w:divBdr>
    </w:div>
    <w:div w:id="1817260565">
      <w:bodyDiv w:val="1"/>
      <w:marLeft w:val="0"/>
      <w:marRight w:val="0"/>
      <w:marTop w:val="0"/>
      <w:marBottom w:val="0"/>
      <w:divBdr>
        <w:top w:val="none" w:sz="0" w:space="0" w:color="auto"/>
        <w:left w:val="none" w:sz="0" w:space="0" w:color="auto"/>
        <w:bottom w:val="none" w:sz="0" w:space="0" w:color="auto"/>
        <w:right w:val="none" w:sz="0" w:space="0" w:color="auto"/>
      </w:divBdr>
    </w:div>
    <w:div w:id="1817602285">
      <w:bodyDiv w:val="1"/>
      <w:marLeft w:val="0"/>
      <w:marRight w:val="0"/>
      <w:marTop w:val="0"/>
      <w:marBottom w:val="0"/>
      <w:divBdr>
        <w:top w:val="none" w:sz="0" w:space="0" w:color="auto"/>
        <w:left w:val="none" w:sz="0" w:space="0" w:color="auto"/>
        <w:bottom w:val="none" w:sz="0" w:space="0" w:color="auto"/>
        <w:right w:val="none" w:sz="0" w:space="0" w:color="auto"/>
      </w:divBdr>
    </w:div>
    <w:div w:id="1817603589">
      <w:bodyDiv w:val="1"/>
      <w:marLeft w:val="0"/>
      <w:marRight w:val="0"/>
      <w:marTop w:val="0"/>
      <w:marBottom w:val="0"/>
      <w:divBdr>
        <w:top w:val="none" w:sz="0" w:space="0" w:color="auto"/>
        <w:left w:val="none" w:sz="0" w:space="0" w:color="auto"/>
        <w:bottom w:val="none" w:sz="0" w:space="0" w:color="auto"/>
        <w:right w:val="none" w:sz="0" w:space="0" w:color="auto"/>
      </w:divBdr>
    </w:div>
    <w:div w:id="1818179742">
      <w:bodyDiv w:val="1"/>
      <w:marLeft w:val="0"/>
      <w:marRight w:val="0"/>
      <w:marTop w:val="0"/>
      <w:marBottom w:val="0"/>
      <w:divBdr>
        <w:top w:val="none" w:sz="0" w:space="0" w:color="auto"/>
        <w:left w:val="none" w:sz="0" w:space="0" w:color="auto"/>
        <w:bottom w:val="none" w:sz="0" w:space="0" w:color="auto"/>
        <w:right w:val="none" w:sz="0" w:space="0" w:color="auto"/>
      </w:divBdr>
    </w:div>
    <w:div w:id="1819153449">
      <w:bodyDiv w:val="1"/>
      <w:marLeft w:val="0"/>
      <w:marRight w:val="0"/>
      <w:marTop w:val="0"/>
      <w:marBottom w:val="0"/>
      <w:divBdr>
        <w:top w:val="none" w:sz="0" w:space="0" w:color="auto"/>
        <w:left w:val="none" w:sz="0" w:space="0" w:color="auto"/>
        <w:bottom w:val="none" w:sz="0" w:space="0" w:color="auto"/>
        <w:right w:val="none" w:sz="0" w:space="0" w:color="auto"/>
      </w:divBdr>
    </w:div>
    <w:div w:id="1820418320">
      <w:bodyDiv w:val="1"/>
      <w:marLeft w:val="0"/>
      <w:marRight w:val="0"/>
      <w:marTop w:val="0"/>
      <w:marBottom w:val="0"/>
      <w:divBdr>
        <w:top w:val="none" w:sz="0" w:space="0" w:color="auto"/>
        <w:left w:val="none" w:sz="0" w:space="0" w:color="auto"/>
        <w:bottom w:val="none" w:sz="0" w:space="0" w:color="auto"/>
        <w:right w:val="none" w:sz="0" w:space="0" w:color="auto"/>
      </w:divBdr>
    </w:div>
    <w:div w:id="1821381113">
      <w:bodyDiv w:val="1"/>
      <w:marLeft w:val="0"/>
      <w:marRight w:val="0"/>
      <w:marTop w:val="0"/>
      <w:marBottom w:val="0"/>
      <w:divBdr>
        <w:top w:val="none" w:sz="0" w:space="0" w:color="auto"/>
        <w:left w:val="none" w:sz="0" w:space="0" w:color="auto"/>
        <w:bottom w:val="none" w:sz="0" w:space="0" w:color="auto"/>
        <w:right w:val="none" w:sz="0" w:space="0" w:color="auto"/>
      </w:divBdr>
    </w:div>
    <w:div w:id="1823085580">
      <w:bodyDiv w:val="1"/>
      <w:marLeft w:val="0"/>
      <w:marRight w:val="0"/>
      <w:marTop w:val="0"/>
      <w:marBottom w:val="0"/>
      <w:divBdr>
        <w:top w:val="none" w:sz="0" w:space="0" w:color="auto"/>
        <w:left w:val="none" w:sz="0" w:space="0" w:color="auto"/>
        <w:bottom w:val="none" w:sz="0" w:space="0" w:color="auto"/>
        <w:right w:val="none" w:sz="0" w:space="0" w:color="auto"/>
      </w:divBdr>
    </w:div>
    <w:div w:id="1823741568">
      <w:bodyDiv w:val="1"/>
      <w:marLeft w:val="0"/>
      <w:marRight w:val="0"/>
      <w:marTop w:val="0"/>
      <w:marBottom w:val="0"/>
      <w:divBdr>
        <w:top w:val="none" w:sz="0" w:space="0" w:color="auto"/>
        <w:left w:val="none" w:sz="0" w:space="0" w:color="auto"/>
        <w:bottom w:val="none" w:sz="0" w:space="0" w:color="auto"/>
        <w:right w:val="none" w:sz="0" w:space="0" w:color="auto"/>
      </w:divBdr>
    </w:div>
    <w:div w:id="1824276797">
      <w:bodyDiv w:val="1"/>
      <w:marLeft w:val="0"/>
      <w:marRight w:val="0"/>
      <w:marTop w:val="0"/>
      <w:marBottom w:val="0"/>
      <w:divBdr>
        <w:top w:val="none" w:sz="0" w:space="0" w:color="auto"/>
        <w:left w:val="none" w:sz="0" w:space="0" w:color="auto"/>
        <w:bottom w:val="none" w:sz="0" w:space="0" w:color="auto"/>
        <w:right w:val="none" w:sz="0" w:space="0" w:color="auto"/>
      </w:divBdr>
    </w:div>
    <w:div w:id="1824348412">
      <w:bodyDiv w:val="1"/>
      <w:marLeft w:val="0"/>
      <w:marRight w:val="0"/>
      <w:marTop w:val="0"/>
      <w:marBottom w:val="0"/>
      <w:divBdr>
        <w:top w:val="none" w:sz="0" w:space="0" w:color="auto"/>
        <w:left w:val="none" w:sz="0" w:space="0" w:color="auto"/>
        <w:bottom w:val="none" w:sz="0" w:space="0" w:color="auto"/>
        <w:right w:val="none" w:sz="0" w:space="0" w:color="auto"/>
      </w:divBdr>
    </w:div>
    <w:div w:id="1826123581">
      <w:bodyDiv w:val="1"/>
      <w:marLeft w:val="0"/>
      <w:marRight w:val="0"/>
      <w:marTop w:val="0"/>
      <w:marBottom w:val="0"/>
      <w:divBdr>
        <w:top w:val="none" w:sz="0" w:space="0" w:color="auto"/>
        <w:left w:val="none" w:sz="0" w:space="0" w:color="auto"/>
        <w:bottom w:val="none" w:sz="0" w:space="0" w:color="auto"/>
        <w:right w:val="none" w:sz="0" w:space="0" w:color="auto"/>
      </w:divBdr>
    </w:div>
    <w:div w:id="1827431101">
      <w:bodyDiv w:val="1"/>
      <w:marLeft w:val="0"/>
      <w:marRight w:val="0"/>
      <w:marTop w:val="0"/>
      <w:marBottom w:val="0"/>
      <w:divBdr>
        <w:top w:val="none" w:sz="0" w:space="0" w:color="auto"/>
        <w:left w:val="none" w:sz="0" w:space="0" w:color="auto"/>
        <w:bottom w:val="none" w:sz="0" w:space="0" w:color="auto"/>
        <w:right w:val="none" w:sz="0" w:space="0" w:color="auto"/>
      </w:divBdr>
    </w:div>
    <w:div w:id="1827938400">
      <w:bodyDiv w:val="1"/>
      <w:marLeft w:val="0"/>
      <w:marRight w:val="0"/>
      <w:marTop w:val="0"/>
      <w:marBottom w:val="0"/>
      <w:divBdr>
        <w:top w:val="none" w:sz="0" w:space="0" w:color="auto"/>
        <w:left w:val="none" w:sz="0" w:space="0" w:color="auto"/>
        <w:bottom w:val="none" w:sz="0" w:space="0" w:color="auto"/>
        <w:right w:val="none" w:sz="0" w:space="0" w:color="auto"/>
      </w:divBdr>
    </w:div>
    <w:div w:id="1828520868">
      <w:bodyDiv w:val="1"/>
      <w:marLeft w:val="0"/>
      <w:marRight w:val="0"/>
      <w:marTop w:val="0"/>
      <w:marBottom w:val="0"/>
      <w:divBdr>
        <w:top w:val="none" w:sz="0" w:space="0" w:color="auto"/>
        <w:left w:val="none" w:sz="0" w:space="0" w:color="auto"/>
        <w:bottom w:val="none" w:sz="0" w:space="0" w:color="auto"/>
        <w:right w:val="none" w:sz="0" w:space="0" w:color="auto"/>
      </w:divBdr>
    </w:div>
    <w:div w:id="1828738282">
      <w:bodyDiv w:val="1"/>
      <w:marLeft w:val="0"/>
      <w:marRight w:val="0"/>
      <w:marTop w:val="0"/>
      <w:marBottom w:val="0"/>
      <w:divBdr>
        <w:top w:val="none" w:sz="0" w:space="0" w:color="auto"/>
        <w:left w:val="none" w:sz="0" w:space="0" w:color="auto"/>
        <w:bottom w:val="none" w:sz="0" w:space="0" w:color="auto"/>
        <w:right w:val="none" w:sz="0" w:space="0" w:color="auto"/>
      </w:divBdr>
    </w:div>
    <w:div w:id="1828743598">
      <w:bodyDiv w:val="1"/>
      <w:marLeft w:val="0"/>
      <w:marRight w:val="0"/>
      <w:marTop w:val="0"/>
      <w:marBottom w:val="0"/>
      <w:divBdr>
        <w:top w:val="none" w:sz="0" w:space="0" w:color="auto"/>
        <w:left w:val="none" w:sz="0" w:space="0" w:color="auto"/>
        <w:bottom w:val="none" w:sz="0" w:space="0" w:color="auto"/>
        <w:right w:val="none" w:sz="0" w:space="0" w:color="auto"/>
      </w:divBdr>
    </w:div>
    <w:div w:id="1829129350">
      <w:bodyDiv w:val="1"/>
      <w:marLeft w:val="0"/>
      <w:marRight w:val="0"/>
      <w:marTop w:val="0"/>
      <w:marBottom w:val="0"/>
      <w:divBdr>
        <w:top w:val="none" w:sz="0" w:space="0" w:color="auto"/>
        <w:left w:val="none" w:sz="0" w:space="0" w:color="auto"/>
        <w:bottom w:val="none" w:sz="0" w:space="0" w:color="auto"/>
        <w:right w:val="none" w:sz="0" w:space="0" w:color="auto"/>
      </w:divBdr>
    </w:div>
    <w:div w:id="1829247109">
      <w:bodyDiv w:val="1"/>
      <w:marLeft w:val="0"/>
      <w:marRight w:val="0"/>
      <w:marTop w:val="0"/>
      <w:marBottom w:val="0"/>
      <w:divBdr>
        <w:top w:val="none" w:sz="0" w:space="0" w:color="auto"/>
        <w:left w:val="none" w:sz="0" w:space="0" w:color="auto"/>
        <w:bottom w:val="none" w:sz="0" w:space="0" w:color="auto"/>
        <w:right w:val="none" w:sz="0" w:space="0" w:color="auto"/>
      </w:divBdr>
    </w:div>
    <w:div w:id="1829398510">
      <w:bodyDiv w:val="1"/>
      <w:marLeft w:val="0"/>
      <w:marRight w:val="0"/>
      <w:marTop w:val="0"/>
      <w:marBottom w:val="0"/>
      <w:divBdr>
        <w:top w:val="none" w:sz="0" w:space="0" w:color="auto"/>
        <w:left w:val="none" w:sz="0" w:space="0" w:color="auto"/>
        <w:bottom w:val="none" w:sz="0" w:space="0" w:color="auto"/>
        <w:right w:val="none" w:sz="0" w:space="0" w:color="auto"/>
      </w:divBdr>
    </w:div>
    <w:div w:id="1829902724">
      <w:bodyDiv w:val="1"/>
      <w:marLeft w:val="0"/>
      <w:marRight w:val="0"/>
      <w:marTop w:val="0"/>
      <w:marBottom w:val="0"/>
      <w:divBdr>
        <w:top w:val="none" w:sz="0" w:space="0" w:color="auto"/>
        <w:left w:val="none" w:sz="0" w:space="0" w:color="auto"/>
        <w:bottom w:val="none" w:sz="0" w:space="0" w:color="auto"/>
        <w:right w:val="none" w:sz="0" w:space="0" w:color="auto"/>
      </w:divBdr>
    </w:div>
    <w:div w:id="1829975153">
      <w:bodyDiv w:val="1"/>
      <w:marLeft w:val="0"/>
      <w:marRight w:val="0"/>
      <w:marTop w:val="0"/>
      <w:marBottom w:val="0"/>
      <w:divBdr>
        <w:top w:val="none" w:sz="0" w:space="0" w:color="auto"/>
        <w:left w:val="none" w:sz="0" w:space="0" w:color="auto"/>
        <w:bottom w:val="none" w:sz="0" w:space="0" w:color="auto"/>
        <w:right w:val="none" w:sz="0" w:space="0" w:color="auto"/>
      </w:divBdr>
    </w:div>
    <w:div w:id="1830251103">
      <w:bodyDiv w:val="1"/>
      <w:marLeft w:val="0"/>
      <w:marRight w:val="0"/>
      <w:marTop w:val="0"/>
      <w:marBottom w:val="0"/>
      <w:divBdr>
        <w:top w:val="none" w:sz="0" w:space="0" w:color="auto"/>
        <w:left w:val="none" w:sz="0" w:space="0" w:color="auto"/>
        <w:bottom w:val="none" w:sz="0" w:space="0" w:color="auto"/>
        <w:right w:val="none" w:sz="0" w:space="0" w:color="auto"/>
      </w:divBdr>
    </w:div>
    <w:div w:id="1830442792">
      <w:bodyDiv w:val="1"/>
      <w:marLeft w:val="0"/>
      <w:marRight w:val="0"/>
      <w:marTop w:val="0"/>
      <w:marBottom w:val="0"/>
      <w:divBdr>
        <w:top w:val="none" w:sz="0" w:space="0" w:color="auto"/>
        <w:left w:val="none" w:sz="0" w:space="0" w:color="auto"/>
        <w:bottom w:val="none" w:sz="0" w:space="0" w:color="auto"/>
        <w:right w:val="none" w:sz="0" w:space="0" w:color="auto"/>
      </w:divBdr>
    </w:div>
    <w:div w:id="1831093424">
      <w:bodyDiv w:val="1"/>
      <w:marLeft w:val="0"/>
      <w:marRight w:val="0"/>
      <w:marTop w:val="0"/>
      <w:marBottom w:val="0"/>
      <w:divBdr>
        <w:top w:val="none" w:sz="0" w:space="0" w:color="auto"/>
        <w:left w:val="none" w:sz="0" w:space="0" w:color="auto"/>
        <w:bottom w:val="none" w:sz="0" w:space="0" w:color="auto"/>
        <w:right w:val="none" w:sz="0" w:space="0" w:color="auto"/>
      </w:divBdr>
    </w:div>
    <w:div w:id="1832334304">
      <w:bodyDiv w:val="1"/>
      <w:marLeft w:val="0"/>
      <w:marRight w:val="0"/>
      <w:marTop w:val="0"/>
      <w:marBottom w:val="0"/>
      <w:divBdr>
        <w:top w:val="none" w:sz="0" w:space="0" w:color="auto"/>
        <w:left w:val="none" w:sz="0" w:space="0" w:color="auto"/>
        <w:bottom w:val="none" w:sz="0" w:space="0" w:color="auto"/>
        <w:right w:val="none" w:sz="0" w:space="0" w:color="auto"/>
      </w:divBdr>
    </w:div>
    <w:div w:id="1833108847">
      <w:bodyDiv w:val="1"/>
      <w:marLeft w:val="0"/>
      <w:marRight w:val="0"/>
      <w:marTop w:val="0"/>
      <w:marBottom w:val="0"/>
      <w:divBdr>
        <w:top w:val="none" w:sz="0" w:space="0" w:color="auto"/>
        <w:left w:val="none" w:sz="0" w:space="0" w:color="auto"/>
        <w:bottom w:val="none" w:sz="0" w:space="0" w:color="auto"/>
        <w:right w:val="none" w:sz="0" w:space="0" w:color="auto"/>
      </w:divBdr>
    </w:div>
    <w:div w:id="1833176854">
      <w:bodyDiv w:val="1"/>
      <w:marLeft w:val="0"/>
      <w:marRight w:val="0"/>
      <w:marTop w:val="0"/>
      <w:marBottom w:val="0"/>
      <w:divBdr>
        <w:top w:val="none" w:sz="0" w:space="0" w:color="auto"/>
        <w:left w:val="none" w:sz="0" w:space="0" w:color="auto"/>
        <w:bottom w:val="none" w:sz="0" w:space="0" w:color="auto"/>
        <w:right w:val="none" w:sz="0" w:space="0" w:color="auto"/>
      </w:divBdr>
    </w:div>
    <w:div w:id="1833595636">
      <w:bodyDiv w:val="1"/>
      <w:marLeft w:val="0"/>
      <w:marRight w:val="0"/>
      <w:marTop w:val="0"/>
      <w:marBottom w:val="0"/>
      <w:divBdr>
        <w:top w:val="none" w:sz="0" w:space="0" w:color="auto"/>
        <w:left w:val="none" w:sz="0" w:space="0" w:color="auto"/>
        <w:bottom w:val="none" w:sz="0" w:space="0" w:color="auto"/>
        <w:right w:val="none" w:sz="0" w:space="0" w:color="auto"/>
      </w:divBdr>
    </w:div>
    <w:div w:id="1833793795">
      <w:bodyDiv w:val="1"/>
      <w:marLeft w:val="0"/>
      <w:marRight w:val="0"/>
      <w:marTop w:val="0"/>
      <w:marBottom w:val="0"/>
      <w:divBdr>
        <w:top w:val="none" w:sz="0" w:space="0" w:color="auto"/>
        <w:left w:val="none" w:sz="0" w:space="0" w:color="auto"/>
        <w:bottom w:val="none" w:sz="0" w:space="0" w:color="auto"/>
        <w:right w:val="none" w:sz="0" w:space="0" w:color="auto"/>
      </w:divBdr>
    </w:div>
    <w:div w:id="1833837908">
      <w:bodyDiv w:val="1"/>
      <w:marLeft w:val="0"/>
      <w:marRight w:val="0"/>
      <w:marTop w:val="0"/>
      <w:marBottom w:val="0"/>
      <w:divBdr>
        <w:top w:val="none" w:sz="0" w:space="0" w:color="auto"/>
        <w:left w:val="none" w:sz="0" w:space="0" w:color="auto"/>
        <w:bottom w:val="none" w:sz="0" w:space="0" w:color="auto"/>
        <w:right w:val="none" w:sz="0" w:space="0" w:color="auto"/>
      </w:divBdr>
    </w:div>
    <w:div w:id="1834295299">
      <w:bodyDiv w:val="1"/>
      <w:marLeft w:val="0"/>
      <w:marRight w:val="0"/>
      <w:marTop w:val="0"/>
      <w:marBottom w:val="0"/>
      <w:divBdr>
        <w:top w:val="none" w:sz="0" w:space="0" w:color="auto"/>
        <w:left w:val="none" w:sz="0" w:space="0" w:color="auto"/>
        <w:bottom w:val="none" w:sz="0" w:space="0" w:color="auto"/>
        <w:right w:val="none" w:sz="0" w:space="0" w:color="auto"/>
      </w:divBdr>
    </w:div>
    <w:div w:id="1834448079">
      <w:bodyDiv w:val="1"/>
      <w:marLeft w:val="0"/>
      <w:marRight w:val="0"/>
      <w:marTop w:val="0"/>
      <w:marBottom w:val="0"/>
      <w:divBdr>
        <w:top w:val="none" w:sz="0" w:space="0" w:color="auto"/>
        <w:left w:val="none" w:sz="0" w:space="0" w:color="auto"/>
        <w:bottom w:val="none" w:sz="0" w:space="0" w:color="auto"/>
        <w:right w:val="none" w:sz="0" w:space="0" w:color="auto"/>
      </w:divBdr>
    </w:div>
    <w:div w:id="1835029465">
      <w:bodyDiv w:val="1"/>
      <w:marLeft w:val="0"/>
      <w:marRight w:val="0"/>
      <w:marTop w:val="0"/>
      <w:marBottom w:val="0"/>
      <w:divBdr>
        <w:top w:val="none" w:sz="0" w:space="0" w:color="auto"/>
        <w:left w:val="none" w:sz="0" w:space="0" w:color="auto"/>
        <w:bottom w:val="none" w:sz="0" w:space="0" w:color="auto"/>
        <w:right w:val="none" w:sz="0" w:space="0" w:color="auto"/>
      </w:divBdr>
    </w:div>
    <w:div w:id="1836412678">
      <w:bodyDiv w:val="1"/>
      <w:marLeft w:val="0"/>
      <w:marRight w:val="0"/>
      <w:marTop w:val="0"/>
      <w:marBottom w:val="0"/>
      <w:divBdr>
        <w:top w:val="none" w:sz="0" w:space="0" w:color="auto"/>
        <w:left w:val="none" w:sz="0" w:space="0" w:color="auto"/>
        <w:bottom w:val="none" w:sz="0" w:space="0" w:color="auto"/>
        <w:right w:val="none" w:sz="0" w:space="0" w:color="auto"/>
      </w:divBdr>
    </w:div>
    <w:div w:id="1836648364">
      <w:bodyDiv w:val="1"/>
      <w:marLeft w:val="0"/>
      <w:marRight w:val="0"/>
      <w:marTop w:val="0"/>
      <w:marBottom w:val="0"/>
      <w:divBdr>
        <w:top w:val="none" w:sz="0" w:space="0" w:color="auto"/>
        <w:left w:val="none" w:sz="0" w:space="0" w:color="auto"/>
        <w:bottom w:val="none" w:sz="0" w:space="0" w:color="auto"/>
        <w:right w:val="none" w:sz="0" w:space="0" w:color="auto"/>
      </w:divBdr>
    </w:div>
    <w:div w:id="1836874280">
      <w:bodyDiv w:val="1"/>
      <w:marLeft w:val="0"/>
      <w:marRight w:val="0"/>
      <w:marTop w:val="0"/>
      <w:marBottom w:val="0"/>
      <w:divBdr>
        <w:top w:val="none" w:sz="0" w:space="0" w:color="auto"/>
        <w:left w:val="none" w:sz="0" w:space="0" w:color="auto"/>
        <w:bottom w:val="none" w:sz="0" w:space="0" w:color="auto"/>
        <w:right w:val="none" w:sz="0" w:space="0" w:color="auto"/>
      </w:divBdr>
    </w:div>
    <w:div w:id="1837456208">
      <w:bodyDiv w:val="1"/>
      <w:marLeft w:val="0"/>
      <w:marRight w:val="0"/>
      <w:marTop w:val="0"/>
      <w:marBottom w:val="0"/>
      <w:divBdr>
        <w:top w:val="none" w:sz="0" w:space="0" w:color="auto"/>
        <w:left w:val="none" w:sz="0" w:space="0" w:color="auto"/>
        <w:bottom w:val="none" w:sz="0" w:space="0" w:color="auto"/>
        <w:right w:val="none" w:sz="0" w:space="0" w:color="auto"/>
      </w:divBdr>
    </w:div>
    <w:div w:id="1838882252">
      <w:bodyDiv w:val="1"/>
      <w:marLeft w:val="0"/>
      <w:marRight w:val="0"/>
      <w:marTop w:val="0"/>
      <w:marBottom w:val="0"/>
      <w:divBdr>
        <w:top w:val="none" w:sz="0" w:space="0" w:color="auto"/>
        <w:left w:val="none" w:sz="0" w:space="0" w:color="auto"/>
        <w:bottom w:val="none" w:sz="0" w:space="0" w:color="auto"/>
        <w:right w:val="none" w:sz="0" w:space="0" w:color="auto"/>
      </w:divBdr>
    </w:div>
    <w:div w:id="1840928027">
      <w:bodyDiv w:val="1"/>
      <w:marLeft w:val="0"/>
      <w:marRight w:val="0"/>
      <w:marTop w:val="0"/>
      <w:marBottom w:val="0"/>
      <w:divBdr>
        <w:top w:val="none" w:sz="0" w:space="0" w:color="auto"/>
        <w:left w:val="none" w:sz="0" w:space="0" w:color="auto"/>
        <w:bottom w:val="none" w:sz="0" w:space="0" w:color="auto"/>
        <w:right w:val="none" w:sz="0" w:space="0" w:color="auto"/>
      </w:divBdr>
    </w:div>
    <w:div w:id="1841000022">
      <w:bodyDiv w:val="1"/>
      <w:marLeft w:val="0"/>
      <w:marRight w:val="0"/>
      <w:marTop w:val="0"/>
      <w:marBottom w:val="0"/>
      <w:divBdr>
        <w:top w:val="none" w:sz="0" w:space="0" w:color="auto"/>
        <w:left w:val="none" w:sz="0" w:space="0" w:color="auto"/>
        <w:bottom w:val="none" w:sz="0" w:space="0" w:color="auto"/>
        <w:right w:val="none" w:sz="0" w:space="0" w:color="auto"/>
      </w:divBdr>
    </w:div>
    <w:div w:id="1841191426">
      <w:bodyDiv w:val="1"/>
      <w:marLeft w:val="0"/>
      <w:marRight w:val="0"/>
      <w:marTop w:val="0"/>
      <w:marBottom w:val="0"/>
      <w:divBdr>
        <w:top w:val="none" w:sz="0" w:space="0" w:color="auto"/>
        <w:left w:val="none" w:sz="0" w:space="0" w:color="auto"/>
        <w:bottom w:val="none" w:sz="0" w:space="0" w:color="auto"/>
        <w:right w:val="none" w:sz="0" w:space="0" w:color="auto"/>
      </w:divBdr>
    </w:div>
    <w:div w:id="1841501961">
      <w:bodyDiv w:val="1"/>
      <w:marLeft w:val="0"/>
      <w:marRight w:val="0"/>
      <w:marTop w:val="0"/>
      <w:marBottom w:val="0"/>
      <w:divBdr>
        <w:top w:val="none" w:sz="0" w:space="0" w:color="auto"/>
        <w:left w:val="none" w:sz="0" w:space="0" w:color="auto"/>
        <w:bottom w:val="none" w:sz="0" w:space="0" w:color="auto"/>
        <w:right w:val="none" w:sz="0" w:space="0" w:color="auto"/>
      </w:divBdr>
    </w:div>
    <w:div w:id="1842156294">
      <w:bodyDiv w:val="1"/>
      <w:marLeft w:val="0"/>
      <w:marRight w:val="0"/>
      <w:marTop w:val="0"/>
      <w:marBottom w:val="0"/>
      <w:divBdr>
        <w:top w:val="none" w:sz="0" w:space="0" w:color="auto"/>
        <w:left w:val="none" w:sz="0" w:space="0" w:color="auto"/>
        <w:bottom w:val="none" w:sz="0" w:space="0" w:color="auto"/>
        <w:right w:val="none" w:sz="0" w:space="0" w:color="auto"/>
      </w:divBdr>
    </w:div>
    <w:div w:id="1842314716">
      <w:bodyDiv w:val="1"/>
      <w:marLeft w:val="0"/>
      <w:marRight w:val="0"/>
      <w:marTop w:val="0"/>
      <w:marBottom w:val="0"/>
      <w:divBdr>
        <w:top w:val="none" w:sz="0" w:space="0" w:color="auto"/>
        <w:left w:val="none" w:sz="0" w:space="0" w:color="auto"/>
        <w:bottom w:val="none" w:sz="0" w:space="0" w:color="auto"/>
        <w:right w:val="none" w:sz="0" w:space="0" w:color="auto"/>
      </w:divBdr>
    </w:div>
    <w:div w:id="1842693472">
      <w:bodyDiv w:val="1"/>
      <w:marLeft w:val="0"/>
      <w:marRight w:val="0"/>
      <w:marTop w:val="0"/>
      <w:marBottom w:val="0"/>
      <w:divBdr>
        <w:top w:val="none" w:sz="0" w:space="0" w:color="auto"/>
        <w:left w:val="none" w:sz="0" w:space="0" w:color="auto"/>
        <w:bottom w:val="none" w:sz="0" w:space="0" w:color="auto"/>
        <w:right w:val="none" w:sz="0" w:space="0" w:color="auto"/>
      </w:divBdr>
    </w:div>
    <w:div w:id="1842771134">
      <w:bodyDiv w:val="1"/>
      <w:marLeft w:val="0"/>
      <w:marRight w:val="0"/>
      <w:marTop w:val="0"/>
      <w:marBottom w:val="0"/>
      <w:divBdr>
        <w:top w:val="none" w:sz="0" w:space="0" w:color="auto"/>
        <w:left w:val="none" w:sz="0" w:space="0" w:color="auto"/>
        <w:bottom w:val="none" w:sz="0" w:space="0" w:color="auto"/>
        <w:right w:val="none" w:sz="0" w:space="0" w:color="auto"/>
      </w:divBdr>
    </w:div>
    <w:div w:id="1843154936">
      <w:bodyDiv w:val="1"/>
      <w:marLeft w:val="0"/>
      <w:marRight w:val="0"/>
      <w:marTop w:val="0"/>
      <w:marBottom w:val="0"/>
      <w:divBdr>
        <w:top w:val="none" w:sz="0" w:space="0" w:color="auto"/>
        <w:left w:val="none" w:sz="0" w:space="0" w:color="auto"/>
        <w:bottom w:val="none" w:sz="0" w:space="0" w:color="auto"/>
        <w:right w:val="none" w:sz="0" w:space="0" w:color="auto"/>
      </w:divBdr>
    </w:div>
    <w:div w:id="1843659058">
      <w:bodyDiv w:val="1"/>
      <w:marLeft w:val="0"/>
      <w:marRight w:val="0"/>
      <w:marTop w:val="0"/>
      <w:marBottom w:val="0"/>
      <w:divBdr>
        <w:top w:val="none" w:sz="0" w:space="0" w:color="auto"/>
        <w:left w:val="none" w:sz="0" w:space="0" w:color="auto"/>
        <w:bottom w:val="none" w:sz="0" w:space="0" w:color="auto"/>
        <w:right w:val="none" w:sz="0" w:space="0" w:color="auto"/>
      </w:divBdr>
    </w:div>
    <w:div w:id="1845171286">
      <w:bodyDiv w:val="1"/>
      <w:marLeft w:val="0"/>
      <w:marRight w:val="0"/>
      <w:marTop w:val="0"/>
      <w:marBottom w:val="0"/>
      <w:divBdr>
        <w:top w:val="none" w:sz="0" w:space="0" w:color="auto"/>
        <w:left w:val="none" w:sz="0" w:space="0" w:color="auto"/>
        <w:bottom w:val="none" w:sz="0" w:space="0" w:color="auto"/>
        <w:right w:val="none" w:sz="0" w:space="0" w:color="auto"/>
      </w:divBdr>
    </w:div>
    <w:div w:id="1845781280">
      <w:bodyDiv w:val="1"/>
      <w:marLeft w:val="0"/>
      <w:marRight w:val="0"/>
      <w:marTop w:val="0"/>
      <w:marBottom w:val="0"/>
      <w:divBdr>
        <w:top w:val="none" w:sz="0" w:space="0" w:color="auto"/>
        <w:left w:val="none" w:sz="0" w:space="0" w:color="auto"/>
        <w:bottom w:val="none" w:sz="0" w:space="0" w:color="auto"/>
        <w:right w:val="none" w:sz="0" w:space="0" w:color="auto"/>
      </w:divBdr>
    </w:div>
    <w:div w:id="1845976324">
      <w:bodyDiv w:val="1"/>
      <w:marLeft w:val="0"/>
      <w:marRight w:val="0"/>
      <w:marTop w:val="0"/>
      <w:marBottom w:val="0"/>
      <w:divBdr>
        <w:top w:val="none" w:sz="0" w:space="0" w:color="auto"/>
        <w:left w:val="none" w:sz="0" w:space="0" w:color="auto"/>
        <w:bottom w:val="none" w:sz="0" w:space="0" w:color="auto"/>
        <w:right w:val="none" w:sz="0" w:space="0" w:color="auto"/>
      </w:divBdr>
    </w:div>
    <w:div w:id="1846044007">
      <w:bodyDiv w:val="1"/>
      <w:marLeft w:val="0"/>
      <w:marRight w:val="0"/>
      <w:marTop w:val="0"/>
      <w:marBottom w:val="0"/>
      <w:divBdr>
        <w:top w:val="none" w:sz="0" w:space="0" w:color="auto"/>
        <w:left w:val="none" w:sz="0" w:space="0" w:color="auto"/>
        <w:bottom w:val="none" w:sz="0" w:space="0" w:color="auto"/>
        <w:right w:val="none" w:sz="0" w:space="0" w:color="auto"/>
      </w:divBdr>
    </w:div>
    <w:div w:id="1847094641">
      <w:bodyDiv w:val="1"/>
      <w:marLeft w:val="0"/>
      <w:marRight w:val="0"/>
      <w:marTop w:val="0"/>
      <w:marBottom w:val="0"/>
      <w:divBdr>
        <w:top w:val="none" w:sz="0" w:space="0" w:color="auto"/>
        <w:left w:val="none" w:sz="0" w:space="0" w:color="auto"/>
        <w:bottom w:val="none" w:sz="0" w:space="0" w:color="auto"/>
        <w:right w:val="none" w:sz="0" w:space="0" w:color="auto"/>
      </w:divBdr>
    </w:div>
    <w:div w:id="1847477360">
      <w:bodyDiv w:val="1"/>
      <w:marLeft w:val="0"/>
      <w:marRight w:val="0"/>
      <w:marTop w:val="0"/>
      <w:marBottom w:val="0"/>
      <w:divBdr>
        <w:top w:val="none" w:sz="0" w:space="0" w:color="auto"/>
        <w:left w:val="none" w:sz="0" w:space="0" w:color="auto"/>
        <w:bottom w:val="none" w:sz="0" w:space="0" w:color="auto"/>
        <w:right w:val="none" w:sz="0" w:space="0" w:color="auto"/>
      </w:divBdr>
    </w:div>
    <w:div w:id="1849368287">
      <w:bodyDiv w:val="1"/>
      <w:marLeft w:val="0"/>
      <w:marRight w:val="0"/>
      <w:marTop w:val="0"/>
      <w:marBottom w:val="0"/>
      <w:divBdr>
        <w:top w:val="none" w:sz="0" w:space="0" w:color="auto"/>
        <w:left w:val="none" w:sz="0" w:space="0" w:color="auto"/>
        <w:bottom w:val="none" w:sz="0" w:space="0" w:color="auto"/>
        <w:right w:val="none" w:sz="0" w:space="0" w:color="auto"/>
      </w:divBdr>
    </w:div>
    <w:div w:id="1849707367">
      <w:bodyDiv w:val="1"/>
      <w:marLeft w:val="0"/>
      <w:marRight w:val="0"/>
      <w:marTop w:val="0"/>
      <w:marBottom w:val="0"/>
      <w:divBdr>
        <w:top w:val="none" w:sz="0" w:space="0" w:color="auto"/>
        <w:left w:val="none" w:sz="0" w:space="0" w:color="auto"/>
        <w:bottom w:val="none" w:sz="0" w:space="0" w:color="auto"/>
        <w:right w:val="none" w:sz="0" w:space="0" w:color="auto"/>
      </w:divBdr>
    </w:div>
    <w:div w:id="1849757456">
      <w:bodyDiv w:val="1"/>
      <w:marLeft w:val="0"/>
      <w:marRight w:val="0"/>
      <w:marTop w:val="0"/>
      <w:marBottom w:val="0"/>
      <w:divBdr>
        <w:top w:val="none" w:sz="0" w:space="0" w:color="auto"/>
        <w:left w:val="none" w:sz="0" w:space="0" w:color="auto"/>
        <w:bottom w:val="none" w:sz="0" w:space="0" w:color="auto"/>
        <w:right w:val="none" w:sz="0" w:space="0" w:color="auto"/>
      </w:divBdr>
    </w:div>
    <w:div w:id="1850291522">
      <w:bodyDiv w:val="1"/>
      <w:marLeft w:val="0"/>
      <w:marRight w:val="0"/>
      <w:marTop w:val="0"/>
      <w:marBottom w:val="0"/>
      <w:divBdr>
        <w:top w:val="none" w:sz="0" w:space="0" w:color="auto"/>
        <w:left w:val="none" w:sz="0" w:space="0" w:color="auto"/>
        <w:bottom w:val="none" w:sz="0" w:space="0" w:color="auto"/>
        <w:right w:val="none" w:sz="0" w:space="0" w:color="auto"/>
      </w:divBdr>
    </w:div>
    <w:div w:id="1851531001">
      <w:bodyDiv w:val="1"/>
      <w:marLeft w:val="0"/>
      <w:marRight w:val="0"/>
      <w:marTop w:val="0"/>
      <w:marBottom w:val="0"/>
      <w:divBdr>
        <w:top w:val="none" w:sz="0" w:space="0" w:color="auto"/>
        <w:left w:val="none" w:sz="0" w:space="0" w:color="auto"/>
        <w:bottom w:val="none" w:sz="0" w:space="0" w:color="auto"/>
        <w:right w:val="none" w:sz="0" w:space="0" w:color="auto"/>
      </w:divBdr>
    </w:div>
    <w:div w:id="1851681881">
      <w:bodyDiv w:val="1"/>
      <w:marLeft w:val="0"/>
      <w:marRight w:val="0"/>
      <w:marTop w:val="0"/>
      <w:marBottom w:val="0"/>
      <w:divBdr>
        <w:top w:val="none" w:sz="0" w:space="0" w:color="auto"/>
        <w:left w:val="none" w:sz="0" w:space="0" w:color="auto"/>
        <w:bottom w:val="none" w:sz="0" w:space="0" w:color="auto"/>
        <w:right w:val="none" w:sz="0" w:space="0" w:color="auto"/>
      </w:divBdr>
    </w:div>
    <w:div w:id="1852644915">
      <w:bodyDiv w:val="1"/>
      <w:marLeft w:val="0"/>
      <w:marRight w:val="0"/>
      <w:marTop w:val="0"/>
      <w:marBottom w:val="0"/>
      <w:divBdr>
        <w:top w:val="none" w:sz="0" w:space="0" w:color="auto"/>
        <w:left w:val="none" w:sz="0" w:space="0" w:color="auto"/>
        <w:bottom w:val="none" w:sz="0" w:space="0" w:color="auto"/>
        <w:right w:val="none" w:sz="0" w:space="0" w:color="auto"/>
      </w:divBdr>
    </w:div>
    <w:div w:id="1852798988">
      <w:bodyDiv w:val="1"/>
      <w:marLeft w:val="0"/>
      <w:marRight w:val="0"/>
      <w:marTop w:val="0"/>
      <w:marBottom w:val="0"/>
      <w:divBdr>
        <w:top w:val="none" w:sz="0" w:space="0" w:color="auto"/>
        <w:left w:val="none" w:sz="0" w:space="0" w:color="auto"/>
        <w:bottom w:val="none" w:sz="0" w:space="0" w:color="auto"/>
        <w:right w:val="none" w:sz="0" w:space="0" w:color="auto"/>
      </w:divBdr>
    </w:div>
    <w:div w:id="1852909282">
      <w:bodyDiv w:val="1"/>
      <w:marLeft w:val="0"/>
      <w:marRight w:val="0"/>
      <w:marTop w:val="0"/>
      <w:marBottom w:val="0"/>
      <w:divBdr>
        <w:top w:val="none" w:sz="0" w:space="0" w:color="auto"/>
        <w:left w:val="none" w:sz="0" w:space="0" w:color="auto"/>
        <w:bottom w:val="none" w:sz="0" w:space="0" w:color="auto"/>
        <w:right w:val="none" w:sz="0" w:space="0" w:color="auto"/>
      </w:divBdr>
    </w:div>
    <w:div w:id="1853520919">
      <w:bodyDiv w:val="1"/>
      <w:marLeft w:val="0"/>
      <w:marRight w:val="0"/>
      <w:marTop w:val="0"/>
      <w:marBottom w:val="0"/>
      <w:divBdr>
        <w:top w:val="none" w:sz="0" w:space="0" w:color="auto"/>
        <w:left w:val="none" w:sz="0" w:space="0" w:color="auto"/>
        <w:bottom w:val="none" w:sz="0" w:space="0" w:color="auto"/>
        <w:right w:val="none" w:sz="0" w:space="0" w:color="auto"/>
      </w:divBdr>
    </w:div>
    <w:div w:id="1854956139">
      <w:bodyDiv w:val="1"/>
      <w:marLeft w:val="0"/>
      <w:marRight w:val="0"/>
      <w:marTop w:val="0"/>
      <w:marBottom w:val="0"/>
      <w:divBdr>
        <w:top w:val="none" w:sz="0" w:space="0" w:color="auto"/>
        <w:left w:val="none" w:sz="0" w:space="0" w:color="auto"/>
        <w:bottom w:val="none" w:sz="0" w:space="0" w:color="auto"/>
        <w:right w:val="none" w:sz="0" w:space="0" w:color="auto"/>
      </w:divBdr>
    </w:div>
    <w:div w:id="1855613673">
      <w:bodyDiv w:val="1"/>
      <w:marLeft w:val="0"/>
      <w:marRight w:val="0"/>
      <w:marTop w:val="0"/>
      <w:marBottom w:val="0"/>
      <w:divBdr>
        <w:top w:val="none" w:sz="0" w:space="0" w:color="auto"/>
        <w:left w:val="none" w:sz="0" w:space="0" w:color="auto"/>
        <w:bottom w:val="none" w:sz="0" w:space="0" w:color="auto"/>
        <w:right w:val="none" w:sz="0" w:space="0" w:color="auto"/>
      </w:divBdr>
    </w:div>
    <w:div w:id="1855731600">
      <w:bodyDiv w:val="1"/>
      <w:marLeft w:val="0"/>
      <w:marRight w:val="0"/>
      <w:marTop w:val="0"/>
      <w:marBottom w:val="0"/>
      <w:divBdr>
        <w:top w:val="none" w:sz="0" w:space="0" w:color="auto"/>
        <w:left w:val="none" w:sz="0" w:space="0" w:color="auto"/>
        <w:bottom w:val="none" w:sz="0" w:space="0" w:color="auto"/>
        <w:right w:val="none" w:sz="0" w:space="0" w:color="auto"/>
      </w:divBdr>
    </w:div>
    <w:div w:id="1856184672">
      <w:bodyDiv w:val="1"/>
      <w:marLeft w:val="0"/>
      <w:marRight w:val="0"/>
      <w:marTop w:val="0"/>
      <w:marBottom w:val="0"/>
      <w:divBdr>
        <w:top w:val="none" w:sz="0" w:space="0" w:color="auto"/>
        <w:left w:val="none" w:sz="0" w:space="0" w:color="auto"/>
        <w:bottom w:val="none" w:sz="0" w:space="0" w:color="auto"/>
        <w:right w:val="none" w:sz="0" w:space="0" w:color="auto"/>
      </w:divBdr>
    </w:div>
    <w:div w:id="1856729392">
      <w:bodyDiv w:val="1"/>
      <w:marLeft w:val="0"/>
      <w:marRight w:val="0"/>
      <w:marTop w:val="0"/>
      <w:marBottom w:val="0"/>
      <w:divBdr>
        <w:top w:val="none" w:sz="0" w:space="0" w:color="auto"/>
        <w:left w:val="none" w:sz="0" w:space="0" w:color="auto"/>
        <w:bottom w:val="none" w:sz="0" w:space="0" w:color="auto"/>
        <w:right w:val="none" w:sz="0" w:space="0" w:color="auto"/>
      </w:divBdr>
    </w:div>
    <w:div w:id="1857110172">
      <w:bodyDiv w:val="1"/>
      <w:marLeft w:val="0"/>
      <w:marRight w:val="0"/>
      <w:marTop w:val="0"/>
      <w:marBottom w:val="0"/>
      <w:divBdr>
        <w:top w:val="none" w:sz="0" w:space="0" w:color="auto"/>
        <w:left w:val="none" w:sz="0" w:space="0" w:color="auto"/>
        <w:bottom w:val="none" w:sz="0" w:space="0" w:color="auto"/>
        <w:right w:val="none" w:sz="0" w:space="0" w:color="auto"/>
      </w:divBdr>
    </w:div>
    <w:div w:id="1857189134">
      <w:bodyDiv w:val="1"/>
      <w:marLeft w:val="0"/>
      <w:marRight w:val="0"/>
      <w:marTop w:val="0"/>
      <w:marBottom w:val="0"/>
      <w:divBdr>
        <w:top w:val="none" w:sz="0" w:space="0" w:color="auto"/>
        <w:left w:val="none" w:sz="0" w:space="0" w:color="auto"/>
        <w:bottom w:val="none" w:sz="0" w:space="0" w:color="auto"/>
        <w:right w:val="none" w:sz="0" w:space="0" w:color="auto"/>
      </w:divBdr>
    </w:div>
    <w:div w:id="1857302556">
      <w:bodyDiv w:val="1"/>
      <w:marLeft w:val="0"/>
      <w:marRight w:val="0"/>
      <w:marTop w:val="0"/>
      <w:marBottom w:val="0"/>
      <w:divBdr>
        <w:top w:val="none" w:sz="0" w:space="0" w:color="auto"/>
        <w:left w:val="none" w:sz="0" w:space="0" w:color="auto"/>
        <w:bottom w:val="none" w:sz="0" w:space="0" w:color="auto"/>
        <w:right w:val="none" w:sz="0" w:space="0" w:color="auto"/>
      </w:divBdr>
    </w:div>
    <w:div w:id="1858497511">
      <w:bodyDiv w:val="1"/>
      <w:marLeft w:val="0"/>
      <w:marRight w:val="0"/>
      <w:marTop w:val="0"/>
      <w:marBottom w:val="0"/>
      <w:divBdr>
        <w:top w:val="none" w:sz="0" w:space="0" w:color="auto"/>
        <w:left w:val="none" w:sz="0" w:space="0" w:color="auto"/>
        <w:bottom w:val="none" w:sz="0" w:space="0" w:color="auto"/>
        <w:right w:val="none" w:sz="0" w:space="0" w:color="auto"/>
      </w:divBdr>
    </w:div>
    <w:div w:id="1858932481">
      <w:bodyDiv w:val="1"/>
      <w:marLeft w:val="0"/>
      <w:marRight w:val="0"/>
      <w:marTop w:val="0"/>
      <w:marBottom w:val="0"/>
      <w:divBdr>
        <w:top w:val="none" w:sz="0" w:space="0" w:color="auto"/>
        <w:left w:val="none" w:sz="0" w:space="0" w:color="auto"/>
        <w:bottom w:val="none" w:sz="0" w:space="0" w:color="auto"/>
        <w:right w:val="none" w:sz="0" w:space="0" w:color="auto"/>
      </w:divBdr>
    </w:div>
    <w:div w:id="1859270944">
      <w:bodyDiv w:val="1"/>
      <w:marLeft w:val="0"/>
      <w:marRight w:val="0"/>
      <w:marTop w:val="0"/>
      <w:marBottom w:val="0"/>
      <w:divBdr>
        <w:top w:val="none" w:sz="0" w:space="0" w:color="auto"/>
        <w:left w:val="none" w:sz="0" w:space="0" w:color="auto"/>
        <w:bottom w:val="none" w:sz="0" w:space="0" w:color="auto"/>
        <w:right w:val="none" w:sz="0" w:space="0" w:color="auto"/>
      </w:divBdr>
    </w:div>
    <w:div w:id="1859467762">
      <w:bodyDiv w:val="1"/>
      <w:marLeft w:val="0"/>
      <w:marRight w:val="0"/>
      <w:marTop w:val="0"/>
      <w:marBottom w:val="0"/>
      <w:divBdr>
        <w:top w:val="none" w:sz="0" w:space="0" w:color="auto"/>
        <w:left w:val="none" w:sz="0" w:space="0" w:color="auto"/>
        <w:bottom w:val="none" w:sz="0" w:space="0" w:color="auto"/>
        <w:right w:val="none" w:sz="0" w:space="0" w:color="auto"/>
      </w:divBdr>
    </w:div>
    <w:div w:id="1860241959">
      <w:bodyDiv w:val="1"/>
      <w:marLeft w:val="0"/>
      <w:marRight w:val="0"/>
      <w:marTop w:val="0"/>
      <w:marBottom w:val="0"/>
      <w:divBdr>
        <w:top w:val="none" w:sz="0" w:space="0" w:color="auto"/>
        <w:left w:val="none" w:sz="0" w:space="0" w:color="auto"/>
        <w:bottom w:val="none" w:sz="0" w:space="0" w:color="auto"/>
        <w:right w:val="none" w:sz="0" w:space="0" w:color="auto"/>
      </w:divBdr>
    </w:div>
    <w:div w:id="1860698782">
      <w:bodyDiv w:val="1"/>
      <w:marLeft w:val="0"/>
      <w:marRight w:val="0"/>
      <w:marTop w:val="0"/>
      <w:marBottom w:val="0"/>
      <w:divBdr>
        <w:top w:val="none" w:sz="0" w:space="0" w:color="auto"/>
        <w:left w:val="none" w:sz="0" w:space="0" w:color="auto"/>
        <w:bottom w:val="none" w:sz="0" w:space="0" w:color="auto"/>
        <w:right w:val="none" w:sz="0" w:space="0" w:color="auto"/>
      </w:divBdr>
    </w:div>
    <w:div w:id="1860897212">
      <w:bodyDiv w:val="1"/>
      <w:marLeft w:val="0"/>
      <w:marRight w:val="0"/>
      <w:marTop w:val="0"/>
      <w:marBottom w:val="0"/>
      <w:divBdr>
        <w:top w:val="none" w:sz="0" w:space="0" w:color="auto"/>
        <w:left w:val="none" w:sz="0" w:space="0" w:color="auto"/>
        <w:bottom w:val="none" w:sz="0" w:space="0" w:color="auto"/>
        <w:right w:val="none" w:sz="0" w:space="0" w:color="auto"/>
      </w:divBdr>
    </w:div>
    <w:div w:id="1861312660">
      <w:bodyDiv w:val="1"/>
      <w:marLeft w:val="0"/>
      <w:marRight w:val="0"/>
      <w:marTop w:val="0"/>
      <w:marBottom w:val="0"/>
      <w:divBdr>
        <w:top w:val="none" w:sz="0" w:space="0" w:color="auto"/>
        <w:left w:val="none" w:sz="0" w:space="0" w:color="auto"/>
        <w:bottom w:val="none" w:sz="0" w:space="0" w:color="auto"/>
        <w:right w:val="none" w:sz="0" w:space="0" w:color="auto"/>
      </w:divBdr>
    </w:div>
    <w:div w:id="1862469917">
      <w:bodyDiv w:val="1"/>
      <w:marLeft w:val="0"/>
      <w:marRight w:val="0"/>
      <w:marTop w:val="0"/>
      <w:marBottom w:val="0"/>
      <w:divBdr>
        <w:top w:val="none" w:sz="0" w:space="0" w:color="auto"/>
        <w:left w:val="none" w:sz="0" w:space="0" w:color="auto"/>
        <w:bottom w:val="none" w:sz="0" w:space="0" w:color="auto"/>
        <w:right w:val="none" w:sz="0" w:space="0" w:color="auto"/>
      </w:divBdr>
    </w:div>
    <w:div w:id="1862740215">
      <w:bodyDiv w:val="1"/>
      <w:marLeft w:val="0"/>
      <w:marRight w:val="0"/>
      <w:marTop w:val="0"/>
      <w:marBottom w:val="0"/>
      <w:divBdr>
        <w:top w:val="none" w:sz="0" w:space="0" w:color="auto"/>
        <w:left w:val="none" w:sz="0" w:space="0" w:color="auto"/>
        <w:bottom w:val="none" w:sz="0" w:space="0" w:color="auto"/>
        <w:right w:val="none" w:sz="0" w:space="0" w:color="auto"/>
      </w:divBdr>
    </w:div>
    <w:div w:id="1863276058">
      <w:bodyDiv w:val="1"/>
      <w:marLeft w:val="0"/>
      <w:marRight w:val="0"/>
      <w:marTop w:val="0"/>
      <w:marBottom w:val="0"/>
      <w:divBdr>
        <w:top w:val="none" w:sz="0" w:space="0" w:color="auto"/>
        <w:left w:val="none" w:sz="0" w:space="0" w:color="auto"/>
        <w:bottom w:val="none" w:sz="0" w:space="0" w:color="auto"/>
        <w:right w:val="none" w:sz="0" w:space="0" w:color="auto"/>
      </w:divBdr>
    </w:div>
    <w:div w:id="1864204284">
      <w:bodyDiv w:val="1"/>
      <w:marLeft w:val="0"/>
      <w:marRight w:val="0"/>
      <w:marTop w:val="0"/>
      <w:marBottom w:val="0"/>
      <w:divBdr>
        <w:top w:val="none" w:sz="0" w:space="0" w:color="auto"/>
        <w:left w:val="none" w:sz="0" w:space="0" w:color="auto"/>
        <w:bottom w:val="none" w:sz="0" w:space="0" w:color="auto"/>
        <w:right w:val="none" w:sz="0" w:space="0" w:color="auto"/>
      </w:divBdr>
    </w:div>
    <w:div w:id="1865053989">
      <w:bodyDiv w:val="1"/>
      <w:marLeft w:val="0"/>
      <w:marRight w:val="0"/>
      <w:marTop w:val="0"/>
      <w:marBottom w:val="0"/>
      <w:divBdr>
        <w:top w:val="none" w:sz="0" w:space="0" w:color="auto"/>
        <w:left w:val="none" w:sz="0" w:space="0" w:color="auto"/>
        <w:bottom w:val="none" w:sz="0" w:space="0" w:color="auto"/>
        <w:right w:val="none" w:sz="0" w:space="0" w:color="auto"/>
      </w:divBdr>
    </w:div>
    <w:div w:id="1865823994">
      <w:bodyDiv w:val="1"/>
      <w:marLeft w:val="0"/>
      <w:marRight w:val="0"/>
      <w:marTop w:val="0"/>
      <w:marBottom w:val="0"/>
      <w:divBdr>
        <w:top w:val="none" w:sz="0" w:space="0" w:color="auto"/>
        <w:left w:val="none" w:sz="0" w:space="0" w:color="auto"/>
        <w:bottom w:val="none" w:sz="0" w:space="0" w:color="auto"/>
        <w:right w:val="none" w:sz="0" w:space="0" w:color="auto"/>
      </w:divBdr>
    </w:div>
    <w:div w:id="1866477783">
      <w:bodyDiv w:val="1"/>
      <w:marLeft w:val="0"/>
      <w:marRight w:val="0"/>
      <w:marTop w:val="0"/>
      <w:marBottom w:val="0"/>
      <w:divBdr>
        <w:top w:val="none" w:sz="0" w:space="0" w:color="auto"/>
        <w:left w:val="none" w:sz="0" w:space="0" w:color="auto"/>
        <w:bottom w:val="none" w:sz="0" w:space="0" w:color="auto"/>
        <w:right w:val="none" w:sz="0" w:space="0" w:color="auto"/>
      </w:divBdr>
    </w:div>
    <w:div w:id="1869677176">
      <w:bodyDiv w:val="1"/>
      <w:marLeft w:val="0"/>
      <w:marRight w:val="0"/>
      <w:marTop w:val="0"/>
      <w:marBottom w:val="0"/>
      <w:divBdr>
        <w:top w:val="none" w:sz="0" w:space="0" w:color="auto"/>
        <w:left w:val="none" w:sz="0" w:space="0" w:color="auto"/>
        <w:bottom w:val="none" w:sz="0" w:space="0" w:color="auto"/>
        <w:right w:val="none" w:sz="0" w:space="0" w:color="auto"/>
      </w:divBdr>
    </w:div>
    <w:div w:id="1870022902">
      <w:bodyDiv w:val="1"/>
      <w:marLeft w:val="0"/>
      <w:marRight w:val="0"/>
      <w:marTop w:val="0"/>
      <w:marBottom w:val="0"/>
      <w:divBdr>
        <w:top w:val="none" w:sz="0" w:space="0" w:color="auto"/>
        <w:left w:val="none" w:sz="0" w:space="0" w:color="auto"/>
        <w:bottom w:val="none" w:sz="0" w:space="0" w:color="auto"/>
        <w:right w:val="none" w:sz="0" w:space="0" w:color="auto"/>
      </w:divBdr>
    </w:div>
    <w:div w:id="1870606826">
      <w:bodyDiv w:val="1"/>
      <w:marLeft w:val="0"/>
      <w:marRight w:val="0"/>
      <w:marTop w:val="0"/>
      <w:marBottom w:val="0"/>
      <w:divBdr>
        <w:top w:val="none" w:sz="0" w:space="0" w:color="auto"/>
        <w:left w:val="none" w:sz="0" w:space="0" w:color="auto"/>
        <w:bottom w:val="none" w:sz="0" w:space="0" w:color="auto"/>
        <w:right w:val="none" w:sz="0" w:space="0" w:color="auto"/>
      </w:divBdr>
    </w:div>
    <w:div w:id="1870726136">
      <w:bodyDiv w:val="1"/>
      <w:marLeft w:val="0"/>
      <w:marRight w:val="0"/>
      <w:marTop w:val="0"/>
      <w:marBottom w:val="0"/>
      <w:divBdr>
        <w:top w:val="none" w:sz="0" w:space="0" w:color="auto"/>
        <w:left w:val="none" w:sz="0" w:space="0" w:color="auto"/>
        <w:bottom w:val="none" w:sz="0" w:space="0" w:color="auto"/>
        <w:right w:val="none" w:sz="0" w:space="0" w:color="auto"/>
      </w:divBdr>
    </w:div>
    <w:div w:id="1870754231">
      <w:bodyDiv w:val="1"/>
      <w:marLeft w:val="0"/>
      <w:marRight w:val="0"/>
      <w:marTop w:val="0"/>
      <w:marBottom w:val="0"/>
      <w:divBdr>
        <w:top w:val="none" w:sz="0" w:space="0" w:color="auto"/>
        <w:left w:val="none" w:sz="0" w:space="0" w:color="auto"/>
        <w:bottom w:val="none" w:sz="0" w:space="0" w:color="auto"/>
        <w:right w:val="none" w:sz="0" w:space="0" w:color="auto"/>
      </w:divBdr>
    </w:div>
    <w:div w:id="1870949829">
      <w:bodyDiv w:val="1"/>
      <w:marLeft w:val="0"/>
      <w:marRight w:val="0"/>
      <w:marTop w:val="0"/>
      <w:marBottom w:val="0"/>
      <w:divBdr>
        <w:top w:val="none" w:sz="0" w:space="0" w:color="auto"/>
        <w:left w:val="none" w:sz="0" w:space="0" w:color="auto"/>
        <w:bottom w:val="none" w:sz="0" w:space="0" w:color="auto"/>
        <w:right w:val="none" w:sz="0" w:space="0" w:color="auto"/>
      </w:divBdr>
    </w:div>
    <w:div w:id="1872104791">
      <w:bodyDiv w:val="1"/>
      <w:marLeft w:val="0"/>
      <w:marRight w:val="0"/>
      <w:marTop w:val="0"/>
      <w:marBottom w:val="0"/>
      <w:divBdr>
        <w:top w:val="none" w:sz="0" w:space="0" w:color="auto"/>
        <w:left w:val="none" w:sz="0" w:space="0" w:color="auto"/>
        <w:bottom w:val="none" w:sz="0" w:space="0" w:color="auto"/>
        <w:right w:val="none" w:sz="0" w:space="0" w:color="auto"/>
      </w:divBdr>
    </w:div>
    <w:div w:id="1874228859">
      <w:bodyDiv w:val="1"/>
      <w:marLeft w:val="0"/>
      <w:marRight w:val="0"/>
      <w:marTop w:val="0"/>
      <w:marBottom w:val="0"/>
      <w:divBdr>
        <w:top w:val="none" w:sz="0" w:space="0" w:color="auto"/>
        <w:left w:val="none" w:sz="0" w:space="0" w:color="auto"/>
        <w:bottom w:val="none" w:sz="0" w:space="0" w:color="auto"/>
        <w:right w:val="none" w:sz="0" w:space="0" w:color="auto"/>
      </w:divBdr>
    </w:div>
    <w:div w:id="1876769549">
      <w:bodyDiv w:val="1"/>
      <w:marLeft w:val="0"/>
      <w:marRight w:val="0"/>
      <w:marTop w:val="0"/>
      <w:marBottom w:val="0"/>
      <w:divBdr>
        <w:top w:val="none" w:sz="0" w:space="0" w:color="auto"/>
        <w:left w:val="none" w:sz="0" w:space="0" w:color="auto"/>
        <w:bottom w:val="none" w:sz="0" w:space="0" w:color="auto"/>
        <w:right w:val="none" w:sz="0" w:space="0" w:color="auto"/>
      </w:divBdr>
    </w:div>
    <w:div w:id="1878202615">
      <w:bodyDiv w:val="1"/>
      <w:marLeft w:val="0"/>
      <w:marRight w:val="0"/>
      <w:marTop w:val="0"/>
      <w:marBottom w:val="0"/>
      <w:divBdr>
        <w:top w:val="none" w:sz="0" w:space="0" w:color="auto"/>
        <w:left w:val="none" w:sz="0" w:space="0" w:color="auto"/>
        <w:bottom w:val="none" w:sz="0" w:space="0" w:color="auto"/>
        <w:right w:val="none" w:sz="0" w:space="0" w:color="auto"/>
      </w:divBdr>
    </w:div>
    <w:div w:id="1878468211">
      <w:bodyDiv w:val="1"/>
      <w:marLeft w:val="0"/>
      <w:marRight w:val="0"/>
      <w:marTop w:val="0"/>
      <w:marBottom w:val="0"/>
      <w:divBdr>
        <w:top w:val="none" w:sz="0" w:space="0" w:color="auto"/>
        <w:left w:val="none" w:sz="0" w:space="0" w:color="auto"/>
        <w:bottom w:val="none" w:sz="0" w:space="0" w:color="auto"/>
        <w:right w:val="none" w:sz="0" w:space="0" w:color="auto"/>
      </w:divBdr>
    </w:div>
    <w:div w:id="1878736118">
      <w:bodyDiv w:val="1"/>
      <w:marLeft w:val="0"/>
      <w:marRight w:val="0"/>
      <w:marTop w:val="0"/>
      <w:marBottom w:val="0"/>
      <w:divBdr>
        <w:top w:val="none" w:sz="0" w:space="0" w:color="auto"/>
        <w:left w:val="none" w:sz="0" w:space="0" w:color="auto"/>
        <w:bottom w:val="none" w:sz="0" w:space="0" w:color="auto"/>
        <w:right w:val="none" w:sz="0" w:space="0" w:color="auto"/>
      </w:divBdr>
    </w:div>
    <w:div w:id="1879930748">
      <w:bodyDiv w:val="1"/>
      <w:marLeft w:val="0"/>
      <w:marRight w:val="0"/>
      <w:marTop w:val="0"/>
      <w:marBottom w:val="0"/>
      <w:divBdr>
        <w:top w:val="none" w:sz="0" w:space="0" w:color="auto"/>
        <w:left w:val="none" w:sz="0" w:space="0" w:color="auto"/>
        <w:bottom w:val="none" w:sz="0" w:space="0" w:color="auto"/>
        <w:right w:val="none" w:sz="0" w:space="0" w:color="auto"/>
      </w:divBdr>
    </w:div>
    <w:div w:id="1880050524">
      <w:bodyDiv w:val="1"/>
      <w:marLeft w:val="0"/>
      <w:marRight w:val="0"/>
      <w:marTop w:val="0"/>
      <w:marBottom w:val="0"/>
      <w:divBdr>
        <w:top w:val="none" w:sz="0" w:space="0" w:color="auto"/>
        <w:left w:val="none" w:sz="0" w:space="0" w:color="auto"/>
        <w:bottom w:val="none" w:sz="0" w:space="0" w:color="auto"/>
        <w:right w:val="none" w:sz="0" w:space="0" w:color="auto"/>
      </w:divBdr>
    </w:div>
    <w:div w:id="1881164206">
      <w:bodyDiv w:val="1"/>
      <w:marLeft w:val="0"/>
      <w:marRight w:val="0"/>
      <w:marTop w:val="0"/>
      <w:marBottom w:val="0"/>
      <w:divBdr>
        <w:top w:val="none" w:sz="0" w:space="0" w:color="auto"/>
        <w:left w:val="none" w:sz="0" w:space="0" w:color="auto"/>
        <w:bottom w:val="none" w:sz="0" w:space="0" w:color="auto"/>
        <w:right w:val="none" w:sz="0" w:space="0" w:color="auto"/>
      </w:divBdr>
    </w:div>
    <w:div w:id="1881822652">
      <w:bodyDiv w:val="1"/>
      <w:marLeft w:val="0"/>
      <w:marRight w:val="0"/>
      <w:marTop w:val="0"/>
      <w:marBottom w:val="0"/>
      <w:divBdr>
        <w:top w:val="none" w:sz="0" w:space="0" w:color="auto"/>
        <w:left w:val="none" w:sz="0" w:space="0" w:color="auto"/>
        <w:bottom w:val="none" w:sz="0" w:space="0" w:color="auto"/>
        <w:right w:val="none" w:sz="0" w:space="0" w:color="auto"/>
      </w:divBdr>
    </w:div>
    <w:div w:id="1882741287">
      <w:bodyDiv w:val="1"/>
      <w:marLeft w:val="0"/>
      <w:marRight w:val="0"/>
      <w:marTop w:val="0"/>
      <w:marBottom w:val="0"/>
      <w:divBdr>
        <w:top w:val="none" w:sz="0" w:space="0" w:color="auto"/>
        <w:left w:val="none" w:sz="0" w:space="0" w:color="auto"/>
        <w:bottom w:val="none" w:sz="0" w:space="0" w:color="auto"/>
        <w:right w:val="none" w:sz="0" w:space="0" w:color="auto"/>
      </w:divBdr>
    </w:div>
    <w:div w:id="1884058349">
      <w:bodyDiv w:val="1"/>
      <w:marLeft w:val="0"/>
      <w:marRight w:val="0"/>
      <w:marTop w:val="0"/>
      <w:marBottom w:val="0"/>
      <w:divBdr>
        <w:top w:val="none" w:sz="0" w:space="0" w:color="auto"/>
        <w:left w:val="none" w:sz="0" w:space="0" w:color="auto"/>
        <w:bottom w:val="none" w:sz="0" w:space="0" w:color="auto"/>
        <w:right w:val="none" w:sz="0" w:space="0" w:color="auto"/>
      </w:divBdr>
    </w:div>
    <w:div w:id="1884512785">
      <w:bodyDiv w:val="1"/>
      <w:marLeft w:val="0"/>
      <w:marRight w:val="0"/>
      <w:marTop w:val="0"/>
      <w:marBottom w:val="0"/>
      <w:divBdr>
        <w:top w:val="none" w:sz="0" w:space="0" w:color="auto"/>
        <w:left w:val="none" w:sz="0" w:space="0" w:color="auto"/>
        <w:bottom w:val="none" w:sz="0" w:space="0" w:color="auto"/>
        <w:right w:val="none" w:sz="0" w:space="0" w:color="auto"/>
      </w:divBdr>
    </w:div>
    <w:div w:id="1884711625">
      <w:bodyDiv w:val="1"/>
      <w:marLeft w:val="0"/>
      <w:marRight w:val="0"/>
      <w:marTop w:val="0"/>
      <w:marBottom w:val="0"/>
      <w:divBdr>
        <w:top w:val="none" w:sz="0" w:space="0" w:color="auto"/>
        <w:left w:val="none" w:sz="0" w:space="0" w:color="auto"/>
        <w:bottom w:val="none" w:sz="0" w:space="0" w:color="auto"/>
        <w:right w:val="none" w:sz="0" w:space="0" w:color="auto"/>
      </w:divBdr>
    </w:div>
    <w:div w:id="1885021144">
      <w:bodyDiv w:val="1"/>
      <w:marLeft w:val="0"/>
      <w:marRight w:val="0"/>
      <w:marTop w:val="0"/>
      <w:marBottom w:val="0"/>
      <w:divBdr>
        <w:top w:val="none" w:sz="0" w:space="0" w:color="auto"/>
        <w:left w:val="none" w:sz="0" w:space="0" w:color="auto"/>
        <w:bottom w:val="none" w:sz="0" w:space="0" w:color="auto"/>
        <w:right w:val="none" w:sz="0" w:space="0" w:color="auto"/>
      </w:divBdr>
    </w:div>
    <w:div w:id="1885173236">
      <w:bodyDiv w:val="1"/>
      <w:marLeft w:val="0"/>
      <w:marRight w:val="0"/>
      <w:marTop w:val="0"/>
      <w:marBottom w:val="0"/>
      <w:divBdr>
        <w:top w:val="none" w:sz="0" w:space="0" w:color="auto"/>
        <w:left w:val="none" w:sz="0" w:space="0" w:color="auto"/>
        <w:bottom w:val="none" w:sz="0" w:space="0" w:color="auto"/>
        <w:right w:val="none" w:sz="0" w:space="0" w:color="auto"/>
      </w:divBdr>
    </w:div>
    <w:div w:id="1885871333">
      <w:bodyDiv w:val="1"/>
      <w:marLeft w:val="0"/>
      <w:marRight w:val="0"/>
      <w:marTop w:val="0"/>
      <w:marBottom w:val="0"/>
      <w:divBdr>
        <w:top w:val="none" w:sz="0" w:space="0" w:color="auto"/>
        <w:left w:val="none" w:sz="0" w:space="0" w:color="auto"/>
        <w:bottom w:val="none" w:sz="0" w:space="0" w:color="auto"/>
        <w:right w:val="none" w:sz="0" w:space="0" w:color="auto"/>
      </w:divBdr>
    </w:div>
    <w:div w:id="1886477477">
      <w:bodyDiv w:val="1"/>
      <w:marLeft w:val="0"/>
      <w:marRight w:val="0"/>
      <w:marTop w:val="0"/>
      <w:marBottom w:val="0"/>
      <w:divBdr>
        <w:top w:val="none" w:sz="0" w:space="0" w:color="auto"/>
        <w:left w:val="none" w:sz="0" w:space="0" w:color="auto"/>
        <w:bottom w:val="none" w:sz="0" w:space="0" w:color="auto"/>
        <w:right w:val="none" w:sz="0" w:space="0" w:color="auto"/>
      </w:divBdr>
    </w:div>
    <w:div w:id="1887374259">
      <w:bodyDiv w:val="1"/>
      <w:marLeft w:val="0"/>
      <w:marRight w:val="0"/>
      <w:marTop w:val="0"/>
      <w:marBottom w:val="0"/>
      <w:divBdr>
        <w:top w:val="none" w:sz="0" w:space="0" w:color="auto"/>
        <w:left w:val="none" w:sz="0" w:space="0" w:color="auto"/>
        <w:bottom w:val="none" w:sz="0" w:space="0" w:color="auto"/>
        <w:right w:val="none" w:sz="0" w:space="0" w:color="auto"/>
      </w:divBdr>
    </w:div>
    <w:div w:id="1888369465">
      <w:bodyDiv w:val="1"/>
      <w:marLeft w:val="0"/>
      <w:marRight w:val="0"/>
      <w:marTop w:val="0"/>
      <w:marBottom w:val="0"/>
      <w:divBdr>
        <w:top w:val="none" w:sz="0" w:space="0" w:color="auto"/>
        <w:left w:val="none" w:sz="0" w:space="0" w:color="auto"/>
        <w:bottom w:val="none" w:sz="0" w:space="0" w:color="auto"/>
        <w:right w:val="none" w:sz="0" w:space="0" w:color="auto"/>
      </w:divBdr>
    </w:div>
    <w:div w:id="1889225893">
      <w:bodyDiv w:val="1"/>
      <w:marLeft w:val="0"/>
      <w:marRight w:val="0"/>
      <w:marTop w:val="0"/>
      <w:marBottom w:val="0"/>
      <w:divBdr>
        <w:top w:val="none" w:sz="0" w:space="0" w:color="auto"/>
        <w:left w:val="none" w:sz="0" w:space="0" w:color="auto"/>
        <w:bottom w:val="none" w:sz="0" w:space="0" w:color="auto"/>
        <w:right w:val="none" w:sz="0" w:space="0" w:color="auto"/>
      </w:divBdr>
    </w:div>
    <w:div w:id="1889877164">
      <w:bodyDiv w:val="1"/>
      <w:marLeft w:val="0"/>
      <w:marRight w:val="0"/>
      <w:marTop w:val="0"/>
      <w:marBottom w:val="0"/>
      <w:divBdr>
        <w:top w:val="none" w:sz="0" w:space="0" w:color="auto"/>
        <w:left w:val="none" w:sz="0" w:space="0" w:color="auto"/>
        <w:bottom w:val="none" w:sz="0" w:space="0" w:color="auto"/>
        <w:right w:val="none" w:sz="0" w:space="0" w:color="auto"/>
      </w:divBdr>
    </w:div>
    <w:div w:id="1889877788">
      <w:bodyDiv w:val="1"/>
      <w:marLeft w:val="0"/>
      <w:marRight w:val="0"/>
      <w:marTop w:val="0"/>
      <w:marBottom w:val="0"/>
      <w:divBdr>
        <w:top w:val="none" w:sz="0" w:space="0" w:color="auto"/>
        <w:left w:val="none" w:sz="0" w:space="0" w:color="auto"/>
        <w:bottom w:val="none" w:sz="0" w:space="0" w:color="auto"/>
        <w:right w:val="none" w:sz="0" w:space="0" w:color="auto"/>
      </w:divBdr>
    </w:div>
    <w:div w:id="1890418305">
      <w:bodyDiv w:val="1"/>
      <w:marLeft w:val="0"/>
      <w:marRight w:val="0"/>
      <w:marTop w:val="0"/>
      <w:marBottom w:val="0"/>
      <w:divBdr>
        <w:top w:val="none" w:sz="0" w:space="0" w:color="auto"/>
        <w:left w:val="none" w:sz="0" w:space="0" w:color="auto"/>
        <w:bottom w:val="none" w:sz="0" w:space="0" w:color="auto"/>
        <w:right w:val="none" w:sz="0" w:space="0" w:color="auto"/>
      </w:divBdr>
    </w:div>
    <w:div w:id="1890652892">
      <w:bodyDiv w:val="1"/>
      <w:marLeft w:val="0"/>
      <w:marRight w:val="0"/>
      <w:marTop w:val="0"/>
      <w:marBottom w:val="0"/>
      <w:divBdr>
        <w:top w:val="none" w:sz="0" w:space="0" w:color="auto"/>
        <w:left w:val="none" w:sz="0" w:space="0" w:color="auto"/>
        <w:bottom w:val="none" w:sz="0" w:space="0" w:color="auto"/>
        <w:right w:val="none" w:sz="0" w:space="0" w:color="auto"/>
      </w:divBdr>
    </w:div>
    <w:div w:id="1891648978">
      <w:bodyDiv w:val="1"/>
      <w:marLeft w:val="0"/>
      <w:marRight w:val="0"/>
      <w:marTop w:val="0"/>
      <w:marBottom w:val="0"/>
      <w:divBdr>
        <w:top w:val="none" w:sz="0" w:space="0" w:color="auto"/>
        <w:left w:val="none" w:sz="0" w:space="0" w:color="auto"/>
        <w:bottom w:val="none" w:sz="0" w:space="0" w:color="auto"/>
        <w:right w:val="none" w:sz="0" w:space="0" w:color="auto"/>
      </w:divBdr>
    </w:div>
    <w:div w:id="1891915326">
      <w:bodyDiv w:val="1"/>
      <w:marLeft w:val="0"/>
      <w:marRight w:val="0"/>
      <w:marTop w:val="0"/>
      <w:marBottom w:val="0"/>
      <w:divBdr>
        <w:top w:val="none" w:sz="0" w:space="0" w:color="auto"/>
        <w:left w:val="none" w:sz="0" w:space="0" w:color="auto"/>
        <w:bottom w:val="none" w:sz="0" w:space="0" w:color="auto"/>
        <w:right w:val="none" w:sz="0" w:space="0" w:color="auto"/>
      </w:divBdr>
    </w:div>
    <w:div w:id="1892309023">
      <w:bodyDiv w:val="1"/>
      <w:marLeft w:val="0"/>
      <w:marRight w:val="0"/>
      <w:marTop w:val="0"/>
      <w:marBottom w:val="0"/>
      <w:divBdr>
        <w:top w:val="none" w:sz="0" w:space="0" w:color="auto"/>
        <w:left w:val="none" w:sz="0" w:space="0" w:color="auto"/>
        <w:bottom w:val="none" w:sz="0" w:space="0" w:color="auto"/>
        <w:right w:val="none" w:sz="0" w:space="0" w:color="auto"/>
      </w:divBdr>
    </w:div>
    <w:div w:id="1894001872">
      <w:bodyDiv w:val="1"/>
      <w:marLeft w:val="0"/>
      <w:marRight w:val="0"/>
      <w:marTop w:val="0"/>
      <w:marBottom w:val="0"/>
      <w:divBdr>
        <w:top w:val="none" w:sz="0" w:space="0" w:color="auto"/>
        <w:left w:val="none" w:sz="0" w:space="0" w:color="auto"/>
        <w:bottom w:val="none" w:sz="0" w:space="0" w:color="auto"/>
        <w:right w:val="none" w:sz="0" w:space="0" w:color="auto"/>
      </w:divBdr>
    </w:div>
    <w:div w:id="1894926417">
      <w:bodyDiv w:val="1"/>
      <w:marLeft w:val="0"/>
      <w:marRight w:val="0"/>
      <w:marTop w:val="0"/>
      <w:marBottom w:val="0"/>
      <w:divBdr>
        <w:top w:val="none" w:sz="0" w:space="0" w:color="auto"/>
        <w:left w:val="none" w:sz="0" w:space="0" w:color="auto"/>
        <w:bottom w:val="none" w:sz="0" w:space="0" w:color="auto"/>
        <w:right w:val="none" w:sz="0" w:space="0" w:color="auto"/>
      </w:divBdr>
    </w:div>
    <w:div w:id="1896309997">
      <w:bodyDiv w:val="1"/>
      <w:marLeft w:val="0"/>
      <w:marRight w:val="0"/>
      <w:marTop w:val="0"/>
      <w:marBottom w:val="0"/>
      <w:divBdr>
        <w:top w:val="none" w:sz="0" w:space="0" w:color="auto"/>
        <w:left w:val="none" w:sz="0" w:space="0" w:color="auto"/>
        <w:bottom w:val="none" w:sz="0" w:space="0" w:color="auto"/>
        <w:right w:val="none" w:sz="0" w:space="0" w:color="auto"/>
      </w:divBdr>
    </w:div>
    <w:div w:id="1896894200">
      <w:bodyDiv w:val="1"/>
      <w:marLeft w:val="0"/>
      <w:marRight w:val="0"/>
      <w:marTop w:val="0"/>
      <w:marBottom w:val="0"/>
      <w:divBdr>
        <w:top w:val="none" w:sz="0" w:space="0" w:color="auto"/>
        <w:left w:val="none" w:sz="0" w:space="0" w:color="auto"/>
        <w:bottom w:val="none" w:sz="0" w:space="0" w:color="auto"/>
        <w:right w:val="none" w:sz="0" w:space="0" w:color="auto"/>
      </w:divBdr>
    </w:div>
    <w:div w:id="1897425840">
      <w:bodyDiv w:val="1"/>
      <w:marLeft w:val="0"/>
      <w:marRight w:val="0"/>
      <w:marTop w:val="0"/>
      <w:marBottom w:val="0"/>
      <w:divBdr>
        <w:top w:val="none" w:sz="0" w:space="0" w:color="auto"/>
        <w:left w:val="none" w:sz="0" w:space="0" w:color="auto"/>
        <w:bottom w:val="none" w:sz="0" w:space="0" w:color="auto"/>
        <w:right w:val="none" w:sz="0" w:space="0" w:color="auto"/>
      </w:divBdr>
    </w:div>
    <w:div w:id="1897474681">
      <w:bodyDiv w:val="1"/>
      <w:marLeft w:val="0"/>
      <w:marRight w:val="0"/>
      <w:marTop w:val="0"/>
      <w:marBottom w:val="0"/>
      <w:divBdr>
        <w:top w:val="none" w:sz="0" w:space="0" w:color="auto"/>
        <w:left w:val="none" w:sz="0" w:space="0" w:color="auto"/>
        <w:bottom w:val="none" w:sz="0" w:space="0" w:color="auto"/>
        <w:right w:val="none" w:sz="0" w:space="0" w:color="auto"/>
      </w:divBdr>
    </w:div>
    <w:div w:id="1898203680">
      <w:bodyDiv w:val="1"/>
      <w:marLeft w:val="0"/>
      <w:marRight w:val="0"/>
      <w:marTop w:val="0"/>
      <w:marBottom w:val="0"/>
      <w:divBdr>
        <w:top w:val="none" w:sz="0" w:space="0" w:color="auto"/>
        <w:left w:val="none" w:sz="0" w:space="0" w:color="auto"/>
        <w:bottom w:val="none" w:sz="0" w:space="0" w:color="auto"/>
        <w:right w:val="none" w:sz="0" w:space="0" w:color="auto"/>
      </w:divBdr>
    </w:div>
    <w:div w:id="1898543625">
      <w:bodyDiv w:val="1"/>
      <w:marLeft w:val="0"/>
      <w:marRight w:val="0"/>
      <w:marTop w:val="0"/>
      <w:marBottom w:val="0"/>
      <w:divBdr>
        <w:top w:val="none" w:sz="0" w:space="0" w:color="auto"/>
        <w:left w:val="none" w:sz="0" w:space="0" w:color="auto"/>
        <w:bottom w:val="none" w:sz="0" w:space="0" w:color="auto"/>
        <w:right w:val="none" w:sz="0" w:space="0" w:color="auto"/>
      </w:divBdr>
    </w:div>
    <w:div w:id="1899003819">
      <w:bodyDiv w:val="1"/>
      <w:marLeft w:val="0"/>
      <w:marRight w:val="0"/>
      <w:marTop w:val="0"/>
      <w:marBottom w:val="0"/>
      <w:divBdr>
        <w:top w:val="none" w:sz="0" w:space="0" w:color="auto"/>
        <w:left w:val="none" w:sz="0" w:space="0" w:color="auto"/>
        <w:bottom w:val="none" w:sz="0" w:space="0" w:color="auto"/>
        <w:right w:val="none" w:sz="0" w:space="0" w:color="auto"/>
      </w:divBdr>
    </w:div>
    <w:div w:id="1899390082">
      <w:bodyDiv w:val="1"/>
      <w:marLeft w:val="0"/>
      <w:marRight w:val="0"/>
      <w:marTop w:val="0"/>
      <w:marBottom w:val="0"/>
      <w:divBdr>
        <w:top w:val="none" w:sz="0" w:space="0" w:color="auto"/>
        <w:left w:val="none" w:sz="0" w:space="0" w:color="auto"/>
        <w:bottom w:val="none" w:sz="0" w:space="0" w:color="auto"/>
        <w:right w:val="none" w:sz="0" w:space="0" w:color="auto"/>
      </w:divBdr>
    </w:div>
    <w:div w:id="1899512376">
      <w:bodyDiv w:val="1"/>
      <w:marLeft w:val="0"/>
      <w:marRight w:val="0"/>
      <w:marTop w:val="0"/>
      <w:marBottom w:val="0"/>
      <w:divBdr>
        <w:top w:val="none" w:sz="0" w:space="0" w:color="auto"/>
        <w:left w:val="none" w:sz="0" w:space="0" w:color="auto"/>
        <w:bottom w:val="none" w:sz="0" w:space="0" w:color="auto"/>
        <w:right w:val="none" w:sz="0" w:space="0" w:color="auto"/>
      </w:divBdr>
    </w:div>
    <w:div w:id="1899588630">
      <w:bodyDiv w:val="1"/>
      <w:marLeft w:val="0"/>
      <w:marRight w:val="0"/>
      <w:marTop w:val="0"/>
      <w:marBottom w:val="0"/>
      <w:divBdr>
        <w:top w:val="none" w:sz="0" w:space="0" w:color="auto"/>
        <w:left w:val="none" w:sz="0" w:space="0" w:color="auto"/>
        <w:bottom w:val="none" w:sz="0" w:space="0" w:color="auto"/>
        <w:right w:val="none" w:sz="0" w:space="0" w:color="auto"/>
      </w:divBdr>
    </w:div>
    <w:div w:id="1900169397">
      <w:bodyDiv w:val="1"/>
      <w:marLeft w:val="0"/>
      <w:marRight w:val="0"/>
      <w:marTop w:val="0"/>
      <w:marBottom w:val="0"/>
      <w:divBdr>
        <w:top w:val="none" w:sz="0" w:space="0" w:color="auto"/>
        <w:left w:val="none" w:sz="0" w:space="0" w:color="auto"/>
        <w:bottom w:val="none" w:sz="0" w:space="0" w:color="auto"/>
        <w:right w:val="none" w:sz="0" w:space="0" w:color="auto"/>
      </w:divBdr>
    </w:div>
    <w:div w:id="1900556793">
      <w:bodyDiv w:val="1"/>
      <w:marLeft w:val="0"/>
      <w:marRight w:val="0"/>
      <w:marTop w:val="0"/>
      <w:marBottom w:val="0"/>
      <w:divBdr>
        <w:top w:val="none" w:sz="0" w:space="0" w:color="auto"/>
        <w:left w:val="none" w:sz="0" w:space="0" w:color="auto"/>
        <w:bottom w:val="none" w:sz="0" w:space="0" w:color="auto"/>
        <w:right w:val="none" w:sz="0" w:space="0" w:color="auto"/>
      </w:divBdr>
    </w:div>
    <w:div w:id="1901399171">
      <w:bodyDiv w:val="1"/>
      <w:marLeft w:val="0"/>
      <w:marRight w:val="0"/>
      <w:marTop w:val="0"/>
      <w:marBottom w:val="0"/>
      <w:divBdr>
        <w:top w:val="none" w:sz="0" w:space="0" w:color="auto"/>
        <w:left w:val="none" w:sz="0" w:space="0" w:color="auto"/>
        <w:bottom w:val="none" w:sz="0" w:space="0" w:color="auto"/>
        <w:right w:val="none" w:sz="0" w:space="0" w:color="auto"/>
      </w:divBdr>
    </w:div>
    <w:div w:id="1901554795">
      <w:bodyDiv w:val="1"/>
      <w:marLeft w:val="0"/>
      <w:marRight w:val="0"/>
      <w:marTop w:val="0"/>
      <w:marBottom w:val="0"/>
      <w:divBdr>
        <w:top w:val="none" w:sz="0" w:space="0" w:color="auto"/>
        <w:left w:val="none" w:sz="0" w:space="0" w:color="auto"/>
        <w:bottom w:val="none" w:sz="0" w:space="0" w:color="auto"/>
        <w:right w:val="none" w:sz="0" w:space="0" w:color="auto"/>
      </w:divBdr>
    </w:div>
    <w:div w:id="1902013559">
      <w:bodyDiv w:val="1"/>
      <w:marLeft w:val="0"/>
      <w:marRight w:val="0"/>
      <w:marTop w:val="0"/>
      <w:marBottom w:val="0"/>
      <w:divBdr>
        <w:top w:val="none" w:sz="0" w:space="0" w:color="auto"/>
        <w:left w:val="none" w:sz="0" w:space="0" w:color="auto"/>
        <w:bottom w:val="none" w:sz="0" w:space="0" w:color="auto"/>
        <w:right w:val="none" w:sz="0" w:space="0" w:color="auto"/>
      </w:divBdr>
    </w:div>
    <w:div w:id="1902717994">
      <w:bodyDiv w:val="1"/>
      <w:marLeft w:val="0"/>
      <w:marRight w:val="0"/>
      <w:marTop w:val="0"/>
      <w:marBottom w:val="0"/>
      <w:divBdr>
        <w:top w:val="none" w:sz="0" w:space="0" w:color="auto"/>
        <w:left w:val="none" w:sz="0" w:space="0" w:color="auto"/>
        <w:bottom w:val="none" w:sz="0" w:space="0" w:color="auto"/>
        <w:right w:val="none" w:sz="0" w:space="0" w:color="auto"/>
      </w:divBdr>
    </w:div>
    <w:div w:id="1903057008">
      <w:bodyDiv w:val="1"/>
      <w:marLeft w:val="0"/>
      <w:marRight w:val="0"/>
      <w:marTop w:val="0"/>
      <w:marBottom w:val="0"/>
      <w:divBdr>
        <w:top w:val="none" w:sz="0" w:space="0" w:color="auto"/>
        <w:left w:val="none" w:sz="0" w:space="0" w:color="auto"/>
        <w:bottom w:val="none" w:sz="0" w:space="0" w:color="auto"/>
        <w:right w:val="none" w:sz="0" w:space="0" w:color="auto"/>
      </w:divBdr>
    </w:div>
    <w:div w:id="1903826948">
      <w:bodyDiv w:val="1"/>
      <w:marLeft w:val="0"/>
      <w:marRight w:val="0"/>
      <w:marTop w:val="0"/>
      <w:marBottom w:val="0"/>
      <w:divBdr>
        <w:top w:val="none" w:sz="0" w:space="0" w:color="auto"/>
        <w:left w:val="none" w:sz="0" w:space="0" w:color="auto"/>
        <w:bottom w:val="none" w:sz="0" w:space="0" w:color="auto"/>
        <w:right w:val="none" w:sz="0" w:space="0" w:color="auto"/>
      </w:divBdr>
    </w:div>
    <w:div w:id="1904214636">
      <w:bodyDiv w:val="1"/>
      <w:marLeft w:val="0"/>
      <w:marRight w:val="0"/>
      <w:marTop w:val="0"/>
      <w:marBottom w:val="0"/>
      <w:divBdr>
        <w:top w:val="none" w:sz="0" w:space="0" w:color="auto"/>
        <w:left w:val="none" w:sz="0" w:space="0" w:color="auto"/>
        <w:bottom w:val="none" w:sz="0" w:space="0" w:color="auto"/>
        <w:right w:val="none" w:sz="0" w:space="0" w:color="auto"/>
      </w:divBdr>
    </w:div>
    <w:div w:id="1905947664">
      <w:bodyDiv w:val="1"/>
      <w:marLeft w:val="0"/>
      <w:marRight w:val="0"/>
      <w:marTop w:val="0"/>
      <w:marBottom w:val="0"/>
      <w:divBdr>
        <w:top w:val="none" w:sz="0" w:space="0" w:color="auto"/>
        <w:left w:val="none" w:sz="0" w:space="0" w:color="auto"/>
        <w:bottom w:val="none" w:sz="0" w:space="0" w:color="auto"/>
        <w:right w:val="none" w:sz="0" w:space="0" w:color="auto"/>
      </w:divBdr>
    </w:div>
    <w:div w:id="1905948395">
      <w:bodyDiv w:val="1"/>
      <w:marLeft w:val="0"/>
      <w:marRight w:val="0"/>
      <w:marTop w:val="0"/>
      <w:marBottom w:val="0"/>
      <w:divBdr>
        <w:top w:val="none" w:sz="0" w:space="0" w:color="auto"/>
        <w:left w:val="none" w:sz="0" w:space="0" w:color="auto"/>
        <w:bottom w:val="none" w:sz="0" w:space="0" w:color="auto"/>
        <w:right w:val="none" w:sz="0" w:space="0" w:color="auto"/>
      </w:divBdr>
    </w:div>
    <w:div w:id="1907063026">
      <w:bodyDiv w:val="1"/>
      <w:marLeft w:val="0"/>
      <w:marRight w:val="0"/>
      <w:marTop w:val="0"/>
      <w:marBottom w:val="0"/>
      <w:divBdr>
        <w:top w:val="none" w:sz="0" w:space="0" w:color="auto"/>
        <w:left w:val="none" w:sz="0" w:space="0" w:color="auto"/>
        <w:bottom w:val="none" w:sz="0" w:space="0" w:color="auto"/>
        <w:right w:val="none" w:sz="0" w:space="0" w:color="auto"/>
      </w:divBdr>
    </w:div>
    <w:div w:id="1907295424">
      <w:bodyDiv w:val="1"/>
      <w:marLeft w:val="0"/>
      <w:marRight w:val="0"/>
      <w:marTop w:val="0"/>
      <w:marBottom w:val="0"/>
      <w:divBdr>
        <w:top w:val="none" w:sz="0" w:space="0" w:color="auto"/>
        <w:left w:val="none" w:sz="0" w:space="0" w:color="auto"/>
        <w:bottom w:val="none" w:sz="0" w:space="0" w:color="auto"/>
        <w:right w:val="none" w:sz="0" w:space="0" w:color="auto"/>
      </w:divBdr>
    </w:div>
    <w:div w:id="1908027762">
      <w:bodyDiv w:val="1"/>
      <w:marLeft w:val="0"/>
      <w:marRight w:val="0"/>
      <w:marTop w:val="0"/>
      <w:marBottom w:val="0"/>
      <w:divBdr>
        <w:top w:val="none" w:sz="0" w:space="0" w:color="auto"/>
        <w:left w:val="none" w:sz="0" w:space="0" w:color="auto"/>
        <w:bottom w:val="none" w:sz="0" w:space="0" w:color="auto"/>
        <w:right w:val="none" w:sz="0" w:space="0" w:color="auto"/>
      </w:divBdr>
    </w:div>
    <w:div w:id="1908802140">
      <w:bodyDiv w:val="1"/>
      <w:marLeft w:val="0"/>
      <w:marRight w:val="0"/>
      <w:marTop w:val="0"/>
      <w:marBottom w:val="0"/>
      <w:divBdr>
        <w:top w:val="none" w:sz="0" w:space="0" w:color="auto"/>
        <w:left w:val="none" w:sz="0" w:space="0" w:color="auto"/>
        <w:bottom w:val="none" w:sz="0" w:space="0" w:color="auto"/>
        <w:right w:val="none" w:sz="0" w:space="0" w:color="auto"/>
      </w:divBdr>
    </w:div>
    <w:div w:id="1909535164">
      <w:bodyDiv w:val="1"/>
      <w:marLeft w:val="0"/>
      <w:marRight w:val="0"/>
      <w:marTop w:val="0"/>
      <w:marBottom w:val="0"/>
      <w:divBdr>
        <w:top w:val="none" w:sz="0" w:space="0" w:color="auto"/>
        <w:left w:val="none" w:sz="0" w:space="0" w:color="auto"/>
        <w:bottom w:val="none" w:sz="0" w:space="0" w:color="auto"/>
        <w:right w:val="none" w:sz="0" w:space="0" w:color="auto"/>
      </w:divBdr>
    </w:div>
    <w:div w:id="1909654560">
      <w:bodyDiv w:val="1"/>
      <w:marLeft w:val="0"/>
      <w:marRight w:val="0"/>
      <w:marTop w:val="0"/>
      <w:marBottom w:val="0"/>
      <w:divBdr>
        <w:top w:val="none" w:sz="0" w:space="0" w:color="auto"/>
        <w:left w:val="none" w:sz="0" w:space="0" w:color="auto"/>
        <w:bottom w:val="none" w:sz="0" w:space="0" w:color="auto"/>
        <w:right w:val="none" w:sz="0" w:space="0" w:color="auto"/>
      </w:divBdr>
    </w:div>
    <w:div w:id="1910311884">
      <w:bodyDiv w:val="1"/>
      <w:marLeft w:val="0"/>
      <w:marRight w:val="0"/>
      <w:marTop w:val="0"/>
      <w:marBottom w:val="0"/>
      <w:divBdr>
        <w:top w:val="none" w:sz="0" w:space="0" w:color="auto"/>
        <w:left w:val="none" w:sz="0" w:space="0" w:color="auto"/>
        <w:bottom w:val="none" w:sz="0" w:space="0" w:color="auto"/>
        <w:right w:val="none" w:sz="0" w:space="0" w:color="auto"/>
      </w:divBdr>
    </w:div>
    <w:div w:id="1910966901">
      <w:bodyDiv w:val="1"/>
      <w:marLeft w:val="0"/>
      <w:marRight w:val="0"/>
      <w:marTop w:val="0"/>
      <w:marBottom w:val="0"/>
      <w:divBdr>
        <w:top w:val="none" w:sz="0" w:space="0" w:color="auto"/>
        <w:left w:val="none" w:sz="0" w:space="0" w:color="auto"/>
        <w:bottom w:val="none" w:sz="0" w:space="0" w:color="auto"/>
        <w:right w:val="none" w:sz="0" w:space="0" w:color="auto"/>
      </w:divBdr>
    </w:div>
    <w:div w:id="1912540370">
      <w:bodyDiv w:val="1"/>
      <w:marLeft w:val="0"/>
      <w:marRight w:val="0"/>
      <w:marTop w:val="0"/>
      <w:marBottom w:val="0"/>
      <w:divBdr>
        <w:top w:val="none" w:sz="0" w:space="0" w:color="auto"/>
        <w:left w:val="none" w:sz="0" w:space="0" w:color="auto"/>
        <w:bottom w:val="none" w:sz="0" w:space="0" w:color="auto"/>
        <w:right w:val="none" w:sz="0" w:space="0" w:color="auto"/>
      </w:divBdr>
    </w:div>
    <w:div w:id="1915361292">
      <w:bodyDiv w:val="1"/>
      <w:marLeft w:val="0"/>
      <w:marRight w:val="0"/>
      <w:marTop w:val="0"/>
      <w:marBottom w:val="0"/>
      <w:divBdr>
        <w:top w:val="none" w:sz="0" w:space="0" w:color="auto"/>
        <w:left w:val="none" w:sz="0" w:space="0" w:color="auto"/>
        <w:bottom w:val="none" w:sz="0" w:space="0" w:color="auto"/>
        <w:right w:val="none" w:sz="0" w:space="0" w:color="auto"/>
      </w:divBdr>
    </w:div>
    <w:div w:id="1915890512">
      <w:bodyDiv w:val="1"/>
      <w:marLeft w:val="0"/>
      <w:marRight w:val="0"/>
      <w:marTop w:val="0"/>
      <w:marBottom w:val="0"/>
      <w:divBdr>
        <w:top w:val="none" w:sz="0" w:space="0" w:color="auto"/>
        <w:left w:val="none" w:sz="0" w:space="0" w:color="auto"/>
        <w:bottom w:val="none" w:sz="0" w:space="0" w:color="auto"/>
        <w:right w:val="none" w:sz="0" w:space="0" w:color="auto"/>
      </w:divBdr>
    </w:div>
    <w:div w:id="1916284611">
      <w:bodyDiv w:val="1"/>
      <w:marLeft w:val="0"/>
      <w:marRight w:val="0"/>
      <w:marTop w:val="0"/>
      <w:marBottom w:val="0"/>
      <w:divBdr>
        <w:top w:val="none" w:sz="0" w:space="0" w:color="auto"/>
        <w:left w:val="none" w:sz="0" w:space="0" w:color="auto"/>
        <w:bottom w:val="none" w:sz="0" w:space="0" w:color="auto"/>
        <w:right w:val="none" w:sz="0" w:space="0" w:color="auto"/>
      </w:divBdr>
    </w:div>
    <w:div w:id="1916892705">
      <w:bodyDiv w:val="1"/>
      <w:marLeft w:val="0"/>
      <w:marRight w:val="0"/>
      <w:marTop w:val="0"/>
      <w:marBottom w:val="0"/>
      <w:divBdr>
        <w:top w:val="none" w:sz="0" w:space="0" w:color="auto"/>
        <w:left w:val="none" w:sz="0" w:space="0" w:color="auto"/>
        <w:bottom w:val="none" w:sz="0" w:space="0" w:color="auto"/>
        <w:right w:val="none" w:sz="0" w:space="0" w:color="auto"/>
      </w:divBdr>
    </w:div>
    <w:div w:id="1918049848">
      <w:bodyDiv w:val="1"/>
      <w:marLeft w:val="0"/>
      <w:marRight w:val="0"/>
      <w:marTop w:val="0"/>
      <w:marBottom w:val="0"/>
      <w:divBdr>
        <w:top w:val="none" w:sz="0" w:space="0" w:color="auto"/>
        <w:left w:val="none" w:sz="0" w:space="0" w:color="auto"/>
        <w:bottom w:val="none" w:sz="0" w:space="0" w:color="auto"/>
        <w:right w:val="none" w:sz="0" w:space="0" w:color="auto"/>
      </w:divBdr>
    </w:div>
    <w:div w:id="1918707219">
      <w:bodyDiv w:val="1"/>
      <w:marLeft w:val="0"/>
      <w:marRight w:val="0"/>
      <w:marTop w:val="0"/>
      <w:marBottom w:val="0"/>
      <w:divBdr>
        <w:top w:val="none" w:sz="0" w:space="0" w:color="auto"/>
        <w:left w:val="none" w:sz="0" w:space="0" w:color="auto"/>
        <w:bottom w:val="none" w:sz="0" w:space="0" w:color="auto"/>
        <w:right w:val="none" w:sz="0" w:space="0" w:color="auto"/>
      </w:divBdr>
    </w:div>
    <w:div w:id="1918900464">
      <w:bodyDiv w:val="1"/>
      <w:marLeft w:val="0"/>
      <w:marRight w:val="0"/>
      <w:marTop w:val="0"/>
      <w:marBottom w:val="0"/>
      <w:divBdr>
        <w:top w:val="none" w:sz="0" w:space="0" w:color="auto"/>
        <w:left w:val="none" w:sz="0" w:space="0" w:color="auto"/>
        <w:bottom w:val="none" w:sz="0" w:space="0" w:color="auto"/>
        <w:right w:val="none" w:sz="0" w:space="0" w:color="auto"/>
      </w:divBdr>
    </w:div>
    <w:div w:id="1920283793">
      <w:bodyDiv w:val="1"/>
      <w:marLeft w:val="0"/>
      <w:marRight w:val="0"/>
      <w:marTop w:val="0"/>
      <w:marBottom w:val="0"/>
      <w:divBdr>
        <w:top w:val="none" w:sz="0" w:space="0" w:color="auto"/>
        <w:left w:val="none" w:sz="0" w:space="0" w:color="auto"/>
        <w:bottom w:val="none" w:sz="0" w:space="0" w:color="auto"/>
        <w:right w:val="none" w:sz="0" w:space="0" w:color="auto"/>
      </w:divBdr>
    </w:div>
    <w:div w:id="1921058593">
      <w:bodyDiv w:val="1"/>
      <w:marLeft w:val="0"/>
      <w:marRight w:val="0"/>
      <w:marTop w:val="0"/>
      <w:marBottom w:val="0"/>
      <w:divBdr>
        <w:top w:val="none" w:sz="0" w:space="0" w:color="auto"/>
        <w:left w:val="none" w:sz="0" w:space="0" w:color="auto"/>
        <w:bottom w:val="none" w:sz="0" w:space="0" w:color="auto"/>
        <w:right w:val="none" w:sz="0" w:space="0" w:color="auto"/>
      </w:divBdr>
    </w:div>
    <w:div w:id="1921059661">
      <w:bodyDiv w:val="1"/>
      <w:marLeft w:val="0"/>
      <w:marRight w:val="0"/>
      <w:marTop w:val="0"/>
      <w:marBottom w:val="0"/>
      <w:divBdr>
        <w:top w:val="none" w:sz="0" w:space="0" w:color="auto"/>
        <w:left w:val="none" w:sz="0" w:space="0" w:color="auto"/>
        <w:bottom w:val="none" w:sz="0" w:space="0" w:color="auto"/>
        <w:right w:val="none" w:sz="0" w:space="0" w:color="auto"/>
      </w:divBdr>
    </w:div>
    <w:div w:id="1921669315">
      <w:bodyDiv w:val="1"/>
      <w:marLeft w:val="0"/>
      <w:marRight w:val="0"/>
      <w:marTop w:val="0"/>
      <w:marBottom w:val="0"/>
      <w:divBdr>
        <w:top w:val="none" w:sz="0" w:space="0" w:color="auto"/>
        <w:left w:val="none" w:sz="0" w:space="0" w:color="auto"/>
        <w:bottom w:val="none" w:sz="0" w:space="0" w:color="auto"/>
        <w:right w:val="none" w:sz="0" w:space="0" w:color="auto"/>
      </w:divBdr>
    </w:div>
    <w:div w:id="1921937736">
      <w:bodyDiv w:val="1"/>
      <w:marLeft w:val="0"/>
      <w:marRight w:val="0"/>
      <w:marTop w:val="0"/>
      <w:marBottom w:val="0"/>
      <w:divBdr>
        <w:top w:val="none" w:sz="0" w:space="0" w:color="auto"/>
        <w:left w:val="none" w:sz="0" w:space="0" w:color="auto"/>
        <w:bottom w:val="none" w:sz="0" w:space="0" w:color="auto"/>
        <w:right w:val="none" w:sz="0" w:space="0" w:color="auto"/>
      </w:divBdr>
    </w:div>
    <w:div w:id="1922138103">
      <w:bodyDiv w:val="1"/>
      <w:marLeft w:val="0"/>
      <w:marRight w:val="0"/>
      <w:marTop w:val="0"/>
      <w:marBottom w:val="0"/>
      <w:divBdr>
        <w:top w:val="none" w:sz="0" w:space="0" w:color="auto"/>
        <w:left w:val="none" w:sz="0" w:space="0" w:color="auto"/>
        <w:bottom w:val="none" w:sz="0" w:space="0" w:color="auto"/>
        <w:right w:val="none" w:sz="0" w:space="0" w:color="auto"/>
      </w:divBdr>
    </w:div>
    <w:div w:id="1922371775">
      <w:bodyDiv w:val="1"/>
      <w:marLeft w:val="0"/>
      <w:marRight w:val="0"/>
      <w:marTop w:val="0"/>
      <w:marBottom w:val="0"/>
      <w:divBdr>
        <w:top w:val="none" w:sz="0" w:space="0" w:color="auto"/>
        <w:left w:val="none" w:sz="0" w:space="0" w:color="auto"/>
        <w:bottom w:val="none" w:sz="0" w:space="0" w:color="auto"/>
        <w:right w:val="none" w:sz="0" w:space="0" w:color="auto"/>
      </w:divBdr>
    </w:div>
    <w:div w:id="1923638980">
      <w:bodyDiv w:val="1"/>
      <w:marLeft w:val="0"/>
      <w:marRight w:val="0"/>
      <w:marTop w:val="0"/>
      <w:marBottom w:val="0"/>
      <w:divBdr>
        <w:top w:val="none" w:sz="0" w:space="0" w:color="auto"/>
        <w:left w:val="none" w:sz="0" w:space="0" w:color="auto"/>
        <w:bottom w:val="none" w:sz="0" w:space="0" w:color="auto"/>
        <w:right w:val="none" w:sz="0" w:space="0" w:color="auto"/>
      </w:divBdr>
    </w:div>
    <w:div w:id="1923755063">
      <w:bodyDiv w:val="1"/>
      <w:marLeft w:val="0"/>
      <w:marRight w:val="0"/>
      <w:marTop w:val="0"/>
      <w:marBottom w:val="0"/>
      <w:divBdr>
        <w:top w:val="none" w:sz="0" w:space="0" w:color="auto"/>
        <w:left w:val="none" w:sz="0" w:space="0" w:color="auto"/>
        <w:bottom w:val="none" w:sz="0" w:space="0" w:color="auto"/>
        <w:right w:val="none" w:sz="0" w:space="0" w:color="auto"/>
      </w:divBdr>
    </w:div>
    <w:div w:id="1923948257">
      <w:bodyDiv w:val="1"/>
      <w:marLeft w:val="0"/>
      <w:marRight w:val="0"/>
      <w:marTop w:val="0"/>
      <w:marBottom w:val="0"/>
      <w:divBdr>
        <w:top w:val="none" w:sz="0" w:space="0" w:color="auto"/>
        <w:left w:val="none" w:sz="0" w:space="0" w:color="auto"/>
        <w:bottom w:val="none" w:sz="0" w:space="0" w:color="auto"/>
        <w:right w:val="none" w:sz="0" w:space="0" w:color="auto"/>
      </w:divBdr>
    </w:div>
    <w:div w:id="1924295112">
      <w:bodyDiv w:val="1"/>
      <w:marLeft w:val="0"/>
      <w:marRight w:val="0"/>
      <w:marTop w:val="0"/>
      <w:marBottom w:val="0"/>
      <w:divBdr>
        <w:top w:val="none" w:sz="0" w:space="0" w:color="auto"/>
        <w:left w:val="none" w:sz="0" w:space="0" w:color="auto"/>
        <w:bottom w:val="none" w:sz="0" w:space="0" w:color="auto"/>
        <w:right w:val="none" w:sz="0" w:space="0" w:color="auto"/>
      </w:divBdr>
    </w:div>
    <w:div w:id="1924758132">
      <w:bodyDiv w:val="1"/>
      <w:marLeft w:val="0"/>
      <w:marRight w:val="0"/>
      <w:marTop w:val="0"/>
      <w:marBottom w:val="0"/>
      <w:divBdr>
        <w:top w:val="none" w:sz="0" w:space="0" w:color="auto"/>
        <w:left w:val="none" w:sz="0" w:space="0" w:color="auto"/>
        <w:bottom w:val="none" w:sz="0" w:space="0" w:color="auto"/>
        <w:right w:val="none" w:sz="0" w:space="0" w:color="auto"/>
      </w:divBdr>
    </w:div>
    <w:div w:id="1924873984">
      <w:bodyDiv w:val="1"/>
      <w:marLeft w:val="0"/>
      <w:marRight w:val="0"/>
      <w:marTop w:val="0"/>
      <w:marBottom w:val="0"/>
      <w:divBdr>
        <w:top w:val="none" w:sz="0" w:space="0" w:color="auto"/>
        <w:left w:val="none" w:sz="0" w:space="0" w:color="auto"/>
        <w:bottom w:val="none" w:sz="0" w:space="0" w:color="auto"/>
        <w:right w:val="none" w:sz="0" w:space="0" w:color="auto"/>
      </w:divBdr>
    </w:div>
    <w:div w:id="1925258668">
      <w:bodyDiv w:val="1"/>
      <w:marLeft w:val="0"/>
      <w:marRight w:val="0"/>
      <w:marTop w:val="0"/>
      <w:marBottom w:val="0"/>
      <w:divBdr>
        <w:top w:val="none" w:sz="0" w:space="0" w:color="auto"/>
        <w:left w:val="none" w:sz="0" w:space="0" w:color="auto"/>
        <w:bottom w:val="none" w:sz="0" w:space="0" w:color="auto"/>
        <w:right w:val="none" w:sz="0" w:space="0" w:color="auto"/>
      </w:divBdr>
    </w:div>
    <w:div w:id="1926987679">
      <w:bodyDiv w:val="1"/>
      <w:marLeft w:val="0"/>
      <w:marRight w:val="0"/>
      <w:marTop w:val="0"/>
      <w:marBottom w:val="0"/>
      <w:divBdr>
        <w:top w:val="none" w:sz="0" w:space="0" w:color="auto"/>
        <w:left w:val="none" w:sz="0" w:space="0" w:color="auto"/>
        <w:bottom w:val="none" w:sz="0" w:space="0" w:color="auto"/>
        <w:right w:val="none" w:sz="0" w:space="0" w:color="auto"/>
      </w:divBdr>
    </w:div>
    <w:div w:id="1929339864">
      <w:bodyDiv w:val="1"/>
      <w:marLeft w:val="0"/>
      <w:marRight w:val="0"/>
      <w:marTop w:val="0"/>
      <w:marBottom w:val="0"/>
      <w:divBdr>
        <w:top w:val="none" w:sz="0" w:space="0" w:color="auto"/>
        <w:left w:val="none" w:sz="0" w:space="0" w:color="auto"/>
        <w:bottom w:val="none" w:sz="0" w:space="0" w:color="auto"/>
        <w:right w:val="none" w:sz="0" w:space="0" w:color="auto"/>
      </w:divBdr>
    </w:div>
    <w:div w:id="1929384100">
      <w:bodyDiv w:val="1"/>
      <w:marLeft w:val="0"/>
      <w:marRight w:val="0"/>
      <w:marTop w:val="0"/>
      <w:marBottom w:val="0"/>
      <w:divBdr>
        <w:top w:val="none" w:sz="0" w:space="0" w:color="auto"/>
        <w:left w:val="none" w:sz="0" w:space="0" w:color="auto"/>
        <w:bottom w:val="none" w:sz="0" w:space="0" w:color="auto"/>
        <w:right w:val="none" w:sz="0" w:space="0" w:color="auto"/>
      </w:divBdr>
    </w:div>
    <w:div w:id="1930000844">
      <w:bodyDiv w:val="1"/>
      <w:marLeft w:val="0"/>
      <w:marRight w:val="0"/>
      <w:marTop w:val="0"/>
      <w:marBottom w:val="0"/>
      <w:divBdr>
        <w:top w:val="none" w:sz="0" w:space="0" w:color="auto"/>
        <w:left w:val="none" w:sz="0" w:space="0" w:color="auto"/>
        <w:bottom w:val="none" w:sz="0" w:space="0" w:color="auto"/>
        <w:right w:val="none" w:sz="0" w:space="0" w:color="auto"/>
      </w:divBdr>
    </w:div>
    <w:div w:id="1933008517">
      <w:bodyDiv w:val="1"/>
      <w:marLeft w:val="0"/>
      <w:marRight w:val="0"/>
      <w:marTop w:val="0"/>
      <w:marBottom w:val="0"/>
      <w:divBdr>
        <w:top w:val="none" w:sz="0" w:space="0" w:color="auto"/>
        <w:left w:val="none" w:sz="0" w:space="0" w:color="auto"/>
        <w:bottom w:val="none" w:sz="0" w:space="0" w:color="auto"/>
        <w:right w:val="none" w:sz="0" w:space="0" w:color="auto"/>
      </w:divBdr>
    </w:div>
    <w:div w:id="1933315812">
      <w:bodyDiv w:val="1"/>
      <w:marLeft w:val="0"/>
      <w:marRight w:val="0"/>
      <w:marTop w:val="0"/>
      <w:marBottom w:val="0"/>
      <w:divBdr>
        <w:top w:val="none" w:sz="0" w:space="0" w:color="auto"/>
        <w:left w:val="none" w:sz="0" w:space="0" w:color="auto"/>
        <w:bottom w:val="none" w:sz="0" w:space="0" w:color="auto"/>
        <w:right w:val="none" w:sz="0" w:space="0" w:color="auto"/>
      </w:divBdr>
    </w:div>
    <w:div w:id="1933393139">
      <w:bodyDiv w:val="1"/>
      <w:marLeft w:val="0"/>
      <w:marRight w:val="0"/>
      <w:marTop w:val="0"/>
      <w:marBottom w:val="0"/>
      <w:divBdr>
        <w:top w:val="none" w:sz="0" w:space="0" w:color="auto"/>
        <w:left w:val="none" w:sz="0" w:space="0" w:color="auto"/>
        <w:bottom w:val="none" w:sz="0" w:space="0" w:color="auto"/>
        <w:right w:val="none" w:sz="0" w:space="0" w:color="auto"/>
      </w:divBdr>
    </w:div>
    <w:div w:id="1933708737">
      <w:bodyDiv w:val="1"/>
      <w:marLeft w:val="0"/>
      <w:marRight w:val="0"/>
      <w:marTop w:val="0"/>
      <w:marBottom w:val="0"/>
      <w:divBdr>
        <w:top w:val="none" w:sz="0" w:space="0" w:color="auto"/>
        <w:left w:val="none" w:sz="0" w:space="0" w:color="auto"/>
        <w:bottom w:val="none" w:sz="0" w:space="0" w:color="auto"/>
        <w:right w:val="none" w:sz="0" w:space="0" w:color="auto"/>
      </w:divBdr>
    </w:div>
    <w:div w:id="1933733710">
      <w:bodyDiv w:val="1"/>
      <w:marLeft w:val="0"/>
      <w:marRight w:val="0"/>
      <w:marTop w:val="0"/>
      <w:marBottom w:val="0"/>
      <w:divBdr>
        <w:top w:val="none" w:sz="0" w:space="0" w:color="auto"/>
        <w:left w:val="none" w:sz="0" w:space="0" w:color="auto"/>
        <w:bottom w:val="none" w:sz="0" w:space="0" w:color="auto"/>
        <w:right w:val="none" w:sz="0" w:space="0" w:color="auto"/>
      </w:divBdr>
    </w:div>
    <w:div w:id="1935281063">
      <w:bodyDiv w:val="1"/>
      <w:marLeft w:val="0"/>
      <w:marRight w:val="0"/>
      <w:marTop w:val="0"/>
      <w:marBottom w:val="0"/>
      <w:divBdr>
        <w:top w:val="none" w:sz="0" w:space="0" w:color="auto"/>
        <w:left w:val="none" w:sz="0" w:space="0" w:color="auto"/>
        <w:bottom w:val="none" w:sz="0" w:space="0" w:color="auto"/>
        <w:right w:val="none" w:sz="0" w:space="0" w:color="auto"/>
      </w:divBdr>
    </w:div>
    <w:div w:id="1935626280">
      <w:bodyDiv w:val="1"/>
      <w:marLeft w:val="0"/>
      <w:marRight w:val="0"/>
      <w:marTop w:val="0"/>
      <w:marBottom w:val="0"/>
      <w:divBdr>
        <w:top w:val="none" w:sz="0" w:space="0" w:color="auto"/>
        <w:left w:val="none" w:sz="0" w:space="0" w:color="auto"/>
        <w:bottom w:val="none" w:sz="0" w:space="0" w:color="auto"/>
        <w:right w:val="none" w:sz="0" w:space="0" w:color="auto"/>
      </w:divBdr>
    </w:div>
    <w:div w:id="1936474160">
      <w:bodyDiv w:val="1"/>
      <w:marLeft w:val="0"/>
      <w:marRight w:val="0"/>
      <w:marTop w:val="0"/>
      <w:marBottom w:val="0"/>
      <w:divBdr>
        <w:top w:val="none" w:sz="0" w:space="0" w:color="auto"/>
        <w:left w:val="none" w:sz="0" w:space="0" w:color="auto"/>
        <w:bottom w:val="none" w:sz="0" w:space="0" w:color="auto"/>
        <w:right w:val="none" w:sz="0" w:space="0" w:color="auto"/>
      </w:divBdr>
    </w:div>
    <w:div w:id="1936546893">
      <w:bodyDiv w:val="1"/>
      <w:marLeft w:val="0"/>
      <w:marRight w:val="0"/>
      <w:marTop w:val="0"/>
      <w:marBottom w:val="0"/>
      <w:divBdr>
        <w:top w:val="none" w:sz="0" w:space="0" w:color="auto"/>
        <w:left w:val="none" w:sz="0" w:space="0" w:color="auto"/>
        <w:bottom w:val="none" w:sz="0" w:space="0" w:color="auto"/>
        <w:right w:val="none" w:sz="0" w:space="0" w:color="auto"/>
      </w:divBdr>
    </w:div>
    <w:div w:id="1937976224">
      <w:bodyDiv w:val="1"/>
      <w:marLeft w:val="0"/>
      <w:marRight w:val="0"/>
      <w:marTop w:val="0"/>
      <w:marBottom w:val="0"/>
      <w:divBdr>
        <w:top w:val="none" w:sz="0" w:space="0" w:color="auto"/>
        <w:left w:val="none" w:sz="0" w:space="0" w:color="auto"/>
        <w:bottom w:val="none" w:sz="0" w:space="0" w:color="auto"/>
        <w:right w:val="none" w:sz="0" w:space="0" w:color="auto"/>
      </w:divBdr>
    </w:div>
    <w:div w:id="1938323807">
      <w:bodyDiv w:val="1"/>
      <w:marLeft w:val="0"/>
      <w:marRight w:val="0"/>
      <w:marTop w:val="0"/>
      <w:marBottom w:val="0"/>
      <w:divBdr>
        <w:top w:val="none" w:sz="0" w:space="0" w:color="auto"/>
        <w:left w:val="none" w:sz="0" w:space="0" w:color="auto"/>
        <w:bottom w:val="none" w:sz="0" w:space="0" w:color="auto"/>
        <w:right w:val="none" w:sz="0" w:space="0" w:color="auto"/>
      </w:divBdr>
    </w:div>
    <w:div w:id="1938637934">
      <w:bodyDiv w:val="1"/>
      <w:marLeft w:val="0"/>
      <w:marRight w:val="0"/>
      <w:marTop w:val="0"/>
      <w:marBottom w:val="0"/>
      <w:divBdr>
        <w:top w:val="none" w:sz="0" w:space="0" w:color="auto"/>
        <w:left w:val="none" w:sz="0" w:space="0" w:color="auto"/>
        <w:bottom w:val="none" w:sz="0" w:space="0" w:color="auto"/>
        <w:right w:val="none" w:sz="0" w:space="0" w:color="auto"/>
      </w:divBdr>
    </w:div>
    <w:div w:id="1939172563">
      <w:bodyDiv w:val="1"/>
      <w:marLeft w:val="0"/>
      <w:marRight w:val="0"/>
      <w:marTop w:val="0"/>
      <w:marBottom w:val="0"/>
      <w:divBdr>
        <w:top w:val="none" w:sz="0" w:space="0" w:color="auto"/>
        <w:left w:val="none" w:sz="0" w:space="0" w:color="auto"/>
        <w:bottom w:val="none" w:sz="0" w:space="0" w:color="auto"/>
        <w:right w:val="none" w:sz="0" w:space="0" w:color="auto"/>
      </w:divBdr>
    </w:div>
    <w:div w:id="1941835012">
      <w:bodyDiv w:val="1"/>
      <w:marLeft w:val="0"/>
      <w:marRight w:val="0"/>
      <w:marTop w:val="0"/>
      <w:marBottom w:val="0"/>
      <w:divBdr>
        <w:top w:val="none" w:sz="0" w:space="0" w:color="auto"/>
        <w:left w:val="none" w:sz="0" w:space="0" w:color="auto"/>
        <w:bottom w:val="none" w:sz="0" w:space="0" w:color="auto"/>
        <w:right w:val="none" w:sz="0" w:space="0" w:color="auto"/>
      </w:divBdr>
    </w:div>
    <w:div w:id="1942570732">
      <w:bodyDiv w:val="1"/>
      <w:marLeft w:val="0"/>
      <w:marRight w:val="0"/>
      <w:marTop w:val="0"/>
      <w:marBottom w:val="0"/>
      <w:divBdr>
        <w:top w:val="none" w:sz="0" w:space="0" w:color="auto"/>
        <w:left w:val="none" w:sz="0" w:space="0" w:color="auto"/>
        <w:bottom w:val="none" w:sz="0" w:space="0" w:color="auto"/>
        <w:right w:val="none" w:sz="0" w:space="0" w:color="auto"/>
      </w:divBdr>
    </w:div>
    <w:div w:id="1942910320">
      <w:bodyDiv w:val="1"/>
      <w:marLeft w:val="0"/>
      <w:marRight w:val="0"/>
      <w:marTop w:val="0"/>
      <w:marBottom w:val="0"/>
      <w:divBdr>
        <w:top w:val="none" w:sz="0" w:space="0" w:color="auto"/>
        <w:left w:val="none" w:sz="0" w:space="0" w:color="auto"/>
        <w:bottom w:val="none" w:sz="0" w:space="0" w:color="auto"/>
        <w:right w:val="none" w:sz="0" w:space="0" w:color="auto"/>
      </w:divBdr>
    </w:div>
    <w:div w:id="1946305691">
      <w:bodyDiv w:val="1"/>
      <w:marLeft w:val="0"/>
      <w:marRight w:val="0"/>
      <w:marTop w:val="0"/>
      <w:marBottom w:val="0"/>
      <w:divBdr>
        <w:top w:val="none" w:sz="0" w:space="0" w:color="auto"/>
        <w:left w:val="none" w:sz="0" w:space="0" w:color="auto"/>
        <w:bottom w:val="none" w:sz="0" w:space="0" w:color="auto"/>
        <w:right w:val="none" w:sz="0" w:space="0" w:color="auto"/>
      </w:divBdr>
    </w:div>
    <w:div w:id="1946419808">
      <w:bodyDiv w:val="1"/>
      <w:marLeft w:val="0"/>
      <w:marRight w:val="0"/>
      <w:marTop w:val="0"/>
      <w:marBottom w:val="0"/>
      <w:divBdr>
        <w:top w:val="none" w:sz="0" w:space="0" w:color="auto"/>
        <w:left w:val="none" w:sz="0" w:space="0" w:color="auto"/>
        <w:bottom w:val="none" w:sz="0" w:space="0" w:color="auto"/>
        <w:right w:val="none" w:sz="0" w:space="0" w:color="auto"/>
      </w:divBdr>
    </w:div>
    <w:div w:id="1946425834">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47736832">
      <w:bodyDiv w:val="1"/>
      <w:marLeft w:val="0"/>
      <w:marRight w:val="0"/>
      <w:marTop w:val="0"/>
      <w:marBottom w:val="0"/>
      <w:divBdr>
        <w:top w:val="none" w:sz="0" w:space="0" w:color="auto"/>
        <w:left w:val="none" w:sz="0" w:space="0" w:color="auto"/>
        <w:bottom w:val="none" w:sz="0" w:space="0" w:color="auto"/>
        <w:right w:val="none" w:sz="0" w:space="0" w:color="auto"/>
      </w:divBdr>
    </w:div>
    <w:div w:id="1948346209">
      <w:bodyDiv w:val="1"/>
      <w:marLeft w:val="0"/>
      <w:marRight w:val="0"/>
      <w:marTop w:val="0"/>
      <w:marBottom w:val="0"/>
      <w:divBdr>
        <w:top w:val="none" w:sz="0" w:space="0" w:color="auto"/>
        <w:left w:val="none" w:sz="0" w:space="0" w:color="auto"/>
        <w:bottom w:val="none" w:sz="0" w:space="0" w:color="auto"/>
        <w:right w:val="none" w:sz="0" w:space="0" w:color="auto"/>
      </w:divBdr>
    </w:div>
    <w:div w:id="1950120002">
      <w:bodyDiv w:val="1"/>
      <w:marLeft w:val="0"/>
      <w:marRight w:val="0"/>
      <w:marTop w:val="0"/>
      <w:marBottom w:val="0"/>
      <w:divBdr>
        <w:top w:val="none" w:sz="0" w:space="0" w:color="auto"/>
        <w:left w:val="none" w:sz="0" w:space="0" w:color="auto"/>
        <w:bottom w:val="none" w:sz="0" w:space="0" w:color="auto"/>
        <w:right w:val="none" w:sz="0" w:space="0" w:color="auto"/>
      </w:divBdr>
    </w:div>
    <w:div w:id="1950549733">
      <w:bodyDiv w:val="1"/>
      <w:marLeft w:val="0"/>
      <w:marRight w:val="0"/>
      <w:marTop w:val="0"/>
      <w:marBottom w:val="0"/>
      <w:divBdr>
        <w:top w:val="none" w:sz="0" w:space="0" w:color="auto"/>
        <w:left w:val="none" w:sz="0" w:space="0" w:color="auto"/>
        <w:bottom w:val="none" w:sz="0" w:space="0" w:color="auto"/>
        <w:right w:val="none" w:sz="0" w:space="0" w:color="auto"/>
      </w:divBdr>
    </w:div>
    <w:div w:id="1951352764">
      <w:bodyDiv w:val="1"/>
      <w:marLeft w:val="0"/>
      <w:marRight w:val="0"/>
      <w:marTop w:val="0"/>
      <w:marBottom w:val="0"/>
      <w:divBdr>
        <w:top w:val="none" w:sz="0" w:space="0" w:color="auto"/>
        <w:left w:val="none" w:sz="0" w:space="0" w:color="auto"/>
        <w:bottom w:val="none" w:sz="0" w:space="0" w:color="auto"/>
        <w:right w:val="none" w:sz="0" w:space="0" w:color="auto"/>
      </w:divBdr>
    </w:div>
    <w:div w:id="1952082321">
      <w:bodyDiv w:val="1"/>
      <w:marLeft w:val="0"/>
      <w:marRight w:val="0"/>
      <w:marTop w:val="0"/>
      <w:marBottom w:val="0"/>
      <w:divBdr>
        <w:top w:val="none" w:sz="0" w:space="0" w:color="auto"/>
        <w:left w:val="none" w:sz="0" w:space="0" w:color="auto"/>
        <w:bottom w:val="none" w:sz="0" w:space="0" w:color="auto"/>
        <w:right w:val="none" w:sz="0" w:space="0" w:color="auto"/>
      </w:divBdr>
    </w:div>
    <w:div w:id="1953048672">
      <w:bodyDiv w:val="1"/>
      <w:marLeft w:val="0"/>
      <w:marRight w:val="0"/>
      <w:marTop w:val="0"/>
      <w:marBottom w:val="0"/>
      <w:divBdr>
        <w:top w:val="none" w:sz="0" w:space="0" w:color="auto"/>
        <w:left w:val="none" w:sz="0" w:space="0" w:color="auto"/>
        <w:bottom w:val="none" w:sz="0" w:space="0" w:color="auto"/>
        <w:right w:val="none" w:sz="0" w:space="0" w:color="auto"/>
      </w:divBdr>
    </w:div>
    <w:div w:id="1953128254">
      <w:bodyDiv w:val="1"/>
      <w:marLeft w:val="0"/>
      <w:marRight w:val="0"/>
      <w:marTop w:val="0"/>
      <w:marBottom w:val="0"/>
      <w:divBdr>
        <w:top w:val="none" w:sz="0" w:space="0" w:color="auto"/>
        <w:left w:val="none" w:sz="0" w:space="0" w:color="auto"/>
        <w:bottom w:val="none" w:sz="0" w:space="0" w:color="auto"/>
        <w:right w:val="none" w:sz="0" w:space="0" w:color="auto"/>
      </w:divBdr>
    </w:div>
    <w:div w:id="1953659282">
      <w:bodyDiv w:val="1"/>
      <w:marLeft w:val="0"/>
      <w:marRight w:val="0"/>
      <w:marTop w:val="0"/>
      <w:marBottom w:val="0"/>
      <w:divBdr>
        <w:top w:val="none" w:sz="0" w:space="0" w:color="auto"/>
        <w:left w:val="none" w:sz="0" w:space="0" w:color="auto"/>
        <w:bottom w:val="none" w:sz="0" w:space="0" w:color="auto"/>
        <w:right w:val="none" w:sz="0" w:space="0" w:color="auto"/>
      </w:divBdr>
    </w:div>
    <w:div w:id="1953854780">
      <w:bodyDiv w:val="1"/>
      <w:marLeft w:val="0"/>
      <w:marRight w:val="0"/>
      <w:marTop w:val="0"/>
      <w:marBottom w:val="0"/>
      <w:divBdr>
        <w:top w:val="none" w:sz="0" w:space="0" w:color="auto"/>
        <w:left w:val="none" w:sz="0" w:space="0" w:color="auto"/>
        <w:bottom w:val="none" w:sz="0" w:space="0" w:color="auto"/>
        <w:right w:val="none" w:sz="0" w:space="0" w:color="auto"/>
      </w:divBdr>
    </w:div>
    <w:div w:id="1954358495">
      <w:bodyDiv w:val="1"/>
      <w:marLeft w:val="0"/>
      <w:marRight w:val="0"/>
      <w:marTop w:val="0"/>
      <w:marBottom w:val="0"/>
      <w:divBdr>
        <w:top w:val="none" w:sz="0" w:space="0" w:color="auto"/>
        <w:left w:val="none" w:sz="0" w:space="0" w:color="auto"/>
        <w:bottom w:val="none" w:sz="0" w:space="0" w:color="auto"/>
        <w:right w:val="none" w:sz="0" w:space="0" w:color="auto"/>
      </w:divBdr>
    </w:div>
    <w:div w:id="1955093894">
      <w:bodyDiv w:val="1"/>
      <w:marLeft w:val="0"/>
      <w:marRight w:val="0"/>
      <w:marTop w:val="0"/>
      <w:marBottom w:val="0"/>
      <w:divBdr>
        <w:top w:val="none" w:sz="0" w:space="0" w:color="auto"/>
        <w:left w:val="none" w:sz="0" w:space="0" w:color="auto"/>
        <w:bottom w:val="none" w:sz="0" w:space="0" w:color="auto"/>
        <w:right w:val="none" w:sz="0" w:space="0" w:color="auto"/>
      </w:divBdr>
    </w:div>
    <w:div w:id="1955863890">
      <w:bodyDiv w:val="1"/>
      <w:marLeft w:val="0"/>
      <w:marRight w:val="0"/>
      <w:marTop w:val="0"/>
      <w:marBottom w:val="0"/>
      <w:divBdr>
        <w:top w:val="none" w:sz="0" w:space="0" w:color="auto"/>
        <w:left w:val="none" w:sz="0" w:space="0" w:color="auto"/>
        <w:bottom w:val="none" w:sz="0" w:space="0" w:color="auto"/>
        <w:right w:val="none" w:sz="0" w:space="0" w:color="auto"/>
      </w:divBdr>
    </w:div>
    <w:div w:id="1956668407">
      <w:bodyDiv w:val="1"/>
      <w:marLeft w:val="0"/>
      <w:marRight w:val="0"/>
      <w:marTop w:val="0"/>
      <w:marBottom w:val="0"/>
      <w:divBdr>
        <w:top w:val="none" w:sz="0" w:space="0" w:color="auto"/>
        <w:left w:val="none" w:sz="0" w:space="0" w:color="auto"/>
        <w:bottom w:val="none" w:sz="0" w:space="0" w:color="auto"/>
        <w:right w:val="none" w:sz="0" w:space="0" w:color="auto"/>
      </w:divBdr>
    </w:div>
    <w:div w:id="1957911309">
      <w:bodyDiv w:val="1"/>
      <w:marLeft w:val="0"/>
      <w:marRight w:val="0"/>
      <w:marTop w:val="0"/>
      <w:marBottom w:val="0"/>
      <w:divBdr>
        <w:top w:val="none" w:sz="0" w:space="0" w:color="auto"/>
        <w:left w:val="none" w:sz="0" w:space="0" w:color="auto"/>
        <w:bottom w:val="none" w:sz="0" w:space="0" w:color="auto"/>
        <w:right w:val="none" w:sz="0" w:space="0" w:color="auto"/>
      </w:divBdr>
    </w:div>
    <w:div w:id="1958245900">
      <w:bodyDiv w:val="1"/>
      <w:marLeft w:val="0"/>
      <w:marRight w:val="0"/>
      <w:marTop w:val="0"/>
      <w:marBottom w:val="0"/>
      <w:divBdr>
        <w:top w:val="none" w:sz="0" w:space="0" w:color="auto"/>
        <w:left w:val="none" w:sz="0" w:space="0" w:color="auto"/>
        <w:bottom w:val="none" w:sz="0" w:space="0" w:color="auto"/>
        <w:right w:val="none" w:sz="0" w:space="0" w:color="auto"/>
      </w:divBdr>
    </w:div>
    <w:div w:id="1958439019">
      <w:bodyDiv w:val="1"/>
      <w:marLeft w:val="0"/>
      <w:marRight w:val="0"/>
      <w:marTop w:val="0"/>
      <w:marBottom w:val="0"/>
      <w:divBdr>
        <w:top w:val="none" w:sz="0" w:space="0" w:color="auto"/>
        <w:left w:val="none" w:sz="0" w:space="0" w:color="auto"/>
        <w:bottom w:val="none" w:sz="0" w:space="0" w:color="auto"/>
        <w:right w:val="none" w:sz="0" w:space="0" w:color="auto"/>
      </w:divBdr>
    </w:div>
    <w:div w:id="1959213059">
      <w:bodyDiv w:val="1"/>
      <w:marLeft w:val="0"/>
      <w:marRight w:val="0"/>
      <w:marTop w:val="0"/>
      <w:marBottom w:val="0"/>
      <w:divBdr>
        <w:top w:val="none" w:sz="0" w:space="0" w:color="auto"/>
        <w:left w:val="none" w:sz="0" w:space="0" w:color="auto"/>
        <w:bottom w:val="none" w:sz="0" w:space="0" w:color="auto"/>
        <w:right w:val="none" w:sz="0" w:space="0" w:color="auto"/>
      </w:divBdr>
    </w:div>
    <w:div w:id="1960380353">
      <w:bodyDiv w:val="1"/>
      <w:marLeft w:val="0"/>
      <w:marRight w:val="0"/>
      <w:marTop w:val="0"/>
      <w:marBottom w:val="0"/>
      <w:divBdr>
        <w:top w:val="none" w:sz="0" w:space="0" w:color="auto"/>
        <w:left w:val="none" w:sz="0" w:space="0" w:color="auto"/>
        <w:bottom w:val="none" w:sz="0" w:space="0" w:color="auto"/>
        <w:right w:val="none" w:sz="0" w:space="0" w:color="auto"/>
      </w:divBdr>
    </w:div>
    <w:div w:id="1961833639">
      <w:bodyDiv w:val="1"/>
      <w:marLeft w:val="0"/>
      <w:marRight w:val="0"/>
      <w:marTop w:val="0"/>
      <w:marBottom w:val="0"/>
      <w:divBdr>
        <w:top w:val="none" w:sz="0" w:space="0" w:color="auto"/>
        <w:left w:val="none" w:sz="0" w:space="0" w:color="auto"/>
        <w:bottom w:val="none" w:sz="0" w:space="0" w:color="auto"/>
        <w:right w:val="none" w:sz="0" w:space="0" w:color="auto"/>
      </w:divBdr>
    </w:div>
    <w:div w:id="1961951374">
      <w:bodyDiv w:val="1"/>
      <w:marLeft w:val="0"/>
      <w:marRight w:val="0"/>
      <w:marTop w:val="0"/>
      <w:marBottom w:val="0"/>
      <w:divBdr>
        <w:top w:val="none" w:sz="0" w:space="0" w:color="auto"/>
        <w:left w:val="none" w:sz="0" w:space="0" w:color="auto"/>
        <w:bottom w:val="none" w:sz="0" w:space="0" w:color="auto"/>
        <w:right w:val="none" w:sz="0" w:space="0" w:color="auto"/>
      </w:divBdr>
    </w:div>
    <w:div w:id="1962104163">
      <w:bodyDiv w:val="1"/>
      <w:marLeft w:val="0"/>
      <w:marRight w:val="0"/>
      <w:marTop w:val="0"/>
      <w:marBottom w:val="0"/>
      <w:divBdr>
        <w:top w:val="none" w:sz="0" w:space="0" w:color="auto"/>
        <w:left w:val="none" w:sz="0" w:space="0" w:color="auto"/>
        <w:bottom w:val="none" w:sz="0" w:space="0" w:color="auto"/>
        <w:right w:val="none" w:sz="0" w:space="0" w:color="auto"/>
      </w:divBdr>
    </w:div>
    <w:div w:id="1962880644">
      <w:bodyDiv w:val="1"/>
      <w:marLeft w:val="0"/>
      <w:marRight w:val="0"/>
      <w:marTop w:val="0"/>
      <w:marBottom w:val="0"/>
      <w:divBdr>
        <w:top w:val="none" w:sz="0" w:space="0" w:color="auto"/>
        <w:left w:val="none" w:sz="0" w:space="0" w:color="auto"/>
        <w:bottom w:val="none" w:sz="0" w:space="0" w:color="auto"/>
        <w:right w:val="none" w:sz="0" w:space="0" w:color="auto"/>
      </w:divBdr>
    </w:div>
    <w:div w:id="1964966631">
      <w:bodyDiv w:val="1"/>
      <w:marLeft w:val="0"/>
      <w:marRight w:val="0"/>
      <w:marTop w:val="0"/>
      <w:marBottom w:val="0"/>
      <w:divBdr>
        <w:top w:val="none" w:sz="0" w:space="0" w:color="auto"/>
        <w:left w:val="none" w:sz="0" w:space="0" w:color="auto"/>
        <w:bottom w:val="none" w:sz="0" w:space="0" w:color="auto"/>
        <w:right w:val="none" w:sz="0" w:space="0" w:color="auto"/>
      </w:divBdr>
    </w:div>
    <w:div w:id="1965647510">
      <w:bodyDiv w:val="1"/>
      <w:marLeft w:val="0"/>
      <w:marRight w:val="0"/>
      <w:marTop w:val="0"/>
      <w:marBottom w:val="0"/>
      <w:divBdr>
        <w:top w:val="none" w:sz="0" w:space="0" w:color="auto"/>
        <w:left w:val="none" w:sz="0" w:space="0" w:color="auto"/>
        <w:bottom w:val="none" w:sz="0" w:space="0" w:color="auto"/>
        <w:right w:val="none" w:sz="0" w:space="0" w:color="auto"/>
      </w:divBdr>
    </w:div>
    <w:div w:id="1966738915">
      <w:bodyDiv w:val="1"/>
      <w:marLeft w:val="0"/>
      <w:marRight w:val="0"/>
      <w:marTop w:val="0"/>
      <w:marBottom w:val="0"/>
      <w:divBdr>
        <w:top w:val="none" w:sz="0" w:space="0" w:color="auto"/>
        <w:left w:val="none" w:sz="0" w:space="0" w:color="auto"/>
        <w:bottom w:val="none" w:sz="0" w:space="0" w:color="auto"/>
        <w:right w:val="none" w:sz="0" w:space="0" w:color="auto"/>
      </w:divBdr>
    </w:div>
    <w:div w:id="1970041930">
      <w:bodyDiv w:val="1"/>
      <w:marLeft w:val="0"/>
      <w:marRight w:val="0"/>
      <w:marTop w:val="0"/>
      <w:marBottom w:val="0"/>
      <w:divBdr>
        <w:top w:val="none" w:sz="0" w:space="0" w:color="auto"/>
        <w:left w:val="none" w:sz="0" w:space="0" w:color="auto"/>
        <w:bottom w:val="none" w:sz="0" w:space="0" w:color="auto"/>
        <w:right w:val="none" w:sz="0" w:space="0" w:color="auto"/>
      </w:divBdr>
    </w:div>
    <w:div w:id="1970357236">
      <w:bodyDiv w:val="1"/>
      <w:marLeft w:val="0"/>
      <w:marRight w:val="0"/>
      <w:marTop w:val="0"/>
      <w:marBottom w:val="0"/>
      <w:divBdr>
        <w:top w:val="none" w:sz="0" w:space="0" w:color="auto"/>
        <w:left w:val="none" w:sz="0" w:space="0" w:color="auto"/>
        <w:bottom w:val="none" w:sz="0" w:space="0" w:color="auto"/>
        <w:right w:val="none" w:sz="0" w:space="0" w:color="auto"/>
      </w:divBdr>
    </w:div>
    <w:div w:id="1971862404">
      <w:bodyDiv w:val="1"/>
      <w:marLeft w:val="0"/>
      <w:marRight w:val="0"/>
      <w:marTop w:val="0"/>
      <w:marBottom w:val="0"/>
      <w:divBdr>
        <w:top w:val="none" w:sz="0" w:space="0" w:color="auto"/>
        <w:left w:val="none" w:sz="0" w:space="0" w:color="auto"/>
        <w:bottom w:val="none" w:sz="0" w:space="0" w:color="auto"/>
        <w:right w:val="none" w:sz="0" w:space="0" w:color="auto"/>
      </w:divBdr>
    </w:div>
    <w:div w:id="1971934796">
      <w:bodyDiv w:val="1"/>
      <w:marLeft w:val="0"/>
      <w:marRight w:val="0"/>
      <w:marTop w:val="0"/>
      <w:marBottom w:val="0"/>
      <w:divBdr>
        <w:top w:val="none" w:sz="0" w:space="0" w:color="auto"/>
        <w:left w:val="none" w:sz="0" w:space="0" w:color="auto"/>
        <w:bottom w:val="none" w:sz="0" w:space="0" w:color="auto"/>
        <w:right w:val="none" w:sz="0" w:space="0" w:color="auto"/>
      </w:divBdr>
    </w:div>
    <w:div w:id="1972401665">
      <w:bodyDiv w:val="1"/>
      <w:marLeft w:val="0"/>
      <w:marRight w:val="0"/>
      <w:marTop w:val="0"/>
      <w:marBottom w:val="0"/>
      <w:divBdr>
        <w:top w:val="none" w:sz="0" w:space="0" w:color="auto"/>
        <w:left w:val="none" w:sz="0" w:space="0" w:color="auto"/>
        <w:bottom w:val="none" w:sz="0" w:space="0" w:color="auto"/>
        <w:right w:val="none" w:sz="0" w:space="0" w:color="auto"/>
      </w:divBdr>
    </w:div>
    <w:div w:id="1973292791">
      <w:bodyDiv w:val="1"/>
      <w:marLeft w:val="0"/>
      <w:marRight w:val="0"/>
      <w:marTop w:val="0"/>
      <w:marBottom w:val="0"/>
      <w:divBdr>
        <w:top w:val="none" w:sz="0" w:space="0" w:color="auto"/>
        <w:left w:val="none" w:sz="0" w:space="0" w:color="auto"/>
        <w:bottom w:val="none" w:sz="0" w:space="0" w:color="auto"/>
        <w:right w:val="none" w:sz="0" w:space="0" w:color="auto"/>
      </w:divBdr>
    </w:div>
    <w:div w:id="1974212744">
      <w:bodyDiv w:val="1"/>
      <w:marLeft w:val="0"/>
      <w:marRight w:val="0"/>
      <w:marTop w:val="0"/>
      <w:marBottom w:val="0"/>
      <w:divBdr>
        <w:top w:val="none" w:sz="0" w:space="0" w:color="auto"/>
        <w:left w:val="none" w:sz="0" w:space="0" w:color="auto"/>
        <w:bottom w:val="none" w:sz="0" w:space="0" w:color="auto"/>
        <w:right w:val="none" w:sz="0" w:space="0" w:color="auto"/>
      </w:divBdr>
    </w:div>
    <w:div w:id="1975211706">
      <w:bodyDiv w:val="1"/>
      <w:marLeft w:val="0"/>
      <w:marRight w:val="0"/>
      <w:marTop w:val="0"/>
      <w:marBottom w:val="0"/>
      <w:divBdr>
        <w:top w:val="none" w:sz="0" w:space="0" w:color="auto"/>
        <w:left w:val="none" w:sz="0" w:space="0" w:color="auto"/>
        <w:bottom w:val="none" w:sz="0" w:space="0" w:color="auto"/>
        <w:right w:val="none" w:sz="0" w:space="0" w:color="auto"/>
      </w:divBdr>
    </w:div>
    <w:div w:id="1975478338">
      <w:bodyDiv w:val="1"/>
      <w:marLeft w:val="0"/>
      <w:marRight w:val="0"/>
      <w:marTop w:val="0"/>
      <w:marBottom w:val="0"/>
      <w:divBdr>
        <w:top w:val="none" w:sz="0" w:space="0" w:color="auto"/>
        <w:left w:val="none" w:sz="0" w:space="0" w:color="auto"/>
        <w:bottom w:val="none" w:sz="0" w:space="0" w:color="auto"/>
        <w:right w:val="none" w:sz="0" w:space="0" w:color="auto"/>
      </w:divBdr>
    </w:div>
    <w:div w:id="1975669411">
      <w:bodyDiv w:val="1"/>
      <w:marLeft w:val="0"/>
      <w:marRight w:val="0"/>
      <w:marTop w:val="0"/>
      <w:marBottom w:val="0"/>
      <w:divBdr>
        <w:top w:val="none" w:sz="0" w:space="0" w:color="auto"/>
        <w:left w:val="none" w:sz="0" w:space="0" w:color="auto"/>
        <w:bottom w:val="none" w:sz="0" w:space="0" w:color="auto"/>
        <w:right w:val="none" w:sz="0" w:space="0" w:color="auto"/>
      </w:divBdr>
    </w:div>
    <w:div w:id="1977293787">
      <w:bodyDiv w:val="1"/>
      <w:marLeft w:val="0"/>
      <w:marRight w:val="0"/>
      <w:marTop w:val="0"/>
      <w:marBottom w:val="0"/>
      <w:divBdr>
        <w:top w:val="none" w:sz="0" w:space="0" w:color="auto"/>
        <w:left w:val="none" w:sz="0" w:space="0" w:color="auto"/>
        <w:bottom w:val="none" w:sz="0" w:space="0" w:color="auto"/>
        <w:right w:val="none" w:sz="0" w:space="0" w:color="auto"/>
      </w:divBdr>
    </w:div>
    <w:div w:id="1977368522">
      <w:bodyDiv w:val="1"/>
      <w:marLeft w:val="0"/>
      <w:marRight w:val="0"/>
      <w:marTop w:val="0"/>
      <w:marBottom w:val="0"/>
      <w:divBdr>
        <w:top w:val="none" w:sz="0" w:space="0" w:color="auto"/>
        <w:left w:val="none" w:sz="0" w:space="0" w:color="auto"/>
        <w:bottom w:val="none" w:sz="0" w:space="0" w:color="auto"/>
        <w:right w:val="none" w:sz="0" w:space="0" w:color="auto"/>
      </w:divBdr>
    </w:div>
    <w:div w:id="1977640937">
      <w:bodyDiv w:val="1"/>
      <w:marLeft w:val="0"/>
      <w:marRight w:val="0"/>
      <w:marTop w:val="0"/>
      <w:marBottom w:val="0"/>
      <w:divBdr>
        <w:top w:val="none" w:sz="0" w:space="0" w:color="auto"/>
        <w:left w:val="none" w:sz="0" w:space="0" w:color="auto"/>
        <w:bottom w:val="none" w:sz="0" w:space="0" w:color="auto"/>
        <w:right w:val="none" w:sz="0" w:space="0" w:color="auto"/>
      </w:divBdr>
    </w:div>
    <w:div w:id="1978608324">
      <w:bodyDiv w:val="1"/>
      <w:marLeft w:val="0"/>
      <w:marRight w:val="0"/>
      <w:marTop w:val="0"/>
      <w:marBottom w:val="0"/>
      <w:divBdr>
        <w:top w:val="none" w:sz="0" w:space="0" w:color="auto"/>
        <w:left w:val="none" w:sz="0" w:space="0" w:color="auto"/>
        <w:bottom w:val="none" w:sz="0" w:space="0" w:color="auto"/>
        <w:right w:val="none" w:sz="0" w:space="0" w:color="auto"/>
      </w:divBdr>
    </w:div>
    <w:div w:id="1978800156">
      <w:bodyDiv w:val="1"/>
      <w:marLeft w:val="0"/>
      <w:marRight w:val="0"/>
      <w:marTop w:val="0"/>
      <w:marBottom w:val="0"/>
      <w:divBdr>
        <w:top w:val="none" w:sz="0" w:space="0" w:color="auto"/>
        <w:left w:val="none" w:sz="0" w:space="0" w:color="auto"/>
        <w:bottom w:val="none" w:sz="0" w:space="0" w:color="auto"/>
        <w:right w:val="none" w:sz="0" w:space="0" w:color="auto"/>
      </w:divBdr>
    </w:div>
    <w:div w:id="1978879429">
      <w:bodyDiv w:val="1"/>
      <w:marLeft w:val="0"/>
      <w:marRight w:val="0"/>
      <w:marTop w:val="0"/>
      <w:marBottom w:val="0"/>
      <w:divBdr>
        <w:top w:val="none" w:sz="0" w:space="0" w:color="auto"/>
        <w:left w:val="none" w:sz="0" w:space="0" w:color="auto"/>
        <w:bottom w:val="none" w:sz="0" w:space="0" w:color="auto"/>
        <w:right w:val="none" w:sz="0" w:space="0" w:color="auto"/>
      </w:divBdr>
    </w:div>
    <w:div w:id="1979451359">
      <w:bodyDiv w:val="1"/>
      <w:marLeft w:val="0"/>
      <w:marRight w:val="0"/>
      <w:marTop w:val="0"/>
      <w:marBottom w:val="0"/>
      <w:divBdr>
        <w:top w:val="none" w:sz="0" w:space="0" w:color="auto"/>
        <w:left w:val="none" w:sz="0" w:space="0" w:color="auto"/>
        <w:bottom w:val="none" w:sz="0" w:space="0" w:color="auto"/>
        <w:right w:val="none" w:sz="0" w:space="0" w:color="auto"/>
      </w:divBdr>
    </w:div>
    <w:div w:id="1980527231">
      <w:bodyDiv w:val="1"/>
      <w:marLeft w:val="0"/>
      <w:marRight w:val="0"/>
      <w:marTop w:val="0"/>
      <w:marBottom w:val="0"/>
      <w:divBdr>
        <w:top w:val="none" w:sz="0" w:space="0" w:color="auto"/>
        <w:left w:val="none" w:sz="0" w:space="0" w:color="auto"/>
        <w:bottom w:val="none" w:sz="0" w:space="0" w:color="auto"/>
        <w:right w:val="none" w:sz="0" w:space="0" w:color="auto"/>
      </w:divBdr>
    </w:div>
    <w:div w:id="1980761105">
      <w:bodyDiv w:val="1"/>
      <w:marLeft w:val="0"/>
      <w:marRight w:val="0"/>
      <w:marTop w:val="0"/>
      <w:marBottom w:val="0"/>
      <w:divBdr>
        <w:top w:val="none" w:sz="0" w:space="0" w:color="auto"/>
        <w:left w:val="none" w:sz="0" w:space="0" w:color="auto"/>
        <w:bottom w:val="none" w:sz="0" w:space="0" w:color="auto"/>
        <w:right w:val="none" w:sz="0" w:space="0" w:color="auto"/>
      </w:divBdr>
    </w:div>
    <w:div w:id="1980918818">
      <w:bodyDiv w:val="1"/>
      <w:marLeft w:val="0"/>
      <w:marRight w:val="0"/>
      <w:marTop w:val="0"/>
      <w:marBottom w:val="0"/>
      <w:divBdr>
        <w:top w:val="none" w:sz="0" w:space="0" w:color="auto"/>
        <w:left w:val="none" w:sz="0" w:space="0" w:color="auto"/>
        <w:bottom w:val="none" w:sz="0" w:space="0" w:color="auto"/>
        <w:right w:val="none" w:sz="0" w:space="0" w:color="auto"/>
      </w:divBdr>
    </w:div>
    <w:div w:id="1982878474">
      <w:bodyDiv w:val="1"/>
      <w:marLeft w:val="0"/>
      <w:marRight w:val="0"/>
      <w:marTop w:val="0"/>
      <w:marBottom w:val="0"/>
      <w:divBdr>
        <w:top w:val="none" w:sz="0" w:space="0" w:color="auto"/>
        <w:left w:val="none" w:sz="0" w:space="0" w:color="auto"/>
        <w:bottom w:val="none" w:sz="0" w:space="0" w:color="auto"/>
        <w:right w:val="none" w:sz="0" w:space="0" w:color="auto"/>
      </w:divBdr>
    </w:div>
    <w:div w:id="1982998306">
      <w:bodyDiv w:val="1"/>
      <w:marLeft w:val="0"/>
      <w:marRight w:val="0"/>
      <w:marTop w:val="0"/>
      <w:marBottom w:val="0"/>
      <w:divBdr>
        <w:top w:val="none" w:sz="0" w:space="0" w:color="auto"/>
        <w:left w:val="none" w:sz="0" w:space="0" w:color="auto"/>
        <w:bottom w:val="none" w:sz="0" w:space="0" w:color="auto"/>
        <w:right w:val="none" w:sz="0" w:space="0" w:color="auto"/>
      </w:divBdr>
    </w:div>
    <w:div w:id="1983344692">
      <w:bodyDiv w:val="1"/>
      <w:marLeft w:val="0"/>
      <w:marRight w:val="0"/>
      <w:marTop w:val="0"/>
      <w:marBottom w:val="0"/>
      <w:divBdr>
        <w:top w:val="none" w:sz="0" w:space="0" w:color="auto"/>
        <w:left w:val="none" w:sz="0" w:space="0" w:color="auto"/>
        <w:bottom w:val="none" w:sz="0" w:space="0" w:color="auto"/>
        <w:right w:val="none" w:sz="0" w:space="0" w:color="auto"/>
      </w:divBdr>
    </w:div>
    <w:div w:id="1983995723">
      <w:bodyDiv w:val="1"/>
      <w:marLeft w:val="0"/>
      <w:marRight w:val="0"/>
      <w:marTop w:val="0"/>
      <w:marBottom w:val="0"/>
      <w:divBdr>
        <w:top w:val="none" w:sz="0" w:space="0" w:color="auto"/>
        <w:left w:val="none" w:sz="0" w:space="0" w:color="auto"/>
        <w:bottom w:val="none" w:sz="0" w:space="0" w:color="auto"/>
        <w:right w:val="none" w:sz="0" w:space="0" w:color="auto"/>
      </w:divBdr>
    </w:div>
    <w:div w:id="1984770310">
      <w:bodyDiv w:val="1"/>
      <w:marLeft w:val="0"/>
      <w:marRight w:val="0"/>
      <w:marTop w:val="0"/>
      <w:marBottom w:val="0"/>
      <w:divBdr>
        <w:top w:val="none" w:sz="0" w:space="0" w:color="auto"/>
        <w:left w:val="none" w:sz="0" w:space="0" w:color="auto"/>
        <w:bottom w:val="none" w:sz="0" w:space="0" w:color="auto"/>
        <w:right w:val="none" w:sz="0" w:space="0" w:color="auto"/>
      </w:divBdr>
    </w:div>
    <w:div w:id="1985154490">
      <w:bodyDiv w:val="1"/>
      <w:marLeft w:val="0"/>
      <w:marRight w:val="0"/>
      <w:marTop w:val="0"/>
      <w:marBottom w:val="0"/>
      <w:divBdr>
        <w:top w:val="none" w:sz="0" w:space="0" w:color="auto"/>
        <w:left w:val="none" w:sz="0" w:space="0" w:color="auto"/>
        <w:bottom w:val="none" w:sz="0" w:space="0" w:color="auto"/>
        <w:right w:val="none" w:sz="0" w:space="0" w:color="auto"/>
      </w:divBdr>
    </w:div>
    <w:div w:id="1985350207">
      <w:bodyDiv w:val="1"/>
      <w:marLeft w:val="0"/>
      <w:marRight w:val="0"/>
      <w:marTop w:val="0"/>
      <w:marBottom w:val="0"/>
      <w:divBdr>
        <w:top w:val="none" w:sz="0" w:space="0" w:color="auto"/>
        <w:left w:val="none" w:sz="0" w:space="0" w:color="auto"/>
        <w:bottom w:val="none" w:sz="0" w:space="0" w:color="auto"/>
        <w:right w:val="none" w:sz="0" w:space="0" w:color="auto"/>
      </w:divBdr>
    </w:div>
    <w:div w:id="1986085665">
      <w:bodyDiv w:val="1"/>
      <w:marLeft w:val="0"/>
      <w:marRight w:val="0"/>
      <w:marTop w:val="0"/>
      <w:marBottom w:val="0"/>
      <w:divBdr>
        <w:top w:val="none" w:sz="0" w:space="0" w:color="auto"/>
        <w:left w:val="none" w:sz="0" w:space="0" w:color="auto"/>
        <w:bottom w:val="none" w:sz="0" w:space="0" w:color="auto"/>
        <w:right w:val="none" w:sz="0" w:space="0" w:color="auto"/>
      </w:divBdr>
    </w:div>
    <w:div w:id="1986272622">
      <w:bodyDiv w:val="1"/>
      <w:marLeft w:val="0"/>
      <w:marRight w:val="0"/>
      <w:marTop w:val="0"/>
      <w:marBottom w:val="0"/>
      <w:divBdr>
        <w:top w:val="none" w:sz="0" w:space="0" w:color="auto"/>
        <w:left w:val="none" w:sz="0" w:space="0" w:color="auto"/>
        <w:bottom w:val="none" w:sz="0" w:space="0" w:color="auto"/>
        <w:right w:val="none" w:sz="0" w:space="0" w:color="auto"/>
      </w:divBdr>
    </w:div>
    <w:div w:id="1987854969">
      <w:bodyDiv w:val="1"/>
      <w:marLeft w:val="0"/>
      <w:marRight w:val="0"/>
      <w:marTop w:val="0"/>
      <w:marBottom w:val="0"/>
      <w:divBdr>
        <w:top w:val="none" w:sz="0" w:space="0" w:color="auto"/>
        <w:left w:val="none" w:sz="0" w:space="0" w:color="auto"/>
        <w:bottom w:val="none" w:sz="0" w:space="0" w:color="auto"/>
        <w:right w:val="none" w:sz="0" w:space="0" w:color="auto"/>
      </w:divBdr>
    </w:div>
    <w:div w:id="1987859420">
      <w:bodyDiv w:val="1"/>
      <w:marLeft w:val="0"/>
      <w:marRight w:val="0"/>
      <w:marTop w:val="0"/>
      <w:marBottom w:val="0"/>
      <w:divBdr>
        <w:top w:val="none" w:sz="0" w:space="0" w:color="auto"/>
        <w:left w:val="none" w:sz="0" w:space="0" w:color="auto"/>
        <w:bottom w:val="none" w:sz="0" w:space="0" w:color="auto"/>
        <w:right w:val="none" w:sz="0" w:space="0" w:color="auto"/>
      </w:divBdr>
    </w:div>
    <w:div w:id="1988320751">
      <w:bodyDiv w:val="1"/>
      <w:marLeft w:val="0"/>
      <w:marRight w:val="0"/>
      <w:marTop w:val="0"/>
      <w:marBottom w:val="0"/>
      <w:divBdr>
        <w:top w:val="none" w:sz="0" w:space="0" w:color="auto"/>
        <w:left w:val="none" w:sz="0" w:space="0" w:color="auto"/>
        <w:bottom w:val="none" w:sz="0" w:space="0" w:color="auto"/>
        <w:right w:val="none" w:sz="0" w:space="0" w:color="auto"/>
      </w:divBdr>
    </w:div>
    <w:div w:id="1988633404">
      <w:bodyDiv w:val="1"/>
      <w:marLeft w:val="0"/>
      <w:marRight w:val="0"/>
      <w:marTop w:val="0"/>
      <w:marBottom w:val="0"/>
      <w:divBdr>
        <w:top w:val="none" w:sz="0" w:space="0" w:color="auto"/>
        <w:left w:val="none" w:sz="0" w:space="0" w:color="auto"/>
        <w:bottom w:val="none" w:sz="0" w:space="0" w:color="auto"/>
        <w:right w:val="none" w:sz="0" w:space="0" w:color="auto"/>
      </w:divBdr>
    </w:div>
    <w:div w:id="1989935171">
      <w:bodyDiv w:val="1"/>
      <w:marLeft w:val="0"/>
      <w:marRight w:val="0"/>
      <w:marTop w:val="0"/>
      <w:marBottom w:val="0"/>
      <w:divBdr>
        <w:top w:val="none" w:sz="0" w:space="0" w:color="auto"/>
        <w:left w:val="none" w:sz="0" w:space="0" w:color="auto"/>
        <w:bottom w:val="none" w:sz="0" w:space="0" w:color="auto"/>
        <w:right w:val="none" w:sz="0" w:space="0" w:color="auto"/>
      </w:divBdr>
    </w:div>
    <w:div w:id="1990329152">
      <w:bodyDiv w:val="1"/>
      <w:marLeft w:val="0"/>
      <w:marRight w:val="0"/>
      <w:marTop w:val="0"/>
      <w:marBottom w:val="0"/>
      <w:divBdr>
        <w:top w:val="none" w:sz="0" w:space="0" w:color="auto"/>
        <w:left w:val="none" w:sz="0" w:space="0" w:color="auto"/>
        <w:bottom w:val="none" w:sz="0" w:space="0" w:color="auto"/>
        <w:right w:val="none" w:sz="0" w:space="0" w:color="auto"/>
      </w:divBdr>
    </w:div>
    <w:div w:id="1991012686">
      <w:bodyDiv w:val="1"/>
      <w:marLeft w:val="0"/>
      <w:marRight w:val="0"/>
      <w:marTop w:val="0"/>
      <w:marBottom w:val="0"/>
      <w:divBdr>
        <w:top w:val="none" w:sz="0" w:space="0" w:color="auto"/>
        <w:left w:val="none" w:sz="0" w:space="0" w:color="auto"/>
        <w:bottom w:val="none" w:sz="0" w:space="0" w:color="auto"/>
        <w:right w:val="none" w:sz="0" w:space="0" w:color="auto"/>
      </w:divBdr>
    </w:div>
    <w:div w:id="1993022772">
      <w:bodyDiv w:val="1"/>
      <w:marLeft w:val="0"/>
      <w:marRight w:val="0"/>
      <w:marTop w:val="0"/>
      <w:marBottom w:val="0"/>
      <w:divBdr>
        <w:top w:val="none" w:sz="0" w:space="0" w:color="auto"/>
        <w:left w:val="none" w:sz="0" w:space="0" w:color="auto"/>
        <w:bottom w:val="none" w:sz="0" w:space="0" w:color="auto"/>
        <w:right w:val="none" w:sz="0" w:space="0" w:color="auto"/>
      </w:divBdr>
    </w:div>
    <w:div w:id="1993751404">
      <w:bodyDiv w:val="1"/>
      <w:marLeft w:val="0"/>
      <w:marRight w:val="0"/>
      <w:marTop w:val="0"/>
      <w:marBottom w:val="0"/>
      <w:divBdr>
        <w:top w:val="none" w:sz="0" w:space="0" w:color="auto"/>
        <w:left w:val="none" w:sz="0" w:space="0" w:color="auto"/>
        <w:bottom w:val="none" w:sz="0" w:space="0" w:color="auto"/>
        <w:right w:val="none" w:sz="0" w:space="0" w:color="auto"/>
      </w:divBdr>
    </w:div>
    <w:div w:id="1994873703">
      <w:bodyDiv w:val="1"/>
      <w:marLeft w:val="0"/>
      <w:marRight w:val="0"/>
      <w:marTop w:val="0"/>
      <w:marBottom w:val="0"/>
      <w:divBdr>
        <w:top w:val="none" w:sz="0" w:space="0" w:color="auto"/>
        <w:left w:val="none" w:sz="0" w:space="0" w:color="auto"/>
        <w:bottom w:val="none" w:sz="0" w:space="0" w:color="auto"/>
        <w:right w:val="none" w:sz="0" w:space="0" w:color="auto"/>
      </w:divBdr>
    </w:div>
    <w:div w:id="1995259948">
      <w:bodyDiv w:val="1"/>
      <w:marLeft w:val="0"/>
      <w:marRight w:val="0"/>
      <w:marTop w:val="0"/>
      <w:marBottom w:val="0"/>
      <w:divBdr>
        <w:top w:val="none" w:sz="0" w:space="0" w:color="auto"/>
        <w:left w:val="none" w:sz="0" w:space="0" w:color="auto"/>
        <w:bottom w:val="none" w:sz="0" w:space="0" w:color="auto"/>
        <w:right w:val="none" w:sz="0" w:space="0" w:color="auto"/>
      </w:divBdr>
    </w:div>
    <w:div w:id="1995450062">
      <w:bodyDiv w:val="1"/>
      <w:marLeft w:val="0"/>
      <w:marRight w:val="0"/>
      <w:marTop w:val="0"/>
      <w:marBottom w:val="0"/>
      <w:divBdr>
        <w:top w:val="none" w:sz="0" w:space="0" w:color="auto"/>
        <w:left w:val="none" w:sz="0" w:space="0" w:color="auto"/>
        <w:bottom w:val="none" w:sz="0" w:space="0" w:color="auto"/>
        <w:right w:val="none" w:sz="0" w:space="0" w:color="auto"/>
      </w:divBdr>
    </w:div>
    <w:div w:id="1996257141">
      <w:bodyDiv w:val="1"/>
      <w:marLeft w:val="0"/>
      <w:marRight w:val="0"/>
      <w:marTop w:val="0"/>
      <w:marBottom w:val="0"/>
      <w:divBdr>
        <w:top w:val="none" w:sz="0" w:space="0" w:color="auto"/>
        <w:left w:val="none" w:sz="0" w:space="0" w:color="auto"/>
        <w:bottom w:val="none" w:sz="0" w:space="0" w:color="auto"/>
        <w:right w:val="none" w:sz="0" w:space="0" w:color="auto"/>
      </w:divBdr>
    </w:div>
    <w:div w:id="1997032035">
      <w:bodyDiv w:val="1"/>
      <w:marLeft w:val="0"/>
      <w:marRight w:val="0"/>
      <w:marTop w:val="0"/>
      <w:marBottom w:val="0"/>
      <w:divBdr>
        <w:top w:val="none" w:sz="0" w:space="0" w:color="auto"/>
        <w:left w:val="none" w:sz="0" w:space="0" w:color="auto"/>
        <w:bottom w:val="none" w:sz="0" w:space="0" w:color="auto"/>
        <w:right w:val="none" w:sz="0" w:space="0" w:color="auto"/>
      </w:divBdr>
    </w:div>
    <w:div w:id="2000644922">
      <w:bodyDiv w:val="1"/>
      <w:marLeft w:val="0"/>
      <w:marRight w:val="0"/>
      <w:marTop w:val="0"/>
      <w:marBottom w:val="0"/>
      <w:divBdr>
        <w:top w:val="none" w:sz="0" w:space="0" w:color="auto"/>
        <w:left w:val="none" w:sz="0" w:space="0" w:color="auto"/>
        <w:bottom w:val="none" w:sz="0" w:space="0" w:color="auto"/>
        <w:right w:val="none" w:sz="0" w:space="0" w:color="auto"/>
      </w:divBdr>
    </w:div>
    <w:div w:id="2000961915">
      <w:bodyDiv w:val="1"/>
      <w:marLeft w:val="0"/>
      <w:marRight w:val="0"/>
      <w:marTop w:val="0"/>
      <w:marBottom w:val="0"/>
      <w:divBdr>
        <w:top w:val="none" w:sz="0" w:space="0" w:color="auto"/>
        <w:left w:val="none" w:sz="0" w:space="0" w:color="auto"/>
        <w:bottom w:val="none" w:sz="0" w:space="0" w:color="auto"/>
        <w:right w:val="none" w:sz="0" w:space="0" w:color="auto"/>
      </w:divBdr>
    </w:div>
    <w:div w:id="2001346416">
      <w:bodyDiv w:val="1"/>
      <w:marLeft w:val="0"/>
      <w:marRight w:val="0"/>
      <w:marTop w:val="0"/>
      <w:marBottom w:val="0"/>
      <w:divBdr>
        <w:top w:val="none" w:sz="0" w:space="0" w:color="auto"/>
        <w:left w:val="none" w:sz="0" w:space="0" w:color="auto"/>
        <w:bottom w:val="none" w:sz="0" w:space="0" w:color="auto"/>
        <w:right w:val="none" w:sz="0" w:space="0" w:color="auto"/>
      </w:divBdr>
    </w:div>
    <w:div w:id="2002273662">
      <w:bodyDiv w:val="1"/>
      <w:marLeft w:val="0"/>
      <w:marRight w:val="0"/>
      <w:marTop w:val="0"/>
      <w:marBottom w:val="0"/>
      <w:divBdr>
        <w:top w:val="none" w:sz="0" w:space="0" w:color="auto"/>
        <w:left w:val="none" w:sz="0" w:space="0" w:color="auto"/>
        <w:bottom w:val="none" w:sz="0" w:space="0" w:color="auto"/>
        <w:right w:val="none" w:sz="0" w:space="0" w:color="auto"/>
      </w:divBdr>
    </w:div>
    <w:div w:id="2002350044">
      <w:bodyDiv w:val="1"/>
      <w:marLeft w:val="0"/>
      <w:marRight w:val="0"/>
      <w:marTop w:val="0"/>
      <w:marBottom w:val="0"/>
      <w:divBdr>
        <w:top w:val="none" w:sz="0" w:space="0" w:color="auto"/>
        <w:left w:val="none" w:sz="0" w:space="0" w:color="auto"/>
        <w:bottom w:val="none" w:sz="0" w:space="0" w:color="auto"/>
        <w:right w:val="none" w:sz="0" w:space="0" w:color="auto"/>
      </w:divBdr>
    </w:div>
    <w:div w:id="2002803962">
      <w:bodyDiv w:val="1"/>
      <w:marLeft w:val="0"/>
      <w:marRight w:val="0"/>
      <w:marTop w:val="0"/>
      <w:marBottom w:val="0"/>
      <w:divBdr>
        <w:top w:val="none" w:sz="0" w:space="0" w:color="auto"/>
        <w:left w:val="none" w:sz="0" w:space="0" w:color="auto"/>
        <w:bottom w:val="none" w:sz="0" w:space="0" w:color="auto"/>
        <w:right w:val="none" w:sz="0" w:space="0" w:color="auto"/>
      </w:divBdr>
    </w:div>
    <w:div w:id="2003045098">
      <w:bodyDiv w:val="1"/>
      <w:marLeft w:val="0"/>
      <w:marRight w:val="0"/>
      <w:marTop w:val="0"/>
      <w:marBottom w:val="0"/>
      <w:divBdr>
        <w:top w:val="none" w:sz="0" w:space="0" w:color="auto"/>
        <w:left w:val="none" w:sz="0" w:space="0" w:color="auto"/>
        <w:bottom w:val="none" w:sz="0" w:space="0" w:color="auto"/>
        <w:right w:val="none" w:sz="0" w:space="0" w:color="auto"/>
      </w:divBdr>
    </w:div>
    <w:div w:id="2003118135">
      <w:bodyDiv w:val="1"/>
      <w:marLeft w:val="0"/>
      <w:marRight w:val="0"/>
      <w:marTop w:val="0"/>
      <w:marBottom w:val="0"/>
      <w:divBdr>
        <w:top w:val="none" w:sz="0" w:space="0" w:color="auto"/>
        <w:left w:val="none" w:sz="0" w:space="0" w:color="auto"/>
        <w:bottom w:val="none" w:sz="0" w:space="0" w:color="auto"/>
        <w:right w:val="none" w:sz="0" w:space="0" w:color="auto"/>
      </w:divBdr>
    </w:div>
    <w:div w:id="2003312488">
      <w:bodyDiv w:val="1"/>
      <w:marLeft w:val="0"/>
      <w:marRight w:val="0"/>
      <w:marTop w:val="0"/>
      <w:marBottom w:val="0"/>
      <w:divBdr>
        <w:top w:val="none" w:sz="0" w:space="0" w:color="auto"/>
        <w:left w:val="none" w:sz="0" w:space="0" w:color="auto"/>
        <w:bottom w:val="none" w:sz="0" w:space="0" w:color="auto"/>
        <w:right w:val="none" w:sz="0" w:space="0" w:color="auto"/>
      </w:divBdr>
    </w:div>
    <w:div w:id="2003460903">
      <w:bodyDiv w:val="1"/>
      <w:marLeft w:val="0"/>
      <w:marRight w:val="0"/>
      <w:marTop w:val="0"/>
      <w:marBottom w:val="0"/>
      <w:divBdr>
        <w:top w:val="none" w:sz="0" w:space="0" w:color="auto"/>
        <w:left w:val="none" w:sz="0" w:space="0" w:color="auto"/>
        <w:bottom w:val="none" w:sz="0" w:space="0" w:color="auto"/>
        <w:right w:val="none" w:sz="0" w:space="0" w:color="auto"/>
      </w:divBdr>
    </w:div>
    <w:div w:id="2004232689">
      <w:bodyDiv w:val="1"/>
      <w:marLeft w:val="0"/>
      <w:marRight w:val="0"/>
      <w:marTop w:val="0"/>
      <w:marBottom w:val="0"/>
      <w:divBdr>
        <w:top w:val="none" w:sz="0" w:space="0" w:color="auto"/>
        <w:left w:val="none" w:sz="0" w:space="0" w:color="auto"/>
        <w:bottom w:val="none" w:sz="0" w:space="0" w:color="auto"/>
        <w:right w:val="none" w:sz="0" w:space="0" w:color="auto"/>
      </w:divBdr>
    </w:div>
    <w:div w:id="2004695177">
      <w:bodyDiv w:val="1"/>
      <w:marLeft w:val="0"/>
      <w:marRight w:val="0"/>
      <w:marTop w:val="0"/>
      <w:marBottom w:val="0"/>
      <w:divBdr>
        <w:top w:val="none" w:sz="0" w:space="0" w:color="auto"/>
        <w:left w:val="none" w:sz="0" w:space="0" w:color="auto"/>
        <w:bottom w:val="none" w:sz="0" w:space="0" w:color="auto"/>
        <w:right w:val="none" w:sz="0" w:space="0" w:color="auto"/>
      </w:divBdr>
    </w:div>
    <w:div w:id="2004968524">
      <w:bodyDiv w:val="1"/>
      <w:marLeft w:val="0"/>
      <w:marRight w:val="0"/>
      <w:marTop w:val="0"/>
      <w:marBottom w:val="0"/>
      <w:divBdr>
        <w:top w:val="none" w:sz="0" w:space="0" w:color="auto"/>
        <w:left w:val="none" w:sz="0" w:space="0" w:color="auto"/>
        <w:bottom w:val="none" w:sz="0" w:space="0" w:color="auto"/>
        <w:right w:val="none" w:sz="0" w:space="0" w:color="auto"/>
      </w:divBdr>
    </w:div>
    <w:div w:id="2005666405">
      <w:bodyDiv w:val="1"/>
      <w:marLeft w:val="0"/>
      <w:marRight w:val="0"/>
      <w:marTop w:val="0"/>
      <w:marBottom w:val="0"/>
      <w:divBdr>
        <w:top w:val="none" w:sz="0" w:space="0" w:color="auto"/>
        <w:left w:val="none" w:sz="0" w:space="0" w:color="auto"/>
        <w:bottom w:val="none" w:sz="0" w:space="0" w:color="auto"/>
        <w:right w:val="none" w:sz="0" w:space="0" w:color="auto"/>
      </w:divBdr>
    </w:div>
    <w:div w:id="2007513653">
      <w:bodyDiv w:val="1"/>
      <w:marLeft w:val="0"/>
      <w:marRight w:val="0"/>
      <w:marTop w:val="0"/>
      <w:marBottom w:val="0"/>
      <w:divBdr>
        <w:top w:val="none" w:sz="0" w:space="0" w:color="auto"/>
        <w:left w:val="none" w:sz="0" w:space="0" w:color="auto"/>
        <w:bottom w:val="none" w:sz="0" w:space="0" w:color="auto"/>
        <w:right w:val="none" w:sz="0" w:space="0" w:color="auto"/>
      </w:divBdr>
    </w:div>
    <w:div w:id="2007975791">
      <w:bodyDiv w:val="1"/>
      <w:marLeft w:val="0"/>
      <w:marRight w:val="0"/>
      <w:marTop w:val="0"/>
      <w:marBottom w:val="0"/>
      <w:divBdr>
        <w:top w:val="none" w:sz="0" w:space="0" w:color="auto"/>
        <w:left w:val="none" w:sz="0" w:space="0" w:color="auto"/>
        <w:bottom w:val="none" w:sz="0" w:space="0" w:color="auto"/>
        <w:right w:val="none" w:sz="0" w:space="0" w:color="auto"/>
      </w:divBdr>
    </w:div>
    <w:div w:id="2007979488">
      <w:bodyDiv w:val="1"/>
      <w:marLeft w:val="0"/>
      <w:marRight w:val="0"/>
      <w:marTop w:val="0"/>
      <w:marBottom w:val="0"/>
      <w:divBdr>
        <w:top w:val="none" w:sz="0" w:space="0" w:color="auto"/>
        <w:left w:val="none" w:sz="0" w:space="0" w:color="auto"/>
        <w:bottom w:val="none" w:sz="0" w:space="0" w:color="auto"/>
        <w:right w:val="none" w:sz="0" w:space="0" w:color="auto"/>
      </w:divBdr>
    </w:div>
    <w:div w:id="2009483212">
      <w:bodyDiv w:val="1"/>
      <w:marLeft w:val="0"/>
      <w:marRight w:val="0"/>
      <w:marTop w:val="0"/>
      <w:marBottom w:val="0"/>
      <w:divBdr>
        <w:top w:val="none" w:sz="0" w:space="0" w:color="auto"/>
        <w:left w:val="none" w:sz="0" w:space="0" w:color="auto"/>
        <w:bottom w:val="none" w:sz="0" w:space="0" w:color="auto"/>
        <w:right w:val="none" w:sz="0" w:space="0" w:color="auto"/>
      </w:divBdr>
    </w:div>
    <w:div w:id="2010597910">
      <w:bodyDiv w:val="1"/>
      <w:marLeft w:val="0"/>
      <w:marRight w:val="0"/>
      <w:marTop w:val="0"/>
      <w:marBottom w:val="0"/>
      <w:divBdr>
        <w:top w:val="none" w:sz="0" w:space="0" w:color="auto"/>
        <w:left w:val="none" w:sz="0" w:space="0" w:color="auto"/>
        <w:bottom w:val="none" w:sz="0" w:space="0" w:color="auto"/>
        <w:right w:val="none" w:sz="0" w:space="0" w:color="auto"/>
      </w:divBdr>
    </w:div>
    <w:div w:id="2011446524">
      <w:bodyDiv w:val="1"/>
      <w:marLeft w:val="0"/>
      <w:marRight w:val="0"/>
      <w:marTop w:val="0"/>
      <w:marBottom w:val="0"/>
      <w:divBdr>
        <w:top w:val="none" w:sz="0" w:space="0" w:color="auto"/>
        <w:left w:val="none" w:sz="0" w:space="0" w:color="auto"/>
        <w:bottom w:val="none" w:sz="0" w:space="0" w:color="auto"/>
        <w:right w:val="none" w:sz="0" w:space="0" w:color="auto"/>
      </w:divBdr>
    </w:div>
    <w:div w:id="2012103482">
      <w:bodyDiv w:val="1"/>
      <w:marLeft w:val="0"/>
      <w:marRight w:val="0"/>
      <w:marTop w:val="0"/>
      <w:marBottom w:val="0"/>
      <w:divBdr>
        <w:top w:val="none" w:sz="0" w:space="0" w:color="auto"/>
        <w:left w:val="none" w:sz="0" w:space="0" w:color="auto"/>
        <w:bottom w:val="none" w:sz="0" w:space="0" w:color="auto"/>
        <w:right w:val="none" w:sz="0" w:space="0" w:color="auto"/>
      </w:divBdr>
    </w:div>
    <w:div w:id="2012178032">
      <w:bodyDiv w:val="1"/>
      <w:marLeft w:val="0"/>
      <w:marRight w:val="0"/>
      <w:marTop w:val="0"/>
      <w:marBottom w:val="0"/>
      <w:divBdr>
        <w:top w:val="none" w:sz="0" w:space="0" w:color="auto"/>
        <w:left w:val="none" w:sz="0" w:space="0" w:color="auto"/>
        <w:bottom w:val="none" w:sz="0" w:space="0" w:color="auto"/>
        <w:right w:val="none" w:sz="0" w:space="0" w:color="auto"/>
      </w:divBdr>
    </w:div>
    <w:div w:id="2013757057">
      <w:bodyDiv w:val="1"/>
      <w:marLeft w:val="0"/>
      <w:marRight w:val="0"/>
      <w:marTop w:val="0"/>
      <w:marBottom w:val="0"/>
      <w:divBdr>
        <w:top w:val="none" w:sz="0" w:space="0" w:color="auto"/>
        <w:left w:val="none" w:sz="0" w:space="0" w:color="auto"/>
        <w:bottom w:val="none" w:sz="0" w:space="0" w:color="auto"/>
        <w:right w:val="none" w:sz="0" w:space="0" w:color="auto"/>
      </w:divBdr>
    </w:div>
    <w:div w:id="2014260309">
      <w:bodyDiv w:val="1"/>
      <w:marLeft w:val="0"/>
      <w:marRight w:val="0"/>
      <w:marTop w:val="0"/>
      <w:marBottom w:val="0"/>
      <w:divBdr>
        <w:top w:val="none" w:sz="0" w:space="0" w:color="auto"/>
        <w:left w:val="none" w:sz="0" w:space="0" w:color="auto"/>
        <w:bottom w:val="none" w:sz="0" w:space="0" w:color="auto"/>
        <w:right w:val="none" w:sz="0" w:space="0" w:color="auto"/>
      </w:divBdr>
    </w:div>
    <w:div w:id="2014530792">
      <w:bodyDiv w:val="1"/>
      <w:marLeft w:val="0"/>
      <w:marRight w:val="0"/>
      <w:marTop w:val="0"/>
      <w:marBottom w:val="0"/>
      <w:divBdr>
        <w:top w:val="none" w:sz="0" w:space="0" w:color="auto"/>
        <w:left w:val="none" w:sz="0" w:space="0" w:color="auto"/>
        <w:bottom w:val="none" w:sz="0" w:space="0" w:color="auto"/>
        <w:right w:val="none" w:sz="0" w:space="0" w:color="auto"/>
      </w:divBdr>
    </w:div>
    <w:div w:id="2014723948">
      <w:bodyDiv w:val="1"/>
      <w:marLeft w:val="0"/>
      <w:marRight w:val="0"/>
      <w:marTop w:val="0"/>
      <w:marBottom w:val="0"/>
      <w:divBdr>
        <w:top w:val="none" w:sz="0" w:space="0" w:color="auto"/>
        <w:left w:val="none" w:sz="0" w:space="0" w:color="auto"/>
        <w:bottom w:val="none" w:sz="0" w:space="0" w:color="auto"/>
        <w:right w:val="none" w:sz="0" w:space="0" w:color="auto"/>
      </w:divBdr>
    </w:div>
    <w:div w:id="2015377787">
      <w:bodyDiv w:val="1"/>
      <w:marLeft w:val="0"/>
      <w:marRight w:val="0"/>
      <w:marTop w:val="0"/>
      <w:marBottom w:val="0"/>
      <w:divBdr>
        <w:top w:val="none" w:sz="0" w:space="0" w:color="auto"/>
        <w:left w:val="none" w:sz="0" w:space="0" w:color="auto"/>
        <w:bottom w:val="none" w:sz="0" w:space="0" w:color="auto"/>
        <w:right w:val="none" w:sz="0" w:space="0" w:color="auto"/>
      </w:divBdr>
    </w:div>
    <w:div w:id="2016567003">
      <w:bodyDiv w:val="1"/>
      <w:marLeft w:val="0"/>
      <w:marRight w:val="0"/>
      <w:marTop w:val="0"/>
      <w:marBottom w:val="0"/>
      <w:divBdr>
        <w:top w:val="none" w:sz="0" w:space="0" w:color="auto"/>
        <w:left w:val="none" w:sz="0" w:space="0" w:color="auto"/>
        <w:bottom w:val="none" w:sz="0" w:space="0" w:color="auto"/>
        <w:right w:val="none" w:sz="0" w:space="0" w:color="auto"/>
      </w:divBdr>
    </w:div>
    <w:div w:id="2016687322">
      <w:bodyDiv w:val="1"/>
      <w:marLeft w:val="0"/>
      <w:marRight w:val="0"/>
      <w:marTop w:val="0"/>
      <w:marBottom w:val="0"/>
      <w:divBdr>
        <w:top w:val="none" w:sz="0" w:space="0" w:color="auto"/>
        <w:left w:val="none" w:sz="0" w:space="0" w:color="auto"/>
        <w:bottom w:val="none" w:sz="0" w:space="0" w:color="auto"/>
        <w:right w:val="none" w:sz="0" w:space="0" w:color="auto"/>
      </w:divBdr>
    </w:div>
    <w:div w:id="2017345063">
      <w:bodyDiv w:val="1"/>
      <w:marLeft w:val="0"/>
      <w:marRight w:val="0"/>
      <w:marTop w:val="0"/>
      <w:marBottom w:val="0"/>
      <w:divBdr>
        <w:top w:val="none" w:sz="0" w:space="0" w:color="auto"/>
        <w:left w:val="none" w:sz="0" w:space="0" w:color="auto"/>
        <w:bottom w:val="none" w:sz="0" w:space="0" w:color="auto"/>
        <w:right w:val="none" w:sz="0" w:space="0" w:color="auto"/>
      </w:divBdr>
    </w:div>
    <w:div w:id="2017879050">
      <w:bodyDiv w:val="1"/>
      <w:marLeft w:val="0"/>
      <w:marRight w:val="0"/>
      <w:marTop w:val="0"/>
      <w:marBottom w:val="0"/>
      <w:divBdr>
        <w:top w:val="none" w:sz="0" w:space="0" w:color="auto"/>
        <w:left w:val="none" w:sz="0" w:space="0" w:color="auto"/>
        <w:bottom w:val="none" w:sz="0" w:space="0" w:color="auto"/>
        <w:right w:val="none" w:sz="0" w:space="0" w:color="auto"/>
      </w:divBdr>
    </w:div>
    <w:div w:id="2018000535">
      <w:bodyDiv w:val="1"/>
      <w:marLeft w:val="0"/>
      <w:marRight w:val="0"/>
      <w:marTop w:val="0"/>
      <w:marBottom w:val="0"/>
      <w:divBdr>
        <w:top w:val="none" w:sz="0" w:space="0" w:color="auto"/>
        <w:left w:val="none" w:sz="0" w:space="0" w:color="auto"/>
        <w:bottom w:val="none" w:sz="0" w:space="0" w:color="auto"/>
        <w:right w:val="none" w:sz="0" w:space="0" w:color="auto"/>
      </w:divBdr>
    </w:div>
    <w:div w:id="2018383444">
      <w:bodyDiv w:val="1"/>
      <w:marLeft w:val="0"/>
      <w:marRight w:val="0"/>
      <w:marTop w:val="0"/>
      <w:marBottom w:val="0"/>
      <w:divBdr>
        <w:top w:val="none" w:sz="0" w:space="0" w:color="auto"/>
        <w:left w:val="none" w:sz="0" w:space="0" w:color="auto"/>
        <w:bottom w:val="none" w:sz="0" w:space="0" w:color="auto"/>
        <w:right w:val="none" w:sz="0" w:space="0" w:color="auto"/>
      </w:divBdr>
    </w:div>
    <w:div w:id="2018772184">
      <w:bodyDiv w:val="1"/>
      <w:marLeft w:val="0"/>
      <w:marRight w:val="0"/>
      <w:marTop w:val="0"/>
      <w:marBottom w:val="0"/>
      <w:divBdr>
        <w:top w:val="none" w:sz="0" w:space="0" w:color="auto"/>
        <w:left w:val="none" w:sz="0" w:space="0" w:color="auto"/>
        <w:bottom w:val="none" w:sz="0" w:space="0" w:color="auto"/>
        <w:right w:val="none" w:sz="0" w:space="0" w:color="auto"/>
      </w:divBdr>
    </w:div>
    <w:div w:id="2019846038">
      <w:bodyDiv w:val="1"/>
      <w:marLeft w:val="0"/>
      <w:marRight w:val="0"/>
      <w:marTop w:val="0"/>
      <w:marBottom w:val="0"/>
      <w:divBdr>
        <w:top w:val="none" w:sz="0" w:space="0" w:color="auto"/>
        <w:left w:val="none" w:sz="0" w:space="0" w:color="auto"/>
        <w:bottom w:val="none" w:sz="0" w:space="0" w:color="auto"/>
        <w:right w:val="none" w:sz="0" w:space="0" w:color="auto"/>
      </w:divBdr>
    </w:div>
    <w:div w:id="2020112857">
      <w:bodyDiv w:val="1"/>
      <w:marLeft w:val="0"/>
      <w:marRight w:val="0"/>
      <w:marTop w:val="0"/>
      <w:marBottom w:val="0"/>
      <w:divBdr>
        <w:top w:val="none" w:sz="0" w:space="0" w:color="auto"/>
        <w:left w:val="none" w:sz="0" w:space="0" w:color="auto"/>
        <w:bottom w:val="none" w:sz="0" w:space="0" w:color="auto"/>
        <w:right w:val="none" w:sz="0" w:space="0" w:color="auto"/>
      </w:divBdr>
    </w:div>
    <w:div w:id="2020233882">
      <w:bodyDiv w:val="1"/>
      <w:marLeft w:val="0"/>
      <w:marRight w:val="0"/>
      <w:marTop w:val="0"/>
      <w:marBottom w:val="0"/>
      <w:divBdr>
        <w:top w:val="none" w:sz="0" w:space="0" w:color="auto"/>
        <w:left w:val="none" w:sz="0" w:space="0" w:color="auto"/>
        <w:bottom w:val="none" w:sz="0" w:space="0" w:color="auto"/>
        <w:right w:val="none" w:sz="0" w:space="0" w:color="auto"/>
      </w:divBdr>
    </w:div>
    <w:div w:id="2020505393">
      <w:bodyDiv w:val="1"/>
      <w:marLeft w:val="0"/>
      <w:marRight w:val="0"/>
      <w:marTop w:val="0"/>
      <w:marBottom w:val="0"/>
      <w:divBdr>
        <w:top w:val="none" w:sz="0" w:space="0" w:color="auto"/>
        <w:left w:val="none" w:sz="0" w:space="0" w:color="auto"/>
        <w:bottom w:val="none" w:sz="0" w:space="0" w:color="auto"/>
        <w:right w:val="none" w:sz="0" w:space="0" w:color="auto"/>
      </w:divBdr>
    </w:div>
    <w:div w:id="2021424364">
      <w:bodyDiv w:val="1"/>
      <w:marLeft w:val="0"/>
      <w:marRight w:val="0"/>
      <w:marTop w:val="0"/>
      <w:marBottom w:val="0"/>
      <w:divBdr>
        <w:top w:val="none" w:sz="0" w:space="0" w:color="auto"/>
        <w:left w:val="none" w:sz="0" w:space="0" w:color="auto"/>
        <w:bottom w:val="none" w:sz="0" w:space="0" w:color="auto"/>
        <w:right w:val="none" w:sz="0" w:space="0" w:color="auto"/>
      </w:divBdr>
    </w:div>
    <w:div w:id="2023778387">
      <w:bodyDiv w:val="1"/>
      <w:marLeft w:val="0"/>
      <w:marRight w:val="0"/>
      <w:marTop w:val="0"/>
      <w:marBottom w:val="0"/>
      <w:divBdr>
        <w:top w:val="none" w:sz="0" w:space="0" w:color="auto"/>
        <w:left w:val="none" w:sz="0" w:space="0" w:color="auto"/>
        <w:bottom w:val="none" w:sz="0" w:space="0" w:color="auto"/>
        <w:right w:val="none" w:sz="0" w:space="0" w:color="auto"/>
      </w:divBdr>
    </w:div>
    <w:div w:id="2025938139">
      <w:bodyDiv w:val="1"/>
      <w:marLeft w:val="0"/>
      <w:marRight w:val="0"/>
      <w:marTop w:val="0"/>
      <w:marBottom w:val="0"/>
      <w:divBdr>
        <w:top w:val="none" w:sz="0" w:space="0" w:color="auto"/>
        <w:left w:val="none" w:sz="0" w:space="0" w:color="auto"/>
        <w:bottom w:val="none" w:sz="0" w:space="0" w:color="auto"/>
        <w:right w:val="none" w:sz="0" w:space="0" w:color="auto"/>
      </w:divBdr>
    </w:div>
    <w:div w:id="2026863949">
      <w:bodyDiv w:val="1"/>
      <w:marLeft w:val="0"/>
      <w:marRight w:val="0"/>
      <w:marTop w:val="0"/>
      <w:marBottom w:val="0"/>
      <w:divBdr>
        <w:top w:val="none" w:sz="0" w:space="0" w:color="auto"/>
        <w:left w:val="none" w:sz="0" w:space="0" w:color="auto"/>
        <w:bottom w:val="none" w:sz="0" w:space="0" w:color="auto"/>
        <w:right w:val="none" w:sz="0" w:space="0" w:color="auto"/>
      </w:divBdr>
    </w:div>
    <w:div w:id="2027440949">
      <w:bodyDiv w:val="1"/>
      <w:marLeft w:val="0"/>
      <w:marRight w:val="0"/>
      <w:marTop w:val="0"/>
      <w:marBottom w:val="0"/>
      <w:divBdr>
        <w:top w:val="none" w:sz="0" w:space="0" w:color="auto"/>
        <w:left w:val="none" w:sz="0" w:space="0" w:color="auto"/>
        <w:bottom w:val="none" w:sz="0" w:space="0" w:color="auto"/>
        <w:right w:val="none" w:sz="0" w:space="0" w:color="auto"/>
      </w:divBdr>
    </w:div>
    <w:div w:id="2028561900">
      <w:bodyDiv w:val="1"/>
      <w:marLeft w:val="0"/>
      <w:marRight w:val="0"/>
      <w:marTop w:val="0"/>
      <w:marBottom w:val="0"/>
      <w:divBdr>
        <w:top w:val="none" w:sz="0" w:space="0" w:color="auto"/>
        <w:left w:val="none" w:sz="0" w:space="0" w:color="auto"/>
        <w:bottom w:val="none" w:sz="0" w:space="0" w:color="auto"/>
        <w:right w:val="none" w:sz="0" w:space="0" w:color="auto"/>
      </w:divBdr>
    </w:div>
    <w:div w:id="2028673342">
      <w:bodyDiv w:val="1"/>
      <w:marLeft w:val="0"/>
      <w:marRight w:val="0"/>
      <w:marTop w:val="0"/>
      <w:marBottom w:val="0"/>
      <w:divBdr>
        <w:top w:val="none" w:sz="0" w:space="0" w:color="auto"/>
        <w:left w:val="none" w:sz="0" w:space="0" w:color="auto"/>
        <w:bottom w:val="none" w:sz="0" w:space="0" w:color="auto"/>
        <w:right w:val="none" w:sz="0" w:space="0" w:color="auto"/>
      </w:divBdr>
    </w:div>
    <w:div w:id="2028943649">
      <w:bodyDiv w:val="1"/>
      <w:marLeft w:val="0"/>
      <w:marRight w:val="0"/>
      <w:marTop w:val="0"/>
      <w:marBottom w:val="0"/>
      <w:divBdr>
        <w:top w:val="none" w:sz="0" w:space="0" w:color="auto"/>
        <w:left w:val="none" w:sz="0" w:space="0" w:color="auto"/>
        <w:bottom w:val="none" w:sz="0" w:space="0" w:color="auto"/>
        <w:right w:val="none" w:sz="0" w:space="0" w:color="auto"/>
      </w:divBdr>
    </w:div>
    <w:div w:id="2029529006">
      <w:bodyDiv w:val="1"/>
      <w:marLeft w:val="0"/>
      <w:marRight w:val="0"/>
      <w:marTop w:val="0"/>
      <w:marBottom w:val="0"/>
      <w:divBdr>
        <w:top w:val="none" w:sz="0" w:space="0" w:color="auto"/>
        <w:left w:val="none" w:sz="0" w:space="0" w:color="auto"/>
        <w:bottom w:val="none" w:sz="0" w:space="0" w:color="auto"/>
        <w:right w:val="none" w:sz="0" w:space="0" w:color="auto"/>
      </w:divBdr>
    </w:div>
    <w:div w:id="2029943702">
      <w:bodyDiv w:val="1"/>
      <w:marLeft w:val="0"/>
      <w:marRight w:val="0"/>
      <w:marTop w:val="0"/>
      <w:marBottom w:val="0"/>
      <w:divBdr>
        <w:top w:val="none" w:sz="0" w:space="0" w:color="auto"/>
        <w:left w:val="none" w:sz="0" w:space="0" w:color="auto"/>
        <w:bottom w:val="none" w:sz="0" w:space="0" w:color="auto"/>
        <w:right w:val="none" w:sz="0" w:space="0" w:color="auto"/>
      </w:divBdr>
    </w:div>
    <w:div w:id="2030985624">
      <w:bodyDiv w:val="1"/>
      <w:marLeft w:val="0"/>
      <w:marRight w:val="0"/>
      <w:marTop w:val="0"/>
      <w:marBottom w:val="0"/>
      <w:divBdr>
        <w:top w:val="none" w:sz="0" w:space="0" w:color="auto"/>
        <w:left w:val="none" w:sz="0" w:space="0" w:color="auto"/>
        <w:bottom w:val="none" w:sz="0" w:space="0" w:color="auto"/>
        <w:right w:val="none" w:sz="0" w:space="0" w:color="auto"/>
      </w:divBdr>
    </w:div>
    <w:div w:id="2030988546">
      <w:bodyDiv w:val="1"/>
      <w:marLeft w:val="0"/>
      <w:marRight w:val="0"/>
      <w:marTop w:val="0"/>
      <w:marBottom w:val="0"/>
      <w:divBdr>
        <w:top w:val="none" w:sz="0" w:space="0" w:color="auto"/>
        <w:left w:val="none" w:sz="0" w:space="0" w:color="auto"/>
        <w:bottom w:val="none" w:sz="0" w:space="0" w:color="auto"/>
        <w:right w:val="none" w:sz="0" w:space="0" w:color="auto"/>
      </w:divBdr>
    </w:div>
    <w:div w:id="2031106503">
      <w:bodyDiv w:val="1"/>
      <w:marLeft w:val="0"/>
      <w:marRight w:val="0"/>
      <w:marTop w:val="0"/>
      <w:marBottom w:val="0"/>
      <w:divBdr>
        <w:top w:val="none" w:sz="0" w:space="0" w:color="auto"/>
        <w:left w:val="none" w:sz="0" w:space="0" w:color="auto"/>
        <w:bottom w:val="none" w:sz="0" w:space="0" w:color="auto"/>
        <w:right w:val="none" w:sz="0" w:space="0" w:color="auto"/>
      </w:divBdr>
    </w:div>
    <w:div w:id="2031300695">
      <w:bodyDiv w:val="1"/>
      <w:marLeft w:val="0"/>
      <w:marRight w:val="0"/>
      <w:marTop w:val="0"/>
      <w:marBottom w:val="0"/>
      <w:divBdr>
        <w:top w:val="none" w:sz="0" w:space="0" w:color="auto"/>
        <w:left w:val="none" w:sz="0" w:space="0" w:color="auto"/>
        <w:bottom w:val="none" w:sz="0" w:space="0" w:color="auto"/>
        <w:right w:val="none" w:sz="0" w:space="0" w:color="auto"/>
      </w:divBdr>
    </w:div>
    <w:div w:id="2033460343">
      <w:bodyDiv w:val="1"/>
      <w:marLeft w:val="0"/>
      <w:marRight w:val="0"/>
      <w:marTop w:val="0"/>
      <w:marBottom w:val="0"/>
      <w:divBdr>
        <w:top w:val="none" w:sz="0" w:space="0" w:color="auto"/>
        <w:left w:val="none" w:sz="0" w:space="0" w:color="auto"/>
        <w:bottom w:val="none" w:sz="0" w:space="0" w:color="auto"/>
        <w:right w:val="none" w:sz="0" w:space="0" w:color="auto"/>
      </w:divBdr>
    </w:div>
    <w:div w:id="2035958611">
      <w:bodyDiv w:val="1"/>
      <w:marLeft w:val="0"/>
      <w:marRight w:val="0"/>
      <w:marTop w:val="0"/>
      <w:marBottom w:val="0"/>
      <w:divBdr>
        <w:top w:val="none" w:sz="0" w:space="0" w:color="auto"/>
        <w:left w:val="none" w:sz="0" w:space="0" w:color="auto"/>
        <w:bottom w:val="none" w:sz="0" w:space="0" w:color="auto"/>
        <w:right w:val="none" w:sz="0" w:space="0" w:color="auto"/>
      </w:divBdr>
    </w:div>
    <w:div w:id="2038113069">
      <w:bodyDiv w:val="1"/>
      <w:marLeft w:val="0"/>
      <w:marRight w:val="0"/>
      <w:marTop w:val="0"/>
      <w:marBottom w:val="0"/>
      <w:divBdr>
        <w:top w:val="none" w:sz="0" w:space="0" w:color="auto"/>
        <w:left w:val="none" w:sz="0" w:space="0" w:color="auto"/>
        <w:bottom w:val="none" w:sz="0" w:space="0" w:color="auto"/>
        <w:right w:val="none" w:sz="0" w:space="0" w:color="auto"/>
      </w:divBdr>
    </w:div>
    <w:div w:id="2038500335">
      <w:bodyDiv w:val="1"/>
      <w:marLeft w:val="0"/>
      <w:marRight w:val="0"/>
      <w:marTop w:val="0"/>
      <w:marBottom w:val="0"/>
      <w:divBdr>
        <w:top w:val="none" w:sz="0" w:space="0" w:color="auto"/>
        <w:left w:val="none" w:sz="0" w:space="0" w:color="auto"/>
        <w:bottom w:val="none" w:sz="0" w:space="0" w:color="auto"/>
        <w:right w:val="none" w:sz="0" w:space="0" w:color="auto"/>
      </w:divBdr>
    </w:div>
    <w:div w:id="2038696058">
      <w:bodyDiv w:val="1"/>
      <w:marLeft w:val="0"/>
      <w:marRight w:val="0"/>
      <w:marTop w:val="0"/>
      <w:marBottom w:val="0"/>
      <w:divBdr>
        <w:top w:val="none" w:sz="0" w:space="0" w:color="auto"/>
        <w:left w:val="none" w:sz="0" w:space="0" w:color="auto"/>
        <w:bottom w:val="none" w:sz="0" w:space="0" w:color="auto"/>
        <w:right w:val="none" w:sz="0" w:space="0" w:color="auto"/>
      </w:divBdr>
    </w:div>
    <w:div w:id="2038726535">
      <w:bodyDiv w:val="1"/>
      <w:marLeft w:val="0"/>
      <w:marRight w:val="0"/>
      <w:marTop w:val="0"/>
      <w:marBottom w:val="0"/>
      <w:divBdr>
        <w:top w:val="none" w:sz="0" w:space="0" w:color="auto"/>
        <w:left w:val="none" w:sz="0" w:space="0" w:color="auto"/>
        <w:bottom w:val="none" w:sz="0" w:space="0" w:color="auto"/>
        <w:right w:val="none" w:sz="0" w:space="0" w:color="auto"/>
      </w:divBdr>
    </w:div>
    <w:div w:id="2039356134">
      <w:bodyDiv w:val="1"/>
      <w:marLeft w:val="0"/>
      <w:marRight w:val="0"/>
      <w:marTop w:val="0"/>
      <w:marBottom w:val="0"/>
      <w:divBdr>
        <w:top w:val="none" w:sz="0" w:space="0" w:color="auto"/>
        <w:left w:val="none" w:sz="0" w:space="0" w:color="auto"/>
        <w:bottom w:val="none" w:sz="0" w:space="0" w:color="auto"/>
        <w:right w:val="none" w:sz="0" w:space="0" w:color="auto"/>
      </w:divBdr>
    </w:div>
    <w:div w:id="2039546397">
      <w:bodyDiv w:val="1"/>
      <w:marLeft w:val="0"/>
      <w:marRight w:val="0"/>
      <w:marTop w:val="0"/>
      <w:marBottom w:val="0"/>
      <w:divBdr>
        <w:top w:val="none" w:sz="0" w:space="0" w:color="auto"/>
        <w:left w:val="none" w:sz="0" w:space="0" w:color="auto"/>
        <w:bottom w:val="none" w:sz="0" w:space="0" w:color="auto"/>
        <w:right w:val="none" w:sz="0" w:space="0" w:color="auto"/>
      </w:divBdr>
    </w:div>
    <w:div w:id="2040348562">
      <w:bodyDiv w:val="1"/>
      <w:marLeft w:val="0"/>
      <w:marRight w:val="0"/>
      <w:marTop w:val="0"/>
      <w:marBottom w:val="0"/>
      <w:divBdr>
        <w:top w:val="none" w:sz="0" w:space="0" w:color="auto"/>
        <w:left w:val="none" w:sz="0" w:space="0" w:color="auto"/>
        <w:bottom w:val="none" w:sz="0" w:space="0" w:color="auto"/>
        <w:right w:val="none" w:sz="0" w:space="0" w:color="auto"/>
      </w:divBdr>
    </w:div>
    <w:div w:id="2041004988">
      <w:bodyDiv w:val="1"/>
      <w:marLeft w:val="0"/>
      <w:marRight w:val="0"/>
      <w:marTop w:val="0"/>
      <w:marBottom w:val="0"/>
      <w:divBdr>
        <w:top w:val="none" w:sz="0" w:space="0" w:color="auto"/>
        <w:left w:val="none" w:sz="0" w:space="0" w:color="auto"/>
        <w:bottom w:val="none" w:sz="0" w:space="0" w:color="auto"/>
        <w:right w:val="none" w:sz="0" w:space="0" w:color="auto"/>
      </w:divBdr>
    </w:div>
    <w:div w:id="2041736944">
      <w:bodyDiv w:val="1"/>
      <w:marLeft w:val="0"/>
      <w:marRight w:val="0"/>
      <w:marTop w:val="0"/>
      <w:marBottom w:val="0"/>
      <w:divBdr>
        <w:top w:val="none" w:sz="0" w:space="0" w:color="auto"/>
        <w:left w:val="none" w:sz="0" w:space="0" w:color="auto"/>
        <w:bottom w:val="none" w:sz="0" w:space="0" w:color="auto"/>
        <w:right w:val="none" w:sz="0" w:space="0" w:color="auto"/>
      </w:divBdr>
    </w:div>
    <w:div w:id="2044666945">
      <w:bodyDiv w:val="1"/>
      <w:marLeft w:val="0"/>
      <w:marRight w:val="0"/>
      <w:marTop w:val="0"/>
      <w:marBottom w:val="0"/>
      <w:divBdr>
        <w:top w:val="none" w:sz="0" w:space="0" w:color="auto"/>
        <w:left w:val="none" w:sz="0" w:space="0" w:color="auto"/>
        <w:bottom w:val="none" w:sz="0" w:space="0" w:color="auto"/>
        <w:right w:val="none" w:sz="0" w:space="0" w:color="auto"/>
      </w:divBdr>
    </w:div>
    <w:div w:id="2045671287">
      <w:bodyDiv w:val="1"/>
      <w:marLeft w:val="0"/>
      <w:marRight w:val="0"/>
      <w:marTop w:val="0"/>
      <w:marBottom w:val="0"/>
      <w:divBdr>
        <w:top w:val="none" w:sz="0" w:space="0" w:color="auto"/>
        <w:left w:val="none" w:sz="0" w:space="0" w:color="auto"/>
        <w:bottom w:val="none" w:sz="0" w:space="0" w:color="auto"/>
        <w:right w:val="none" w:sz="0" w:space="0" w:color="auto"/>
      </w:divBdr>
    </w:div>
    <w:div w:id="2046364330">
      <w:bodyDiv w:val="1"/>
      <w:marLeft w:val="0"/>
      <w:marRight w:val="0"/>
      <w:marTop w:val="0"/>
      <w:marBottom w:val="0"/>
      <w:divBdr>
        <w:top w:val="none" w:sz="0" w:space="0" w:color="auto"/>
        <w:left w:val="none" w:sz="0" w:space="0" w:color="auto"/>
        <w:bottom w:val="none" w:sz="0" w:space="0" w:color="auto"/>
        <w:right w:val="none" w:sz="0" w:space="0" w:color="auto"/>
      </w:divBdr>
    </w:div>
    <w:div w:id="2048989228">
      <w:bodyDiv w:val="1"/>
      <w:marLeft w:val="0"/>
      <w:marRight w:val="0"/>
      <w:marTop w:val="0"/>
      <w:marBottom w:val="0"/>
      <w:divBdr>
        <w:top w:val="none" w:sz="0" w:space="0" w:color="auto"/>
        <w:left w:val="none" w:sz="0" w:space="0" w:color="auto"/>
        <w:bottom w:val="none" w:sz="0" w:space="0" w:color="auto"/>
        <w:right w:val="none" w:sz="0" w:space="0" w:color="auto"/>
      </w:divBdr>
    </w:div>
    <w:div w:id="2049334477">
      <w:bodyDiv w:val="1"/>
      <w:marLeft w:val="0"/>
      <w:marRight w:val="0"/>
      <w:marTop w:val="0"/>
      <w:marBottom w:val="0"/>
      <w:divBdr>
        <w:top w:val="none" w:sz="0" w:space="0" w:color="auto"/>
        <w:left w:val="none" w:sz="0" w:space="0" w:color="auto"/>
        <w:bottom w:val="none" w:sz="0" w:space="0" w:color="auto"/>
        <w:right w:val="none" w:sz="0" w:space="0" w:color="auto"/>
      </w:divBdr>
    </w:div>
    <w:div w:id="2049839211">
      <w:bodyDiv w:val="1"/>
      <w:marLeft w:val="0"/>
      <w:marRight w:val="0"/>
      <w:marTop w:val="0"/>
      <w:marBottom w:val="0"/>
      <w:divBdr>
        <w:top w:val="none" w:sz="0" w:space="0" w:color="auto"/>
        <w:left w:val="none" w:sz="0" w:space="0" w:color="auto"/>
        <w:bottom w:val="none" w:sz="0" w:space="0" w:color="auto"/>
        <w:right w:val="none" w:sz="0" w:space="0" w:color="auto"/>
      </w:divBdr>
    </w:div>
    <w:div w:id="2050185601">
      <w:bodyDiv w:val="1"/>
      <w:marLeft w:val="0"/>
      <w:marRight w:val="0"/>
      <w:marTop w:val="0"/>
      <w:marBottom w:val="0"/>
      <w:divBdr>
        <w:top w:val="none" w:sz="0" w:space="0" w:color="auto"/>
        <w:left w:val="none" w:sz="0" w:space="0" w:color="auto"/>
        <w:bottom w:val="none" w:sz="0" w:space="0" w:color="auto"/>
        <w:right w:val="none" w:sz="0" w:space="0" w:color="auto"/>
      </w:divBdr>
    </w:div>
    <w:div w:id="2050493685">
      <w:bodyDiv w:val="1"/>
      <w:marLeft w:val="0"/>
      <w:marRight w:val="0"/>
      <w:marTop w:val="0"/>
      <w:marBottom w:val="0"/>
      <w:divBdr>
        <w:top w:val="none" w:sz="0" w:space="0" w:color="auto"/>
        <w:left w:val="none" w:sz="0" w:space="0" w:color="auto"/>
        <w:bottom w:val="none" w:sz="0" w:space="0" w:color="auto"/>
        <w:right w:val="none" w:sz="0" w:space="0" w:color="auto"/>
      </w:divBdr>
    </w:div>
    <w:div w:id="2050762627">
      <w:bodyDiv w:val="1"/>
      <w:marLeft w:val="0"/>
      <w:marRight w:val="0"/>
      <w:marTop w:val="0"/>
      <w:marBottom w:val="0"/>
      <w:divBdr>
        <w:top w:val="none" w:sz="0" w:space="0" w:color="auto"/>
        <w:left w:val="none" w:sz="0" w:space="0" w:color="auto"/>
        <w:bottom w:val="none" w:sz="0" w:space="0" w:color="auto"/>
        <w:right w:val="none" w:sz="0" w:space="0" w:color="auto"/>
      </w:divBdr>
    </w:div>
    <w:div w:id="2051177127">
      <w:bodyDiv w:val="1"/>
      <w:marLeft w:val="0"/>
      <w:marRight w:val="0"/>
      <w:marTop w:val="0"/>
      <w:marBottom w:val="0"/>
      <w:divBdr>
        <w:top w:val="none" w:sz="0" w:space="0" w:color="auto"/>
        <w:left w:val="none" w:sz="0" w:space="0" w:color="auto"/>
        <w:bottom w:val="none" w:sz="0" w:space="0" w:color="auto"/>
        <w:right w:val="none" w:sz="0" w:space="0" w:color="auto"/>
      </w:divBdr>
    </w:div>
    <w:div w:id="2051606797">
      <w:bodyDiv w:val="1"/>
      <w:marLeft w:val="0"/>
      <w:marRight w:val="0"/>
      <w:marTop w:val="0"/>
      <w:marBottom w:val="0"/>
      <w:divBdr>
        <w:top w:val="none" w:sz="0" w:space="0" w:color="auto"/>
        <w:left w:val="none" w:sz="0" w:space="0" w:color="auto"/>
        <w:bottom w:val="none" w:sz="0" w:space="0" w:color="auto"/>
        <w:right w:val="none" w:sz="0" w:space="0" w:color="auto"/>
      </w:divBdr>
    </w:div>
    <w:div w:id="2053768696">
      <w:bodyDiv w:val="1"/>
      <w:marLeft w:val="0"/>
      <w:marRight w:val="0"/>
      <w:marTop w:val="0"/>
      <w:marBottom w:val="0"/>
      <w:divBdr>
        <w:top w:val="none" w:sz="0" w:space="0" w:color="auto"/>
        <w:left w:val="none" w:sz="0" w:space="0" w:color="auto"/>
        <w:bottom w:val="none" w:sz="0" w:space="0" w:color="auto"/>
        <w:right w:val="none" w:sz="0" w:space="0" w:color="auto"/>
      </w:divBdr>
    </w:div>
    <w:div w:id="2054234175">
      <w:bodyDiv w:val="1"/>
      <w:marLeft w:val="0"/>
      <w:marRight w:val="0"/>
      <w:marTop w:val="0"/>
      <w:marBottom w:val="0"/>
      <w:divBdr>
        <w:top w:val="none" w:sz="0" w:space="0" w:color="auto"/>
        <w:left w:val="none" w:sz="0" w:space="0" w:color="auto"/>
        <w:bottom w:val="none" w:sz="0" w:space="0" w:color="auto"/>
        <w:right w:val="none" w:sz="0" w:space="0" w:color="auto"/>
      </w:divBdr>
    </w:div>
    <w:div w:id="2054844521">
      <w:bodyDiv w:val="1"/>
      <w:marLeft w:val="0"/>
      <w:marRight w:val="0"/>
      <w:marTop w:val="0"/>
      <w:marBottom w:val="0"/>
      <w:divBdr>
        <w:top w:val="none" w:sz="0" w:space="0" w:color="auto"/>
        <w:left w:val="none" w:sz="0" w:space="0" w:color="auto"/>
        <w:bottom w:val="none" w:sz="0" w:space="0" w:color="auto"/>
        <w:right w:val="none" w:sz="0" w:space="0" w:color="auto"/>
      </w:divBdr>
    </w:div>
    <w:div w:id="2055428015">
      <w:bodyDiv w:val="1"/>
      <w:marLeft w:val="0"/>
      <w:marRight w:val="0"/>
      <w:marTop w:val="0"/>
      <w:marBottom w:val="0"/>
      <w:divBdr>
        <w:top w:val="none" w:sz="0" w:space="0" w:color="auto"/>
        <w:left w:val="none" w:sz="0" w:space="0" w:color="auto"/>
        <w:bottom w:val="none" w:sz="0" w:space="0" w:color="auto"/>
        <w:right w:val="none" w:sz="0" w:space="0" w:color="auto"/>
      </w:divBdr>
    </w:div>
    <w:div w:id="2056007742">
      <w:bodyDiv w:val="1"/>
      <w:marLeft w:val="0"/>
      <w:marRight w:val="0"/>
      <w:marTop w:val="0"/>
      <w:marBottom w:val="0"/>
      <w:divBdr>
        <w:top w:val="none" w:sz="0" w:space="0" w:color="auto"/>
        <w:left w:val="none" w:sz="0" w:space="0" w:color="auto"/>
        <w:bottom w:val="none" w:sz="0" w:space="0" w:color="auto"/>
        <w:right w:val="none" w:sz="0" w:space="0" w:color="auto"/>
      </w:divBdr>
    </w:div>
    <w:div w:id="2057044334">
      <w:bodyDiv w:val="1"/>
      <w:marLeft w:val="0"/>
      <w:marRight w:val="0"/>
      <w:marTop w:val="0"/>
      <w:marBottom w:val="0"/>
      <w:divBdr>
        <w:top w:val="none" w:sz="0" w:space="0" w:color="auto"/>
        <w:left w:val="none" w:sz="0" w:space="0" w:color="auto"/>
        <w:bottom w:val="none" w:sz="0" w:space="0" w:color="auto"/>
        <w:right w:val="none" w:sz="0" w:space="0" w:color="auto"/>
      </w:divBdr>
    </w:div>
    <w:div w:id="2057119068">
      <w:bodyDiv w:val="1"/>
      <w:marLeft w:val="0"/>
      <w:marRight w:val="0"/>
      <w:marTop w:val="0"/>
      <w:marBottom w:val="0"/>
      <w:divBdr>
        <w:top w:val="none" w:sz="0" w:space="0" w:color="auto"/>
        <w:left w:val="none" w:sz="0" w:space="0" w:color="auto"/>
        <w:bottom w:val="none" w:sz="0" w:space="0" w:color="auto"/>
        <w:right w:val="none" w:sz="0" w:space="0" w:color="auto"/>
      </w:divBdr>
    </w:div>
    <w:div w:id="2058314293">
      <w:bodyDiv w:val="1"/>
      <w:marLeft w:val="0"/>
      <w:marRight w:val="0"/>
      <w:marTop w:val="0"/>
      <w:marBottom w:val="0"/>
      <w:divBdr>
        <w:top w:val="none" w:sz="0" w:space="0" w:color="auto"/>
        <w:left w:val="none" w:sz="0" w:space="0" w:color="auto"/>
        <w:bottom w:val="none" w:sz="0" w:space="0" w:color="auto"/>
        <w:right w:val="none" w:sz="0" w:space="0" w:color="auto"/>
      </w:divBdr>
    </w:div>
    <w:div w:id="2058969911">
      <w:bodyDiv w:val="1"/>
      <w:marLeft w:val="0"/>
      <w:marRight w:val="0"/>
      <w:marTop w:val="0"/>
      <w:marBottom w:val="0"/>
      <w:divBdr>
        <w:top w:val="none" w:sz="0" w:space="0" w:color="auto"/>
        <w:left w:val="none" w:sz="0" w:space="0" w:color="auto"/>
        <w:bottom w:val="none" w:sz="0" w:space="0" w:color="auto"/>
        <w:right w:val="none" w:sz="0" w:space="0" w:color="auto"/>
      </w:divBdr>
    </w:div>
    <w:div w:id="2059357001">
      <w:bodyDiv w:val="1"/>
      <w:marLeft w:val="0"/>
      <w:marRight w:val="0"/>
      <w:marTop w:val="0"/>
      <w:marBottom w:val="0"/>
      <w:divBdr>
        <w:top w:val="none" w:sz="0" w:space="0" w:color="auto"/>
        <w:left w:val="none" w:sz="0" w:space="0" w:color="auto"/>
        <w:bottom w:val="none" w:sz="0" w:space="0" w:color="auto"/>
        <w:right w:val="none" w:sz="0" w:space="0" w:color="auto"/>
      </w:divBdr>
    </w:div>
    <w:div w:id="2061516565">
      <w:bodyDiv w:val="1"/>
      <w:marLeft w:val="0"/>
      <w:marRight w:val="0"/>
      <w:marTop w:val="0"/>
      <w:marBottom w:val="0"/>
      <w:divBdr>
        <w:top w:val="none" w:sz="0" w:space="0" w:color="auto"/>
        <w:left w:val="none" w:sz="0" w:space="0" w:color="auto"/>
        <w:bottom w:val="none" w:sz="0" w:space="0" w:color="auto"/>
        <w:right w:val="none" w:sz="0" w:space="0" w:color="auto"/>
      </w:divBdr>
    </w:div>
    <w:div w:id="2062248859">
      <w:bodyDiv w:val="1"/>
      <w:marLeft w:val="0"/>
      <w:marRight w:val="0"/>
      <w:marTop w:val="0"/>
      <w:marBottom w:val="0"/>
      <w:divBdr>
        <w:top w:val="none" w:sz="0" w:space="0" w:color="auto"/>
        <w:left w:val="none" w:sz="0" w:space="0" w:color="auto"/>
        <w:bottom w:val="none" w:sz="0" w:space="0" w:color="auto"/>
        <w:right w:val="none" w:sz="0" w:space="0" w:color="auto"/>
      </w:divBdr>
    </w:div>
    <w:div w:id="2063359585">
      <w:bodyDiv w:val="1"/>
      <w:marLeft w:val="0"/>
      <w:marRight w:val="0"/>
      <w:marTop w:val="0"/>
      <w:marBottom w:val="0"/>
      <w:divBdr>
        <w:top w:val="none" w:sz="0" w:space="0" w:color="auto"/>
        <w:left w:val="none" w:sz="0" w:space="0" w:color="auto"/>
        <w:bottom w:val="none" w:sz="0" w:space="0" w:color="auto"/>
        <w:right w:val="none" w:sz="0" w:space="0" w:color="auto"/>
      </w:divBdr>
    </w:div>
    <w:div w:id="2063753180">
      <w:bodyDiv w:val="1"/>
      <w:marLeft w:val="0"/>
      <w:marRight w:val="0"/>
      <w:marTop w:val="0"/>
      <w:marBottom w:val="0"/>
      <w:divBdr>
        <w:top w:val="none" w:sz="0" w:space="0" w:color="auto"/>
        <w:left w:val="none" w:sz="0" w:space="0" w:color="auto"/>
        <w:bottom w:val="none" w:sz="0" w:space="0" w:color="auto"/>
        <w:right w:val="none" w:sz="0" w:space="0" w:color="auto"/>
      </w:divBdr>
    </w:div>
    <w:div w:id="2063871350">
      <w:bodyDiv w:val="1"/>
      <w:marLeft w:val="0"/>
      <w:marRight w:val="0"/>
      <w:marTop w:val="0"/>
      <w:marBottom w:val="0"/>
      <w:divBdr>
        <w:top w:val="none" w:sz="0" w:space="0" w:color="auto"/>
        <w:left w:val="none" w:sz="0" w:space="0" w:color="auto"/>
        <w:bottom w:val="none" w:sz="0" w:space="0" w:color="auto"/>
        <w:right w:val="none" w:sz="0" w:space="0" w:color="auto"/>
      </w:divBdr>
    </w:div>
    <w:div w:id="2066030094">
      <w:bodyDiv w:val="1"/>
      <w:marLeft w:val="0"/>
      <w:marRight w:val="0"/>
      <w:marTop w:val="0"/>
      <w:marBottom w:val="0"/>
      <w:divBdr>
        <w:top w:val="none" w:sz="0" w:space="0" w:color="auto"/>
        <w:left w:val="none" w:sz="0" w:space="0" w:color="auto"/>
        <w:bottom w:val="none" w:sz="0" w:space="0" w:color="auto"/>
        <w:right w:val="none" w:sz="0" w:space="0" w:color="auto"/>
      </w:divBdr>
    </w:div>
    <w:div w:id="2066106110">
      <w:bodyDiv w:val="1"/>
      <w:marLeft w:val="0"/>
      <w:marRight w:val="0"/>
      <w:marTop w:val="0"/>
      <w:marBottom w:val="0"/>
      <w:divBdr>
        <w:top w:val="none" w:sz="0" w:space="0" w:color="auto"/>
        <w:left w:val="none" w:sz="0" w:space="0" w:color="auto"/>
        <w:bottom w:val="none" w:sz="0" w:space="0" w:color="auto"/>
        <w:right w:val="none" w:sz="0" w:space="0" w:color="auto"/>
      </w:divBdr>
    </w:div>
    <w:div w:id="2066365318">
      <w:bodyDiv w:val="1"/>
      <w:marLeft w:val="0"/>
      <w:marRight w:val="0"/>
      <w:marTop w:val="0"/>
      <w:marBottom w:val="0"/>
      <w:divBdr>
        <w:top w:val="none" w:sz="0" w:space="0" w:color="auto"/>
        <w:left w:val="none" w:sz="0" w:space="0" w:color="auto"/>
        <w:bottom w:val="none" w:sz="0" w:space="0" w:color="auto"/>
        <w:right w:val="none" w:sz="0" w:space="0" w:color="auto"/>
      </w:divBdr>
    </w:div>
    <w:div w:id="2067026977">
      <w:bodyDiv w:val="1"/>
      <w:marLeft w:val="0"/>
      <w:marRight w:val="0"/>
      <w:marTop w:val="0"/>
      <w:marBottom w:val="0"/>
      <w:divBdr>
        <w:top w:val="none" w:sz="0" w:space="0" w:color="auto"/>
        <w:left w:val="none" w:sz="0" w:space="0" w:color="auto"/>
        <w:bottom w:val="none" w:sz="0" w:space="0" w:color="auto"/>
        <w:right w:val="none" w:sz="0" w:space="0" w:color="auto"/>
      </w:divBdr>
    </w:div>
    <w:div w:id="2067676720">
      <w:bodyDiv w:val="1"/>
      <w:marLeft w:val="0"/>
      <w:marRight w:val="0"/>
      <w:marTop w:val="0"/>
      <w:marBottom w:val="0"/>
      <w:divBdr>
        <w:top w:val="none" w:sz="0" w:space="0" w:color="auto"/>
        <w:left w:val="none" w:sz="0" w:space="0" w:color="auto"/>
        <w:bottom w:val="none" w:sz="0" w:space="0" w:color="auto"/>
        <w:right w:val="none" w:sz="0" w:space="0" w:color="auto"/>
      </w:divBdr>
    </w:div>
    <w:div w:id="2069261619">
      <w:bodyDiv w:val="1"/>
      <w:marLeft w:val="0"/>
      <w:marRight w:val="0"/>
      <w:marTop w:val="0"/>
      <w:marBottom w:val="0"/>
      <w:divBdr>
        <w:top w:val="none" w:sz="0" w:space="0" w:color="auto"/>
        <w:left w:val="none" w:sz="0" w:space="0" w:color="auto"/>
        <w:bottom w:val="none" w:sz="0" w:space="0" w:color="auto"/>
        <w:right w:val="none" w:sz="0" w:space="0" w:color="auto"/>
      </w:divBdr>
    </w:div>
    <w:div w:id="2070492445">
      <w:bodyDiv w:val="1"/>
      <w:marLeft w:val="0"/>
      <w:marRight w:val="0"/>
      <w:marTop w:val="0"/>
      <w:marBottom w:val="0"/>
      <w:divBdr>
        <w:top w:val="none" w:sz="0" w:space="0" w:color="auto"/>
        <w:left w:val="none" w:sz="0" w:space="0" w:color="auto"/>
        <w:bottom w:val="none" w:sz="0" w:space="0" w:color="auto"/>
        <w:right w:val="none" w:sz="0" w:space="0" w:color="auto"/>
      </w:divBdr>
    </w:div>
    <w:div w:id="2070836725">
      <w:bodyDiv w:val="1"/>
      <w:marLeft w:val="0"/>
      <w:marRight w:val="0"/>
      <w:marTop w:val="0"/>
      <w:marBottom w:val="0"/>
      <w:divBdr>
        <w:top w:val="none" w:sz="0" w:space="0" w:color="auto"/>
        <w:left w:val="none" w:sz="0" w:space="0" w:color="auto"/>
        <w:bottom w:val="none" w:sz="0" w:space="0" w:color="auto"/>
        <w:right w:val="none" w:sz="0" w:space="0" w:color="auto"/>
      </w:divBdr>
    </w:div>
    <w:div w:id="2070959236">
      <w:bodyDiv w:val="1"/>
      <w:marLeft w:val="0"/>
      <w:marRight w:val="0"/>
      <w:marTop w:val="0"/>
      <w:marBottom w:val="0"/>
      <w:divBdr>
        <w:top w:val="none" w:sz="0" w:space="0" w:color="auto"/>
        <w:left w:val="none" w:sz="0" w:space="0" w:color="auto"/>
        <w:bottom w:val="none" w:sz="0" w:space="0" w:color="auto"/>
        <w:right w:val="none" w:sz="0" w:space="0" w:color="auto"/>
      </w:divBdr>
    </w:div>
    <w:div w:id="2072578496">
      <w:bodyDiv w:val="1"/>
      <w:marLeft w:val="0"/>
      <w:marRight w:val="0"/>
      <w:marTop w:val="0"/>
      <w:marBottom w:val="0"/>
      <w:divBdr>
        <w:top w:val="none" w:sz="0" w:space="0" w:color="auto"/>
        <w:left w:val="none" w:sz="0" w:space="0" w:color="auto"/>
        <w:bottom w:val="none" w:sz="0" w:space="0" w:color="auto"/>
        <w:right w:val="none" w:sz="0" w:space="0" w:color="auto"/>
      </w:divBdr>
    </w:div>
    <w:div w:id="2073499969">
      <w:bodyDiv w:val="1"/>
      <w:marLeft w:val="0"/>
      <w:marRight w:val="0"/>
      <w:marTop w:val="0"/>
      <w:marBottom w:val="0"/>
      <w:divBdr>
        <w:top w:val="none" w:sz="0" w:space="0" w:color="auto"/>
        <w:left w:val="none" w:sz="0" w:space="0" w:color="auto"/>
        <w:bottom w:val="none" w:sz="0" w:space="0" w:color="auto"/>
        <w:right w:val="none" w:sz="0" w:space="0" w:color="auto"/>
      </w:divBdr>
    </w:div>
    <w:div w:id="2074039467">
      <w:bodyDiv w:val="1"/>
      <w:marLeft w:val="0"/>
      <w:marRight w:val="0"/>
      <w:marTop w:val="0"/>
      <w:marBottom w:val="0"/>
      <w:divBdr>
        <w:top w:val="none" w:sz="0" w:space="0" w:color="auto"/>
        <w:left w:val="none" w:sz="0" w:space="0" w:color="auto"/>
        <w:bottom w:val="none" w:sz="0" w:space="0" w:color="auto"/>
        <w:right w:val="none" w:sz="0" w:space="0" w:color="auto"/>
      </w:divBdr>
    </w:div>
    <w:div w:id="2076396867">
      <w:bodyDiv w:val="1"/>
      <w:marLeft w:val="0"/>
      <w:marRight w:val="0"/>
      <w:marTop w:val="0"/>
      <w:marBottom w:val="0"/>
      <w:divBdr>
        <w:top w:val="none" w:sz="0" w:space="0" w:color="auto"/>
        <w:left w:val="none" w:sz="0" w:space="0" w:color="auto"/>
        <w:bottom w:val="none" w:sz="0" w:space="0" w:color="auto"/>
        <w:right w:val="none" w:sz="0" w:space="0" w:color="auto"/>
      </w:divBdr>
    </w:div>
    <w:div w:id="2076656937">
      <w:bodyDiv w:val="1"/>
      <w:marLeft w:val="0"/>
      <w:marRight w:val="0"/>
      <w:marTop w:val="0"/>
      <w:marBottom w:val="0"/>
      <w:divBdr>
        <w:top w:val="none" w:sz="0" w:space="0" w:color="auto"/>
        <w:left w:val="none" w:sz="0" w:space="0" w:color="auto"/>
        <w:bottom w:val="none" w:sz="0" w:space="0" w:color="auto"/>
        <w:right w:val="none" w:sz="0" w:space="0" w:color="auto"/>
      </w:divBdr>
    </w:div>
    <w:div w:id="2076657325">
      <w:bodyDiv w:val="1"/>
      <w:marLeft w:val="0"/>
      <w:marRight w:val="0"/>
      <w:marTop w:val="0"/>
      <w:marBottom w:val="0"/>
      <w:divBdr>
        <w:top w:val="none" w:sz="0" w:space="0" w:color="auto"/>
        <w:left w:val="none" w:sz="0" w:space="0" w:color="auto"/>
        <w:bottom w:val="none" w:sz="0" w:space="0" w:color="auto"/>
        <w:right w:val="none" w:sz="0" w:space="0" w:color="auto"/>
      </w:divBdr>
    </w:div>
    <w:div w:id="2077780385">
      <w:bodyDiv w:val="1"/>
      <w:marLeft w:val="0"/>
      <w:marRight w:val="0"/>
      <w:marTop w:val="0"/>
      <w:marBottom w:val="0"/>
      <w:divBdr>
        <w:top w:val="none" w:sz="0" w:space="0" w:color="auto"/>
        <w:left w:val="none" w:sz="0" w:space="0" w:color="auto"/>
        <w:bottom w:val="none" w:sz="0" w:space="0" w:color="auto"/>
        <w:right w:val="none" w:sz="0" w:space="0" w:color="auto"/>
      </w:divBdr>
    </w:div>
    <w:div w:id="2078085011">
      <w:bodyDiv w:val="1"/>
      <w:marLeft w:val="0"/>
      <w:marRight w:val="0"/>
      <w:marTop w:val="0"/>
      <w:marBottom w:val="0"/>
      <w:divBdr>
        <w:top w:val="none" w:sz="0" w:space="0" w:color="auto"/>
        <w:left w:val="none" w:sz="0" w:space="0" w:color="auto"/>
        <w:bottom w:val="none" w:sz="0" w:space="0" w:color="auto"/>
        <w:right w:val="none" w:sz="0" w:space="0" w:color="auto"/>
      </w:divBdr>
    </w:div>
    <w:div w:id="2078702422">
      <w:bodyDiv w:val="1"/>
      <w:marLeft w:val="0"/>
      <w:marRight w:val="0"/>
      <w:marTop w:val="0"/>
      <w:marBottom w:val="0"/>
      <w:divBdr>
        <w:top w:val="none" w:sz="0" w:space="0" w:color="auto"/>
        <w:left w:val="none" w:sz="0" w:space="0" w:color="auto"/>
        <w:bottom w:val="none" w:sz="0" w:space="0" w:color="auto"/>
        <w:right w:val="none" w:sz="0" w:space="0" w:color="auto"/>
      </w:divBdr>
    </w:div>
    <w:div w:id="2078703609">
      <w:bodyDiv w:val="1"/>
      <w:marLeft w:val="0"/>
      <w:marRight w:val="0"/>
      <w:marTop w:val="0"/>
      <w:marBottom w:val="0"/>
      <w:divBdr>
        <w:top w:val="none" w:sz="0" w:space="0" w:color="auto"/>
        <w:left w:val="none" w:sz="0" w:space="0" w:color="auto"/>
        <w:bottom w:val="none" w:sz="0" w:space="0" w:color="auto"/>
        <w:right w:val="none" w:sz="0" w:space="0" w:color="auto"/>
      </w:divBdr>
    </w:div>
    <w:div w:id="2079133898">
      <w:bodyDiv w:val="1"/>
      <w:marLeft w:val="0"/>
      <w:marRight w:val="0"/>
      <w:marTop w:val="0"/>
      <w:marBottom w:val="0"/>
      <w:divBdr>
        <w:top w:val="none" w:sz="0" w:space="0" w:color="auto"/>
        <w:left w:val="none" w:sz="0" w:space="0" w:color="auto"/>
        <w:bottom w:val="none" w:sz="0" w:space="0" w:color="auto"/>
        <w:right w:val="none" w:sz="0" w:space="0" w:color="auto"/>
      </w:divBdr>
    </w:div>
    <w:div w:id="2079474794">
      <w:bodyDiv w:val="1"/>
      <w:marLeft w:val="0"/>
      <w:marRight w:val="0"/>
      <w:marTop w:val="0"/>
      <w:marBottom w:val="0"/>
      <w:divBdr>
        <w:top w:val="none" w:sz="0" w:space="0" w:color="auto"/>
        <w:left w:val="none" w:sz="0" w:space="0" w:color="auto"/>
        <w:bottom w:val="none" w:sz="0" w:space="0" w:color="auto"/>
        <w:right w:val="none" w:sz="0" w:space="0" w:color="auto"/>
      </w:divBdr>
    </w:div>
    <w:div w:id="2080134508">
      <w:bodyDiv w:val="1"/>
      <w:marLeft w:val="0"/>
      <w:marRight w:val="0"/>
      <w:marTop w:val="0"/>
      <w:marBottom w:val="0"/>
      <w:divBdr>
        <w:top w:val="none" w:sz="0" w:space="0" w:color="auto"/>
        <w:left w:val="none" w:sz="0" w:space="0" w:color="auto"/>
        <w:bottom w:val="none" w:sz="0" w:space="0" w:color="auto"/>
        <w:right w:val="none" w:sz="0" w:space="0" w:color="auto"/>
      </w:divBdr>
    </w:div>
    <w:div w:id="2081364159">
      <w:bodyDiv w:val="1"/>
      <w:marLeft w:val="0"/>
      <w:marRight w:val="0"/>
      <w:marTop w:val="0"/>
      <w:marBottom w:val="0"/>
      <w:divBdr>
        <w:top w:val="none" w:sz="0" w:space="0" w:color="auto"/>
        <w:left w:val="none" w:sz="0" w:space="0" w:color="auto"/>
        <w:bottom w:val="none" w:sz="0" w:space="0" w:color="auto"/>
        <w:right w:val="none" w:sz="0" w:space="0" w:color="auto"/>
      </w:divBdr>
    </w:div>
    <w:div w:id="2083022355">
      <w:bodyDiv w:val="1"/>
      <w:marLeft w:val="0"/>
      <w:marRight w:val="0"/>
      <w:marTop w:val="0"/>
      <w:marBottom w:val="0"/>
      <w:divBdr>
        <w:top w:val="none" w:sz="0" w:space="0" w:color="auto"/>
        <w:left w:val="none" w:sz="0" w:space="0" w:color="auto"/>
        <w:bottom w:val="none" w:sz="0" w:space="0" w:color="auto"/>
        <w:right w:val="none" w:sz="0" w:space="0" w:color="auto"/>
      </w:divBdr>
    </w:div>
    <w:div w:id="2084251996">
      <w:bodyDiv w:val="1"/>
      <w:marLeft w:val="0"/>
      <w:marRight w:val="0"/>
      <w:marTop w:val="0"/>
      <w:marBottom w:val="0"/>
      <w:divBdr>
        <w:top w:val="none" w:sz="0" w:space="0" w:color="auto"/>
        <w:left w:val="none" w:sz="0" w:space="0" w:color="auto"/>
        <w:bottom w:val="none" w:sz="0" w:space="0" w:color="auto"/>
        <w:right w:val="none" w:sz="0" w:space="0" w:color="auto"/>
      </w:divBdr>
    </w:div>
    <w:div w:id="2084523452">
      <w:bodyDiv w:val="1"/>
      <w:marLeft w:val="0"/>
      <w:marRight w:val="0"/>
      <w:marTop w:val="0"/>
      <w:marBottom w:val="0"/>
      <w:divBdr>
        <w:top w:val="none" w:sz="0" w:space="0" w:color="auto"/>
        <w:left w:val="none" w:sz="0" w:space="0" w:color="auto"/>
        <w:bottom w:val="none" w:sz="0" w:space="0" w:color="auto"/>
        <w:right w:val="none" w:sz="0" w:space="0" w:color="auto"/>
      </w:divBdr>
    </w:div>
    <w:div w:id="2085059358">
      <w:bodyDiv w:val="1"/>
      <w:marLeft w:val="0"/>
      <w:marRight w:val="0"/>
      <w:marTop w:val="0"/>
      <w:marBottom w:val="0"/>
      <w:divBdr>
        <w:top w:val="none" w:sz="0" w:space="0" w:color="auto"/>
        <w:left w:val="none" w:sz="0" w:space="0" w:color="auto"/>
        <w:bottom w:val="none" w:sz="0" w:space="0" w:color="auto"/>
        <w:right w:val="none" w:sz="0" w:space="0" w:color="auto"/>
      </w:divBdr>
    </w:div>
    <w:div w:id="2085295063">
      <w:bodyDiv w:val="1"/>
      <w:marLeft w:val="0"/>
      <w:marRight w:val="0"/>
      <w:marTop w:val="0"/>
      <w:marBottom w:val="0"/>
      <w:divBdr>
        <w:top w:val="none" w:sz="0" w:space="0" w:color="auto"/>
        <w:left w:val="none" w:sz="0" w:space="0" w:color="auto"/>
        <w:bottom w:val="none" w:sz="0" w:space="0" w:color="auto"/>
        <w:right w:val="none" w:sz="0" w:space="0" w:color="auto"/>
      </w:divBdr>
    </w:div>
    <w:div w:id="2085713951">
      <w:bodyDiv w:val="1"/>
      <w:marLeft w:val="0"/>
      <w:marRight w:val="0"/>
      <w:marTop w:val="0"/>
      <w:marBottom w:val="0"/>
      <w:divBdr>
        <w:top w:val="none" w:sz="0" w:space="0" w:color="auto"/>
        <w:left w:val="none" w:sz="0" w:space="0" w:color="auto"/>
        <w:bottom w:val="none" w:sz="0" w:space="0" w:color="auto"/>
        <w:right w:val="none" w:sz="0" w:space="0" w:color="auto"/>
      </w:divBdr>
    </w:div>
    <w:div w:id="2086030375">
      <w:bodyDiv w:val="1"/>
      <w:marLeft w:val="0"/>
      <w:marRight w:val="0"/>
      <w:marTop w:val="0"/>
      <w:marBottom w:val="0"/>
      <w:divBdr>
        <w:top w:val="none" w:sz="0" w:space="0" w:color="auto"/>
        <w:left w:val="none" w:sz="0" w:space="0" w:color="auto"/>
        <w:bottom w:val="none" w:sz="0" w:space="0" w:color="auto"/>
        <w:right w:val="none" w:sz="0" w:space="0" w:color="auto"/>
      </w:divBdr>
    </w:div>
    <w:div w:id="2086996444">
      <w:bodyDiv w:val="1"/>
      <w:marLeft w:val="0"/>
      <w:marRight w:val="0"/>
      <w:marTop w:val="0"/>
      <w:marBottom w:val="0"/>
      <w:divBdr>
        <w:top w:val="none" w:sz="0" w:space="0" w:color="auto"/>
        <w:left w:val="none" w:sz="0" w:space="0" w:color="auto"/>
        <w:bottom w:val="none" w:sz="0" w:space="0" w:color="auto"/>
        <w:right w:val="none" w:sz="0" w:space="0" w:color="auto"/>
      </w:divBdr>
    </w:div>
    <w:div w:id="2087068776">
      <w:bodyDiv w:val="1"/>
      <w:marLeft w:val="0"/>
      <w:marRight w:val="0"/>
      <w:marTop w:val="0"/>
      <w:marBottom w:val="0"/>
      <w:divBdr>
        <w:top w:val="none" w:sz="0" w:space="0" w:color="auto"/>
        <w:left w:val="none" w:sz="0" w:space="0" w:color="auto"/>
        <w:bottom w:val="none" w:sz="0" w:space="0" w:color="auto"/>
        <w:right w:val="none" w:sz="0" w:space="0" w:color="auto"/>
      </w:divBdr>
    </w:div>
    <w:div w:id="2087267648">
      <w:bodyDiv w:val="1"/>
      <w:marLeft w:val="0"/>
      <w:marRight w:val="0"/>
      <w:marTop w:val="0"/>
      <w:marBottom w:val="0"/>
      <w:divBdr>
        <w:top w:val="none" w:sz="0" w:space="0" w:color="auto"/>
        <w:left w:val="none" w:sz="0" w:space="0" w:color="auto"/>
        <w:bottom w:val="none" w:sz="0" w:space="0" w:color="auto"/>
        <w:right w:val="none" w:sz="0" w:space="0" w:color="auto"/>
      </w:divBdr>
    </w:div>
    <w:div w:id="2087457681">
      <w:bodyDiv w:val="1"/>
      <w:marLeft w:val="0"/>
      <w:marRight w:val="0"/>
      <w:marTop w:val="0"/>
      <w:marBottom w:val="0"/>
      <w:divBdr>
        <w:top w:val="none" w:sz="0" w:space="0" w:color="auto"/>
        <w:left w:val="none" w:sz="0" w:space="0" w:color="auto"/>
        <w:bottom w:val="none" w:sz="0" w:space="0" w:color="auto"/>
        <w:right w:val="none" w:sz="0" w:space="0" w:color="auto"/>
      </w:divBdr>
    </w:div>
    <w:div w:id="2088261175">
      <w:bodyDiv w:val="1"/>
      <w:marLeft w:val="0"/>
      <w:marRight w:val="0"/>
      <w:marTop w:val="0"/>
      <w:marBottom w:val="0"/>
      <w:divBdr>
        <w:top w:val="none" w:sz="0" w:space="0" w:color="auto"/>
        <w:left w:val="none" w:sz="0" w:space="0" w:color="auto"/>
        <w:bottom w:val="none" w:sz="0" w:space="0" w:color="auto"/>
        <w:right w:val="none" w:sz="0" w:space="0" w:color="auto"/>
      </w:divBdr>
    </w:div>
    <w:div w:id="2089881440">
      <w:bodyDiv w:val="1"/>
      <w:marLeft w:val="0"/>
      <w:marRight w:val="0"/>
      <w:marTop w:val="0"/>
      <w:marBottom w:val="0"/>
      <w:divBdr>
        <w:top w:val="none" w:sz="0" w:space="0" w:color="auto"/>
        <w:left w:val="none" w:sz="0" w:space="0" w:color="auto"/>
        <w:bottom w:val="none" w:sz="0" w:space="0" w:color="auto"/>
        <w:right w:val="none" w:sz="0" w:space="0" w:color="auto"/>
      </w:divBdr>
    </w:div>
    <w:div w:id="2089885205">
      <w:bodyDiv w:val="1"/>
      <w:marLeft w:val="0"/>
      <w:marRight w:val="0"/>
      <w:marTop w:val="0"/>
      <w:marBottom w:val="0"/>
      <w:divBdr>
        <w:top w:val="none" w:sz="0" w:space="0" w:color="auto"/>
        <w:left w:val="none" w:sz="0" w:space="0" w:color="auto"/>
        <w:bottom w:val="none" w:sz="0" w:space="0" w:color="auto"/>
        <w:right w:val="none" w:sz="0" w:space="0" w:color="auto"/>
      </w:divBdr>
    </w:div>
    <w:div w:id="2090735068">
      <w:bodyDiv w:val="1"/>
      <w:marLeft w:val="0"/>
      <w:marRight w:val="0"/>
      <w:marTop w:val="0"/>
      <w:marBottom w:val="0"/>
      <w:divBdr>
        <w:top w:val="none" w:sz="0" w:space="0" w:color="auto"/>
        <w:left w:val="none" w:sz="0" w:space="0" w:color="auto"/>
        <w:bottom w:val="none" w:sz="0" w:space="0" w:color="auto"/>
        <w:right w:val="none" w:sz="0" w:space="0" w:color="auto"/>
      </w:divBdr>
    </w:div>
    <w:div w:id="2091077712">
      <w:bodyDiv w:val="1"/>
      <w:marLeft w:val="0"/>
      <w:marRight w:val="0"/>
      <w:marTop w:val="0"/>
      <w:marBottom w:val="0"/>
      <w:divBdr>
        <w:top w:val="none" w:sz="0" w:space="0" w:color="auto"/>
        <w:left w:val="none" w:sz="0" w:space="0" w:color="auto"/>
        <w:bottom w:val="none" w:sz="0" w:space="0" w:color="auto"/>
        <w:right w:val="none" w:sz="0" w:space="0" w:color="auto"/>
      </w:divBdr>
    </w:div>
    <w:div w:id="2092269311">
      <w:bodyDiv w:val="1"/>
      <w:marLeft w:val="0"/>
      <w:marRight w:val="0"/>
      <w:marTop w:val="0"/>
      <w:marBottom w:val="0"/>
      <w:divBdr>
        <w:top w:val="none" w:sz="0" w:space="0" w:color="auto"/>
        <w:left w:val="none" w:sz="0" w:space="0" w:color="auto"/>
        <w:bottom w:val="none" w:sz="0" w:space="0" w:color="auto"/>
        <w:right w:val="none" w:sz="0" w:space="0" w:color="auto"/>
      </w:divBdr>
    </w:div>
    <w:div w:id="2092778030">
      <w:bodyDiv w:val="1"/>
      <w:marLeft w:val="0"/>
      <w:marRight w:val="0"/>
      <w:marTop w:val="0"/>
      <w:marBottom w:val="0"/>
      <w:divBdr>
        <w:top w:val="none" w:sz="0" w:space="0" w:color="auto"/>
        <w:left w:val="none" w:sz="0" w:space="0" w:color="auto"/>
        <w:bottom w:val="none" w:sz="0" w:space="0" w:color="auto"/>
        <w:right w:val="none" w:sz="0" w:space="0" w:color="auto"/>
      </w:divBdr>
    </w:div>
    <w:div w:id="2093046124">
      <w:bodyDiv w:val="1"/>
      <w:marLeft w:val="0"/>
      <w:marRight w:val="0"/>
      <w:marTop w:val="0"/>
      <w:marBottom w:val="0"/>
      <w:divBdr>
        <w:top w:val="none" w:sz="0" w:space="0" w:color="auto"/>
        <w:left w:val="none" w:sz="0" w:space="0" w:color="auto"/>
        <w:bottom w:val="none" w:sz="0" w:space="0" w:color="auto"/>
        <w:right w:val="none" w:sz="0" w:space="0" w:color="auto"/>
      </w:divBdr>
    </w:div>
    <w:div w:id="2094038771">
      <w:bodyDiv w:val="1"/>
      <w:marLeft w:val="0"/>
      <w:marRight w:val="0"/>
      <w:marTop w:val="0"/>
      <w:marBottom w:val="0"/>
      <w:divBdr>
        <w:top w:val="none" w:sz="0" w:space="0" w:color="auto"/>
        <w:left w:val="none" w:sz="0" w:space="0" w:color="auto"/>
        <w:bottom w:val="none" w:sz="0" w:space="0" w:color="auto"/>
        <w:right w:val="none" w:sz="0" w:space="0" w:color="auto"/>
      </w:divBdr>
    </w:div>
    <w:div w:id="2094082430">
      <w:bodyDiv w:val="1"/>
      <w:marLeft w:val="0"/>
      <w:marRight w:val="0"/>
      <w:marTop w:val="0"/>
      <w:marBottom w:val="0"/>
      <w:divBdr>
        <w:top w:val="none" w:sz="0" w:space="0" w:color="auto"/>
        <w:left w:val="none" w:sz="0" w:space="0" w:color="auto"/>
        <w:bottom w:val="none" w:sz="0" w:space="0" w:color="auto"/>
        <w:right w:val="none" w:sz="0" w:space="0" w:color="auto"/>
      </w:divBdr>
    </w:div>
    <w:div w:id="2094155304">
      <w:bodyDiv w:val="1"/>
      <w:marLeft w:val="0"/>
      <w:marRight w:val="0"/>
      <w:marTop w:val="0"/>
      <w:marBottom w:val="0"/>
      <w:divBdr>
        <w:top w:val="none" w:sz="0" w:space="0" w:color="auto"/>
        <w:left w:val="none" w:sz="0" w:space="0" w:color="auto"/>
        <w:bottom w:val="none" w:sz="0" w:space="0" w:color="auto"/>
        <w:right w:val="none" w:sz="0" w:space="0" w:color="auto"/>
      </w:divBdr>
    </w:div>
    <w:div w:id="2094233593">
      <w:bodyDiv w:val="1"/>
      <w:marLeft w:val="0"/>
      <w:marRight w:val="0"/>
      <w:marTop w:val="0"/>
      <w:marBottom w:val="0"/>
      <w:divBdr>
        <w:top w:val="none" w:sz="0" w:space="0" w:color="auto"/>
        <w:left w:val="none" w:sz="0" w:space="0" w:color="auto"/>
        <w:bottom w:val="none" w:sz="0" w:space="0" w:color="auto"/>
        <w:right w:val="none" w:sz="0" w:space="0" w:color="auto"/>
      </w:divBdr>
    </w:div>
    <w:div w:id="2095320784">
      <w:bodyDiv w:val="1"/>
      <w:marLeft w:val="0"/>
      <w:marRight w:val="0"/>
      <w:marTop w:val="0"/>
      <w:marBottom w:val="0"/>
      <w:divBdr>
        <w:top w:val="none" w:sz="0" w:space="0" w:color="auto"/>
        <w:left w:val="none" w:sz="0" w:space="0" w:color="auto"/>
        <w:bottom w:val="none" w:sz="0" w:space="0" w:color="auto"/>
        <w:right w:val="none" w:sz="0" w:space="0" w:color="auto"/>
      </w:divBdr>
    </w:div>
    <w:div w:id="2095668035">
      <w:bodyDiv w:val="1"/>
      <w:marLeft w:val="0"/>
      <w:marRight w:val="0"/>
      <w:marTop w:val="0"/>
      <w:marBottom w:val="0"/>
      <w:divBdr>
        <w:top w:val="none" w:sz="0" w:space="0" w:color="auto"/>
        <w:left w:val="none" w:sz="0" w:space="0" w:color="auto"/>
        <w:bottom w:val="none" w:sz="0" w:space="0" w:color="auto"/>
        <w:right w:val="none" w:sz="0" w:space="0" w:color="auto"/>
      </w:divBdr>
    </w:div>
    <w:div w:id="2096239759">
      <w:bodyDiv w:val="1"/>
      <w:marLeft w:val="0"/>
      <w:marRight w:val="0"/>
      <w:marTop w:val="0"/>
      <w:marBottom w:val="0"/>
      <w:divBdr>
        <w:top w:val="none" w:sz="0" w:space="0" w:color="auto"/>
        <w:left w:val="none" w:sz="0" w:space="0" w:color="auto"/>
        <w:bottom w:val="none" w:sz="0" w:space="0" w:color="auto"/>
        <w:right w:val="none" w:sz="0" w:space="0" w:color="auto"/>
      </w:divBdr>
    </w:div>
    <w:div w:id="2096588600">
      <w:bodyDiv w:val="1"/>
      <w:marLeft w:val="0"/>
      <w:marRight w:val="0"/>
      <w:marTop w:val="0"/>
      <w:marBottom w:val="0"/>
      <w:divBdr>
        <w:top w:val="none" w:sz="0" w:space="0" w:color="auto"/>
        <w:left w:val="none" w:sz="0" w:space="0" w:color="auto"/>
        <w:bottom w:val="none" w:sz="0" w:space="0" w:color="auto"/>
        <w:right w:val="none" w:sz="0" w:space="0" w:color="auto"/>
      </w:divBdr>
    </w:div>
    <w:div w:id="2097437484">
      <w:bodyDiv w:val="1"/>
      <w:marLeft w:val="0"/>
      <w:marRight w:val="0"/>
      <w:marTop w:val="0"/>
      <w:marBottom w:val="0"/>
      <w:divBdr>
        <w:top w:val="none" w:sz="0" w:space="0" w:color="auto"/>
        <w:left w:val="none" w:sz="0" w:space="0" w:color="auto"/>
        <w:bottom w:val="none" w:sz="0" w:space="0" w:color="auto"/>
        <w:right w:val="none" w:sz="0" w:space="0" w:color="auto"/>
      </w:divBdr>
    </w:div>
    <w:div w:id="2098673270">
      <w:bodyDiv w:val="1"/>
      <w:marLeft w:val="0"/>
      <w:marRight w:val="0"/>
      <w:marTop w:val="0"/>
      <w:marBottom w:val="0"/>
      <w:divBdr>
        <w:top w:val="none" w:sz="0" w:space="0" w:color="auto"/>
        <w:left w:val="none" w:sz="0" w:space="0" w:color="auto"/>
        <w:bottom w:val="none" w:sz="0" w:space="0" w:color="auto"/>
        <w:right w:val="none" w:sz="0" w:space="0" w:color="auto"/>
      </w:divBdr>
    </w:div>
    <w:div w:id="2099210740">
      <w:bodyDiv w:val="1"/>
      <w:marLeft w:val="0"/>
      <w:marRight w:val="0"/>
      <w:marTop w:val="0"/>
      <w:marBottom w:val="0"/>
      <w:divBdr>
        <w:top w:val="none" w:sz="0" w:space="0" w:color="auto"/>
        <w:left w:val="none" w:sz="0" w:space="0" w:color="auto"/>
        <w:bottom w:val="none" w:sz="0" w:space="0" w:color="auto"/>
        <w:right w:val="none" w:sz="0" w:space="0" w:color="auto"/>
      </w:divBdr>
    </w:div>
    <w:div w:id="2099446406">
      <w:bodyDiv w:val="1"/>
      <w:marLeft w:val="0"/>
      <w:marRight w:val="0"/>
      <w:marTop w:val="0"/>
      <w:marBottom w:val="0"/>
      <w:divBdr>
        <w:top w:val="none" w:sz="0" w:space="0" w:color="auto"/>
        <w:left w:val="none" w:sz="0" w:space="0" w:color="auto"/>
        <w:bottom w:val="none" w:sz="0" w:space="0" w:color="auto"/>
        <w:right w:val="none" w:sz="0" w:space="0" w:color="auto"/>
      </w:divBdr>
    </w:div>
    <w:div w:id="2099906443">
      <w:bodyDiv w:val="1"/>
      <w:marLeft w:val="0"/>
      <w:marRight w:val="0"/>
      <w:marTop w:val="0"/>
      <w:marBottom w:val="0"/>
      <w:divBdr>
        <w:top w:val="none" w:sz="0" w:space="0" w:color="auto"/>
        <w:left w:val="none" w:sz="0" w:space="0" w:color="auto"/>
        <w:bottom w:val="none" w:sz="0" w:space="0" w:color="auto"/>
        <w:right w:val="none" w:sz="0" w:space="0" w:color="auto"/>
      </w:divBdr>
    </w:div>
    <w:div w:id="2100365110">
      <w:bodyDiv w:val="1"/>
      <w:marLeft w:val="0"/>
      <w:marRight w:val="0"/>
      <w:marTop w:val="0"/>
      <w:marBottom w:val="0"/>
      <w:divBdr>
        <w:top w:val="none" w:sz="0" w:space="0" w:color="auto"/>
        <w:left w:val="none" w:sz="0" w:space="0" w:color="auto"/>
        <w:bottom w:val="none" w:sz="0" w:space="0" w:color="auto"/>
        <w:right w:val="none" w:sz="0" w:space="0" w:color="auto"/>
      </w:divBdr>
    </w:div>
    <w:div w:id="2100786787">
      <w:bodyDiv w:val="1"/>
      <w:marLeft w:val="0"/>
      <w:marRight w:val="0"/>
      <w:marTop w:val="0"/>
      <w:marBottom w:val="0"/>
      <w:divBdr>
        <w:top w:val="none" w:sz="0" w:space="0" w:color="auto"/>
        <w:left w:val="none" w:sz="0" w:space="0" w:color="auto"/>
        <w:bottom w:val="none" w:sz="0" w:space="0" w:color="auto"/>
        <w:right w:val="none" w:sz="0" w:space="0" w:color="auto"/>
      </w:divBdr>
    </w:div>
    <w:div w:id="2100833956">
      <w:bodyDiv w:val="1"/>
      <w:marLeft w:val="0"/>
      <w:marRight w:val="0"/>
      <w:marTop w:val="0"/>
      <w:marBottom w:val="0"/>
      <w:divBdr>
        <w:top w:val="none" w:sz="0" w:space="0" w:color="auto"/>
        <w:left w:val="none" w:sz="0" w:space="0" w:color="auto"/>
        <w:bottom w:val="none" w:sz="0" w:space="0" w:color="auto"/>
        <w:right w:val="none" w:sz="0" w:space="0" w:color="auto"/>
      </w:divBdr>
    </w:div>
    <w:div w:id="2101439822">
      <w:bodyDiv w:val="1"/>
      <w:marLeft w:val="0"/>
      <w:marRight w:val="0"/>
      <w:marTop w:val="0"/>
      <w:marBottom w:val="0"/>
      <w:divBdr>
        <w:top w:val="none" w:sz="0" w:space="0" w:color="auto"/>
        <w:left w:val="none" w:sz="0" w:space="0" w:color="auto"/>
        <w:bottom w:val="none" w:sz="0" w:space="0" w:color="auto"/>
        <w:right w:val="none" w:sz="0" w:space="0" w:color="auto"/>
      </w:divBdr>
    </w:div>
    <w:div w:id="2101682018">
      <w:bodyDiv w:val="1"/>
      <w:marLeft w:val="0"/>
      <w:marRight w:val="0"/>
      <w:marTop w:val="0"/>
      <w:marBottom w:val="0"/>
      <w:divBdr>
        <w:top w:val="none" w:sz="0" w:space="0" w:color="auto"/>
        <w:left w:val="none" w:sz="0" w:space="0" w:color="auto"/>
        <w:bottom w:val="none" w:sz="0" w:space="0" w:color="auto"/>
        <w:right w:val="none" w:sz="0" w:space="0" w:color="auto"/>
      </w:divBdr>
    </w:div>
    <w:div w:id="2101757632">
      <w:bodyDiv w:val="1"/>
      <w:marLeft w:val="0"/>
      <w:marRight w:val="0"/>
      <w:marTop w:val="0"/>
      <w:marBottom w:val="0"/>
      <w:divBdr>
        <w:top w:val="none" w:sz="0" w:space="0" w:color="auto"/>
        <w:left w:val="none" w:sz="0" w:space="0" w:color="auto"/>
        <w:bottom w:val="none" w:sz="0" w:space="0" w:color="auto"/>
        <w:right w:val="none" w:sz="0" w:space="0" w:color="auto"/>
      </w:divBdr>
    </w:div>
    <w:div w:id="2101951732">
      <w:bodyDiv w:val="1"/>
      <w:marLeft w:val="0"/>
      <w:marRight w:val="0"/>
      <w:marTop w:val="0"/>
      <w:marBottom w:val="0"/>
      <w:divBdr>
        <w:top w:val="none" w:sz="0" w:space="0" w:color="auto"/>
        <w:left w:val="none" w:sz="0" w:space="0" w:color="auto"/>
        <w:bottom w:val="none" w:sz="0" w:space="0" w:color="auto"/>
        <w:right w:val="none" w:sz="0" w:space="0" w:color="auto"/>
      </w:divBdr>
    </w:div>
    <w:div w:id="2102409773">
      <w:bodyDiv w:val="1"/>
      <w:marLeft w:val="0"/>
      <w:marRight w:val="0"/>
      <w:marTop w:val="0"/>
      <w:marBottom w:val="0"/>
      <w:divBdr>
        <w:top w:val="none" w:sz="0" w:space="0" w:color="auto"/>
        <w:left w:val="none" w:sz="0" w:space="0" w:color="auto"/>
        <w:bottom w:val="none" w:sz="0" w:space="0" w:color="auto"/>
        <w:right w:val="none" w:sz="0" w:space="0" w:color="auto"/>
      </w:divBdr>
    </w:div>
    <w:div w:id="2103065681">
      <w:bodyDiv w:val="1"/>
      <w:marLeft w:val="0"/>
      <w:marRight w:val="0"/>
      <w:marTop w:val="0"/>
      <w:marBottom w:val="0"/>
      <w:divBdr>
        <w:top w:val="none" w:sz="0" w:space="0" w:color="auto"/>
        <w:left w:val="none" w:sz="0" w:space="0" w:color="auto"/>
        <w:bottom w:val="none" w:sz="0" w:space="0" w:color="auto"/>
        <w:right w:val="none" w:sz="0" w:space="0" w:color="auto"/>
      </w:divBdr>
    </w:div>
    <w:div w:id="2103528627">
      <w:bodyDiv w:val="1"/>
      <w:marLeft w:val="0"/>
      <w:marRight w:val="0"/>
      <w:marTop w:val="0"/>
      <w:marBottom w:val="0"/>
      <w:divBdr>
        <w:top w:val="none" w:sz="0" w:space="0" w:color="auto"/>
        <w:left w:val="none" w:sz="0" w:space="0" w:color="auto"/>
        <w:bottom w:val="none" w:sz="0" w:space="0" w:color="auto"/>
        <w:right w:val="none" w:sz="0" w:space="0" w:color="auto"/>
      </w:divBdr>
    </w:div>
    <w:div w:id="2103795771">
      <w:bodyDiv w:val="1"/>
      <w:marLeft w:val="0"/>
      <w:marRight w:val="0"/>
      <w:marTop w:val="0"/>
      <w:marBottom w:val="0"/>
      <w:divBdr>
        <w:top w:val="none" w:sz="0" w:space="0" w:color="auto"/>
        <w:left w:val="none" w:sz="0" w:space="0" w:color="auto"/>
        <w:bottom w:val="none" w:sz="0" w:space="0" w:color="auto"/>
        <w:right w:val="none" w:sz="0" w:space="0" w:color="auto"/>
      </w:divBdr>
    </w:div>
    <w:div w:id="2104835051">
      <w:bodyDiv w:val="1"/>
      <w:marLeft w:val="0"/>
      <w:marRight w:val="0"/>
      <w:marTop w:val="0"/>
      <w:marBottom w:val="0"/>
      <w:divBdr>
        <w:top w:val="none" w:sz="0" w:space="0" w:color="auto"/>
        <w:left w:val="none" w:sz="0" w:space="0" w:color="auto"/>
        <w:bottom w:val="none" w:sz="0" w:space="0" w:color="auto"/>
        <w:right w:val="none" w:sz="0" w:space="0" w:color="auto"/>
      </w:divBdr>
    </w:div>
    <w:div w:id="2109428463">
      <w:bodyDiv w:val="1"/>
      <w:marLeft w:val="0"/>
      <w:marRight w:val="0"/>
      <w:marTop w:val="0"/>
      <w:marBottom w:val="0"/>
      <w:divBdr>
        <w:top w:val="none" w:sz="0" w:space="0" w:color="auto"/>
        <w:left w:val="none" w:sz="0" w:space="0" w:color="auto"/>
        <w:bottom w:val="none" w:sz="0" w:space="0" w:color="auto"/>
        <w:right w:val="none" w:sz="0" w:space="0" w:color="auto"/>
      </w:divBdr>
    </w:div>
    <w:div w:id="2111077692">
      <w:bodyDiv w:val="1"/>
      <w:marLeft w:val="0"/>
      <w:marRight w:val="0"/>
      <w:marTop w:val="0"/>
      <w:marBottom w:val="0"/>
      <w:divBdr>
        <w:top w:val="none" w:sz="0" w:space="0" w:color="auto"/>
        <w:left w:val="none" w:sz="0" w:space="0" w:color="auto"/>
        <w:bottom w:val="none" w:sz="0" w:space="0" w:color="auto"/>
        <w:right w:val="none" w:sz="0" w:space="0" w:color="auto"/>
      </w:divBdr>
    </w:div>
    <w:div w:id="2112317512">
      <w:bodyDiv w:val="1"/>
      <w:marLeft w:val="0"/>
      <w:marRight w:val="0"/>
      <w:marTop w:val="0"/>
      <w:marBottom w:val="0"/>
      <w:divBdr>
        <w:top w:val="none" w:sz="0" w:space="0" w:color="auto"/>
        <w:left w:val="none" w:sz="0" w:space="0" w:color="auto"/>
        <w:bottom w:val="none" w:sz="0" w:space="0" w:color="auto"/>
        <w:right w:val="none" w:sz="0" w:space="0" w:color="auto"/>
      </w:divBdr>
    </w:div>
    <w:div w:id="2112773331">
      <w:bodyDiv w:val="1"/>
      <w:marLeft w:val="0"/>
      <w:marRight w:val="0"/>
      <w:marTop w:val="0"/>
      <w:marBottom w:val="0"/>
      <w:divBdr>
        <w:top w:val="none" w:sz="0" w:space="0" w:color="auto"/>
        <w:left w:val="none" w:sz="0" w:space="0" w:color="auto"/>
        <w:bottom w:val="none" w:sz="0" w:space="0" w:color="auto"/>
        <w:right w:val="none" w:sz="0" w:space="0" w:color="auto"/>
      </w:divBdr>
    </w:div>
    <w:div w:id="2113622207">
      <w:bodyDiv w:val="1"/>
      <w:marLeft w:val="0"/>
      <w:marRight w:val="0"/>
      <w:marTop w:val="0"/>
      <w:marBottom w:val="0"/>
      <w:divBdr>
        <w:top w:val="none" w:sz="0" w:space="0" w:color="auto"/>
        <w:left w:val="none" w:sz="0" w:space="0" w:color="auto"/>
        <w:bottom w:val="none" w:sz="0" w:space="0" w:color="auto"/>
        <w:right w:val="none" w:sz="0" w:space="0" w:color="auto"/>
      </w:divBdr>
    </w:div>
    <w:div w:id="2113671407">
      <w:bodyDiv w:val="1"/>
      <w:marLeft w:val="0"/>
      <w:marRight w:val="0"/>
      <w:marTop w:val="0"/>
      <w:marBottom w:val="0"/>
      <w:divBdr>
        <w:top w:val="none" w:sz="0" w:space="0" w:color="auto"/>
        <w:left w:val="none" w:sz="0" w:space="0" w:color="auto"/>
        <w:bottom w:val="none" w:sz="0" w:space="0" w:color="auto"/>
        <w:right w:val="none" w:sz="0" w:space="0" w:color="auto"/>
      </w:divBdr>
    </w:div>
    <w:div w:id="2115592358">
      <w:bodyDiv w:val="1"/>
      <w:marLeft w:val="0"/>
      <w:marRight w:val="0"/>
      <w:marTop w:val="0"/>
      <w:marBottom w:val="0"/>
      <w:divBdr>
        <w:top w:val="none" w:sz="0" w:space="0" w:color="auto"/>
        <w:left w:val="none" w:sz="0" w:space="0" w:color="auto"/>
        <w:bottom w:val="none" w:sz="0" w:space="0" w:color="auto"/>
        <w:right w:val="none" w:sz="0" w:space="0" w:color="auto"/>
      </w:divBdr>
    </w:div>
    <w:div w:id="2115706941">
      <w:bodyDiv w:val="1"/>
      <w:marLeft w:val="0"/>
      <w:marRight w:val="0"/>
      <w:marTop w:val="0"/>
      <w:marBottom w:val="0"/>
      <w:divBdr>
        <w:top w:val="none" w:sz="0" w:space="0" w:color="auto"/>
        <w:left w:val="none" w:sz="0" w:space="0" w:color="auto"/>
        <w:bottom w:val="none" w:sz="0" w:space="0" w:color="auto"/>
        <w:right w:val="none" w:sz="0" w:space="0" w:color="auto"/>
      </w:divBdr>
    </w:div>
    <w:div w:id="2118332690">
      <w:bodyDiv w:val="1"/>
      <w:marLeft w:val="0"/>
      <w:marRight w:val="0"/>
      <w:marTop w:val="0"/>
      <w:marBottom w:val="0"/>
      <w:divBdr>
        <w:top w:val="none" w:sz="0" w:space="0" w:color="auto"/>
        <w:left w:val="none" w:sz="0" w:space="0" w:color="auto"/>
        <w:bottom w:val="none" w:sz="0" w:space="0" w:color="auto"/>
        <w:right w:val="none" w:sz="0" w:space="0" w:color="auto"/>
      </w:divBdr>
    </w:div>
    <w:div w:id="2118909993">
      <w:bodyDiv w:val="1"/>
      <w:marLeft w:val="0"/>
      <w:marRight w:val="0"/>
      <w:marTop w:val="0"/>
      <w:marBottom w:val="0"/>
      <w:divBdr>
        <w:top w:val="none" w:sz="0" w:space="0" w:color="auto"/>
        <w:left w:val="none" w:sz="0" w:space="0" w:color="auto"/>
        <w:bottom w:val="none" w:sz="0" w:space="0" w:color="auto"/>
        <w:right w:val="none" w:sz="0" w:space="0" w:color="auto"/>
      </w:divBdr>
    </w:div>
    <w:div w:id="2118981542">
      <w:bodyDiv w:val="1"/>
      <w:marLeft w:val="0"/>
      <w:marRight w:val="0"/>
      <w:marTop w:val="0"/>
      <w:marBottom w:val="0"/>
      <w:divBdr>
        <w:top w:val="none" w:sz="0" w:space="0" w:color="auto"/>
        <w:left w:val="none" w:sz="0" w:space="0" w:color="auto"/>
        <w:bottom w:val="none" w:sz="0" w:space="0" w:color="auto"/>
        <w:right w:val="none" w:sz="0" w:space="0" w:color="auto"/>
      </w:divBdr>
    </w:div>
    <w:div w:id="2119713881">
      <w:bodyDiv w:val="1"/>
      <w:marLeft w:val="0"/>
      <w:marRight w:val="0"/>
      <w:marTop w:val="0"/>
      <w:marBottom w:val="0"/>
      <w:divBdr>
        <w:top w:val="none" w:sz="0" w:space="0" w:color="auto"/>
        <w:left w:val="none" w:sz="0" w:space="0" w:color="auto"/>
        <w:bottom w:val="none" w:sz="0" w:space="0" w:color="auto"/>
        <w:right w:val="none" w:sz="0" w:space="0" w:color="auto"/>
      </w:divBdr>
    </w:div>
    <w:div w:id="2120030537">
      <w:bodyDiv w:val="1"/>
      <w:marLeft w:val="0"/>
      <w:marRight w:val="0"/>
      <w:marTop w:val="0"/>
      <w:marBottom w:val="0"/>
      <w:divBdr>
        <w:top w:val="none" w:sz="0" w:space="0" w:color="auto"/>
        <w:left w:val="none" w:sz="0" w:space="0" w:color="auto"/>
        <w:bottom w:val="none" w:sz="0" w:space="0" w:color="auto"/>
        <w:right w:val="none" w:sz="0" w:space="0" w:color="auto"/>
      </w:divBdr>
    </w:div>
    <w:div w:id="2120373401">
      <w:bodyDiv w:val="1"/>
      <w:marLeft w:val="0"/>
      <w:marRight w:val="0"/>
      <w:marTop w:val="0"/>
      <w:marBottom w:val="0"/>
      <w:divBdr>
        <w:top w:val="none" w:sz="0" w:space="0" w:color="auto"/>
        <w:left w:val="none" w:sz="0" w:space="0" w:color="auto"/>
        <w:bottom w:val="none" w:sz="0" w:space="0" w:color="auto"/>
        <w:right w:val="none" w:sz="0" w:space="0" w:color="auto"/>
      </w:divBdr>
    </w:div>
    <w:div w:id="2121336275">
      <w:bodyDiv w:val="1"/>
      <w:marLeft w:val="0"/>
      <w:marRight w:val="0"/>
      <w:marTop w:val="0"/>
      <w:marBottom w:val="0"/>
      <w:divBdr>
        <w:top w:val="none" w:sz="0" w:space="0" w:color="auto"/>
        <w:left w:val="none" w:sz="0" w:space="0" w:color="auto"/>
        <w:bottom w:val="none" w:sz="0" w:space="0" w:color="auto"/>
        <w:right w:val="none" w:sz="0" w:space="0" w:color="auto"/>
      </w:divBdr>
    </w:div>
    <w:div w:id="2124808992">
      <w:bodyDiv w:val="1"/>
      <w:marLeft w:val="0"/>
      <w:marRight w:val="0"/>
      <w:marTop w:val="0"/>
      <w:marBottom w:val="0"/>
      <w:divBdr>
        <w:top w:val="none" w:sz="0" w:space="0" w:color="auto"/>
        <w:left w:val="none" w:sz="0" w:space="0" w:color="auto"/>
        <w:bottom w:val="none" w:sz="0" w:space="0" w:color="auto"/>
        <w:right w:val="none" w:sz="0" w:space="0" w:color="auto"/>
      </w:divBdr>
    </w:div>
    <w:div w:id="2125880000">
      <w:bodyDiv w:val="1"/>
      <w:marLeft w:val="0"/>
      <w:marRight w:val="0"/>
      <w:marTop w:val="0"/>
      <w:marBottom w:val="0"/>
      <w:divBdr>
        <w:top w:val="none" w:sz="0" w:space="0" w:color="auto"/>
        <w:left w:val="none" w:sz="0" w:space="0" w:color="auto"/>
        <w:bottom w:val="none" w:sz="0" w:space="0" w:color="auto"/>
        <w:right w:val="none" w:sz="0" w:space="0" w:color="auto"/>
      </w:divBdr>
    </w:div>
    <w:div w:id="2126191934">
      <w:bodyDiv w:val="1"/>
      <w:marLeft w:val="0"/>
      <w:marRight w:val="0"/>
      <w:marTop w:val="0"/>
      <w:marBottom w:val="0"/>
      <w:divBdr>
        <w:top w:val="none" w:sz="0" w:space="0" w:color="auto"/>
        <w:left w:val="none" w:sz="0" w:space="0" w:color="auto"/>
        <w:bottom w:val="none" w:sz="0" w:space="0" w:color="auto"/>
        <w:right w:val="none" w:sz="0" w:space="0" w:color="auto"/>
      </w:divBdr>
    </w:div>
    <w:div w:id="2126535539">
      <w:bodyDiv w:val="1"/>
      <w:marLeft w:val="0"/>
      <w:marRight w:val="0"/>
      <w:marTop w:val="0"/>
      <w:marBottom w:val="0"/>
      <w:divBdr>
        <w:top w:val="none" w:sz="0" w:space="0" w:color="auto"/>
        <w:left w:val="none" w:sz="0" w:space="0" w:color="auto"/>
        <w:bottom w:val="none" w:sz="0" w:space="0" w:color="auto"/>
        <w:right w:val="none" w:sz="0" w:space="0" w:color="auto"/>
      </w:divBdr>
    </w:div>
    <w:div w:id="2126998711">
      <w:bodyDiv w:val="1"/>
      <w:marLeft w:val="0"/>
      <w:marRight w:val="0"/>
      <w:marTop w:val="0"/>
      <w:marBottom w:val="0"/>
      <w:divBdr>
        <w:top w:val="none" w:sz="0" w:space="0" w:color="auto"/>
        <w:left w:val="none" w:sz="0" w:space="0" w:color="auto"/>
        <w:bottom w:val="none" w:sz="0" w:space="0" w:color="auto"/>
        <w:right w:val="none" w:sz="0" w:space="0" w:color="auto"/>
      </w:divBdr>
    </w:div>
    <w:div w:id="2127191460">
      <w:bodyDiv w:val="1"/>
      <w:marLeft w:val="0"/>
      <w:marRight w:val="0"/>
      <w:marTop w:val="0"/>
      <w:marBottom w:val="0"/>
      <w:divBdr>
        <w:top w:val="none" w:sz="0" w:space="0" w:color="auto"/>
        <w:left w:val="none" w:sz="0" w:space="0" w:color="auto"/>
        <w:bottom w:val="none" w:sz="0" w:space="0" w:color="auto"/>
        <w:right w:val="none" w:sz="0" w:space="0" w:color="auto"/>
      </w:divBdr>
    </w:div>
    <w:div w:id="2127384821">
      <w:bodyDiv w:val="1"/>
      <w:marLeft w:val="0"/>
      <w:marRight w:val="0"/>
      <w:marTop w:val="0"/>
      <w:marBottom w:val="0"/>
      <w:divBdr>
        <w:top w:val="none" w:sz="0" w:space="0" w:color="auto"/>
        <w:left w:val="none" w:sz="0" w:space="0" w:color="auto"/>
        <w:bottom w:val="none" w:sz="0" w:space="0" w:color="auto"/>
        <w:right w:val="none" w:sz="0" w:space="0" w:color="auto"/>
      </w:divBdr>
    </w:div>
    <w:div w:id="2127573990">
      <w:bodyDiv w:val="1"/>
      <w:marLeft w:val="0"/>
      <w:marRight w:val="0"/>
      <w:marTop w:val="0"/>
      <w:marBottom w:val="0"/>
      <w:divBdr>
        <w:top w:val="none" w:sz="0" w:space="0" w:color="auto"/>
        <w:left w:val="none" w:sz="0" w:space="0" w:color="auto"/>
        <w:bottom w:val="none" w:sz="0" w:space="0" w:color="auto"/>
        <w:right w:val="none" w:sz="0" w:space="0" w:color="auto"/>
      </w:divBdr>
    </w:div>
    <w:div w:id="2127772946">
      <w:bodyDiv w:val="1"/>
      <w:marLeft w:val="0"/>
      <w:marRight w:val="0"/>
      <w:marTop w:val="0"/>
      <w:marBottom w:val="0"/>
      <w:divBdr>
        <w:top w:val="none" w:sz="0" w:space="0" w:color="auto"/>
        <w:left w:val="none" w:sz="0" w:space="0" w:color="auto"/>
        <w:bottom w:val="none" w:sz="0" w:space="0" w:color="auto"/>
        <w:right w:val="none" w:sz="0" w:space="0" w:color="auto"/>
      </w:divBdr>
    </w:div>
    <w:div w:id="2129086227">
      <w:bodyDiv w:val="1"/>
      <w:marLeft w:val="0"/>
      <w:marRight w:val="0"/>
      <w:marTop w:val="0"/>
      <w:marBottom w:val="0"/>
      <w:divBdr>
        <w:top w:val="none" w:sz="0" w:space="0" w:color="auto"/>
        <w:left w:val="none" w:sz="0" w:space="0" w:color="auto"/>
        <w:bottom w:val="none" w:sz="0" w:space="0" w:color="auto"/>
        <w:right w:val="none" w:sz="0" w:space="0" w:color="auto"/>
      </w:divBdr>
    </w:div>
    <w:div w:id="2130125766">
      <w:bodyDiv w:val="1"/>
      <w:marLeft w:val="0"/>
      <w:marRight w:val="0"/>
      <w:marTop w:val="0"/>
      <w:marBottom w:val="0"/>
      <w:divBdr>
        <w:top w:val="none" w:sz="0" w:space="0" w:color="auto"/>
        <w:left w:val="none" w:sz="0" w:space="0" w:color="auto"/>
        <w:bottom w:val="none" w:sz="0" w:space="0" w:color="auto"/>
        <w:right w:val="none" w:sz="0" w:space="0" w:color="auto"/>
      </w:divBdr>
    </w:div>
    <w:div w:id="2131705611">
      <w:bodyDiv w:val="1"/>
      <w:marLeft w:val="0"/>
      <w:marRight w:val="0"/>
      <w:marTop w:val="0"/>
      <w:marBottom w:val="0"/>
      <w:divBdr>
        <w:top w:val="none" w:sz="0" w:space="0" w:color="auto"/>
        <w:left w:val="none" w:sz="0" w:space="0" w:color="auto"/>
        <w:bottom w:val="none" w:sz="0" w:space="0" w:color="auto"/>
        <w:right w:val="none" w:sz="0" w:space="0" w:color="auto"/>
      </w:divBdr>
    </w:div>
    <w:div w:id="2133405050">
      <w:bodyDiv w:val="1"/>
      <w:marLeft w:val="0"/>
      <w:marRight w:val="0"/>
      <w:marTop w:val="0"/>
      <w:marBottom w:val="0"/>
      <w:divBdr>
        <w:top w:val="none" w:sz="0" w:space="0" w:color="auto"/>
        <w:left w:val="none" w:sz="0" w:space="0" w:color="auto"/>
        <w:bottom w:val="none" w:sz="0" w:space="0" w:color="auto"/>
        <w:right w:val="none" w:sz="0" w:space="0" w:color="auto"/>
      </w:divBdr>
    </w:div>
    <w:div w:id="2133983708">
      <w:bodyDiv w:val="1"/>
      <w:marLeft w:val="0"/>
      <w:marRight w:val="0"/>
      <w:marTop w:val="0"/>
      <w:marBottom w:val="0"/>
      <w:divBdr>
        <w:top w:val="none" w:sz="0" w:space="0" w:color="auto"/>
        <w:left w:val="none" w:sz="0" w:space="0" w:color="auto"/>
        <w:bottom w:val="none" w:sz="0" w:space="0" w:color="auto"/>
        <w:right w:val="none" w:sz="0" w:space="0" w:color="auto"/>
      </w:divBdr>
    </w:div>
    <w:div w:id="2134521305">
      <w:bodyDiv w:val="1"/>
      <w:marLeft w:val="0"/>
      <w:marRight w:val="0"/>
      <w:marTop w:val="0"/>
      <w:marBottom w:val="0"/>
      <w:divBdr>
        <w:top w:val="none" w:sz="0" w:space="0" w:color="auto"/>
        <w:left w:val="none" w:sz="0" w:space="0" w:color="auto"/>
        <w:bottom w:val="none" w:sz="0" w:space="0" w:color="auto"/>
        <w:right w:val="none" w:sz="0" w:space="0" w:color="auto"/>
      </w:divBdr>
    </w:div>
    <w:div w:id="2135514721">
      <w:bodyDiv w:val="1"/>
      <w:marLeft w:val="0"/>
      <w:marRight w:val="0"/>
      <w:marTop w:val="0"/>
      <w:marBottom w:val="0"/>
      <w:divBdr>
        <w:top w:val="none" w:sz="0" w:space="0" w:color="auto"/>
        <w:left w:val="none" w:sz="0" w:space="0" w:color="auto"/>
        <w:bottom w:val="none" w:sz="0" w:space="0" w:color="auto"/>
        <w:right w:val="none" w:sz="0" w:space="0" w:color="auto"/>
      </w:divBdr>
    </w:div>
    <w:div w:id="2136944701">
      <w:bodyDiv w:val="1"/>
      <w:marLeft w:val="0"/>
      <w:marRight w:val="0"/>
      <w:marTop w:val="0"/>
      <w:marBottom w:val="0"/>
      <w:divBdr>
        <w:top w:val="none" w:sz="0" w:space="0" w:color="auto"/>
        <w:left w:val="none" w:sz="0" w:space="0" w:color="auto"/>
        <w:bottom w:val="none" w:sz="0" w:space="0" w:color="auto"/>
        <w:right w:val="none" w:sz="0" w:space="0" w:color="auto"/>
      </w:divBdr>
    </w:div>
    <w:div w:id="2137527726">
      <w:bodyDiv w:val="1"/>
      <w:marLeft w:val="0"/>
      <w:marRight w:val="0"/>
      <w:marTop w:val="0"/>
      <w:marBottom w:val="0"/>
      <w:divBdr>
        <w:top w:val="none" w:sz="0" w:space="0" w:color="auto"/>
        <w:left w:val="none" w:sz="0" w:space="0" w:color="auto"/>
        <w:bottom w:val="none" w:sz="0" w:space="0" w:color="auto"/>
        <w:right w:val="none" w:sz="0" w:space="0" w:color="auto"/>
      </w:divBdr>
    </w:div>
    <w:div w:id="2138141286">
      <w:bodyDiv w:val="1"/>
      <w:marLeft w:val="0"/>
      <w:marRight w:val="0"/>
      <w:marTop w:val="0"/>
      <w:marBottom w:val="0"/>
      <w:divBdr>
        <w:top w:val="none" w:sz="0" w:space="0" w:color="auto"/>
        <w:left w:val="none" w:sz="0" w:space="0" w:color="auto"/>
        <w:bottom w:val="none" w:sz="0" w:space="0" w:color="auto"/>
        <w:right w:val="none" w:sz="0" w:space="0" w:color="auto"/>
      </w:divBdr>
    </w:div>
    <w:div w:id="2140025293">
      <w:bodyDiv w:val="1"/>
      <w:marLeft w:val="0"/>
      <w:marRight w:val="0"/>
      <w:marTop w:val="0"/>
      <w:marBottom w:val="0"/>
      <w:divBdr>
        <w:top w:val="none" w:sz="0" w:space="0" w:color="auto"/>
        <w:left w:val="none" w:sz="0" w:space="0" w:color="auto"/>
        <w:bottom w:val="none" w:sz="0" w:space="0" w:color="auto"/>
        <w:right w:val="none" w:sz="0" w:space="0" w:color="auto"/>
      </w:divBdr>
    </w:div>
    <w:div w:id="2140175118">
      <w:bodyDiv w:val="1"/>
      <w:marLeft w:val="0"/>
      <w:marRight w:val="0"/>
      <w:marTop w:val="0"/>
      <w:marBottom w:val="0"/>
      <w:divBdr>
        <w:top w:val="none" w:sz="0" w:space="0" w:color="auto"/>
        <w:left w:val="none" w:sz="0" w:space="0" w:color="auto"/>
        <w:bottom w:val="none" w:sz="0" w:space="0" w:color="auto"/>
        <w:right w:val="none" w:sz="0" w:space="0" w:color="auto"/>
      </w:divBdr>
    </w:div>
    <w:div w:id="2140489684">
      <w:bodyDiv w:val="1"/>
      <w:marLeft w:val="0"/>
      <w:marRight w:val="0"/>
      <w:marTop w:val="0"/>
      <w:marBottom w:val="0"/>
      <w:divBdr>
        <w:top w:val="none" w:sz="0" w:space="0" w:color="auto"/>
        <w:left w:val="none" w:sz="0" w:space="0" w:color="auto"/>
        <w:bottom w:val="none" w:sz="0" w:space="0" w:color="auto"/>
        <w:right w:val="none" w:sz="0" w:space="0" w:color="auto"/>
      </w:divBdr>
    </w:div>
    <w:div w:id="2140685179">
      <w:bodyDiv w:val="1"/>
      <w:marLeft w:val="0"/>
      <w:marRight w:val="0"/>
      <w:marTop w:val="0"/>
      <w:marBottom w:val="0"/>
      <w:divBdr>
        <w:top w:val="none" w:sz="0" w:space="0" w:color="auto"/>
        <w:left w:val="none" w:sz="0" w:space="0" w:color="auto"/>
        <w:bottom w:val="none" w:sz="0" w:space="0" w:color="auto"/>
        <w:right w:val="none" w:sz="0" w:space="0" w:color="auto"/>
      </w:divBdr>
    </w:div>
    <w:div w:id="2141343341">
      <w:bodyDiv w:val="1"/>
      <w:marLeft w:val="0"/>
      <w:marRight w:val="0"/>
      <w:marTop w:val="0"/>
      <w:marBottom w:val="0"/>
      <w:divBdr>
        <w:top w:val="none" w:sz="0" w:space="0" w:color="auto"/>
        <w:left w:val="none" w:sz="0" w:space="0" w:color="auto"/>
        <w:bottom w:val="none" w:sz="0" w:space="0" w:color="auto"/>
        <w:right w:val="none" w:sz="0" w:space="0" w:color="auto"/>
      </w:divBdr>
    </w:div>
    <w:div w:id="2141997505">
      <w:bodyDiv w:val="1"/>
      <w:marLeft w:val="0"/>
      <w:marRight w:val="0"/>
      <w:marTop w:val="0"/>
      <w:marBottom w:val="0"/>
      <w:divBdr>
        <w:top w:val="none" w:sz="0" w:space="0" w:color="auto"/>
        <w:left w:val="none" w:sz="0" w:space="0" w:color="auto"/>
        <w:bottom w:val="none" w:sz="0" w:space="0" w:color="auto"/>
        <w:right w:val="none" w:sz="0" w:space="0" w:color="auto"/>
      </w:divBdr>
    </w:div>
    <w:div w:id="2142262066">
      <w:bodyDiv w:val="1"/>
      <w:marLeft w:val="0"/>
      <w:marRight w:val="0"/>
      <w:marTop w:val="0"/>
      <w:marBottom w:val="0"/>
      <w:divBdr>
        <w:top w:val="none" w:sz="0" w:space="0" w:color="auto"/>
        <w:left w:val="none" w:sz="0" w:space="0" w:color="auto"/>
        <w:bottom w:val="none" w:sz="0" w:space="0" w:color="auto"/>
        <w:right w:val="none" w:sz="0" w:space="0" w:color="auto"/>
      </w:divBdr>
    </w:div>
    <w:div w:id="2142337305">
      <w:bodyDiv w:val="1"/>
      <w:marLeft w:val="0"/>
      <w:marRight w:val="0"/>
      <w:marTop w:val="0"/>
      <w:marBottom w:val="0"/>
      <w:divBdr>
        <w:top w:val="none" w:sz="0" w:space="0" w:color="auto"/>
        <w:left w:val="none" w:sz="0" w:space="0" w:color="auto"/>
        <w:bottom w:val="none" w:sz="0" w:space="0" w:color="auto"/>
        <w:right w:val="none" w:sz="0" w:space="0" w:color="auto"/>
      </w:divBdr>
    </w:div>
    <w:div w:id="2143110865">
      <w:bodyDiv w:val="1"/>
      <w:marLeft w:val="0"/>
      <w:marRight w:val="0"/>
      <w:marTop w:val="0"/>
      <w:marBottom w:val="0"/>
      <w:divBdr>
        <w:top w:val="none" w:sz="0" w:space="0" w:color="auto"/>
        <w:left w:val="none" w:sz="0" w:space="0" w:color="auto"/>
        <w:bottom w:val="none" w:sz="0" w:space="0" w:color="auto"/>
        <w:right w:val="none" w:sz="0" w:space="0" w:color="auto"/>
      </w:divBdr>
    </w:div>
    <w:div w:id="2144349922">
      <w:bodyDiv w:val="1"/>
      <w:marLeft w:val="0"/>
      <w:marRight w:val="0"/>
      <w:marTop w:val="0"/>
      <w:marBottom w:val="0"/>
      <w:divBdr>
        <w:top w:val="none" w:sz="0" w:space="0" w:color="auto"/>
        <w:left w:val="none" w:sz="0" w:space="0" w:color="auto"/>
        <w:bottom w:val="none" w:sz="0" w:space="0" w:color="auto"/>
        <w:right w:val="none" w:sz="0" w:space="0" w:color="auto"/>
      </w:divBdr>
    </w:div>
    <w:div w:id="2145387615">
      <w:bodyDiv w:val="1"/>
      <w:marLeft w:val="0"/>
      <w:marRight w:val="0"/>
      <w:marTop w:val="0"/>
      <w:marBottom w:val="0"/>
      <w:divBdr>
        <w:top w:val="none" w:sz="0" w:space="0" w:color="auto"/>
        <w:left w:val="none" w:sz="0" w:space="0" w:color="auto"/>
        <w:bottom w:val="none" w:sz="0" w:space="0" w:color="auto"/>
        <w:right w:val="none" w:sz="0" w:space="0" w:color="auto"/>
      </w:divBdr>
    </w:div>
    <w:div w:id="2145388780">
      <w:bodyDiv w:val="1"/>
      <w:marLeft w:val="0"/>
      <w:marRight w:val="0"/>
      <w:marTop w:val="0"/>
      <w:marBottom w:val="0"/>
      <w:divBdr>
        <w:top w:val="none" w:sz="0" w:space="0" w:color="auto"/>
        <w:left w:val="none" w:sz="0" w:space="0" w:color="auto"/>
        <w:bottom w:val="none" w:sz="0" w:space="0" w:color="auto"/>
        <w:right w:val="none" w:sz="0" w:space="0" w:color="auto"/>
      </w:divBdr>
    </w:div>
    <w:div w:id="2145391322">
      <w:bodyDiv w:val="1"/>
      <w:marLeft w:val="0"/>
      <w:marRight w:val="0"/>
      <w:marTop w:val="0"/>
      <w:marBottom w:val="0"/>
      <w:divBdr>
        <w:top w:val="none" w:sz="0" w:space="0" w:color="auto"/>
        <w:left w:val="none" w:sz="0" w:space="0" w:color="auto"/>
        <w:bottom w:val="none" w:sz="0" w:space="0" w:color="auto"/>
        <w:right w:val="none" w:sz="0" w:space="0" w:color="auto"/>
      </w:divBdr>
    </w:div>
    <w:div w:id="2146579849">
      <w:bodyDiv w:val="1"/>
      <w:marLeft w:val="0"/>
      <w:marRight w:val="0"/>
      <w:marTop w:val="0"/>
      <w:marBottom w:val="0"/>
      <w:divBdr>
        <w:top w:val="none" w:sz="0" w:space="0" w:color="auto"/>
        <w:left w:val="none" w:sz="0" w:space="0" w:color="auto"/>
        <w:bottom w:val="none" w:sz="0" w:space="0" w:color="auto"/>
        <w:right w:val="none" w:sz="0" w:space="0" w:color="auto"/>
      </w:divBdr>
    </w:div>
    <w:div w:id="2146896355">
      <w:bodyDiv w:val="1"/>
      <w:marLeft w:val="0"/>
      <w:marRight w:val="0"/>
      <w:marTop w:val="0"/>
      <w:marBottom w:val="0"/>
      <w:divBdr>
        <w:top w:val="none" w:sz="0" w:space="0" w:color="auto"/>
        <w:left w:val="none" w:sz="0" w:space="0" w:color="auto"/>
        <w:bottom w:val="none" w:sz="0" w:space="0" w:color="auto"/>
        <w:right w:val="none" w:sz="0" w:space="0" w:color="auto"/>
      </w:divBdr>
    </w:div>
    <w:div w:id="21473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6.png"/><Relationship Id="rId42" Type="http://schemas.openxmlformats.org/officeDocument/2006/relationships/image" Target="media/image23.emf"/><Relationship Id="rId47" Type="http://schemas.openxmlformats.org/officeDocument/2006/relationships/image" Target="media/image24.emf"/><Relationship Id="rId63" Type="http://schemas.openxmlformats.org/officeDocument/2006/relationships/image" Target="media/image38.emf"/><Relationship Id="rId68" Type="http://schemas.openxmlformats.org/officeDocument/2006/relationships/image" Target="media/image43.emf"/><Relationship Id="rId84" Type="http://schemas.openxmlformats.org/officeDocument/2006/relationships/image" Target="media/image59.emf"/><Relationship Id="rId16" Type="http://schemas.openxmlformats.org/officeDocument/2006/relationships/hyperlink" Target="http://www.pmc.gov.au/government/commonwealth-coat-arms" TargetMode="External"/><Relationship Id="rId11" Type="http://schemas.openxmlformats.org/officeDocument/2006/relationships/image" Target="media/image1.jpeg"/><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0.emf"/><Relationship Id="rId58" Type="http://schemas.openxmlformats.org/officeDocument/2006/relationships/image" Target="media/image35.emf"/><Relationship Id="rId74" Type="http://schemas.openxmlformats.org/officeDocument/2006/relationships/image" Target="media/image49.emf"/><Relationship Id="rId79" Type="http://schemas.openxmlformats.org/officeDocument/2006/relationships/image" Target="media/image54.emf"/><Relationship Id="rId5" Type="http://schemas.openxmlformats.org/officeDocument/2006/relationships/numbering" Target="numbering.xml"/><Relationship Id="rId19" Type="http://schemas.openxmlformats.org/officeDocument/2006/relationships/image" Target="media/image4.png"/><Relationship Id="rId14" Type="http://schemas.openxmlformats.org/officeDocument/2006/relationships/image" Target="media/image2.wmf"/><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http://www.lifeline.org.au" TargetMode="External"/><Relationship Id="rId48" Type="http://schemas.openxmlformats.org/officeDocument/2006/relationships/image" Target="media/image25.emf"/><Relationship Id="rId56" Type="http://schemas.openxmlformats.org/officeDocument/2006/relationships/image" Target="media/image33.emf"/><Relationship Id="rId64" Type="http://schemas.openxmlformats.org/officeDocument/2006/relationships/image" Target="media/image39.emf"/><Relationship Id="rId69" Type="http://schemas.openxmlformats.org/officeDocument/2006/relationships/image" Target="media/image44.emf"/><Relationship Id="rId77" Type="http://schemas.openxmlformats.org/officeDocument/2006/relationships/image" Target="media/image52.emf"/><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7.emf"/><Relationship Id="rId80" Type="http://schemas.openxmlformats.org/officeDocument/2006/relationships/image" Target="media/image55.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yperlink" Target="mailto:media@treasury.gov.au" TargetMode="External"/><Relationship Id="rId25" Type="http://schemas.openxmlformats.org/officeDocument/2006/relationships/hyperlink" Target="http://www.population.gov.au" TargetMode="External"/><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yperlink" Target="http://www.13yarn.org.au" TargetMode="External"/><Relationship Id="rId59" Type="http://schemas.openxmlformats.org/officeDocument/2006/relationships/image" Target="media/image36.emf"/><Relationship Id="rId67" Type="http://schemas.openxmlformats.org/officeDocument/2006/relationships/image" Target="media/image42.emf"/><Relationship Id="rId20" Type="http://schemas.openxmlformats.org/officeDocument/2006/relationships/image" Target="media/image5.jpg"/><Relationship Id="rId41" Type="http://schemas.openxmlformats.org/officeDocument/2006/relationships/image" Target="media/image22.emf"/><Relationship Id="rId54" Type="http://schemas.openxmlformats.org/officeDocument/2006/relationships/image" Target="media/image31.emf"/><Relationship Id="rId62" Type="http://schemas.openxmlformats.org/officeDocument/2006/relationships/image" Target="media/image37.emf"/><Relationship Id="rId70" Type="http://schemas.openxmlformats.org/officeDocument/2006/relationships/image" Target="media/image45.emf"/><Relationship Id="rId75" Type="http://schemas.openxmlformats.org/officeDocument/2006/relationships/image" Target="media/image50.emf"/><Relationship Id="rId83"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3.0/au/deed.en" TargetMode="External"/><Relationship Id="rId23" Type="http://schemas.openxmlformats.org/officeDocument/2006/relationships/footer" Target="footer2.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6.emf"/><Relationship Id="rId57" Type="http://schemas.openxmlformats.org/officeDocument/2006/relationships/image" Target="media/image34.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hyperlink" Target="http://www.suicidecallbackservice.org.au" TargetMode="External"/><Relationship Id="rId52" Type="http://schemas.openxmlformats.org/officeDocument/2006/relationships/image" Target="media/image29.emf"/><Relationship Id="rId60" Type="http://schemas.openxmlformats.org/officeDocument/2006/relationships/footer" Target="footer3.xml"/><Relationship Id="rId65" Type="http://schemas.openxmlformats.org/officeDocument/2006/relationships/image" Target="media/image40.emf"/><Relationship Id="rId73" Type="http://schemas.openxmlformats.org/officeDocument/2006/relationships/image" Target="media/image48.emf"/><Relationship Id="rId78" Type="http://schemas.openxmlformats.org/officeDocument/2006/relationships/image" Target="media/image53.emf"/><Relationship Id="rId81" Type="http://schemas.openxmlformats.org/officeDocument/2006/relationships/image" Target="media/image56.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legalcode" TargetMode="External"/><Relationship Id="rId18" Type="http://schemas.openxmlformats.org/officeDocument/2006/relationships/image" Target="media/image3.jpg"/><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image" Target="media/image51.emf"/><Relationship Id="rId7" Type="http://schemas.openxmlformats.org/officeDocument/2006/relationships/settings" Target="settings.xml"/><Relationship Id="rId71" Type="http://schemas.openxmlformats.org/officeDocument/2006/relationships/image" Target="media/image46.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hyperlink" Target="https://budget.gov.au/2022-23-october/content/bp3/index.htm" TargetMode="External"/><Relationship Id="rId40" Type="http://schemas.openxmlformats.org/officeDocument/2006/relationships/image" Target="media/image21.emf"/><Relationship Id="rId45" Type="http://schemas.openxmlformats.org/officeDocument/2006/relationships/hyperlink" Target="http://www.beyondblue.org.au/forums" TargetMode="External"/><Relationship Id="rId66" Type="http://schemas.openxmlformats.org/officeDocument/2006/relationships/image" Target="media/image41.emf"/><Relationship Id="rId61" Type="http://schemas.openxmlformats.org/officeDocument/2006/relationships/footer" Target="footer4.xml"/><Relationship Id="rId82" Type="http://schemas.openxmlformats.org/officeDocument/2006/relationships/image" Target="media/image57.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Centre%20for%20Population\Centre%20for%20Population%20Internal.dotx" TargetMode="External"/></Relationships>
</file>

<file path=word/theme/theme1.xml><?xml version="1.0" encoding="utf-8"?>
<a:theme xmlns:a="http://schemas.openxmlformats.org/drawingml/2006/main" name="Corporate">
  <a:themeElements>
    <a:clrScheme name="CPOP accessible">
      <a:dk1>
        <a:sysClr val="windowText" lastClr="000000"/>
      </a:dk1>
      <a:lt1>
        <a:sysClr val="window" lastClr="FFFFFF"/>
      </a:lt1>
      <a:dk2>
        <a:srgbClr val="38AFCF"/>
      </a:dk2>
      <a:lt2>
        <a:srgbClr val="4DBC8D"/>
      </a:lt2>
      <a:accent1>
        <a:srgbClr val="002C47"/>
      </a:accent1>
      <a:accent2>
        <a:srgbClr val="1E75BA"/>
      </a:accent2>
      <a:accent3>
        <a:srgbClr val="CF542F"/>
      </a:accent3>
      <a:accent4>
        <a:srgbClr val="2F8361"/>
      </a:accent4>
      <a:accent5>
        <a:srgbClr val="9E928F"/>
      </a:accent5>
      <a:accent6>
        <a:srgbClr val="277F98"/>
      </a:accent6>
      <a:hlink>
        <a:srgbClr val="0563C1"/>
      </a:hlink>
      <a:folHlink>
        <a:srgbClr val="954F72"/>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Aus21d</b:Tag>
    <b:SourceType>InternetSite</b:SourceType>
    <b:Guid>{0EF9CBE6-4248-4F89-AE90-D92DE0AF14A4}</b:Guid>
    <b:Title>Life tables</b:Title>
    <b:Year>2021</b:Year>
    <b:Month>November</b:Month>
    <b:Day>4</b:Day>
    <b:URL>https://www.abs.gov.au/statistics/people/population/life-tables/2018-2020</b:URL>
    <b:Author>
      <b:Author>
        <b:NameList>
          <b:Person>
            <b:Last>Australian Bureau of Statistics</b:Last>
          </b:Person>
        </b:NameList>
      </b:Author>
    </b:Author>
    <b:RefOrder>1</b:RefOrder>
  </b:Source>
  <b:Source>
    <b:Tag>McDonald_2020_Prof_Fert</b:Tag>
    <b:SourceType>Report</b:SourceType>
    <b:Guid>{49260DB2-B3FA-44A5-92E6-5BE49397B4AC}</b:Guid>
    <b:Title>A Projection of Future Fertility Rates</b:Title>
    <b:Year>2020</b:Year>
    <b:Author>
      <b:Author>
        <b:NameList>
          <b:Person>
            <b:Last>McDonald</b:Last>
            <b:First>Peter</b:First>
          </b:Person>
        </b:NameList>
      </b:Author>
    </b:Author>
    <b:Publisher>Centre for Population</b:Publisher>
    <b:City>Canberra</b:City>
    <b:RefOrder>2</b:RefOrder>
  </b:Source>
  <b:Source>
    <b:Tag>ANU_Babies_in_Uncertainty_Jul22</b:Tag>
    <b:SourceType>JournalArticle</b:SourceType>
    <b:Guid>{0E994C51-AD9F-4631-A984-488C6ADF006E}</b:Guid>
    <b:URL>https://www.australianpopulationstudies.org/index.php/aps/article/view/101</b:URL>
    <b:Title>Having babies in times of uncertainty: first results of the impact of COVID-19 on the number of babies born in Australia</b:Title>
    <b:Year>2022</b:Year>
    <b:Author>
      <b:Author>
        <b:NameList>
          <b:Person>
            <b:Last>Gray</b:Last>
            <b:First>Edith</b:First>
          </b:Person>
          <b:Person>
            <b:Last>Evans</b:Last>
            <b:First>Ann</b:First>
          </b:Person>
          <b:Person>
            <b:Last>Reimondos</b:Last>
            <b:First>Anna</b:First>
          </b:Person>
        </b:NameList>
      </b:Author>
    </b:Author>
    <b:JournalName>Australian Population Studies</b:JournalName>
    <b:Pages>15-30</b:Pages>
    <b:RefOrder>3</b:RefOrder>
  </b:Source>
  <b:Source>
    <b:Tag>Ens20</b:Tag>
    <b:SourceType>JournalArticle</b:SourceType>
    <b:Guid>{B10C45A1-599D-4674-926B-FDF341B7C531}</b:Guid>
    <b:Author>
      <b:Author>
        <b:NameList>
          <b:Person>
            <b:Last>Dong</b:Last>
            <b:First>Ensheng</b:First>
          </b:Person>
          <b:Person>
            <b:Last>Du</b:Last>
            <b:First>Hongru</b:First>
          </b:Person>
          <b:Person>
            <b:Last>Gardner</b:Last>
            <b:First>Lauren</b:First>
          </b:Person>
        </b:NameList>
      </b:Author>
    </b:Author>
    <b:Title>An interactive web-based dashboard to track COVID-19 in real time</b:Title>
    <b:Year>2020</b:Year>
    <b:URL>https://github.com/CSSEGISandData/COVID-19</b:URL>
    <b:JournalName>The Lancet</b:JournalName>
    <b:RefOrder>4</b:RefOrder>
  </b:Source>
  <b:Source>
    <b:Tag>Com21</b:Tag>
    <b:SourceType>Book</b:SourceType>
    <b:Guid>{754C1F8E-275D-4C23-A777-1FB309B208CC}</b:Guid>
    <b:Author>
      <b:Author>
        <b:Corporate>Commonwealth of Australia</b:Corporate>
      </b:Author>
    </b:Author>
    <b:Title>2021 Intergenerational Report</b:Title>
    <b:Year>2021</b:Year>
    <b:City>Canberra</b:City>
    <b:RefOrder>5</b:RefOrder>
  </b:Source>
  <b:Source>
    <b:Tag>Placeholder2</b:Tag>
    <b:SourceType>InternetSite</b:SourceType>
    <b:Guid>{0BF6C7F5-AFD9-42C0-80E0-449AA6D3E050}</b:Guid>
    <b:Title>National, state and territory population, March 2022</b:Title>
    <b:Year>2022</b:Year>
    <b:Author>
      <b:Author>
        <b:NameList>
          <b:Person>
            <b:Last>Australian Bureau of Statistics</b:Last>
          </b:Person>
        </b:NameList>
      </b:Author>
    </b:Author>
    <b:Month>September</b:Month>
    <b:Day>21</b:Day>
    <b:URL>https://www.abs.gov.au/statistics/people/population/national-state-and-territory-population/latest-release</b:URL>
    <b:RefOrder>6</b:RefOrder>
  </b:Source>
  <b:Source>
    <b:Tag>ABS_NSTP_June22</b:Tag>
    <b:SourceType>InternetSite</b:SourceType>
    <b:Guid>{F9705325-6E73-4652-8B9F-5A9598EA36EB}</b:Guid>
    <b:Author>
      <b:Author>
        <b:NameList>
          <b:Person>
            <b:Last>Australian Bureau of Statistics</b:Last>
          </b:Person>
        </b:NameList>
      </b:Author>
    </b:Author>
    <b:Title>National, state and territory population, December 2021</b:Title>
    <b:Year>2022</b:Year>
    <b:URL>https://www.abs.gov.au/statistics/people/population/national-state-and-territory-population/dec-2021</b:URL>
    <b:Month>June</b:Month>
    <b:Day>28</b:Day>
    <b:RefOrder>7</b:RefOrder>
  </b:Source>
  <b:Source>
    <b:Tag>Aus19</b:Tag>
    <b:SourceType>InternetSite</b:SourceType>
    <b:Guid>{0268A1E6-B2AB-4E34-9D7F-22540483E766}</b:Guid>
    <b:Title>Australian Life Tables 2015-17</b:Title>
    <b:Year>2019</b:Year>
    <b:Author>
      <b:Author>
        <b:Corporate>Australian Government Actuary</b:Corporate>
      </b:Author>
    </b:Author>
    <b:URL>https://aga.gov.au/publications/life-tables/australian-life-tables-2015-17</b:URL>
    <b:Month>December</b:Month>
    <b:Day>5</b:Day>
    <b:RefOrder>8</b:RefOrder>
  </b:Source>
  <b:Source>
    <b:Tag>WorldPopulationProspects2022</b:Tag>
    <b:SourceType>InternetSite</b:SourceType>
    <b:Guid>{726F1995-FD3E-4A64-B84F-9EB9B0FA15FB}</b:Guid>
    <b:Title>2022 Revision of World Population Prospects</b:Title>
    <b:Year>2022</b:Year>
    <b:Author>
      <b:Author>
        <b:Corporate>United Nations Department of Economic and Social Affairs, Population Division</b:Corporate>
      </b:Author>
    </b:Author>
    <b:Month>July</b:Month>
    <b:Day>11</b:Day>
    <b:URL>https://population.un.org/wpp/</b:URL>
    <b:RefOrder>9</b:RefOrder>
  </b:Source>
  <b:Source>
    <b:Tag>Dep22</b:Tag>
    <b:SourceType>InternetSite</b:SourceType>
    <b:Guid>{20B933CF-E660-4CA9-BE1E-A82AC31BA203}</b:Guid>
    <b:Title>BP0019 Number of Temporary visa holders in Australia at 2022-08-31</b:Title>
    <b:Year>2022</b:Year>
    <b:Month>September</b:Month>
    <b:Day>29</b:Day>
    <b:URL>https://data.gov.au/dataset/ds-dga-ab245863-4dea-4661-a334-71ee15937130/distribution/dist-dga-54b2d02b-45bf-4c2d-a2bd-d9a9064f365c/details?q=</b:URL>
    <b:Author>
      <b:Author>
        <b:NameList>
          <b:Person>
            <b:Last>Department of Home Affairs</b:Last>
          </b:Person>
        </b:NameList>
      </b:Author>
    </b:Author>
    <b:RefOrder>10</b:RefOrder>
  </b:Source>
  <b:Source>
    <b:Tag>Bel02</b:Tag>
    <b:SourceType>JournalArticle</b:SourceType>
    <b:Guid>{697188D9-F40F-4ACA-88F6-8535253DC122}</b:Guid>
    <b:Title>Cross-National Comparison of Internal Migration: Issues and Measures</b:Title>
    <b:Year>2002</b:Year>
    <b:Author>
      <b:Author>
        <b:NameList>
          <b:Person>
            <b:Last>Bell</b:Last>
            <b:First>M</b:First>
          </b:Person>
          <b:Person>
            <b:Last>Blake</b:Last>
            <b:First>M</b:First>
          </b:Person>
          <b:Person>
            <b:Last>Boyle</b:Last>
            <b:First>P</b:First>
          </b:Person>
          <b:Person>
            <b:Last>Duke-Williams</b:Last>
            <b:First>O</b:First>
          </b:Person>
          <b:Person>
            <b:Last>Rees</b:Last>
            <b:First>P</b:First>
          </b:Person>
          <b:Person>
            <b:Last>Stillwell</b:Last>
            <b:First>J</b:First>
          </b:Person>
          <b:Person>
            <b:Last>Hugo</b:Last>
            <b:First>G</b:First>
          </b:Person>
        </b:NameList>
      </b:Author>
    </b:Author>
    <b:JournalName>Journal of the Royal Statistical Society</b:JournalName>
    <b:Pages>435-464</b:Pages>
    <b:RefOrder>11</b:RefOrder>
  </b:Source>
  <b:Source>
    <b:Tag>Aus21g</b:Tag>
    <b:SourceType>InternetSite</b:SourceType>
    <b:Guid>{4E017B84-4375-4BFB-83A1-35291EDEB987}</b:Guid>
    <b:Title>Births, Australia</b:Title>
    <b:Year>2021</b:Year>
    <b:Month>December</b:Month>
    <b:Day>8</b:Day>
    <b:URL>https://www.abs.gov.au/statistics/people/population/births-australia/2020</b:URL>
    <b:Author>
      <b:Author>
        <b:NameList>
          <b:Person>
            <b:Last>Australian Bureau of Statistics</b:Last>
          </b:Person>
        </b:NameList>
      </b:Author>
    </b:Author>
    <b:RefOrder>12</b:RefOrder>
  </b:Source>
  <b:Source>
    <b:Tag>Aus21Mig</b:Tag>
    <b:SourceType>InternetSite</b:SourceType>
    <b:Guid>{46C18765-8313-4F66-9370-9DBEA6EBDE2C}</b:Guid>
    <b:Author>
      <b:Author>
        <b:Corporate>Australian Bureau of Statistics</b:Corporate>
      </b:Author>
    </b:Author>
    <b:Title>Overseas Migration, 2020-21</b:Title>
    <b:Year>2021</b:Year>
    <b:URL>https://www.abs.gov.au/statistics/people/population/overseas-migration/2020-21</b:URL>
    <b:Month>December</b:Month>
    <b:Day>17</b:Day>
    <b:RefOrder>13</b:RefOrder>
  </b:Source>
  <b:Source>
    <b:Tag>Placeholder3</b:Tag>
    <b:SourceType>InternetSite</b:SourceType>
    <b:Guid>{285F34D7-0F63-4405-829A-4B1287409464}</b:Guid>
    <b:Title>Regional population</b:Title>
    <b:Year>2022</b:Year>
    <b:Month>July</b:Month>
    <b:Day>26</b:Day>
    <b:Author>
      <b:Author>
        <b:NameList>
          <b:Person>
            <b:Last>Australian Bureau of Statistics</b:Last>
          </b:Person>
        </b:NameList>
      </b:Author>
    </b:Author>
    <b:URL>https://www.abs.gov.au/statistics/people/population/regional-population/2021</b:URL>
    <b:RefOrder>14</b:RefOrder>
  </b:Source>
  <b:Source>
    <b:Tag>ABSPRIME</b:Tag>
    <b:SourceType>InternetSite</b:SourceType>
    <b:Guid>{CE57CC09-40D2-4C72-A5FD-72ECB96CB17B}</b:Guid>
    <b:Author>
      <b:Author>
        <b:Corporate>Australian Bureau of Statistics</b:Corporate>
      </b:Author>
    </b:Author>
    <b:Title>Regional internal migration estimates, provisional, March 2021</b:Title>
    <b:Year>2021</b:Year>
    <b:Month>August</b:Month>
    <b:Day>8</b:Day>
    <b:URL>https://www.abs.gov.au/statistics/people/population/regional-internal-migration-estimates-provisional/mar-2021</b:URL>
    <b:RefOrder>15</b:RefOrder>
  </b:Source>
  <b:Source>
    <b:Tag>NSTPJun21</b:Tag>
    <b:SourceType>InternetSite</b:SourceType>
    <b:Guid>{B9DA43F6-53AE-424F-91CD-222ED60F7373}</b:Guid>
    <b:Author>
      <b:Author>
        <b:Corporate>Australian Bureau of Statistics</b:Corporate>
      </b:Author>
    </b:Author>
    <b:Title>National, state and territory population, methodology, June 2021</b:Title>
    <b:Year>2021</b:Year>
    <b:Month>December</b:Month>
    <b:Day>16</b:Day>
    <b:URL>https://www.abs.gov.au/methodologies/national-state-and-territory-population-methodology/jun-2021#interstate-migration</b:URL>
    <b:RefOrder>16</b:RefOrder>
  </b:Source>
  <b:Source>
    <b:Tag>Aus21</b:Tag>
    <b:SourceType>InternetSite</b:SourceType>
    <b:Guid>{58057385-09BC-496C-A690-B6C853049B0E}</b:Guid>
    <b:Title>National, state and territory population methodology, March 2021</b:Title>
    <b:Year>2021</b:Year>
    <b:Month>September</b:Month>
    <b:Day>16</b:Day>
    <b:URL>https://www.abs.gov.au/methodologies/national-state-and-territory-population-methodology/mar-2021</b:URL>
    <b:Author>
      <b:Author>
        <b:NameList>
          <b:Person>
            <b:Last>Australian Bureau of Statistics</b:Last>
          </b:Person>
        </b:NameList>
      </b:Author>
    </b:Author>
    <b:RefOrder>17</b:RefOrder>
  </b:Source>
  <b:Source>
    <b:Tag>Aus224</b:Tag>
    <b:SourceType>InternetSite</b:SourceType>
    <b:Guid>{22269AB2-2964-4777-818F-347A71CB6A66}</b:Guid>
    <b:Author>
      <b:Author>
        <b:Corporate>Australian Institute of Health and Welfare</b:Corporate>
      </b:Author>
    </b:Author>
    <b:Title>Changes in the health of Australians during the COVID-19 period</b:Title>
    <b:InternetSiteTitle>Australia's health 2022: data insights</b:InternetSiteTitle>
    <b:Year>2022</b:Year>
    <b:Month>July</b:Month>
    <b:Day>7</b:Day>
    <b:URL>https://www.aihw.gov.au/reports/australias-health/australias-health-2022-data-insights/summary</b:URL>
    <b:RefOrder>18</b:RefOrder>
  </b:Source>
  <b:Source>
    <b:Tag>Wor</b:Tag>
    <b:SourceType>InternetSite</b:SourceType>
    <b:Guid>{1A9C1B11-A318-415A-A4A7-A019D16876E8}</b:Guid>
    <b:Author>
      <b:Author>
        <b:Corporate>World Health Organisation</b:Corporate>
      </b:Author>
    </b:Author>
    <b:Title>Indicator Metadata Registry List</b:Title>
    <b:InternetSiteTitle>The Global Health Observatory</b:InternetSiteTitle>
    <b:URL>https://www.who.int/data/gho/indicator-metadata-registry/imr-details/3131</b:URL>
    <b:RefOrder>19</b:RefOrder>
  </b:Source>
  <b:Source>
    <b:Tag>Placeholder1</b:Tag>
    <b:SourceType>InternetSite</b:SourceType>
    <b:Guid>{DA818BF4-66C4-4017-B549-E23B36B51894}</b:Guid>
    <b:Title>National, state and territory population methodology</b:Title>
    <b:Year>2021</b:Year>
    <b:Month>September</b:Month>
    <b:Day>16</b:Day>
    <b:URL>https://www.abs.gov.au/methodologies/national-state-and-territory-population-methodology/mar-2021</b:URL>
    <b:Author>
      <b:Author>
        <b:NameList>
          <b:Person>
            <b:Last>Australian Bureau of Statistics</b:Last>
          </b:Person>
        </b:NameList>
      </b:Author>
    </b:Author>
    <b:RefOrder>20</b:RefOrder>
  </b:Source>
  <b:Source>
    <b:Tag>Cas20</b:Tag>
    <b:SourceType>Book</b:SourceType>
    <b:Guid>{28EC6358-F374-4B75-948A-A5D5EC6002B6}</b:Guid>
    <b:Title>Deaths of Despair and the Future of Capitalism</b:Title>
    <b:Year>2020</b:Year>
    <b:Publisher>Princeton University Press</b:Publisher>
    <b:Author>
      <b:Author>
        <b:NameList>
          <b:Person>
            <b:Last>Case</b:Last>
            <b:First>Anne</b:First>
          </b:Person>
          <b:Person>
            <b:Last>Deaton</b:Last>
            <b:First>Angus</b:First>
          </b:Person>
        </b:NameList>
      </b:Author>
    </b:Author>
    <b:RefOrder>21</b:RefOrder>
  </b:Source>
  <b:Source>
    <b:Tag>Uni20</b:Tag>
    <b:SourceType>DocumentFromInternetSite</b:SourceType>
    <b:Guid>{C64DF062-0715-4508-B882-91ED5367B2C2}</b:Guid>
    <b:Title>Demographic Turning Points for the United States; Population Projections for 2020 to 2060</b:Title>
    <b:Year>2020</b:Year>
    <b:Author>
      <b:Author>
        <b:Corporate>United States Census Bureau</b:Corporate>
      </b:Author>
    </b:Author>
    <b:InternetSiteTitle>https://www.census.gov/</b:InternetSiteTitle>
    <b:Month>February</b:Month>
    <b:URL>http://www.census.gov/content/dam/Census/library/publications/2020/demo/p25-1144.pdf</b:URL>
    <b:RefOrder>22</b:RefOrder>
  </b:Source>
  <b:Source>
    <b:Tag>Aus16</b:Tag>
    <b:SourceType>InternetSite</b:SourceType>
    <b:Guid>{113AA1C9-CE30-4F9C-A46D-DE845CD55236}</b:Guid>
    <b:Title>Australian Statistical Geography Standard: Volume 1 - Main Structure and Greater Capital City Statistical Areas</b:Title>
    <b:Year>2016</b:Year>
    <b:Month>July</b:Month>
    <b:Day>12</b:Day>
    <b:URL>https://www.abs.gov.au/ausstats/abs@.nsf/mf/1270.0.55.001</b:URL>
    <b:Author>
      <b:Author>
        <b:NameList>
          <b:Person>
            <b:Last>Australian Bureau of Statistics</b:Last>
          </b:Person>
        </b:NameList>
      </b:Author>
    </b:Author>
    <b:RefOrder>23</b:RefOrder>
  </b:Source>
  <b:Source>
    <b:Tag>Wil20</b:Tag>
    <b:SourceType>JournalArticle</b:SourceType>
    <b:Guid>{3683C8AD-C8EC-48F7-9F22-FC70F1E0D3D2}</b:Guid>
    <b:Title>Modelling Age Patterns of Internal Migration at the Highest Ages</b:Title>
    <b:Year>2020</b:Year>
    <b:Author>
      <b:Author>
        <b:NameList>
          <b:Person>
            <b:Last>Wilson</b:Last>
            <b:First>Tom</b:First>
          </b:Person>
        </b:NameList>
      </b:Author>
    </b:Author>
    <b:JournalName>Spatial Demography</b:JournalName>
    <b:Pages>175-192</b:Pages>
    <b:RefOrder>24</b:RefOrder>
  </b:Source>
  <b:Source>
    <b:Tag>AIHW21</b:Tag>
    <b:SourceType>InternetSite</b:SourceType>
    <b:Guid>{44C989ED-048A-4168-991A-72CFE28DB0BD}</b:Guid>
    <b:Author>
      <b:Author>
        <b:Corporate>Australian Institute of Health and Welfare</b:Corporate>
      </b:Author>
    </b:Author>
    <b:Title>Suicide &amp; self-harm monitoring</b:Title>
    <b:Year>2020-21</b:Year>
    <b:URL>https://www.aihw.gov.au/suicide-self-harm-monitoring/data/behaviours-risk-factors/deaths-of-despair</b:URL>
    <b:RefOrder>25</b:RefOrder>
  </b:Source>
  <b:Source>
    <b:Tag>CoD21</b:Tag>
    <b:SourceType>InternetSite</b:SourceType>
    <b:Guid>{016A9216-86D9-49C6-A83C-AD2EDFF904AE}</b:Guid>
    <b:Author>
      <b:Author>
        <b:Corporate>Australian Bureau of Statistics</b:Corporate>
      </b:Author>
    </b:Author>
    <b:Title>Causes of Death, Australia</b:Title>
    <b:Year>2021</b:Year>
    <b:URL>https://www.abs.gov.au/statistics/health/causes-death/causes-death-australia/2021</b:URL>
    <b:RefOrder>26</b:RefOrder>
  </b:Source>
  <b:Source>
    <b:Tag>Off22</b:Tag>
    <b:SourceType>InternetSite</b:SourceType>
    <b:Guid>{00367666-3184-49EA-A99F-2987FB3FE083}</b:Guid>
    <b:Author>
      <b:Author>
        <b:Corporate>Office of National Statistics</b:Corporate>
      </b:Author>
    </b:Author>
    <b:Title>Deaths</b:Title>
    <b:Year>2022</b:Year>
    <b:URL>https://www.ons.gov.uk/peoplepopulationandcommunity/birthsdeathsandmarriages/deaths</b:URL>
    <b:RefOrder>27</b:RefOrder>
  </b:Source>
  <b:Source>
    <b:Tag>Cen22</b:Tag>
    <b:SourceType>InternetSite</b:SourceType>
    <b:Guid>{C8DF8445-EAB6-4BDD-8C04-289AF56404EE}</b:Guid>
    <b:Author>
      <b:Author>
        <b:Corporate>Centres for Disease Control and Prevention</b:Corporate>
      </b:Author>
    </b:Author>
    <b:Title>CDC Wonder</b:Title>
    <b:Year>2022</b:Year>
    <b:URL>https://wonder.cdc.gov/</b:URL>
    <b:RefOrder>28</b:RefOrder>
  </b:Source>
  <b:Source>
    <b:Tag>GRIM221</b:Tag>
    <b:SourceType>InternetSite</b:SourceType>
    <b:Guid>{3023D6B8-03DE-4E25-B5C8-82A383BA02E7}</b:Guid>
    <b:Author>
      <b:Author>
        <b:Corporate>Australian Institute of Health and Welfare</b:Corporate>
      </b:Author>
    </b:Author>
    <b:Title>General Record of Incidence of Mortality (GRIM)</b:Title>
    <b:Year>2022</b:Year>
    <b:URL>https://www.aihw.gov.au/reports/life-expectancy-deaths/grim-books/contents/grim-excel-workbooks</b:URL>
    <b:RefOrder>29</b:RefOrder>
  </b:Source>
  <b:Source>
    <b:Tag>ATODA221</b:Tag>
    <b:SourceType>InternetSite</b:SourceType>
    <b:Guid>{F9BB765E-2BE2-40B1-96B6-DE8E05CAAE23}</b:Guid>
    <b:Author>
      <b:Author>
        <b:Corporate>Australian Institute of Health and Welfare</b:Corporate>
      </b:Author>
    </b:Author>
    <b:Title>Alcohol, tobacco &amp; other drugs in Australia</b:Title>
    <b:Year>2022</b:Year>
    <b:URL>https://www.aihw.gov.au/reports/alcohol/alcohol-tobacco-other-drugs-australia/contents/about</b:URL>
    <b:RefOrder>30</b:RefOrder>
  </b:Source>
  <b:Source>
    <b:Tag>Aus221</b:Tag>
    <b:SourceType>InternetSite</b:SourceType>
    <b:Guid>{5A74874F-8A62-4069-85C1-87B5B5B76F98}</b:Guid>
    <b:Author>
      <b:Author>
        <b:Corporate>Australian Bureau of Statistics</b:Corporate>
      </b:Author>
    </b:Author>
    <b:Title>Census of Population and Housing, 2021</b:Title>
    <b:Year>2022</b:Year>
    <b:URL>https://www.abs.gov.au/census</b:URL>
    <b:RefOrder>31</b:RefOrder>
  </b:Source>
  <b:Source>
    <b:Tag>Dep221</b:Tag>
    <b:SourceType>DocumentFromInternetSite</b:SourceType>
    <b:Guid>{9C9A5BF5-9050-4E56-825D-FA5F6C6C5A34}</b:Guid>
    <b:Author>
      <b:Author>
        <b:Corporate>Department of Home Affairs, A migration system for Australia's future</b:Corporate>
      </b:Author>
    </b:Author>
    <b:Year>2022</b:Year>
    <b:Month>November</b:Month>
    <b:URL>https://www.homeaffairs.gov.au/reports-and-pubs/files/reviews-and-inquiries/discussion_paper.pdf</b:URL>
    <b:Title>A migration system for Australia's future</b:Title>
    <b:RefOrder>32</b:RefOrder>
  </b:Source>
  <b:Source>
    <b:Tag>Placeholder4</b:Tag>
    <b:SourceType>InternetSite</b:SourceType>
    <b:Guid>{28A15DE2-FDDE-49D9-A792-4DAF421F7A8B}</b:Guid>
    <b:Author>
      <b:Author>
        <b:NameList>
          <b:Person>
            <b:Last>Australian Bureau of Statistics</b:Last>
          </b:Person>
        </b:NameList>
      </b:Author>
    </b:Author>
    <b:Title>Provisional Mortality Statistics, Jan - Aug 2022</b:Title>
    <b:Year>2022</b:Year>
    <b:Month>November</b:Month>
    <b:Day>25</b:Day>
    <b:URL>https://www.abs.gov.au/statistics/health/causes-death/provisional-mortality-statistics/jan-aug-2022</b:URL>
    <b:RefOrder>33</b:RefOrder>
  </b:Source>
  <b:Source>
    <b:Tag>Aus23</b:Tag>
    <b:SourceType>DocumentFromInternetSite</b:SourceType>
    <b:Guid>{0450FAE9-A013-4D76-97BD-7718DA1C9217}</b:Guid>
    <b:Author>
      <b:Author>
        <b:Corporate>Australian Bureau of Statistics</b:Corporate>
      </b:Author>
    </b:Author>
    <b:Title>COVID-19 Mortality in Australia: Deaths registered until 31 October 2022</b:Title>
    <b:Year>2022</b:Year>
    <b:Month>November</b:Month>
    <b:Day>25</b:Day>
    <b:URL>https://www.abs.gov.au/articles/covid-19-mortality-australia-deaths-registered-until-31-october-2022</b:URL>
    <b:RefOrder>34</b:RefOrder>
  </b:Source>
  <b:Source>
    <b:Tag>Aus24</b:Tag>
    <b:SourceType>DocumentFromInternetSite</b:SourceType>
    <b:Guid>{C7300836-CEA0-4606-AEC1-EBA65023B4C7}</b:Guid>
    <b:Author>
      <b:Author>
        <b:Corporate>Australian Bureau of Statistics</b:Corporate>
      </b:Author>
    </b:Author>
    <b:Title>COVID-19 Mortality by wave</b:Title>
    <b:Year>2022</b:Year>
    <b:Month>November</b:Month>
    <b:Day>16</b:Day>
    <b:URL>https://www.abs.gov.au/articles/covid-19-mortality-wave</b:URL>
    <b:RefOrder>35</b:RefOrder>
  </b:Source>
  <b:Source>
    <b:Tag>Census221</b:Tag>
    <b:SourceType>InternetSite</b:SourceType>
    <b:Guid>{E7AD0286-E9BA-42D4-9CAC-3C33A04C1847}</b:Guid>
    <b:Author>
      <b:Author>
        <b:Corporate>Australian Bureau of Statistics</b:Corporate>
      </b:Author>
    </b:Author>
    <b:Title>2021  Census overcount and undercount</b:Title>
    <b:Year>2022</b:Year>
    <b:URL>https://www.abs.gov.au/statistics/people/population/2021-census-overcount-and-undercount/latest-release</b:URL>
    <b:RefOrder>36</b:RefOrder>
  </b:Source>
  <b:Source>
    <b:Tag>Aus226</b:Tag>
    <b:SourceType>InternetSite</b:SourceType>
    <b:Guid>{E3E5B3B0-C14F-4611-98C0-9A197D7510EE}</b:Guid>
    <b:Author>
      <b:Author>
        <b:Corporate>Australian Bureau of Statistics</b:Corporate>
      </b:Author>
    </b:Author>
    <b:Title>Deaths, Australia</b:Title>
    <b:Year>2022</b:Year>
    <b:Month>September</b:Month>
    <b:Day>29</b:Day>
    <b:URL>https://www.abs.gov.au/statistics/people/population/deaths-australia/2021</b:URL>
    <b:RefOrder>37</b:RefOrder>
  </b:Source>
  <b:Source>
    <b:Tag>Cen20</b:Tag>
    <b:SourceType>Report</b:SourceType>
    <b:Guid>{3D01252F-3F9F-4148-AD31-3625EA1C1696}</b:Guid>
    <b:Author>
      <b:Author>
        <b:Corporate>Centre for Population</b:Corporate>
      </b:Author>
    </b:Author>
    <b:Title>Population Statement</b:Title>
    <b:Year>2020</b:Year>
    <b:City>Canberra</b:City>
    <b:RefOrder>38</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C9FBD1C7BFF8C438CAE0753060C9380" ma:contentTypeVersion="12" ma:contentTypeDescription="Create a new document." ma:contentTypeScope="" ma:versionID="a2f08a5a802d98ec15195c57620cac72">
  <xsd:schema xmlns:xsd="http://www.w3.org/2001/XMLSchema" xmlns:xs="http://www.w3.org/2001/XMLSchema" xmlns:p="http://schemas.microsoft.com/office/2006/metadata/properties" xmlns:ns3="3ba8179d-47a6-43bc-a5e5-3f2cae1df7b9" xmlns:ns4="97802e19-9d55-4d08-aacf-47bdd1c38791" targetNamespace="http://schemas.microsoft.com/office/2006/metadata/properties" ma:root="true" ma:fieldsID="44b87e1b775360ac68fd93237c685357" ns3:_="" ns4:_="">
    <xsd:import namespace="3ba8179d-47a6-43bc-a5e5-3f2cae1df7b9"/>
    <xsd:import namespace="97802e19-9d55-4d08-aacf-47bdd1c387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8179d-47a6-43bc-a5e5-3f2cae1df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02e19-9d55-4d08-aacf-47bdd1c387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59C1C6-A7DF-4818-992E-B68A8FE52F8C}">
  <ds:schemaRefs>
    <ds:schemaRef ds:uri="http://schemas.microsoft.com/sharepoint/v3/contenttype/forms"/>
  </ds:schemaRefs>
</ds:datastoreItem>
</file>

<file path=customXml/itemProps2.xml><?xml version="1.0" encoding="utf-8"?>
<ds:datastoreItem xmlns:ds="http://schemas.openxmlformats.org/officeDocument/2006/customXml" ds:itemID="{7D41E85B-0327-4663-8BC0-4C7E4F300D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7D0A96-F26D-4FE3-9C99-AB14AE5E816F}">
  <ds:schemaRefs>
    <ds:schemaRef ds:uri="http://schemas.openxmlformats.org/officeDocument/2006/bibliography"/>
  </ds:schemaRefs>
</ds:datastoreItem>
</file>

<file path=customXml/itemProps4.xml><?xml version="1.0" encoding="utf-8"?>
<ds:datastoreItem xmlns:ds="http://schemas.openxmlformats.org/officeDocument/2006/customXml" ds:itemID="{1E83BE55-5F78-493F-9DAD-8C6D3E17F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8179d-47a6-43bc-a5e5-3f2cae1df7b9"/>
    <ds:schemaRef ds:uri="97802e19-9d55-4d08-aacf-47bdd1c387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Centre for Population Internal.dotx</Template>
  <TotalTime>19</TotalTime>
  <Pages>84</Pages>
  <Words>23788</Words>
  <Characters>135597</Characters>
  <Application>Microsoft Office Word</Application>
  <DocSecurity>0</DocSecurity>
  <Lines>1129</Lines>
  <Paragraphs>318</Paragraphs>
  <ScaleCrop>false</ScaleCrop>
  <HeadingPairs>
    <vt:vector size="2" baseType="variant">
      <vt:variant>
        <vt:lpstr>Title</vt:lpstr>
      </vt:variant>
      <vt:variant>
        <vt:i4>1</vt:i4>
      </vt:variant>
    </vt:vector>
  </HeadingPairs>
  <TitlesOfParts>
    <vt:vector size="1" baseType="lpstr">
      <vt:lpstr>2022 Population Statement</vt:lpstr>
    </vt:vector>
  </TitlesOfParts>
  <Company>Australian Government - The Treasury</Company>
  <LinksUpToDate>false</LinksUpToDate>
  <CharactersWithSpaces>159067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Population Statement</dc:title>
  <dc:subject/>
  <dc:creator>Centre for Population</dc:creator>
  <cp:keywords/>
  <cp:lastModifiedBy>Menzies, Millie</cp:lastModifiedBy>
  <cp:revision>5</cp:revision>
  <cp:lastPrinted>2023-01-25T03:09:00Z</cp:lastPrinted>
  <dcterms:created xsi:type="dcterms:W3CDTF">2023-01-25T00:23:00Z</dcterms:created>
  <dcterms:modified xsi:type="dcterms:W3CDTF">2023-01-25T03:13:00Z</dcterms:modified>
</cp:coreProperties>
</file>